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0000001" w14:textId="77777777" w:rsidR="00E11783" w:rsidRDefault="003E5B87">
      <w:pPr>
        <w:spacing w:before="240" w:after="240"/>
        <w:jc w:val="center"/>
        <w:rPr>
          <w:sz w:val="28"/>
          <w:szCs w:val="28"/>
          <w:u w:val="single"/>
        </w:rPr>
      </w:pPr>
      <w:r>
        <w:rPr>
          <w:sz w:val="28"/>
          <w:szCs w:val="28"/>
          <w:u w:val="single"/>
        </w:rPr>
        <w:t>Consider how useful Childe’s criteria for the emergence of towns and/or states are for interpreting the emergence of social complexity in the East Mediterranean in the Bronze Age. Answer with reference to a case study of the Levant</w:t>
      </w:r>
    </w:p>
    <w:p w14:paraId="00000002" w14:textId="77777777" w:rsidR="00E11783" w:rsidRDefault="003E5B87">
      <w:pPr>
        <w:spacing w:before="240" w:after="240"/>
      </w:pPr>
      <w:r>
        <w:t>The Levant is rich in ar</w:t>
      </w:r>
      <w:r>
        <w:t>chaeology which reveals evidence for a developing social complexity in the Bronze Age. The Levant relates to the Eastern shore of the Mediterranean Sea which includes areas such as Israel and Syria, with important cities including Jericho, Jerusalem and Da</w:t>
      </w:r>
      <w:r>
        <w:t xml:space="preserve">mascus (Gill, 2019). To be able to fully answer this question the definition of social complexity must first be understood. Oxford Reference offers the definition of complex society which is as follows: </w:t>
      </w:r>
    </w:p>
    <w:p w14:paraId="00000003" w14:textId="77777777" w:rsidR="00E11783" w:rsidRDefault="003E5B87">
      <w:pPr>
        <w:spacing w:before="240" w:after="240"/>
        <w:ind w:left="720" w:right="1092"/>
      </w:pPr>
      <w:r>
        <w:t>Archaeologically, the emergence of such societies is</w:t>
      </w:r>
      <w:r>
        <w:t xml:space="preserve"> recognized through the development of expansive regional political economies, evidence of corporate organization, the presence of large architectural monuments, distinctive iconography and ideology, and structured mortuary practice. (Oxford Reference, 202</w:t>
      </w:r>
      <w:r>
        <w:t xml:space="preserve">0). </w:t>
      </w:r>
    </w:p>
    <w:p w14:paraId="00000004" w14:textId="77777777" w:rsidR="00E11783" w:rsidRDefault="003E5B87">
      <w:pPr>
        <w:spacing w:before="240" w:after="240"/>
      </w:pPr>
      <w:r>
        <w:t>With this understanding the archaeological evidence of the Levant can be used to indicate and exemplify the social complexity of the Bronze age.</w:t>
      </w:r>
    </w:p>
    <w:p w14:paraId="00000005" w14:textId="77777777" w:rsidR="00E11783" w:rsidRDefault="003E5B87">
      <w:pPr>
        <w:spacing w:before="240" w:after="240"/>
        <w:rPr>
          <w:i/>
        </w:rPr>
      </w:pPr>
      <w:r>
        <w:t>The work of V. Gordon Childe on social complexity has been highly influential. Childe identifies ten crite</w:t>
      </w:r>
      <w:r>
        <w:t xml:space="preserve">ria through which it is possible to identify complex societies. Childe’s criteria have influenced research by a number of scholars including Trigger </w:t>
      </w:r>
      <w:r>
        <w:rPr>
          <w:i/>
        </w:rPr>
        <w:t xml:space="preserve">Understanding Early </w:t>
      </w:r>
      <w:proofErr w:type="gramStart"/>
      <w:r>
        <w:rPr>
          <w:i/>
        </w:rPr>
        <w:t>Civilizations :</w:t>
      </w:r>
      <w:proofErr w:type="gramEnd"/>
      <w:r>
        <w:rPr>
          <w:i/>
        </w:rPr>
        <w:t xml:space="preserve"> A Comparative Study </w:t>
      </w:r>
      <w:r>
        <w:t>and Smith</w:t>
      </w:r>
      <w:r>
        <w:rPr>
          <w:i/>
        </w:rPr>
        <w:t xml:space="preserve"> </w:t>
      </w:r>
      <w:r>
        <w:t xml:space="preserve">in his work </w:t>
      </w:r>
      <w:r>
        <w:rPr>
          <w:i/>
        </w:rPr>
        <w:t>V. Gordon Childe and the Urba</w:t>
      </w:r>
      <w:r>
        <w:rPr>
          <w:i/>
        </w:rPr>
        <w:t>n Revolution: a historical perspective on a revolution in urban studies.</w:t>
      </w:r>
    </w:p>
    <w:p w14:paraId="00000006" w14:textId="77777777" w:rsidR="00E11783" w:rsidRDefault="003E5B87">
      <w:pPr>
        <w:spacing w:before="240" w:after="240"/>
      </w:pPr>
      <w:r>
        <w:t>Smith summarises Childe’s ten criteria as follows:</w:t>
      </w:r>
    </w:p>
    <w:p w14:paraId="00000007" w14:textId="77777777" w:rsidR="00E11783" w:rsidRDefault="003E5B87">
      <w:pPr>
        <w:numPr>
          <w:ilvl w:val="0"/>
          <w:numId w:val="1"/>
        </w:numPr>
        <w:spacing w:before="240"/>
      </w:pPr>
      <w:r>
        <w:t>Large Population</w:t>
      </w:r>
    </w:p>
    <w:p w14:paraId="00000008" w14:textId="77777777" w:rsidR="00E11783" w:rsidRDefault="003E5B87">
      <w:pPr>
        <w:numPr>
          <w:ilvl w:val="0"/>
          <w:numId w:val="1"/>
        </w:numPr>
      </w:pPr>
      <w:r>
        <w:t>Full time craft specialists</w:t>
      </w:r>
    </w:p>
    <w:p w14:paraId="00000009" w14:textId="77777777" w:rsidR="00E11783" w:rsidRDefault="003E5B87">
      <w:pPr>
        <w:numPr>
          <w:ilvl w:val="0"/>
          <w:numId w:val="1"/>
        </w:numPr>
      </w:pPr>
      <w:r>
        <w:t>Agricultural surplus</w:t>
      </w:r>
    </w:p>
    <w:p w14:paraId="0000000A" w14:textId="77777777" w:rsidR="00E11783" w:rsidRDefault="003E5B87">
      <w:pPr>
        <w:numPr>
          <w:ilvl w:val="0"/>
          <w:numId w:val="1"/>
        </w:numPr>
      </w:pPr>
      <w:r>
        <w:t>Monumental public architecture</w:t>
      </w:r>
    </w:p>
    <w:p w14:paraId="0000000B" w14:textId="77777777" w:rsidR="00E11783" w:rsidRDefault="003E5B87">
      <w:pPr>
        <w:numPr>
          <w:ilvl w:val="0"/>
          <w:numId w:val="1"/>
        </w:numPr>
      </w:pPr>
      <w:r>
        <w:t>A ruling class</w:t>
      </w:r>
    </w:p>
    <w:p w14:paraId="0000000C" w14:textId="77777777" w:rsidR="00E11783" w:rsidRDefault="003E5B87">
      <w:pPr>
        <w:numPr>
          <w:ilvl w:val="0"/>
          <w:numId w:val="1"/>
        </w:numPr>
      </w:pPr>
      <w:r>
        <w:t>‘Writing’</w:t>
      </w:r>
    </w:p>
    <w:p w14:paraId="0000000D" w14:textId="77777777" w:rsidR="00E11783" w:rsidRDefault="003E5B87">
      <w:pPr>
        <w:numPr>
          <w:ilvl w:val="0"/>
          <w:numId w:val="1"/>
        </w:numPr>
      </w:pPr>
      <w:r>
        <w:t xml:space="preserve">Exact and </w:t>
      </w:r>
      <w:r>
        <w:t>predictive sciences</w:t>
      </w:r>
    </w:p>
    <w:p w14:paraId="0000000E" w14:textId="77777777" w:rsidR="00E11783" w:rsidRDefault="003E5B87">
      <w:pPr>
        <w:numPr>
          <w:ilvl w:val="0"/>
          <w:numId w:val="1"/>
        </w:numPr>
      </w:pPr>
      <w:r>
        <w:t>Sophisticated art style</w:t>
      </w:r>
    </w:p>
    <w:p w14:paraId="0000000F" w14:textId="77777777" w:rsidR="00E11783" w:rsidRDefault="003E5B87">
      <w:pPr>
        <w:numPr>
          <w:ilvl w:val="0"/>
          <w:numId w:val="1"/>
        </w:numPr>
      </w:pPr>
      <w:r>
        <w:t>Long distance trade</w:t>
      </w:r>
    </w:p>
    <w:p w14:paraId="00000010" w14:textId="77777777" w:rsidR="00E11783" w:rsidRDefault="003E5B87">
      <w:pPr>
        <w:numPr>
          <w:ilvl w:val="0"/>
          <w:numId w:val="1"/>
        </w:numPr>
        <w:spacing w:after="240"/>
      </w:pPr>
      <w:r>
        <w:t>The state</w:t>
      </w:r>
    </w:p>
    <w:p w14:paraId="00000011" w14:textId="77777777" w:rsidR="00E11783" w:rsidRDefault="003E5B87">
      <w:pPr>
        <w:spacing w:before="240" w:after="240"/>
      </w:pPr>
      <w:r>
        <w:t>(Smith, 2009 p.10-11)</w:t>
      </w:r>
    </w:p>
    <w:p w14:paraId="00000012" w14:textId="77777777" w:rsidR="00E11783" w:rsidRDefault="00E11783">
      <w:pPr>
        <w:spacing w:before="240" w:after="240"/>
      </w:pPr>
    </w:p>
    <w:p w14:paraId="00000013" w14:textId="77777777" w:rsidR="00E11783" w:rsidRDefault="00E11783">
      <w:pPr>
        <w:spacing w:before="240" w:after="240"/>
      </w:pPr>
    </w:p>
    <w:p w14:paraId="7388FB51" w14:textId="77777777" w:rsidR="00C41F3A" w:rsidRDefault="00C41F3A">
      <w:pPr>
        <w:spacing w:before="240" w:after="240"/>
      </w:pPr>
    </w:p>
    <w:p w14:paraId="00000014" w14:textId="706E3B74" w:rsidR="00E11783" w:rsidRDefault="003E5B87">
      <w:pPr>
        <w:spacing w:before="240" w:after="240"/>
        <w:rPr>
          <w:highlight w:val="white"/>
        </w:rPr>
      </w:pPr>
      <w:r>
        <w:lastRenderedPageBreak/>
        <w:t>Monumental public architecture is perhaps the most easily identified as evidence of large-</w:t>
      </w:r>
      <w:r>
        <w:t xml:space="preserve"> scale buildings and monuments are still present today. A notable arc</w:t>
      </w:r>
      <w:r>
        <w:t>hitectural feature of Jericho is the ‘defence’ wall and tower. Over the time of occupation in Jericho the wall and towers were rebuilt many times and the largest of the defence</w:t>
      </w:r>
      <w:r>
        <w:t xml:space="preserve"> walls was constructed during the early/ middle Bronze Age. The wall was adorned</w:t>
      </w:r>
      <w:r>
        <w:t xml:space="preserve"> by at least one tower in every existence. One of the earliest forms of this wall and tower was in 8000 BCE and is the wall that there is the most archaeological evidence for. The tower was 8.5 m high and 9 m wide at the base (Ramos, 2016). There was an in</w:t>
      </w:r>
      <w:r>
        <w:t xml:space="preserve">ternal staircase which contained </w:t>
      </w:r>
      <w:r w:rsidR="00C41F3A">
        <w:t>twenty-two</w:t>
      </w:r>
      <w:r>
        <w:t xml:space="preserve"> steps. The only older tower to ever be discovered is that of Tell </w:t>
      </w:r>
      <w:proofErr w:type="spellStart"/>
      <w:r>
        <w:t>Qaramel</w:t>
      </w:r>
      <w:proofErr w:type="spellEnd"/>
      <w:r>
        <w:t xml:space="preserve"> in Syria (Ramos, 2016). It is suggested that the wall at this point was used as a flood barrier rather than to warn off enemies (O. Bar-Yo</w:t>
      </w:r>
      <w:r>
        <w:t xml:space="preserve">sef, 1986). Kenyon offered an alternative theory for the reason behind building the wall. As stated in </w:t>
      </w:r>
      <w:proofErr w:type="spellStart"/>
      <w:r>
        <w:t>Kuijt</w:t>
      </w:r>
      <w:proofErr w:type="spellEnd"/>
      <w:r>
        <w:t>, 2012 Kenyon believed that it was ‘</w:t>
      </w:r>
      <w:r>
        <w:rPr>
          <w:sz w:val="20"/>
          <w:szCs w:val="20"/>
          <w:highlight w:val="white"/>
        </w:rPr>
        <w:t>an early defensive system.</w:t>
      </w:r>
      <w:r>
        <w:rPr>
          <w:highlight w:val="white"/>
        </w:rPr>
        <w:t>’ As covered above one of the later towers was nearly more than double the height of t</w:t>
      </w:r>
      <w:r>
        <w:rPr>
          <w:highlight w:val="white"/>
        </w:rPr>
        <w:t xml:space="preserve">he original wall and was around 15 to 20 m high. </w:t>
      </w:r>
      <w:proofErr w:type="spellStart"/>
      <w:r>
        <w:rPr>
          <w:highlight w:val="white"/>
        </w:rPr>
        <w:t>Muscato</w:t>
      </w:r>
      <w:proofErr w:type="spellEnd"/>
      <w:r>
        <w:rPr>
          <w:highlight w:val="white"/>
        </w:rPr>
        <w:t xml:space="preserve">, n.d., </w:t>
      </w:r>
      <w:r w:rsidR="00C41F3A">
        <w:rPr>
          <w:highlight w:val="white"/>
        </w:rPr>
        <w:t>explains</w:t>
      </w:r>
      <w:r>
        <w:rPr>
          <w:highlight w:val="white"/>
        </w:rPr>
        <w:t xml:space="preserve"> this. His belief was that, just like the mound, which was present due to building on top of previous towns, the wall and towers over time became so big due to simply </w:t>
      </w:r>
      <w:r>
        <w:rPr>
          <w:highlight w:val="white"/>
        </w:rPr>
        <w:t xml:space="preserve">building on the site of the previous wall and tower. Clearly such large building practices need to be overseen by an organised state or ruling body. The people of Jericho may have been engaging in wars and understood the need for safety hence building the </w:t>
      </w:r>
      <w:r>
        <w:rPr>
          <w:highlight w:val="white"/>
        </w:rPr>
        <w:t>wall and tower to protect the town. Also, it shows an ‘advanced’ technology if the wall was in fact used for a flood barrier. The larger population of the town of Jericho was able to organise protection against floods. The wall and tower of Jericho are cle</w:t>
      </w:r>
      <w:r>
        <w:rPr>
          <w:highlight w:val="white"/>
        </w:rPr>
        <w:t>arly evidence of an organised state. Such a large-scale</w:t>
      </w:r>
      <w:r>
        <w:rPr>
          <w:highlight w:val="white"/>
        </w:rPr>
        <w:t xml:space="preserve"> building project would have to be organised by a central authority, which signifies the existence of the state. Not only would the state have had to procure the materials and workers,</w:t>
      </w:r>
      <w:r>
        <w:rPr>
          <w:highlight w:val="white"/>
        </w:rPr>
        <w:t xml:space="preserve"> but they would ha</w:t>
      </w:r>
      <w:r>
        <w:rPr>
          <w:highlight w:val="white"/>
        </w:rPr>
        <w:t>ve to also pay the workers. Even if this was not in money but in food, like Egypt, there must have been an agricultural surplus to sustain the workers who did not work in the fields. Agricultural surplus is another criterion</w:t>
      </w:r>
      <w:r>
        <w:rPr>
          <w:highlight w:val="white"/>
        </w:rPr>
        <w:t xml:space="preserve"> and the building of the wall obv</w:t>
      </w:r>
      <w:r>
        <w:rPr>
          <w:highlight w:val="white"/>
        </w:rPr>
        <w:t xml:space="preserve">iously indicates that they needed full time specialists (again another criteria) hence the need for more food.  </w:t>
      </w:r>
    </w:p>
    <w:p w14:paraId="00000015" w14:textId="77777777" w:rsidR="00E11783" w:rsidRDefault="003E5B87">
      <w:pPr>
        <w:spacing w:before="240" w:after="240"/>
        <w:rPr>
          <w:highlight w:val="white"/>
        </w:rPr>
      </w:pPr>
      <w:r>
        <w:rPr>
          <w:highlight w:val="white"/>
        </w:rPr>
        <w:t>Monumental architecture was also seen through other areas of the Levant, most notably Syria. By 2600 BCE Syria had become more complex and sett</w:t>
      </w:r>
      <w:r>
        <w:rPr>
          <w:highlight w:val="white"/>
        </w:rPr>
        <w:t xml:space="preserve">lements were formed into ‘urban communities.’ Like Jericho, Syria had defence walls and fortifications which protected the city. There were also citadel cities, with Homs being set on one of the biggest tell sites in Syria (King, 2013). Besides </w:t>
      </w:r>
      <w:proofErr w:type="spellStart"/>
      <w:r>
        <w:rPr>
          <w:highlight w:val="white"/>
        </w:rPr>
        <w:t>defense</w:t>
      </w:r>
      <w:proofErr w:type="spellEnd"/>
      <w:r>
        <w:rPr>
          <w:highlight w:val="white"/>
        </w:rPr>
        <w:t xml:space="preserve"> wal</w:t>
      </w:r>
      <w:r>
        <w:rPr>
          <w:highlight w:val="white"/>
        </w:rPr>
        <w:t>ls Syria had a wealth of monumental architecture. This can be seen through the elites in both life and death. In life the elites had palaces. Two main palaces in Syria were Ebla and Mari. Not only is this an example of monumental architecture but it also h</w:t>
      </w:r>
      <w:r>
        <w:rPr>
          <w:highlight w:val="white"/>
        </w:rPr>
        <w:t xml:space="preserve">ighlights the emergence of an elite, ruling class. What also makes these palaces important is that the adoption of writing, </w:t>
      </w:r>
      <w:proofErr w:type="gramStart"/>
      <w:r>
        <w:rPr>
          <w:highlight w:val="white"/>
        </w:rPr>
        <w:t>another</w:t>
      </w:r>
      <w:proofErr w:type="gramEnd"/>
      <w:r>
        <w:rPr>
          <w:highlight w:val="white"/>
        </w:rPr>
        <w:t xml:space="preserve"> criteria of Childe, was founded within the walls of the palaces. The evidence for this is the Mari tablets and the Ebla arch</w:t>
      </w:r>
      <w:r>
        <w:rPr>
          <w:highlight w:val="white"/>
        </w:rPr>
        <w:t>ives (</w:t>
      </w:r>
      <w:proofErr w:type="spellStart"/>
      <w:r>
        <w:rPr>
          <w:highlight w:val="white"/>
        </w:rPr>
        <w:t>Pelgrift</w:t>
      </w:r>
      <w:proofErr w:type="spellEnd"/>
      <w:r>
        <w:rPr>
          <w:highlight w:val="white"/>
        </w:rPr>
        <w:t xml:space="preserve">, 2016 and Ebla, 2010). This clearly shows that Childe’s criteria is rather useful because in Syria most of the criteria are met.  In death the elites show monumental architecture through their burials which by the </w:t>
      </w:r>
      <w:proofErr w:type="spellStart"/>
      <w:r>
        <w:rPr>
          <w:highlight w:val="white"/>
        </w:rPr>
        <w:t>later</w:t>
      </w:r>
      <w:proofErr w:type="spellEnd"/>
      <w:r>
        <w:rPr>
          <w:highlight w:val="white"/>
        </w:rPr>
        <w:t xml:space="preserve"> half of the Early Bro</w:t>
      </w:r>
      <w:r>
        <w:rPr>
          <w:highlight w:val="white"/>
        </w:rPr>
        <w:t xml:space="preserve">nze Age had stone shafts and chambers and some even contained more than one body. The bodies were adorned with gold and other precious materials, and it was discovered that there was also evidence of animal sacrifices (Wilford, 2006).  </w:t>
      </w:r>
    </w:p>
    <w:p w14:paraId="00000016" w14:textId="77777777" w:rsidR="00E11783" w:rsidRDefault="00E11783">
      <w:pPr>
        <w:spacing w:before="240" w:after="240"/>
      </w:pPr>
    </w:p>
    <w:p w14:paraId="00000017" w14:textId="2F588996" w:rsidR="00E11783" w:rsidRDefault="003E5B87">
      <w:pPr>
        <w:spacing w:before="240" w:after="240"/>
      </w:pPr>
      <w:proofErr w:type="gramStart"/>
      <w:r>
        <w:lastRenderedPageBreak/>
        <w:t>Another</w:t>
      </w:r>
      <w:proofErr w:type="gramEnd"/>
      <w:r>
        <w:t xml:space="preserve"> criteria o</w:t>
      </w:r>
      <w:r>
        <w:t xml:space="preserve">f complex society, according to Childe is the involvement in connectivity with other societies through long distance trade. During the Bronze age one object that was traded throughout the Levant and further afield were Piriform pendants. </w:t>
      </w:r>
      <w:proofErr w:type="spellStart"/>
      <w:r>
        <w:t>Budin</w:t>
      </w:r>
      <w:proofErr w:type="spellEnd"/>
      <w:r>
        <w:t>, 2016 states</w:t>
      </w:r>
      <w:r>
        <w:t xml:space="preserve"> that the </w:t>
      </w:r>
      <w:r w:rsidR="00C41F3A">
        <w:t>design</w:t>
      </w:r>
      <w:r>
        <w:t xml:space="preserve"> of these </w:t>
      </w:r>
      <w:r>
        <w:t xml:space="preserve">pendants ‘made its way down to Palestine from Anatolia by way of Syria’. This type of pendant was also found in Egypt. It did take a while for the design to reach </w:t>
      </w:r>
      <w:proofErr w:type="gramStart"/>
      <w:r>
        <w:t>Egypt</w:t>
      </w:r>
      <w:proofErr w:type="gramEnd"/>
      <w:r>
        <w:t xml:space="preserve"> but it is seen in Egypt as of the 13th century BC</w:t>
      </w:r>
      <w:r>
        <w:t xml:space="preserve">E. Another main trade item in this part of the world was Lapis Lazuli. Lapis Lazuli is a </w:t>
      </w:r>
      <w:r w:rsidR="00C41F3A">
        <w:t>semi-precious</w:t>
      </w:r>
      <w:r>
        <w:t xml:space="preserve"> stone which was a luxury item. This led to the expansive trade during the 3rd century which covered most of Asia and Africa.  The main source of Lapis La</w:t>
      </w:r>
      <w:r>
        <w:t>zuli is from Badakhshan, Afghanistan (Huang, 2018). The Lapis Lazuli from this reserve has been found all over the world. A main hoard found in the Levant which contained a large amount of Lapis was found in the courtyard of a palace in Mari. This hoard co</w:t>
      </w:r>
      <w:r>
        <w:t xml:space="preserve">ntained Many lapis pieces many of which were encrusted with gold, with one being inscribed with the name of the King of Ur. Another example of Lapis Lazuli in the Levant is again in Syria. This specific example was Lapis lazuli beads in the form of a fly. </w:t>
      </w:r>
      <w:r>
        <w:t>This form was also seen in Egypt so could infer long distance trading or the spread of ideas across the near east (Brooklyn Museum, 2020)</w:t>
      </w:r>
    </w:p>
    <w:p w14:paraId="00000018" w14:textId="239F84D8" w:rsidR="00E11783" w:rsidRDefault="003E5B87">
      <w:pPr>
        <w:spacing w:before="240" w:after="240"/>
      </w:pPr>
      <w:r>
        <w:t xml:space="preserve">What could </w:t>
      </w:r>
      <w:proofErr w:type="gramStart"/>
      <w:r>
        <w:t>be seen as</w:t>
      </w:r>
      <w:proofErr w:type="gramEnd"/>
      <w:r>
        <w:t xml:space="preserve"> problematic is ‘Large population.’ In Jericho during the Early/ Middle Bronze Age (3,100 to 1,80</w:t>
      </w:r>
      <w:r>
        <w:t xml:space="preserve">0 BCE.) the city flourished once again. But in the Late Bronze Age (1,800 to 1,400 BCE) there were limited settlements in Jericho. This may have been down to the destruction of the city which occurred circa 3300 </w:t>
      </w:r>
      <w:proofErr w:type="spellStart"/>
      <w:r>
        <w:t>cal</w:t>
      </w:r>
      <w:proofErr w:type="spellEnd"/>
      <w:r>
        <w:t xml:space="preserve"> BP (Hurst, 2019). This shows that the si</w:t>
      </w:r>
      <w:r>
        <w:t xml:space="preserve">te </w:t>
      </w:r>
      <w:r w:rsidR="00C41F3A">
        <w:t>decreased</w:t>
      </w:r>
      <w:r>
        <w:t xml:space="preserve"> and ‘</w:t>
      </w:r>
      <w:r w:rsidR="00C41F3A">
        <w:t>backpedalled</w:t>
      </w:r>
      <w:r>
        <w:t xml:space="preserve">’ during this time rather than evolved along the lines of Childe’s criteria. At the end of the 3rd millennium BCE this was also visible in Syria. Nichols and Weber, 2006 state that ‘In the </w:t>
      </w:r>
      <w:proofErr w:type="spellStart"/>
      <w:r>
        <w:t>Jabbul</w:t>
      </w:r>
      <w:proofErr w:type="spellEnd"/>
      <w:r>
        <w:t xml:space="preserve"> region and elsewhere i</w:t>
      </w:r>
      <w:r>
        <w:t>n Syria, collapse</w:t>
      </w:r>
      <w:r w:rsidR="00C41F3A">
        <w:t>…. entailed</w:t>
      </w:r>
      <w:r>
        <w:t xml:space="preserve"> failure of regional economic and political networks.’ This indicates that the process of evolution to a complex society was not a linear track but rather had peaks and troughs throughout history. The Near East in 3500 BCE is in </w:t>
      </w:r>
      <w:r>
        <w:t>a very slight trough but it is more of a plateau than a dip in the statistics and the population sat at about 7 million people. After this point there is a huge increase till it peaks</w:t>
      </w:r>
      <w:r>
        <w:t xml:space="preserve"> at around 2500 BCE where there is a population of over 14 million in</w:t>
      </w:r>
      <w:r>
        <w:t xml:space="preserve"> the Near East. After this point there is a drastic decrease in population which reaches a low of just under nine million in 1500 BCE which decreases </w:t>
      </w:r>
      <w:r w:rsidR="00C41F3A">
        <w:t>steadily</w:t>
      </w:r>
      <w:r>
        <w:t xml:space="preserve"> over the 1000 years (</w:t>
      </w:r>
      <w:proofErr w:type="spellStart"/>
      <w:r>
        <w:t>Quiles</w:t>
      </w:r>
      <w:proofErr w:type="spellEnd"/>
      <w:r>
        <w:t xml:space="preserve">, 2018). </w:t>
      </w:r>
    </w:p>
    <w:p w14:paraId="00000019" w14:textId="049E18BD" w:rsidR="00E11783" w:rsidRDefault="003E5B87">
      <w:pPr>
        <w:spacing w:before="240" w:after="240"/>
      </w:pPr>
      <w:r>
        <w:t xml:space="preserve">Finally, Childe identifies sophisticated art as a </w:t>
      </w:r>
      <w:r w:rsidR="00C41F3A">
        <w:t>criterion</w:t>
      </w:r>
      <w:r>
        <w:t xml:space="preserve"> for complex societies. </w:t>
      </w:r>
      <w:r w:rsidR="00C41F3A">
        <w:t>This criterion</w:t>
      </w:r>
      <w:r>
        <w:t xml:space="preserve"> perhaps is problematic. Some hunter gatherer groups, such as the upper </w:t>
      </w:r>
      <w:r w:rsidR="00C41F3A">
        <w:t>Palaeolithic</w:t>
      </w:r>
      <w:r>
        <w:t xml:space="preserve"> people in Lascaux who left cave paintings which could be classed as sophistic</w:t>
      </w:r>
      <w:r>
        <w:t xml:space="preserve">ated </w:t>
      </w:r>
      <w:proofErr w:type="gramStart"/>
      <w:r>
        <w:t>in their own right and</w:t>
      </w:r>
      <w:proofErr w:type="gramEnd"/>
      <w:r>
        <w:t xml:space="preserve"> had indicators of specialism would not be considered by Childe as complex societies. This art may be sophisticated but other parts of their society would not meet Childe’s criteria.  Several academics have questioned Childe’s cr</w:t>
      </w:r>
      <w:r>
        <w:t xml:space="preserve">iteria in relation to hunter gathers for other reasons. As for the Levant there was much evidence of ‘art’ but much of this art was seen in everyday items such as pottery. On the Met Museum page </w:t>
      </w:r>
      <w:r>
        <w:rPr>
          <w:i/>
        </w:rPr>
        <w:t>Art of the First Cities in the Third Millennium B.C.</w:t>
      </w:r>
      <w:r>
        <w:t xml:space="preserve"> it state</w:t>
      </w:r>
      <w:r>
        <w:t xml:space="preserve">s that ‘Styles and iconography were transmitted to sites such as Mari and Ebla in northern Syria’ (The Met, 2020). This once again shows that art and artistic ideas are </w:t>
      </w:r>
      <w:r w:rsidR="00C41F3A">
        <w:t>shared,</w:t>
      </w:r>
      <w:r>
        <w:t xml:space="preserve"> and it also indicates trade and interconnectivity. Some examples of the art of t</w:t>
      </w:r>
      <w:r>
        <w:t xml:space="preserve">he Bronze age in the Levant is the piriform pendants which are mentioned above but there are also vast quantities of art in the form of personal adornment made from gold or silver and there is a plethora of figurines which the levant are rather famous for </w:t>
      </w:r>
      <w:r>
        <w:t>(</w:t>
      </w:r>
      <w:proofErr w:type="spellStart"/>
      <w:r>
        <w:t>Mcadam</w:t>
      </w:r>
      <w:proofErr w:type="spellEnd"/>
      <w:r>
        <w:t xml:space="preserve">, 2013) </w:t>
      </w:r>
    </w:p>
    <w:p w14:paraId="0000001A" w14:textId="3ABD3D76" w:rsidR="00E11783" w:rsidRDefault="003E5B87">
      <w:pPr>
        <w:spacing w:before="240" w:after="240"/>
      </w:pPr>
      <w:proofErr w:type="spellStart"/>
      <w:r>
        <w:rPr>
          <w:sz w:val="21"/>
          <w:szCs w:val="21"/>
        </w:rPr>
        <w:lastRenderedPageBreak/>
        <w:t>Shnirelman</w:t>
      </w:r>
      <w:proofErr w:type="spellEnd"/>
      <w:r>
        <w:rPr>
          <w:sz w:val="21"/>
          <w:szCs w:val="21"/>
        </w:rPr>
        <w:t xml:space="preserve">, (1992) offers a criticism of Childe, in which he states that, ‘a disadvantage of the </w:t>
      </w:r>
      <w:proofErr w:type="spellStart"/>
      <w:r>
        <w:rPr>
          <w:sz w:val="21"/>
          <w:szCs w:val="21"/>
        </w:rPr>
        <w:t>Childean</w:t>
      </w:r>
      <w:proofErr w:type="spellEnd"/>
      <w:r>
        <w:rPr>
          <w:sz w:val="21"/>
          <w:szCs w:val="21"/>
        </w:rPr>
        <w:t xml:space="preserve"> concept was rooted in a trend to link certain economic systems too rigidly with peculiarities of the social structure and other social</w:t>
      </w:r>
      <w:r>
        <w:rPr>
          <w:sz w:val="21"/>
          <w:szCs w:val="21"/>
        </w:rPr>
        <w:t xml:space="preserve"> and cultural traits, while ignoring a great range of variability’ (</w:t>
      </w:r>
      <w:proofErr w:type="spellStart"/>
      <w:r>
        <w:rPr>
          <w:sz w:val="21"/>
          <w:szCs w:val="21"/>
        </w:rPr>
        <w:t>Shnirelman</w:t>
      </w:r>
      <w:proofErr w:type="spellEnd"/>
      <w:r>
        <w:rPr>
          <w:sz w:val="21"/>
          <w:szCs w:val="21"/>
        </w:rPr>
        <w:t xml:space="preserve">, 1992). </w:t>
      </w:r>
      <w:proofErr w:type="spellStart"/>
      <w:r>
        <w:rPr>
          <w:sz w:val="21"/>
          <w:szCs w:val="21"/>
        </w:rPr>
        <w:t>Shnirelman</w:t>
      </w:r>
      <w:proofErr w:type="spellEnd"/>
      <w:r>
        <w:rPr>
          <w:sz w:val="21"/>
          <w:szCs w:val="21"/>
        </w:rPr>
        <w:t xml:space="preserve"> argues that an insistence on agricultural surplus as an </w:t>
      </w:r>
      <w:r w:rsidR="00C41F3A">
        <w:rPr>
          <w:sz w:val="21"/>
          <w:szCs w:val="21"/>
        </w:rPr>
        <w:t>essential criterion</w:t>
      </w:r>
      <w:r>
        <w:rPr>
          <w:sz w:val="21"/>
          <w:szCs w:val="21"/>
        </w:rPr>
        <w:t xml:space="preserve"> for a complex society precludes the possibility of hunter gatherer societies ever b</w:t>
      </w:r>
      <w:r>
        <w:rPr>
          <w:sz w:val="21"/>
          <w:szCs w:val="21"/>
        </w:rPr>
        <w:t xml:space="preserve">eing classed as complex. He argues that the reasons for not insisting on </w:t>
      </w:r>
      <w:proofErr w:type="gramStart"/>
      <w:r w:rsidR="00C41F3A">
        <w:rPr>
          <w:sz w:val="21"/>
          <w:szCs w:val="21"/>
        </w:rPr>
        <w:t>particular technologies</w:t>
      </w:r>
      <w:proofErr w:type="gramEnd"/>
      <w:r>
        <w:rPr>
          <w:sz w:val="21"/>
          <w:szCs w:val="21"/>
        </w:rPr>
        <w:t xml:space="preserve"> as indicators for complexity should also be applied to economic systems such as agricultural economies. It is not the type of economy but the way in which the </w:t>
      </w:r>
      <w:r>
        <w:rPr>
          <w:sz w:val="21"/>
          <w:szCs w:val="21"/>
        </w:rPr>
        <w:t xml:space="preserve">economy is related to the structure of society which is important. This comment shows that the criteria are perhaps too prescriptive about what makes a complex society and that with flexibility certain societies which are complex </w:t>
      </w:r>
      <w:r w:rsidR="00C41F3A">
        <w:rPr>
          <w:sz w:val="21"/>
          <w:szCs w:val="21"/>
        </w:rPr>
        <w:t>fall</w:t>
      </w:r>
      <w:r>
        <w:rPr>
          <w:sz w:val="21"/>
          <w:szCs w:val="21"/>
        </w:rPr>
        <w:t xml:space="preserve"> ou</w:t>
      </w:r>
      <w:r>
        <w:rPr>
          <w:sz w:val="21"/>
          <w:szCs w:val="21"/>
        </w:rPr>
        <w:t xml:space="preserve">t of the bracket for what is accepted to be a complex society. </w:t>
      </w:r>
      <w:proofErr w:type="gramStart"/>
      <w:r>
        <w:rPr>
          <w:sz w:val="21"/>
          <w:szCs w:val="21"/>
        </w:rPr>
        <w:t>In light of</w:t>
      </w:r>
      <w:proofErr w:type="gramEnd"/>
      <w:r>
        <w:rPr>
          <w:sz w:val="21"/>
          <w:szCs w:val="21"/>
        </w:rPr>
        <w:t xml:space="preserve"> this, ‘sophisticated’ art as a </w:t>
      </w:r>
      <w:r w:rsidR="00C41F3A">
        <w:rPr>
          <w:sz w:val="21"/>
          <w:szCs w:val="21"/>
        </w:rPr>
        <w:t>criterion</w:t>
      </w:r>
      <w:r>
        <w:rPr>
          <w:sz w:val="21"/>
          <w:szCs w:val="21"/>
        </w:rPr>
        <w:t xml:space="preserve"> is also open to interpretation and judgements about whether the art of the Levant, for instance, is sophisticated or not are subjective. </w:t>
      </w:r>
    </w:p>
    <w:p w14:paraId="0000001B" w14:textId="77777777" w:rsidR="00E11783" w:rsidRDefault="00E11783"/>
    <w:p w14:paraId="0000001C" w14:textId="558F7E60" w:rsidR="00E11783" w:rsidRDefault="003E5B87">
      <w:r>
        <w:t>In</w:t>
      </w:r>
      <w:r>
        <w:t xml:space="preserve"> conclusion, Childe’s criteria </w:t>
      </w:r>
      <w:r w:rsidR="00C41F3A">
        <w:t>can be</w:t>
      </w:r>
      <w:r>
        <w:t xml:space="preserve"> useful when it comes to areas such as the Levant. With the criteria above, public monumental architecture, State, agricultural surplus, craft specialisation, art, writing and trade, indicates that the Levant do</w:t>
      </w:r>
      <w:r>
        <w:t>es meet many of the criteria which are needed to justify an emergence of towns. The only problematic criteria in relation to the Levant is ‘large population’ as the Levant during periods in the Bronze Age did have drops in population. Childe’s criteria can</w:t>
      </w:r>
      <w:r>
        <w:t xml:space="preserve"> somewhat be followed as it does offer a guideline to what is constituted as a complex society but at the same time it is not a perfect set of criteria. It is likely true that when Childe devised the criteria that he did not expect them to be a decisive li</w:t>
      </w:r>
      <w:r>
        <w:t>st and he most likely understood that not all civilisations follow all 10 steps. Some ‘</w:t>
      </w:r>
      <w:r w:rsidR="00C41F3A">
        <w:t>non-complex</w:t>
      </w:r>
      <w:r>
        <w:t xml:space="preserve">’ societies may fit some </w:t>
      </w:r>
      <w:proofErr w:type="gramStart"/>
      <w:r>
        <w:t>criteria</w:t>
      </w:r>
      <w:proofErr w:type="gramEnd"/>
      <w:r>
        <w:t xml:space="preserve"> and this reveals the limitations of his criteria. Some of the criteria are not clear, such as ‘large population.’ In modern </w:t>
      </w:r>
      <w:r>
        <w:t xml:space="preserve">terms most if not all ancient complex societies were small so modern interpretation needs to be </w:t>
      </w:r>
      <w:r w:rsidR="00C41F3A">
        <w:t>considered</w:t>
      </w:r>
      <w:r>
        <w:t xml:space="preserve"> and personal opinions and biases </w:t>
      </w:r>
      <w:proofErr w:type="gramStart"/>
      <w:r>
        <w:t>have to</w:t>
      </w:r>
      <w:proofErr w:type="gramEnd"/>
      <w:r>
        <w:t xml:space="preserve"> be minimised where possible.</w:t>
      </w:r>
      <w:r>
        <w:rPr>
          <w:color w:val="333333"/>
          <w:sz w:val="21"/>
          <w:szCs w:val="21"/>
        </w:rPr>
        <w:t xml:space="preserve"> </w:t>
      </w:r>
    </w:p>
    <w:p w14:paraId="0000001D" w14:textId="77777777" w:rsidR="00E11783" w:rsidRDefault="00E11783"/>
    <w:p w14:paraId="0000001E" w14:textId="77777777" w:rsidR="00E11783" w:rsidRDefault="00E11783"/>
    <w:p w14:paraId="0000001F" w14:textId="77777777" w:rsidR="00E11783" w:rsidRDefault="00E11783"/>
    <w:p w14:paraId="00000020" w14:textId="77777777" w:rsidR="00E11783" w:rsidRDefault="00E11783"/>
    <w:p w14:paraId="00000021" w14:textId="77777777" w:rsidR="00E11783" w:rsidRDefault="00E11783"/>
    <w:p w14:paraId="00000022" w14:textId="77777777" w:rsidR="00E11783" w:rsidRDefault="00E11783"/>
    <w:p w14:paraId="00000023" w14:textId="77777777" w:rsidR="00E11783" w:rsidRDefault="00E11783"/>
    <w:p w14:paraId="00000024" w14:textId="77777777" w:rsidR="00E11783" w:rsidRDefault="00E11783"/>
    <w:p w14:paraId="00000025" w14:textId="77777777" w:rsidR="00E11783" w:rsidRDefault="00E11783"/>
    <w:p w14:paraId="00000026" w14:textId="77777777" w:rsidR="00E11783" w:rsidRDefault="00E11783"/>
    <w:p w14:paraId="00000027" w14:textId="77777777" w:rsidR="00E11783" w:rsidRDefault="00E11783">
      <w:pPr>
        <w:rPr>
          <w:b/>
          <w:sz w:val="28"/>
          <w:szCs w:val="28"/>
          <w:u w:val="single"/>
        </w:rPr>
      </w:pPr>
    </w:p>
    <w:p w14:paraId="00000028" w14:textId="77777777" w:rsidR="00E11783" w:rsidRDefault="00E11783">
      <w:pPr>
        <w:rPr>
          <w:b/>
          <w:sz w:val="28"/>
          <w:szCs w:val="28"/>
          <w:u w:val="single"/>
        </w:rPr>
      </w:pPr>
    </w:p>
    <w:p w14:paraId="00000029" w14:textId="77777777" w:rsidR="00E11783" w:rsidRDefault="00E11783">
      <w:pPr>
        <w:rPr>
          <w:b/>
          <w:sz w:val="28"/>
          <w:szCs w:val="28"/>
          <w:u w:val="single"/>
        </w:rPr>
      </w:pPr>
    </w:p>
    <w:p w14:paraId="21C9D3F1" w14:textId="77777777" w:rsidR="00C41F3A" w:rsidRDefault="00C41F3A">
      <w:pPr>
        <w:rPr>
          <w:b/>
          <w:sz w:val="28"/>
          <w:szCs w:val="28"/>
          <w:u w:val="single"/>
        </w:rPr>
      </w:pPr>
    </w:p>
    <w:p w14:paraId="354EB9B1" w14:textId="77777777" w:rsidR="00C41F3A" w:rsidRDefault="00C41F3A">
      <w:pPr>
        <w:rPr>
          <w:b/>
          <w:sz w:val="28"/>
          <w:szCs w:val="28"/>
          <w:u w:val="single"/>
        </w:rPr>
      </w:pPr>
    </w:p>
    <w:p w14:paraId="4F60AAA2" w14:textId="77777777" w:rsidR="00C41F3A" w:rsidRDefault="00C41F3A">
      <w:pPr>
        <w:rPr>
          <w:b/>
          <w:sz w:val="28"/>
          <w:szCs w:val="28"/>
          <w:u w:val="single"/>
        </w:rPr>
      </w:pPr>
    </w:p>
    <w:p w14:paraId="7EE887B2" w14:textId="77777777" w:rsidR="00C41F3A" w:rsidRDefault="00C41F3A">
      <w:pPr>
        <w:rPr>
          <w:b/>
          <w:sz w:val="28"/>
          <w:szCs w:val="28"/>
          <w:u w:val="single"/>
        </w:rPr>
      </w:pPr>
    </w:p>
    <w:p w14:paraId="65904F11" w14:textId="77777777" w:rsidR="00C41F3A" w:rsidRDefault="00C41F3A">
      <w:pPr>
        <w:rPr>
          <w:b/>
          <w:sz w:val="28"/>
          <w:szCs w:val="28"/>
          <w:u w:val="single"/>
        </w:rPr>
      </w:pPr>
    </w:p>
    <w:p w14:paraId="0000002A" w14:textId="39AAB937" w:rsidR="00E11783" w:rsidRDefault="003E5B87">
      <w:pPr>
        <w:rPr>
          <w:b/>
          <w:sz w:val="28"/>
          <w:szCs w:val="28"/>
          <w:u w:val="single"/>
        </w:rPr>
      </w:pPr>
      <w:r>
        <w:rPr>
          <w:b/>
          <w:sz w:val="28"/>
          <w:szCs w:val="28"/>
          <w:u w:val="single"/>
        </w:rPr>
        <w:lastRenderedPageBreak/>
        <w:t>Bibliography:</w:t>
      </w:r>
    </w:p>
    <w:p w14:paraId="0000002B" w14:textId="77777777" w:rsidR="00E11783" w:rsidRDefault="003E5B87">
      <w:r>
        <w:t xml:space="preserve">Oxford Reference (2020), </w:t>
      </w:r>
      <w:r>
        <w:rPr>
          <w:i/>
        </w:rPr>
        <w:t xml:space="preserve">Complex Society </w:t>
      </w:r>
      <w:r>
        <w:t>Av</w:t>
      </w:r>
      <w:r>
        <w:t xml:space="preserve">ailable at: </w:t>
      </w:r>
      <w:hyperlink r:id="rId5">
        <w:r>
          <w:rPr>
            <w:color w:val="1155CC"/>
            <w:u w:val="single"/>
          </w:rPr>
          <w:t>https://www.oxfordreference.com/view/10.1093/oi/authority.20110810104640972</w:t>
        </w:r>
      </w:hyperlink>
      <w:r>
        <w:t xml:space="preserve"> Accessed on: 31st March 2020</w:t>
      </w:r>
    </w:p>
    <w:p w14:paraId="0000002C" w14:textId="77777777" w:rsidR="00E11783" w:rsidRDefault="003E5B87">
      <w:r>
        <w:t xml:space="preserve">Huang, H., (2018), ‘The Route of Lapis Lazuli: Lapis Lazuli Trade </w:t>
      </w:r>
      <w:proofErr w:type="gramStart"/>
      <w:r>
        <w:t>From</w:t>
      </w:r>
      <w:proofErr w:type="gramEnd"/>
      <w:r>
        <w:t xml:space="preserve"> Afghanistan to Egypt During Mid-Late Bronze Age’ </w:t>
      </w:r>
      <w:r>
        <w:rPr>
          <w:i/>
        </w:rPr>
        <w:t>Advances in Social Science, Edu</w:t>
      </w:r>
      <w:r>
        <w:rPr>
          <w:i/>
        </w:rPr>
        <w:t>cation and Humanities Research (ASSEHR)</w:t>
      </w:r>
      <w:r>
        <w:t>, volume 183, pp. 392 - 399</w:t>
      </w:r>
    </w:p>
    <w:p w14:paraId="0000002D" w14:textId="77777777" w:rsidR="00E11783" w:rsidRDefault="003E5B87">
      <w:r>
        <w:t xml:space="preserve">The Met Museum (2002), </w:t>
      </w:r>
      <w:r>
        <w:rPr>
          <w:i/>
        </w:rPr>
        <w:t>Art of the First Cities in the Third Millennium B.C.</w:t>
      </w:r>
      <w:r>
        <w:t xml:space="preserve"> Available at: </w:t>
      </w:r>
      <w:hyperlink r:id="rId6">
        <w:r>
          <w:rPr>
            <w:color w:val="1155CC"/>
            <w:u w:val="single"/>
          </w:rPr>
          <w:t>https://www.metmuseum.org/toa</w:t>
        </w:r>
        <w:r>
          <w:rPr>
            <w:color w:val="1155CC"/>
            <w:u w:val="single"/>
          </w:rPr>
          <w:t>h/hd/trdm/hd_trdm.htm</w:t>
        </w:r>
      </w:hyperlink>
      <w:r>
        <w:t xml:space="preserve"> Accessed: 5th April 2020</w:t>
      </w:r>
    </w:p>
    <w:p w14:paraId="0000002E" w14:textId="77777777" w:rsidR="00E11783" w:rsidRDefault="003E5B87">
      <w:proofErr w:type="spellStart"/>
      <w:r>
        <w:t>Shnirelman</w:t>
      </w:r>
      <w:proofErr w:type="spellEnd"/>
      <w:r>
        <w:t xml:space="preserve">, V.A., (1992), ‘COMPLEX HUNTER-GATHERERS: EXCEPTION OR COMMON PHENOMENON?’, </w:t>
      </w:r>
      <w:r>
        <w:rPr>
          <w:i/>
        </w:rPr>
        <w:t xml:space="preserve">Dialectical Anthropology, </w:t>
      </w:r>
      <w:r>
        <w:t>Vol. 17, No. 2, pp. 183 - 196.</w:t>
      </w:r>
    </w:p>
    <w:p w14:paraId="0000002F" w14:textId="77777777" w:rsidR="00E11783" w:rsidRDefault="003E5B87">
      <w:pPr>
        <w:rPr>
          <w:i/>
        </w:rPr>
      </w:pPr>
      <w:r>
        <w:t xml:space="preserve">Nichols, </w:t>
      </w:r>
      <w:proofErr w:type="spellStart"/>
      <w:proofErr w:type="gramStart"/>
      <w:r>
        <w:t>J.J.,Weber</w:t>
      </w:r>
      <w:proofErr w:type="spellEnd"/>
      <w:proofErr w:type="gramEnd"/>
      <w:r>
        <w:t xml:space="preserve">, J.A., (2006), ‘Amorites, </w:t>
      </w:r>
      <w:proofErr w:type="spellStart"/>
      <w:r>
        <w:t>Onagers</w:t>
      </w:r>
      <w:proofErr w:type="spellEnd"/>
      <w:r>
        <w:t>, and social</w:t>
      </w:r>
      <w:r>
        <w:t xml:space="preserve"> reorganisation in Middle Age Syria,’ in Schwartz, G.M. (Ed.) </w:t>
      </w:r>
      <w:r>
        <w:rPr>
          <w:i/>
        </w:rPr>
        <w:t>After Collapse: The Regeneration of Complex Societies</w:t>
      </w:r>
    </w:p>
    <w:p w14:paraId="00000030" w14:textId="77777777" w:rsidR="00E11783" w:rsidRDefault="003E5B87">
      <w:r>
        <w:t xml:space="preserve">Brooklyn Museum (2020), </w:t>
      </w:r>
      <w:r>
        <w:rPr>
          <w:i/>
        </w:rPr>
        <w:t xml:space="preserve">Fly Pendants and Cylindrical and Spherical Beads </w:t>
      </w:r>
      <w:r>
        <w:t xml:space="preserve">Available at: </w:t>
      </w:r>
      <w:hyperlink r:id="rId7">
        <w:r>
          <w:rPr>
            <w:color w:val="1155CC"/>
            <w:u w:val="single"/>
          </w:rPr>
          <w:t>https://www.brooklynmuseum.org/opencollection/objects/3246</w:t>
        </w:r>
      </w:hyperlink>
      <w:r>
        <w:t xml:space="preserve"> Accessed on: 5th April 2020</w:t>
      </w:r>
    </w:p>
    <w:p w14:paraId="00000031" w14:textId="77777777" w:rsidR="00E11783" w:rsidRDefault="003E5B87">
      <w:r>
        <w:t xml:space="preserve">King, G.R.D., (2013), </w:t>
      </w:r>
      <w:r>
        <w:rPr>
          <w:i/>
        </w:rPr>
        <w:t xml:space="preserve">Archaeological Fieldwork at the Citadel of Homs, Syria: 1995–1999, </w:t>
      </w:r>
      <w:r>
        <w:t xml:space="preserve">Available at: </w:t>
      </w:r>
      <w:hyperlink r:id="rId8">
        <w:r>
          <w:rPr>
            <w:color w:val="1155CC"/>
            <w:u w:val="single"/>
          </w:rPr>
          <w:t>https://www.tandfonline.com/doi/abs/10.1179/lev.2002.34.1.39</w:t>
        </w:r>
      </w:hyperlink>
      <w:r>
        <w:t xml:space="preserve"> Accessed on: 5th April 2020</w:t>
      </w:r>
    </w:p>
    <w:p w14:paraId="00000032" w14:textId="77777777" w:rsidR="00E11783" w:rsidRDefault="003E5B87">
      <w:r>
        <w:t xml:space="preserve">Wilford, J.N., (2006), </w:t>
      </w:r>
      <w:r>
        <w:rPr>
          <w:i/>
        </w:rPr>
        <w:t>Artifacts Unearthed in Syria Hint at Ancient Burial Rituals of Elite</w:t>
      </w:r>
      <w:r>
        <w:t xml:space="preserve">, Available at: </w:t>
      </w:r>
      <w:hyperlink r:id="rId9">
        <w:r>
          <w:rPr>
            <w:color w:val="1155CC"/>
            <w:u w:val="single"/>
          </w:rPr>
          <w:t>https://www.nytimes.com/2006/10/24/science/24tomb.html</w:t>
        </w:r>
      </w:hyperlink>
      <w:r>
        <w:t xml:space="preserve"> Accessed on: 5th April 2020</w:t>
      </w:r>
    </w:p>
    <w:p w14:paraId="00000033" w14:textId="77777777" w:rsidR="00E11783" w:rsidRDefault="003E5B87">
      <w:proofErr w:type="spellStart"/>
      <w:r>
        <w:t>Pelgrift</w:t>
      </w:r>
      <w:proofErr w:type="spellEnd"/>
      <w:r>
        <w:t xml:space="preserve">, H.C., (2016), </w:t>
      </w:r>
      <w:r>
        <w:rPr>
          <w:i/>
        </w:rPr>
        <w:t>Mari</w:t>
      </w:r>
      <w:r>
        <w:t xml:space="preserve">, Available at: </w:t>
      </w:r>
      <w:hyperlink r:id="rId10">
        <w:r>
          <w:rPr>
            <w:color w:val="1155CC"/>
            <w:u w:val="single"/>
          </w:rPr>
          <w:t>https://www.ancient.eu/mari/</w:t>
        </w:r>
      </w:hyperlink>
      <w:r>
        <w:t>, Accessed on: 5th April 2020</w:t>
      </w:r>
    </w:p>
    <w:p w14:paraId="00000034" w14:textId="77777777" w:rsidR="00E11783" w:rsidRDefault="003E5B87">
      <w:proofErr w:type="spellStart"/>
      <w:r>
        <w:t>Quiles</w:t>
      </w:r>
      <w:proofErr w:type="spellEnd"/>
      <w:r>
        <w:t xml:space="preserve">, C. (2018),  </w:t>
      </w:r>
      <w:r>
        <w:rPr>
          <w:i/>
        </w:rPr>
        <w:t xml:space="preserve">Demographic research of Neolithic, Chalcolithic, and Bronze Age Europe, </w:t>
      </w:r>
      <w:r>
        <w:t xml:space="preserve">Available at: </w:t>
      </w:r>
      <w:hyperlink r:id="rId11">
        <w:r>
          <w:rPr>
            <w:color w:val="1155CC"/>
            <w:u w:val="single"/>
          </w:rPr>
          <w:t>https://indo-european.eu/2018/02/demographic-research-of-neolithic-chalcolithic-and-bronze-age-europe/</w:t>
        </w:r>
      </w:hyperlink>
      <w:r>
        <w:t xml:space="preserve"> Accessed: 4th April 2020</w:t>
      </w:r>
    </w:p>
    <w:p w14:paraId="00000035" w14:textId="77777777" w:rsidR="00E11783" w:rsidRDefault="003E5B87">
      <w:r>
        <w:t xml:space="preserve">McAdam, E., (2013), ‘The Figurines from the 1982–5 Seasons of Excavations at Ain Ghazal,’ </w:t>
      </w:r>
      <w:r>
        <w:rPr>
          <w:i/>
        </w:rPr>
        <w:t xml:space="preserve">Levant, </w:t>
      </w:r>
      <w:r>
        <w:t>29(1), pp. 115-145, DOI: 10.1179/lev.1997.29.1.115</w:t>
      </w:r>
    </w:p>
    <w:p w14:paraId="00000036" w14:textId="77777777" w:rsidR="00E11783" w:rsidRDefault="003E5B87">
      <w:r>
        <w:t xml:space="preserve">Bar-Yosef, O., (1986). ‘The Walls of Jericho: An Alternative Interpretation,’ </w:t>
      </w:r>
      <w:r>
        <w:rPr>
          <w:i/>
        </w:rPr>
        <w:t>Current Anthropology,</w:t>
      </w:r>
      <w:r>
        <w:t xml:space="preserve"> 27(2), </w:t>
      </w:r>
      <w:r>
        <w:t>pp.157 - 162, DOI: 10.1086/203413</w:t>
      </w:r>
    </w:p>
    <w:p w14:paraId="00000037" w14:textId="77777777" w:rsidR="00E11783" w:rsidRDefault="003E5B87">
      <w:proofErr w:type="spellStart"/>
      <w:r>
        <w:t>Muscato</w:t>
      </w:r>
      <w:proofErr w:type="spellEnd"/>
      <w:r>
        <w:t xml:space="preserve">, C., (n.d.), </w:t>
      </w:r>
      <w:r>
        <w:rPr>
          <w:i/>
        </w:rPr>
        <w:t>Jericho: History, Location &amp; People,</w:t>
      </w:r>
      <w:r>
        <w:t xml:space="preserve"> Available at: </w:t>
      </w:r>
      <w:hyperlink r:id="rId12">
        <w:r>
          <w:rPr>
            <w:color w:val="1155CC"/>
            <w:u w:val="single"/>
          </w:rPr>
          <w:t>https://study.com/academy/lesson/jericho-history-location-peo</w:t>
        </w:r>
        <w:r>
          <w:rPr>
            <w:color w:val="1155CC"/>
            <w:u w:val="single"/>
          </w:rPr>
          <w:t>ple.html</w:t>
        </w:r>
      </w:hyperlink>
      <w:r>
        <w:rPr>
          <w:b/>
        </w:rPr>
        <w:t xml:space="preserve"> </w:t>
      </w:r>
      <w:r>
        <w:t>Accessed on: 22th March 2020</w:t>
      </w:r>
    </w:p>
    <w:p w14:paraId="00000038" w14:textId="77777777" w:rsidR="00E11783" w:rsidRDefault="003E5B87">
      <w:r>
        <w:t xml:space="preserve">Ramos, A., (2016), </w:t>
      </w:r>
      <w:r>
        <w:rPr>
          <w:i/>
        </w:rPr>
        <w:t xml:space="preserve">Early Jericho, </w:t>
      </w:r>
      <w:r>
        <w:t xml:space="preserve">Available at: </w:t>
      </w:r>
      <w:hyperlink r:id="rId13">
        <w:r>
          <w:rPr>
            <w:color w:val="1155CC"/>
            <w:u w:val="single"/>
          </w:rPr>
          <w:t>https://www.ancient.eu/article/951/early-jericho/</w:t>
        </w:r>
      </w:hyperlink>
      <w:r>
        <w:t xml:space="preserve"> Accessed on: 22th March 2020</w:t>
      </w:r>
    </w:p>
    <w:p w14:paraId="00000039" w14:textId="77777777" w:rsidR="00E11783" w:rsidRDefault="003E5B87">
      <w:proofErr w:type="spellStart"/>
      <w:r>
        <w:t>Kuijt</w:t>
      </w:r>
      <w:proofErr w:type="spellEnd"/>
      <w:r>
        <w:t xml:space="preserve">, I., (2012), ‘Jericho’, </w:t>
      </w:r>
      <w:r>
        <w:rPr>
          <w:i/>
        </w:rPr>
        <w:t>The Oxford Companion To Archaeology</w:t>
      </w:r>
      <w:proofErr w:type="gramStart"/>
      <w:r>
        <w:rPr>
          <w:i/>
        </w:rPr>
        <w:t>. :</w:t>
      </w:r>
      <w:proofErr w:type="gramEnd"/>
      <w:r>
        <w:rPr>
          <w:i/>
        </w:rPr>
        <w:t xml:space="preserve"> Oxford University Press. </w:t>
      </w:r>
      <w:r>
        <w:t xml:space="preserve">Available at: </w:t>
      </w:r>
      <w:hyperlink r:id="rId14">
        <w:r>
          <w:rPr>
            <w:color w:val="1155CC"/>
            <w:u w:val="single"/>
          </w:rPr>
          <w:t>https://www-oxfordreference-com.ezproxy.uwtsd.ac.uk/view/10.1093/acref/9780199735785.001.0001/acref-9780199735785-e-0221</w:t>
        </w:r>
      </w:hyperlink>
      <w:r>
        <w:t>. Accessed on: 22nd March 2020</w:t>
      </w:r>
    </w:p>
    <w:p w14:paraId="0000003A" w14:textId="77777777" w:rsidR="00E11783" w:rsidRDefault="00E11783"/>
    <w:p w14:paraId="0000003B" w14:textId="77777777" w:rsidR="00E11783" w:rsidRDefault="00E11783"/>
    <w:p w14:paraId="0000003C" w14:textId="77777777" w:rsidR="00E11783" w:rsidRDefault="00E11783"/>
    <w:p w14:paraId="0000003D" w14:textId="77777777" w:rsidR="00E11783" w:rsidRDefault="00E11783">
      <w:pPr>
        <w:rPr>
          <w:i/>
        </w:rPr>
      </w:pPr>
    </w:p>
    <w:p w14:paraId="0000003E" w14:textId="77777777" w:rsidR="00E11783" w:rsidRDefault="00E11783">
      <w:pPr>
        <w:rPr>
          <w:i/>
        </w:rPr>
      </w:pPr>
    </w:p>
    <w:p w14:paraId="0000003F" w14:textId="77777777" w:rsidR="00E11783" w:rsidRDefault="00E11783"/>
    <w:sectPr w:rsidR="00E11783">
      <w:pgSz w:w="11906" w:h="16838"/>
      <w:pgMar w:top="1417" w:right="1440" w:bottom="1417"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858B5"/>
    <w:multiLevelType w:val="multilevel"/>
    <w:tmpl w:val="E6A4DC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783"/>
    <w:rsid w:val="003E5B87"/>
    <w:rsid w:val="00C41F3A"/>
    <w:rsid w:val="00E11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67064"/>
  <w15:docId w15:val="{EB5AA902-BF29-4BE0-A83F-5E82AAE8F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179/lev.2002.34.1.39" TargetMode="External"/><Relationship Id="rId13" Type="http://schemas.openxmlformats.org/officeDocument/2006/relationships/hyperlink" Target="https://www.ancient.eu/article/951/early-jericho/" TargetMode="External"/><Relationship Id="rId3" Type="http://schemas.openxmlformats.org/officeDocument/2006/relationships/settings" Target="settings.xml"/><Relationship Id="rId7" Type="http://schemas.openxmlformats.org/officeDocument/2006/relationships/hyperlink" Target="https://www.brooklynmuseum.org/opencollection/objects/3246" TargetMode="External"/><Relationship Id="rId12" Type="http://schemas.openxmlformats.org/officeDocument/2006/relationships/hyperlink" Target="https://study.com/academy/lesson/jericho-history-location-people.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metmuseum.org/toah/hd/trdm/hd_trdm.htm" TargetMode="External"/><Relationship Id="rId11" Type="http://schemas.openxmlformats.org/officeDocument/2006/relationships/hyperlink" Target="https://indo-european.eu/2018/02/demographic-research-of-neolithic-chalcolithic-and-bronze-age-europe/" TargetMode="External"/><Relationship Id="rId5" Type="http://schemas.openxmlformats.org/officeDocument/2006/relationships/hyperlink" Target="https://www.oxfordreference.com/view/10.1093/oi/authority.20110810104640972" TargetMode="External"/><Relationship Id="rId15" Type="http://schemas.openxmlformats.org/officeDocument/2006/relationships/fontTable" Target="fontTable.xml"/><Relationship Id="rId10" Type="http://schemas.openxmlformats.org/officeDocument/2006/relationships/hyperlink" Target="https://www.ancient.eu/mari/" TargetMode="External"/><Relationship Id="rId4" Type="http://schemas.openxmlformats.org/officeDocument/2006/relationships/webSettings" Target="webSettings.xml"/><Relationship Id="rId9" Type="http://schemas.openxmlformats.org/officeDocument/2006/relationships/hyperlink" Target="https://www.nytimes.com/2006/10/24/science/24tomb.html" TargetMode="External"/><Relationship Id="rId14" Type="http://schemas.openxmlformats.org/officeDocument/2006/relationships/hyperlink" Target="https://www-oxfordreference-com.ezproxy.uwtsd.ac.uk/view/10.1093/acref/9780199735785.001.0001/acref-9780199735785-e-02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2367</Words>
  <Characters>13493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Saskia Judd</dc:creator>
  <cp:lastModifiedBy>Saskia Judd (1900292)</cp:lastModifiedBy>
  <cp:revision>2</cp:revision>
  <dcterms:created xsi:type="dcterms:W3CDTF">2020-04-15T15:56:00Z</dcterms:created>
  <dcterms:modified xsi:type="dcterms:W3CDTF">2020-04-15T15:56:00Z</dcterms:modified>
</cp:coreProperties>
</file>