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5007739"/>
        <w:docPartObj>
          <w:docPartGallery w:val="Cover Pages"/>
          <w:docPartUnique/>
        </w:docPartObj>
      </w:sdtPr>
      <w:sdtEndPr>
        <w:rPr>
          <w:noProof/>
          <w:sz w:val="24"/>
          <w:szCs w:val="24"/>
          <w:lang w:val="en-US"/>
        </w:rPr>
      </w:sdtEndPr>
      <w:sdtContent>
        <w:p w14:paraId="239AF52C" w14:textId="6F37F43D" w:rsidR="0077432C" w:rsidRDefault="0077432C"/>
        <w:p w14:paraId="344725CB" w14:textId="50A1C630" w:rsidR="006F74CE" w:rsidRPr="00C04E50" w:rsidRDefault="0003286E">
          <w:pPr>
            <w:rPr>
              <w:noProof/>
              <w:sz w:val="24"/>
              <w:szCs w:val="24"/>
              <w:lang w:val="en-US"/>
            </w:rPr>
          </w:pPr>
          <w:r>
            <w:rPr>
              <w:noProof/>
            </w:rPr>
            <mc:AlternateContent>
              <mc:Choice Requires="wps">
                <w:drawing>
                  <wp:anchor distT="0" distB="0" distL="114300" distR="114300" simplePos="0" relativeHeight="251664384" behindDoc="0" locked="0" layoutInCell="1" allowOverlap="1" wp14:anchorId="517586F8" wp14:editId="33885720">
                    <wp:simplePos x="0" y="0"/>
                    <wp:positionH relativeFrom="margin">
                      <wp:posOffset>-6330</wp:posOffset>
                    </wp:positionH>
                    <wp:positionV relativeFrom="page">
                      <wp:posOffset>1882181</wp:posOffset>
                    </wp:positionV>
                    <wp:extent cx="6591935" cy="525780"/>
                    <wp:effectExtent l="0" t="0" r="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6591935"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1109DC" w14:textId="7EA30C5F" w:rsidR="0077432C" w:rsidRDefault="00000000" w:rsidP="005751E3">
                                <w:pPr>
                                  <w:pStyle w:val="NoSpacing"/>
                                  <w:rPr>
                                    <w:caps/>
                                    <w:color w:val="323E4F" w:themeColor="text2" w:themeShade="BF"/>
                                    <w:sz w:val="52"/>
                                    <w:szCs w:val="52"/>
                                  </w:rPr>
                                </w:pPr>
                                <w:sdt>
                                  <w:sdtPr>
                                    <w:rPr>
                                      <w:rFonts w:eastAsiaTheme="minorHAnsi"/>
                                      <w:noProof/>
                                      <w:sz w:val="40"/>
                                      <w:szCs w:val="40"/>
                                      <w:lang w:val="en-US" w:eastAsia="en-US"/>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8656A">
                                      <w:rPr>
                                        <w:rFonts w:eastAsiaTheme="minorHAnsi"/>
                                        <w:noProof/>
                                        <w:sz w:val="40"/>
                                        <w:szCs w:val="40"/>
                                        <w:lang w:val="en-US" w:eastAsia="en-US"/>
                                      </w:rPr>
                                      <w:t>Module: Introduction to Health and Social Care (LCHS4003</w:t>
                                    </w:r>
                                    <w:r w:rsidR="00F8656A">
                                      <w:rPr>
                                        <w:rFonts w:eastAsiaTheme="minorHAnsi"/>
                                        <w:noProof/>
                                        <w:sz w:val="40"/>
                                        <w:szCs w:val="40"/>
                                        <w:lang w:val="en-US" w:eastAsia="en-US"/>
                                      </w:rPr>
                                      <w:br/>
                                      <w:t xml:space="preserve"> </w:t>
                                    </w:r>
                                    <w:r w:rsidR="00F8656A">
                                      <w:rPr>
                                        <w:rFonts w:eastAsiaTheme="minorHAnsi"/>
                                        <w:noProof/>
                                        <w:sz w:val="40"/>
                                        <w:szCs w:val="40"/>
                                        <w:lang w:val="en-US" w:eastAsia="en-US"/>
                                      </w:rPr>
                                      <w:br/>
                                      <w:t>Student Name: Elizabeth Nuworkpor</w:t>
                                    </w:r>
                                    <w:r w:rsidR="00F8656A">
                                      <w:rPr>
                                        <w:rFonts w:eastAsiaTheme="minorHAnsi"/>
                                        <w:noProof/>
                                        <w:sz w:val="40"/>
                                        <w:szCs w:val="40"/>
                                        <w:lang w:val="en-US" w:eastAsia="en-US"/>
                                      </w:rPr>
                                      <w:br/>
                                      <w:t>Student ID: 2508597</w:t>
                                    </w:r>
                                    <w:r w:rsidR="00F8656A">
                                      <w:rPr>
                                        <w:rFonts w:eastAsiaTheme="minorHAnsi"/>
                                        <w:noProof/>
                                        <w:sz w:val="40"/>
                                        <w:szCs w:val="40"/>
                                        <w:lang w:val="en-US" w:eastAsia="en-US"/>
                                      </w:rPr>
                                      <w:br/>
                                      <w:t>Lecturer: Daniel Haruna</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Table of Contents</w:t>
                                    </w:r>
                                    <w:r w:rsidR="00F8656A">
                                      <w:rPr>
                                        <w:rFonts w:eastAsiaTheme="minorHAnsi"/>
                                        <w:noProof/>
                                        <w:sz w:val="40"/>
                                        <w:szCs w:val="40"/>
                                        <w:lang w:val="en-US" w:eastAsia="en-US"/>
                                      </w:rPr>
                                      <w:br/>
                                      <w:t>Introduction</w:t>
                                    </w:r>
                                    <w:r w:rsidR="00F8656A">
                                      <w:rPr>
                                        <w:rFonts w:eastAsiaTheme="minorHAnsi"/>
                                        <w:noProof/>
                                        <w:sz w:val="40"/>
                                        <w:szCs w:val="40"/>
                                        <w:lang w:val="en-US" w:eastAsia="en-US"/>
                                      </w:rPr>
                                      <w:tab/>
                                      <w:t>3</w:t>
                                    </w:r>
                                    <w:r w:rsidR="00F8656A">
                                      <w:rPr>
                                        <w:rFonts w:eastAsiaTheme="minorHAnsi"/>
                                        <w:noProof/>
                                        <w:sz w:val="40"/>
                                        <w:szCs w:val="40"/>
                                        <w:lang w:val="en-US" w:eastAsia="en-US"/>
                                      </w:rPr>
                                      <w:br/>
                                      <w:t>1. Communication and Cultural Responsiveness in Post-Stroke</w:t>
                                    </w:r>
                                    <w:r w:rsidR="00F8656A">
                                      <w:rPr>
                                        <w:rFonts w:eastAsiaTheme="minorHAnsi"/>
                                        <w:noProof/>
                                        <w:sz w:val="40"/>
                                        <w:szCs w:val="40"/>
                                        <w:lang w:val="en-US" w:eastAsia="en-US"/>
                                      </w:rPr>
                                      <w:tab/>
                                      <w:t>3</w:t>
                                    </w:r>
                                    <w:r w:rsidR="00F8656A">
                                      <w:rPr>
                                        <w:rFonts w:eastAsiaTheme="minorHAnsi"/>
                                        <w:noProof/>
                                        <w:sz w:val="40"/>
                                        <w:szCs w:val="40"/>
                                        <w:lang w:val="en-US" w:eastAsia="en-US"/>
                                      </w:rPr>
                                      <w:br/>
                                      <w:t>2. Administrative Skills and Record-Keeping in Professional Practice</w:t>
                                    </w:r>
                                    <w:r w:rsidR="00F8656A">
                                      <w:rPr>
                                        <w:rFonts w:eastAsiaTheme="minorHAnsi"/>
                                        <w:noProof/>
                                        <w:sz w:val="40"/>
                                        <w:szCs w:val="40"/>
                                        <w:lang w:val="en-US" w:eastAsia="en-US"/>
                                      </w:rPr>
                                      <w:tab/>
                                      <w:t>5</w:t>
                                    </w:r>
                                    <w:r w:rsidR="00F8656A">
                                      <w:rPr>
                                        <w:rFonts w:eastAsiaTheme="minorHAnsi"/>
                                        <w:noProof/>
                                        <w:sz w:val="40"/>
                                        <w:szCs w:val="40"/>
                                        <w:lang w:val="en-US" w:eastAsia="en-US"/>
                                      </w:rPr>
                                      <w:br/>
                                      <w:t>3. Collaborative Working in Multidisciplinary Health and Social Care</w:t>
                                    </w:r>
                                    <w:r w:rsidR="00F8656A">
                                      <w:rPr>
                                        <w:rFonts w:eastAsiaTheme="minorHAnsi"/>
                                        <w:noProof/>
                                        <w:sz w:val="40"/>
                                        <w:szCs w:val="40"/>
                                        <w:lang w:val="en-US" w:eastAsia="en-US"/>
                                      </w:rPr>
                                      <w:tab/>
                                      <w:t>6</w:t>
                                    </w:r>
                                    <w:r w:rsidR="00F8656A">
                                      <w:rPr>
                                        <w:rFonts w:eastAsiaTheme="minorHAnsi"/>
                                        <w:noProof/>
                                        <w:sz w:val="40"/>
                                        <w:szCs w:val="40"/>
                                        <w:lang w:val="en-US" w:eastAsia="en-US"/>
                                      </w:rPr>
                                      <w:br/>
                                      <w:t>Conclusion</w:t>
                                    </w:r>
                                    <w:r w:rsidR="00F8656A">
                                      <w:rPr>
                                        <w:rFonts w:eastAsiaTheme="minorHAnsi"/>
                                        <w:noProof/>
                                        <w:sz w:val="40"/>
                                        <w:szCs w:val="40"/>
                                        <w:lang w:val="en-US" w:eastAsia="en-US"/>
                                      </w:rPr>
                                      <w:tab/>
                                      <w:t>8</w:t>
                                    </w:r>
                                    <w:r w:rsidR="00F8656A">
                                      <w:rPr>
                                        <w:rFonts w:eastAsiaTheme="minorHAnsi"/>
                                        <w:noProof/>
                                        <w:sz w:val="40"/>
                                        <w:szCs w:val="40"/>
                                        <w:lang w:val="en-US" w:eastAsia="en-US"/>
                                      </w:rPr>
                                      <w:br/>
                                      <w:t>Reference List</w:t>
                                    </w:r>
                                    <w:r w:rsidR="00F8656A">
                                      <w:rPr>
                                        <w:rFonts w:eastAsiaTheme="minorHAnsi"/>
                                        <w:noProof/>
                                        <w:sz w:val="40"/>
                                        <w:szCs w:val="40"/>
                                        <w:lang w:val="en-US" w:eastAsia="en-US"/>
                                      </w:rPr>
                                      <w:tab/>
                                      <w:t>9</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â€ƒ</w:t>
                                    </w:r>
                                    <w:r w:rsidR="00F8656A">
                                      <w:rPr>
                                        <w:rFonts w:eastAsiaTheme="minorHAnsi"/>
                                        <w:noProof/>
                                        <w:sz w:val="40"/>
                                        <w:szCs w:val="40"/>
                                        <w:lang w:val="en-US" w:eastAsia="en-US"/>
                                      </w:rPr>
                                      <w:br/>
                                      <w:t>Introduction</w:t>
                                    </w:r>
                                    <w:r w:rsidR="00F8656A">
                                      <w:rPr>
                                        <w:rFonts w:eastAsiaTheme="minorHAnsi"/>
                                        <w:noProof/>
                                        <w:sz w:val="40"/>
                                        <w:szCs w:val="40"/>
                                        <w:lang w:val="en-US" w:eastAsia="en-US"/>
                                      </w:rPr>
                                      <w:br/>
                                      <w:t xml:space="preserve">The safety and wellbeing of service users within the British health and social care framework are fundamentally dependent on cohesive professional practice, clear communication, and robust administrative oversight. Care delivery in the UK is governed by specific legislation and professional codes of practice designed to protect vulnerable individuals with complex needs. The significance of patient-centered interaction, administrative diligence, and inter-professional collaboration is vividly demonstrated through the case of Mr. Ahmed, a 68-year-old stroke survivor. </w:t>
                                    </w:r>
                                    <w:r w:rsidR="00F8656A">
                                      <w:rPr>
                                        <w:rFonts w:eastAsiaTheme="minorHAnsi"/>
                                        <w:noProof/>
                                        <w:sz w:val="40"/>
                                        <w:szCs w:val="40"/>
                                        <w:lang w:val="en-US" w:eastAsia="en-US"/>
                                      </w:rPr>
                                      <w:br/>
                                      <w:t>Following his hospital discharge, Mr. Ahmed requires domiciliary care to manage physical and cognitive impairments that have left him increasingly reliant on professional support. This report critically evaluates the communication strategies, administrative frameworks, and collaborative approaches required to support Mr. Ahmedâ€™s recovery. By examining the intersection of legal duties and clinical practice, this report identifies how integrated care can ensure Mr. Ahmed's ongoing safety and dignity within a community setting.</w:t>
                                    </w:r>
                                    <w:r w:rsidR="00F8656A">
                                      <w:rPr>
                                        <w:rFonts w:eastAsiaTheme="minorHAnsi"/>
                                        <w:noProof/>
                                        <w:sz w:val="40"/>
                                        <w:szCs w:val="40"/>
                                        <w:lang w:val="en-US" w:eastAsia="en-US"/>
                                      </w:rPr>
                                      <w:br/>
                                      <w:t xml:space="preserve">1. Communication and Cultural Responsiveness in Post-Stroke </w:t>
                                    </w:r>
                                    <w:r w:rsidR="00F8656A">
                                      <w:rPr>
                                        <w:rFonts w:eastAsiaTheme="minorHAnsi"/>
                                        <w:noProof/>
                                        <w:sz w:val="40"/>
                                        <w:szCs w:val="40"/>
                                        <w:lang w:val="en-US" w:eastAsia="en-US"/>
                                      </w:rPr>
                                      <w:br/>
                                      <w:t>Effective communication is the cornerstone of patient empowerment, enabling individuals to understand their clinical pathway and participate meaningfully in their own care. For Mr. Ahmed, this is complicated by the dual challenges of a post-stroke communication deficit and a significant language barrier, as his primary language is Bengali. Healthcare practitioners must therefore adopt inclusive, macro-level approaches that prioritize the patientâ€™s cultural and linguistic c</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1B44A8A" w14:textId="77777777" w:rsidR="0077432C" w:rsidRDefault="0077432C">
                                    <w:pPr>
                                      <w:pStyle w:val="NoSpacing"/>
                                      <w:jc w:val="right"/>
                                      <w:rPr>
                                        <w:smallCaps/>
                                        <w:color w:val="44546A" w:themeColor="text2"/>
                                        <w:sz w:val="36"/>
                                        <w:szCs w:val="36"/>
                                      </w:rPr>
                                    </w:pPr>
                                    <w:r>
                                      <w:rPr>
                                        <w:smallCaps/>
                                        <w:color w:val="44546A" w:themeColor="text2"/>
                                        <w:sz w:val="36"/>
                                        <w:szCs w:val="36"/>
                                      </w:rPr>
                                      <w:t>[Document subtitle]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517586F8" id="_x0000_t202" coordsize="21600,21600" o:spt="202" path="m,l,21600r21600,l21600,xe">
                    <v:stroke joinstyle="miter"/>
                    <v:path gradientshapeok="t" o:connecttype="rect"/>
                  </v:shapetype>
                  <v:shape id="Text Box 113" o:spid="_x0000_s1026" type="#_x0000_t202" style="position:absolute;margin-left:-.5pt;margin-top:148.2pt;width:519.05pt;height:41.4pt;z-index:251664384;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" filled="f" stroked="f" strokeweight=".5pt">
                    <v:textbox inset="0,0,0,0">
                      <w:txbxContent>
                        <w:p w14:paraId="7D1109DC" w14:textId="7EA30C5F" w:rsidR="0077432C" w:rsidRDefault="00000000" w:rsidP="005751E3">
                          <w:pPr>
                            <w:pStyle w:val="NoSpacing"/>
                            <w:rPr>
                              <w:caps/>
                              <w:color w:val="323E4F" w:themeColor="text2" w:themeShade="BF"/>
                              <w:sz w:val="52"/>
                              <w:szCs w:val="52"/>
                            </w:rPr>
                          </w:pPr>
                          <w:sdt>
                            <w:sdtPr>
                              <w:rPr>
                                <w:rFonts w:eastAsiaTheme="minorHAnsi"/>
                                <w:noProof/>
                                <w:sz w:val="40"/>
                                <w:szCs w:val="40"/>
                                <w:lang w:val="en-US" w:eastAsia="en-US"/>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8656A">
                                <w:rPr>
                                  <w:rFonts w:eastAsiaTheme="minorHAnsi"/>
                                  <w:noProof/>
                                  <w:sz w:val="40"/>
                                  <w:szCs w:val="40"/>
                                  <w:lang w:val="en-US" w:eastAsia="en-US"/>
                                </w:rPr>
                                <w:t>Module: Introduction to Health and Social Care (LCHS4003</w:t>
                              </w:r>
                              <w:r w:rsidR="00F8656A">
                                <w:rPr>
                                  <w:rFonts w:eastAsiaTheme="minorHAnsi"/>
                                  <w:noProof/>
                                  <w:sz w:val="40"/>
                                  <w:szCs w:val="40"/>
                                  <w:lang w:val="en-US" w:eastAsia="en-US"/>
                                </w:rPr>
                                <w:br/>
                                <w:t xml:space="preserve"> </w:t>
                              </w:r>
                              <w:r w:rsidR="00F8656A">
                                <w:rPr>
                                  <w:rFonts w:eastAsiaTheme="minorHAnsi"/>
                                  <w:noProof/>
                                  <w:sz w:val="40"/>
                                  <w:szCs w:val="40"/>
                                  <w:lang w:val="en-US" w:eastAsia="en-US"/>
                                </w:rPr>
                                <w:br/>
                                <w:t>Student Name: Elizabeth Nuworkpor</w:t>
                              </w:r>
                              <w:r w:rsidR="00F8656A">
                                <w:rPr>
                                  <w:rFonts w:eastAsiaTheme="minorHAnsi"/>
                                  <w:noProof/>
                                  <w:sz w:val="40"/>
                                  <w:szCs w:val="40"/>
                                  <w:lang w:val="en-US" w:eastAsia="en-US"/>
                                </w:rPr>
                                <w:br/>
                                <w:t>Student ID: 2508597</w:t>
                              </w:r>
                              <w:r w:rsidR="00F8656A">
                                <w:rPr>
                                  <w:rFonts w:eastAsiaTheme="minorHAnsi"/>
                                  <w:noProof/>
                                  <w:sz w:val="40"/>
                                  <w:szCs w:val="40"/>
                                  <w:lang w:val="en-US" w:eastAsia="en-US"/>
                                </w:rPr>
                                <w:br/>
                                <w:t>Lecturer: Daniel Haruna</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Table of Contents</w:t>
                              </w:r>
                              <w:r w:rsidR="00F8656A">
                                <w:rPr>
                                  <w:rFonts w:eastAsiaTheme="minorHAnsi"/>
                                  <w:noProof/>
                                  <w:sz w:val="40"/>
                                  <w:szCs w:val="40"/>
                                  <w:lang w:val="en-US" w:eastAsia="en-US"/>
                                </w:rPr>
                                <w:br/>
                                <w:t>Introduction</w:t>
                              </w:r>
                              <w:r w:rsidR="00F8656A">
                                <w:rPr>
                                  <w:rFonts w:eastAsiaTheme="minorHAnsi"/>
                                  <w:noProof/>
                                  <w:sz w:val="40"/>
                                  <w:szCs w:val="40"/>
                                  <w:lang w:val="en-US" w:eastAsia="en-US"/>
                                </w:rPr>
                                <w:tab/>
                                <w:t>3</w:t>
                              </w:r>
                              <w:r w:rsidR="00F8656A">
                                <w:rPr>
                                  <w:rFonts w:eastAsiaTheme="minorHAnsi"/>
                                  <w:noProof/>
                                  <w:sz w:val="40"/>
                                  <w:szCs w:val="40"/>
                                  <w:lang w:val="en-US" w:eastAsia="en-US"/>
                                </w:rPr>
                                <w:br/>
                                <w:t>1. Communication and Cultural Responsiveness in Post-Stroke</w:t>
                              </w:r>
                              <w:r w:rsidR="00F8656A">
                                <w:rPr>
                                  <w:rFonts w:eastAsiaTheme="minorHAnsi"/>
                                  <w:noProof/>
                                  <w:sz w:val="40"/>
                                  <w:szCs w:val="40"/>
                                  <w:lang w:val="en-US" w:eastAsia="en-US"/>
                                </w:rPr>
                                <w:tab/>
                                <w:t>3</w:t>
                              </w:r>
                              <w:r w:rsidR="00F8656A">
                                <w:rPr>
                                  <w:rFonts w:eastAsiaTheme="minorHAnsi"/>
                                  <w:noProof/>
                                  <w:sz w:val="40"/>
                                  <w:szCs w:val="40"/>
                                  <w:lang w:val="en-US" w:eastAsia="en-US"/>
                                </w:rPr>
                                <w:br/>
                                <w:t>2. Administrative Skills and Record-Keeping in Professional Practice</w:t>
                              </w:r>
                              <w:r w:rsidR="00F8656A">
                                <w:rPr>
                                  <w:rFonts w:eastAsiaTheme="minorHAnsi"/>
                                  <w:noProof/>
                                  <w:sz w:val="40"/>
                                  <w:szCs w:val="40"/>
                                  <w:lang w:val="en-US" w:eastAsia="en-US"/>
                                </w:rPr>
                                <w:tab/>
                                <w:t>5</w:t>
                              </w:r>
                              <w:r w:rsidR="00F8656A">
                                <w:rPr>
                                  <w:rFonts w:eastAsiaTheme="minorHAnsi"/>
                                  <w:noProof/>
                                  <w:sz w:val="40"/>
                                  <w:szCs w:val="40"/>
                                  <w:lang w:val="en-US" w:eastAsia="en-US"/>
                                </w:rPr>
                                <w:br/>
                                <w:t>3. Collaborative Working in Multidisciplinary Health and Social Care</w:t>
                              </w:r>
                              <w:r w:rsidR="00F8656A">
                                <w:rPr>
                                  <w:rFonts w:eastAsiaTheme="minorHAnsi"/>
                                  <w:noProof/>
                                  <w:sz w:val="40"/>
                                  <w:szCs w:val="40"/>
                                  <w:lang w:val="en-US" w:eastAsia="en-US"/>
                                </w:rPr>
                                <w:tab/>
                                <w:t>6</w:t>
                              </w:r>
                              <w:r w:rsidR="00F8656A">
                                <w:rPr>
                                  <w:rFonts w:eastAsiaTheme="minorHAnsi"/>
                                  <w:noProof/>
                                  <w:sz w:val="40"/>
                                  <w:szCs w:val="40"/>
                                  <w:lang w:val="en-US" w:eastAsia="en-US"/>
                                </w:rPr>
                                <w:br/>
                                <w:t>Conclusion</w:t>
                              </w:r>
                              <w:r w:rsidR="00F8656A">
                                <w:rPr>
                                  <w:rFonts w:eastAsiaTheme="minorHAnsi"/>
                                  <w:noProof/>
                                  <w:sz w:val="40"/>
                                  <w:szCs w:val="40"/>
                                  <w:lang w:val="en-US" w:eastAsia="en-US"/>
                                </w:rPr>
                                <w:tab/>
                                <w:t>8</w:t>
                              </w:r>
                              <w:r w:rsidR="00F8656A">
                                <w:rPr>
                                  <w:rFonts w:eastAsiaTheme="minorHAnsi"/>
                                  <w:noProof/>
                                  <w:sz w:val="40"/>
                                  <w:szCs w:val="40"/>
                                  <w:lang w:val="en-US" w:eastAsia="en-US"/>
                                </w:rPr>
                                <w:br/>
                                <w:t>Reference List</w:t>
                              </w:r>
                              <w:r w:rsidR="00F8656A">
                                <w:rPr>
                                  <w:rFonts w:eastAsiaTheme="minorHAnsi"/>
                                  <w:noProof/>
                                  <w:sz w:val="40"/>
                                  <w:szCs w:val="40"/>
                                  <w:lang w:val="en-US" w:eastAsia="en-US"/>
                                </w:rPr>
                                <w:tab/>
                                <w:t>9</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â€ƒ</w:t>
                              </w:r>
                              <w:r w:rsidR="00F8656A">
                                <w:rPr>
                                  <w:rFonts w:eastAsiaTheme="minorHAnsi"/>
                                  <w:noProof/>
                                  <w:sz w:val="40"/>
                                  <w:szCs w:val="40"/>
                                  <w:lang w:val="en-US" w:eastAsia="en-US"/>
                                </w:rPr>
                                <w:br/>
                                <w:t>Introduction</w:t>
                              </w:r>
                              <w:r w:rsidR="00F8656A">
                                <w:rPr>
                                  <w:rFonts w:eastAsiaTheme="minorHAnsi"/>
                                  <w:noProof/>
                                  <w:sz w:val="40"/>
                                  <w:szCs w:val="40"/>
                                  <w:lang w:val="en-US" w:eastAsia="en-US"/>
                                </w:rPr>
                                <w:br/>
                                <w:t xml:space="preserve">The safety and wellbeing of service users within the British health and social care framework are fundamentally dependent on cohesive professional practice, clear communication, and robust administrative oversight. Care delivery in the UK is governed by specific legislation and professional codes of practice designed to protect vulnerable individuals with complex needs. The significance of patient-centered interaction, administrative diligence, and inter-professional collaboration is vividly demonstrated through the case of Mr. Ahmed, a 68-year-old stroke survivor. </w:t>
                              </w:r>
                              <w:r w:rsidR="00F8656A">
                                <w:rPr>
                                  <w:rFonts w:eastAsiaTheme="minorHAnsi"/>
                                  <w:noProof/>
                                  <w:sz w:val="40"/>
                                  <w:szCs w:val="40"/>
                                  <w:lang w:val="en-US" w:eastAsia="en-US"/>
                                </w:rPr>
                                <w:br/>
                                <w:t>Following his hospital discharge, Mr. Ahmed requires domiciliary care to manage physical and cognitive impairments that have left him increasingly reliant on professional support. This report critically evaluates the communication strategies, administrative frameworks, and collaborative approaches required to support Mr. Ahmedâ€™s recovery. By examining the intersection of legal duties and clinical practice, this report identifies how integrated care can ensure Mr. Ahmed's ongoing safety and dignity within a community setting.</w:t>
                              </w:r>
                              <w:r w:rsidR="00F8656A">
                                <w:rPr>
                                  <w:rFonts w:eastAsiaTheme="minorHAnsi"/>
                                  <w:noProof/>
                                  <w:sz w:val="40"/>
                                  <w:szCs w:val="40"/>
                                  <w:lang w:val="en-US" w:eastAsia="en-US"/>
                                </w:rPr>
                                <w:br/>
                                <w:t xml:space="preserve">1. Communication and Cultural Responsiveness in Post-Stroke </w:t>
                              </w:r>
                              <w:r w:rsidR="00F8656A">
                                <w:rPr>
                                  <w:rFonts w:eastAsiaTheme="minorHAnsi"/>
                                  <w:noProof/>
                                  <w:sz w:val="40"/>
                                  <w:szCs w:val="40"/>
                                  <w:lang w:val="en-US" w:eastAsia="en-US"/>
                                </w:rPr>
                                <w:br/>
                                <w:t>Effective communication is the cornerstone of patient empowerment, enabling individuals to understand their clinical pathway and participate meaningfully in their own care. For Mr. Ahmed, this is complicated by the dual challenges of a post-stroke communication deficit and a significant language barrier, as his primary language is Bengali. Healthcare practitioners must therefore adopt inclusive, macro-level approaches that prioritize the patientâ€™s cultural and linguistic c</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1B44A8A" w14:textId="77777777" w:rsidR="0077432C" w:rsidRDefault="0077432C">
                              <w:pPr>
                                <w:pStyle w:val="NoSpacing"/>
                                <w:jc w:val="right"/>
                                <w:rPr>
                                  <w:smallCaps/>
                                  <w:color w:val="44546A" w:themeColor="text2"/>
                                  <w:sz w:val="36"/>
                                  <w:szCs w:val="36"/>
                                </w:rPr>
                              </w:pPr>
                              <w:r>
                                <w:rPr>
                                  <w:smallCaps/>
                                  <w:color w:val="44546A" w:themeColor="text2"/>
                                  <w:sz w:val="36"/>
                                  <w:szCs w:val="36"/>
                                </w:rPr>
                                <w:t>[Document subtitle]</w:t>
                              </w:r>
                            </w:p>
                          </w:sdtContent>
                        </w:sdt>
                      </w:txbxContent>
                    </v:textbox>
                    <w10:wrap type="square" anchorx="margin" anchory="page"/>
                  </v:shape>
                </w:pict>
              </mc:Fallback>
            </mc:AlternateContent>
          </w:r>
          <w:r w:rsidR="0077432C">
            <w:rPr>
              <w:noProof/>
            </w:rPr>
            <mc:AlternateContent>
              <mc:Choice Requires="wps">
                <w:drawing>
                  <wp:anchor distT="0" distB="0" distL="114300" distR="114300" simplePos="0" relativeHeight="251666432" behindDoc="0" locked="0" layoutInCell="1" allowOverlap="1" wp14:anchorId="76214D47" wp14:editId="769E829E">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01T00:00:00Z">
                                    <w:dateFormat w:val="dd MMMM yyyy"/>
                                    <w:lid w:val="en-GB"/>
                                    <w:storeMappedDataAs w:val="dateTime"/>
                                    <w:calendar w:val="gregorian"/>
                                  </w:date>
                                </w:sdtPr>
                                <w:sdtContent>
                                  <w:p w14:paraId="6D48E0DF" w14:textId="727A7755" w:rsidR="0077432C" w:rsidRDefault="00CB450A">
                                    <w:pPr>
                                      <w:pStyle w:val="NoSpacing"/>
                                      <w:jc w:val="right"/>
                                      <w:rPr>
                                        <w:caps/>
                                        <w:color w:val="323E4F" w:themeColor="text2" w:themeShade="BF"/>
                                        <w:sz w:val="40"/>
                                        <w:szCs w:val="40"/>
                                      </w:rPr>
                                    </w:pPr>
                                    <w:r>
                                      <w:rPr>
                                        <w:caps/>
                                        <w:color w:val="323E4F" w:themeColor="text2" w:themeShade="BF"/>
                                        <w:sz w:val="40"/>
                                        <w:szCs w:val="40"/>
                                      </w:rPr>
                                      <w:t>01 March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6214D47" id="Text Box 111" o:spid="_x0000_s1027" type="#_x0000_t202" style="position:absolute;margin-left:0;margin-top:0;width:288.25pt;height:287.5pt;z-index:25166643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01T00:00:00Z">
                              <w:dateFormat w:val="dd MMMM yyyy"/>
                              <w:lid w:val="en-GB"/>
                              <w:storeMappedDataAs w:val="dateTime"/>
                              <w:calendar w:val="gregorian"/>
                            </w:date>
                          </w:sdtPr>
                          <w:sdtContent>
                            <w:p w14:paraId="6D48E0DF" w14:textId="727A7755" w:rsidR="0077432C" w:rsidRDefault="00CB450A">
                              <w:pPr>
                                <w:pStyle w:val="NoSpacing"/>
                                <w:jc w:val="right"/>
                                <w:rPr>
                                  <w:caps/>
                                  <w:color w:val="323E4F" w:themeColor="text2" w:themeShade="BF"/>
                                  <w:sz w:val="40"/>
                                  <w:szCs w:val="40"/>
                                </w:rPr>
                              </w:pPr>
                              <w:r>
                                <w:rPr>
                                  <w:caps/>
                                  <w:color w:val="323E4F" w:themeColor="text2" w:themeShade="BF"/>
                                  <w:sz w:val="40"/>
                                  <w:szCs w:val="40"/>
                                </w:rPr>
                                <w:t>01 March 2026</w:t>
                              </w:r>
                            </w:p>
                          </w:sdtContent>
                        </w:sdt>
                      </w:txbxContent>
                    </v:textbox>
                    <w10:wrap type="square" anchorx="page" anchory="page"/>
                  </v:shape>
                </w:pict>
              </mc:Fallback>
            </mc:AlternateContent>
          </w:r>
          <w:r w:rsidR="0077432C">
            <w:rPr>
              <w:noProof/>
            </w:rPr>
            <mc:AlternateContent>
              <mc:Choice Requires="wps">
                <w:drawing>
                  <wp:anchor distT="0" distB="0" distL="114300" distR="114300" simplePos="0" relativeHeight="251665408" behindDoc="0" locked="0" layoutInCell="1" allowOverlap="1" wp14:anchorId="3A05E1E8" wp14:editId="49220A14">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8E78C3" w14:textId="3D65DDCD" w:rsidR="0077432C" w:rsidRDefault="00F8656A">
                                    <w:pPr>
                                      <w:pStyle w:val="NoSpacing"/>
                                      <w:jc w:val="right"/>
                                      <w:rPr>
                                        <w:caps/>
                                        <w:color w:val="262626" w:themeColor="text1" w:themeTint="D9"/>
                                        <w:sz w:val="28"/>
                                        <w:szCs w:val="28"/>
                                      </w:rPr>
                                    </w:pPr>
                                    <w:r>
                                      <w:rPr>
                                        <w:caps/>
                                        <w:color w:val="262626" w:themeColor="text1" w:themeTint="D9"/>
                                        <w:sz w:val="28"/>
                                        <w:szCs w:val="28"/>
                                      </w:rPr>
                                      <w:t>Elizabeth Nuworkpor</w:t>
                                    </w:r>
                                  </w:p>
                                </w:sdtContent>
                              </w:sdt>
                              <w:p w14:paraId="09BB9C39" w14:textId="50B6F5E1" w:rsidR="007743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04E50">
                                      <w:rPr>
                                        <w:caps/>
                                        <w:color w:val="262626" w:themeColor="text1" w:themeTint="D9"/>
                                        <w:sz w:val="20"/>
                                        <w:szCs w:val="20"/>
                                      </w:rPr>
                                      <w:t>Elizabeth Nuworkpor</w:t>
                                    </w:r>
                                  </w:sdtContent>
                                </w:sdt>
                              </w:p>
                              <w:p w14:paraId="7D64DFD7" w14:textId="23AD7755" w:rsidR="007743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C04E50">
                                      <w:rPr>
                                        <w:color w:val="262626" w:themeColor="text1" w:themeTint="D9"/>
                                        <w:sz w:val="20"/>
                                        <w:szCs w:val="20"/>
                                      </w:rPr>
                                      <w:t xml:space="preserve">     </w:t>
                                    </w:r>
                                  </w:sdtContent>
                                </w:sdt>
                                <w:r w:rsidR="0077432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A05E1E8" id="Text Box 112" o:spid="_x0000_s1028" type="#_x0000_t202" style="position:absolute;margin-left:0;margin-top:0;width:453pt;height:51.4pt;z-index:25166540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8E78C3" w14:textId="3D65DDCD" w:rsidR="0077432C" w:rsidRDefault="00F8656A">
                              <w:pPr>
                                <w:pStyle w:val="NoSpacing"/>
                                <w:jc w:val="right"/>
                                <w:rPr>
                                  <w:caps/>
                                  <w:color w:val="262626" w:themeColor="text1" w:themeTint="D9"/>
                                  <w:sz w:val="28"/>
                                  <w:szCs w:val="28"/>
                                </w:rPr>
                              </w:pPr>
                              <w:r>
                                <w:rPr>
                                  <w:caps/>
                                  <w:color w:val="262626" w:themeColor="text1" w:themeTint="D9"/>
                                  <w:sz w:val="28"/>
                                  <w:szCs w:val="28"/>
                                </w:rPr>
                                <w:t>Elizabeth Nuworkpor</w:t>
                              </w:r>
                            </w:p>
                          </w:sdtContent>
                        </w:sdt>
                        <w:p w14:paraId="09BB9C39" w14:textId="50B6F5E1" w:rsidR="007743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04E50">
                                <w:rPr>
                                  <w:caps/>
                                  <w:color w:val="262626" w:themeColor="text1" w:themeTint="D9"/>
                                  <w:sz w:val="20"/>
                                  <w:szCs w:val="20"/>
                                </w:rPr>
                                <w:t>Elizabeth Nuworkpor</w:t>
                              </w:r>
                            </w:sdtContent>
                          </w:sdt>
                        </w:p>
                        <w:p w14:paraId="7D64DFD7" w14:textId="23AD7755" w:rsidR="007743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C04E50">
                                <w:rPr>
                                  <w:color w:val="262626" w:themeColor="text1" w:themeTint="D9"/>
                                  <w:sz w:val="20"/>
                                  <w:szCs w:val="20"/>
                                </w:rPr>
                                <w:t xml:space="preserve">     </w:t>
                              </w:r>
                            </w:sdtContent>
                          </w:sdt>
                          <w:r w:rsidR="0077432C">
                            <w:rPr>
                              <w:color w:val="262626" w:themeColor="text1" w:themeTint="D9"/>
                              <w:sz w:val="20"/>
                              <w:szCs w:val="20"/>
                            </w:rPr>
                            <w:t xml:space="preserve"> </w:t>
                          </w:r>
                        </w:p>
                      </w:txbxContent>
                    </v:textbox>
                    <w10:wrap type="square" anchorx="page" anchory="page"/>
                  </v:shape>
                </w:pict>
              </mc:Fallback>
            </mc:AlternateContent>
          </w:r>
          <w:r w:rsidR="0077432C">
            <w:rPr>
              <w:noProof/>
            </w:rPr>
            <mc:AlternateContent>
              <mc:Choice Requires="wpg">
                <w:drawing>
                  <wp:anchor distT="0" distB="0" distL="114300" distR="114300" simplePos="0" relativeHeight="251663360" behindDoc="0" locked="0" layoutInCell="1" allowOverlap="1" wp14:anchorId="1B21B996" wp14:editId="77D9710D">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B1D6C7F" id="Group 115" o:spid="_x0000_s1026" style="position:absolute;margin-left:0;margin-top:0;width:18pt;height:10in;z-index:25166336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sidR="0077432C">
            <w:rPr>
              <w:noProof/>
              <w:sz w:val="24"/>
              <w:szCs w:val="24"/>
              <w:lang w:val="en-US"/>
            </w:rPr>
            <w:br w:type="page"/>
          </w:r>
        </w:p>
      </w:sdtContent>
    </w:sdt>
    <w:sdt>
      <w:sdtPr>
        <w:rPr>
          <w:rFonts w:ascii="Arial" w:eastAsiaTheme="minorHAnsi" w:hAnsi="Arial" w:cs="Arial"/>
          <w:b/>
          <w:color w:val="1F3864" w:themeColor="accent5" w:themeShade="80"/>
          <w:sz w:val="22"/>
          <w:szCs w:val="22"/>
          <w:lang w:val="en-GB"/>
        </w:rPr>
        <w:id w:val="102926495"/>
        <w:docPartObj>
          <w:docPartGallery w:val="Table of Contents"/>
          <w:docPartUnique/>
        </w:docPartObj>
      </w:sdtPr>
      <w:sdtEndPr>
        <w:rPr>
          <w:bCs/>
          <w:noProof/>
          <w:color w:val="auto"/>
        </w:rPr>
      </w:sdtEndPr>
      <w:sdtContent>
        <w:p w14:paraId="2881A9B3" w14:textId="77777777" w:rsidR="00D47F6E" w:rsidRPr="006720D9" w:rsidRDefault="00D47F6E" w:rsidP="00D47F6E">
          <w:pPr>
            <w:pStyle w:val="TOCHeading"/>
            <w:spacing w:line="360" w:lineRule="auto"/>
            <w:jc w:val="center"/>
            <w:rPr>
              <w:rFonts w:ascii="Arial" w:hAnsi="Arial" w:cs="Arial"/>
              <w:b/>
              <w:color w:val="1F3864" w:themeColor="accent5" w:themeShade="80"/>
            </w:rPr>
          </w:pPr>
          <w:r w:rsidRPr="006720D9">
            <w:rPr>
              <w:rFonts w:ascii="Arial" w:hAnsi="Arial" w:cs="Arial"/>
              <w:b/>
              <w:color w:val="1F3864" w:themeColor="accent5" w:themeShade="80"/>
            </w:rPr>
            <w:t>Table of Contents</w:t>
          </w:r>
        </w:p>
        <w:p w14:paraId="2A5B42C8" w14:textId="19D4A4DC" w:rsidR="00AE2720" w:rsidRDefault="00D47F6E">
          <w:pPr>
            <w:pStyle w:val="TOC1"/>
            <w:tabs>
              <w:tab w:val="right" w:leader="dot" w:pos="9350"/>
            </w:tabs>
            <w:rPr>
              <w:rFonts w:eastAsiaTheme="minorEastAsia"/>
              <w:noProof/>
              <w:kern w:val="2"/>
              <w:sz w:val="24"/>
              <w:szCs w:val="24"/>
              <w:lang w:eastAsia="en-GB"/>
              <w14:ligatures w14:val="standardContextual"/>
            </w:rPr>
          </w:pPr>
          <w:r w:rsidRPr="006720D9">
            <w:rPr>
              <w:rFonts w:ascii="Arial" w:hAnsi="Arial" w:cs="Arial"/>
            </w:rPr>
            <w:fldChar w:fldCharType="begin"/>
          </w:r>
          <w:r w:rsidRPr="006720D9">
            <w:rPr>
              <w:rFonts w:ascii="Arial" w:hAnsi="Arial" w:cs="Arial"/>
            </w:rPr>
            <w:instrText xml:space="preserve"> TOC \o "1-3" \h \z \u </w:instrText>
          </w:r>
          <w:r w:rsidRPr="006720D9">
            <w:rPr>
              <w:rFonts w:ascii="Arial" w:hAnsi="Arial" w:cs="Arial"/>
            </w:rPr>
            <w:fldChar w:fldCharType="separate"/>
          </w:r>
          <w:hyperlink w:anchor="_Toc225009774" w:history="1">
            <w:r w:rsidR="00AE2720" w:rsidRPr="00367A58">
              <w:rPr>
                <w:rStyle w:val="Hyperlink"/>
                <w:noProof/>
                <w:lang w:val="en-US"/>
              </w:rPr>
              <w:t>Introduction</w:t>
            </w:r>
            <w:r w:rsidR="00AE2720">
              <w:rPr>
                <w:noProof/>
                <w:webHidden/>
              </w:rPr>
              <w:tab/>
            </w:r>
            <w:r w:rsidR="00AE2720">
              <w:rPr>
                <w:noProof/>
                <w:webHidden/>
              </w:rPr>
              <w:fldChar w:fldCharType="begin"/>
            </w:r>
            <w:r w:rsidR="00AE2720">
              <w:rPr>
                <w:noProof/>
                <w:webHidden/>
              </w:rPr>
              <w:instrText xml:space="preserve"> PAGEREF _Toc225009774 \h </w:instrText>
            </w:r>
            <w:r w:rsidR="00AE2720">
              <w:rPr>
                <w:noProof/>
                <w:webHidden/>
              </w:rPr>
            </w:r>
            <w:r w:rsidR="00AE2720">
              <w:rPr>
                <w:noProof/>
                <w:webHidden/>
              </w:rPr>
              <w:fldChar w:fldCharType="separate"/>
            </w:r>
            <w:r w:rsidR="00AE2720">
              <w:rPr>
                <w:noProof/>
                <w:webHidden/>
              </w:rPr>
              <w:t>2</w:t>
            </w:r>
            <w:r w:rsidR="00AE2720">
              <w:rPr>
                <w:noProof/>
                <w:webHidden/>
              </w:rPr>
              <w:fldChar w:fldCharType="end"/>
            </w:r>
          </w:hyperlink>
        </w:p>
        <w:p w14:paraId="0A1DC109" w14:textId="6420B216"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5" w:history="1">
            <w:r w:rsidRPr="00367A58">
              <w:rPr>
                <w:rStyle w:val="Hyperlink"/>
                <w:noProof/>
                <w:lang w:val="en-US"/>
              </w:rPr>
              <w:t xml:space="preserve">1. </w:t>
            </w:r>
            <w:r w:rsidRPr="00367A58">
              <w:rPr>
                <w:rStyle w:val="Hyperlink"/>
                <w:noProof/>
              </w:rPr>
              <w:t>Communication</w:t>
            </w:r>
            <w:r w:rsidRPr="00367A58">
              <w:rPr>
                <w:rStyle w:val="Hyperlink"/>
                <w:noProof/>
                <w:lang w:val="en-US"/>
              </w:rPr>
              <w:t xml:space="preserve"> and Cultural Responsiveness in Post-Stroke</w:t>
            </w:r>
            <w:r>
              <w:rPr>
                <w:noProof/>
                <w:webHidden/>
              </w:rPr>
              <w:tab/>
            </w:r>
            <w:r>
              <w:rPr>
                <w:noProof/>
                <w:webHidden/>
              </w:rPr>
              <w:fldChar w:fldCharType="begin"/>
            </w:r>
            <w:r>
              <w:rPr>
                <w:noProof/>
                <w:webHidden/>
              </w:rPr>
              <w:instrText xml:space="preserve"> PAGEREF _Toc225009775 \h </w:instrText>
            </w:r>
            <w:r>
              <w:rPr>
                <w:noProof/>
                <w:webHidden/>
              </w:rPr>
            </w:r>
            <w:r>
              <w:rPr>
                <w:noProof/>
                <w:webHidden/>
              </w:rPr>
              <w:fldChar w:fldCharType="separate"/>
            </w:r>
            <w:r>
              <w:rPr>
                <w:noProof/>
                <w:webHidden/>
              </w:rPr>
              <w:t>2</w:t>
            </w:r>
            <w:r>
              <w:rPr>
                <w:noProof/>
                <w:webHidden/>
              </w:rPr>
              <w:fldChar w:fldCharType="end"/>
            </w:r>
          </w:hyperlink>
        </w:p>
        <w:p w14:paraId="32832999" w14:textId="66755AD7"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6" w:history="1">
            <w:r w:rsidRPr="00367A58">
              <w:rPr>
                <w:rStyle w:val="Hyperlink"/>
                <w:noProof/>
                <w:lang w:val="en-US"/>
              </w:rPr>
              <w:t>2. Administrative Skills and Record-Keeping in Professional Practice</w:t>
            </w:r>
            <w:r>
              <w:rPr>
                <w:noProof/>
                <w:webHidden/>
              </w:rPr>
              <w:tab/>
            </w:r>
            <w:r>
              <w:rPr>
                <w:noProof/>
                <w:webHidden/>
              </w:rPr>
              <w:fldChar w:fldCharType="begin"/>
            </w:r>
            <w:r>
              <w:rPr>
                <w:noProof/>
                <w:webHidden/>
              </w:rPr>
              <w:instrText xml:space="preserve"> PAGEREF _Toc225009776 \h </w:instrText>
            </w:r>
            <w:r>
              <w:rPr>
                <w:noProof/>
                <w:webHidden/>
              </w:rPr>
            </w:r>
            <w:r>
              <w:rPr>
                <w:noProof/>
                <w:webHidden/>
              </w:rPr>
              <w:fldChar w:fldCharType="separate"/>
            </w:r>
            <w:r>
              <w:rPr>
                <w:noProof/>
                <w:webHidden/>
              </w:rPr>
              <w:t>4</w:t>
            </w:r>
            <w:r>
              <w:rPr>
                <w:noProof/>
                <w:webHidden/>
              </w:rPr>
              <w:fldChar w:fldCharType="end"/>
            </w:r>
          </w:hyperlink>
        </w:p>
        <w:p w14:paraId="6CDF9651" w14:textId="68CE1403"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7" w:history="1">
            <w:r w:rsidRPr="00367A58">
              <w:rPr>
                <w:rStyle w:val="Hyperlink"/>
                <w:noProof/>
                <w:lang w:val="en-US"/>
              </w:rPr>
              <w:t>3. Collaborative Working in Multidisciplinary Health and Social Care</w:t>
            </w:r>
            <w:r>
              <w:rPr>
                <w:noProof/>
                <w:webHidden/>
              </w:rPr>
              <w:tab/>
            </w:r>
            <w:r>
              <w:rPr>
                <w:noProof/>
                <w:webHidden/>
              </w:rPr>
              <w:fldChar w:fldCharType="begin"/>
            </w:r>
            <w:r>
              <w:rPr>
                <w:noProof/>
                <w:webHidden/>
              </w:rPr>
              <w:instrText xml:space="preserve"> PAGEREF _Toc225009777 \h </w:instrText>
            </w:r>
            <w:r>
              <w:rPr>
                <w:noProof/>
                <w:webHidden/>
              </w:rPr>
            </w:r>
            <w:r>
              <w:rPr>
                <w:noProof/>
                <w:webHidden/>
              </w:rPr>
              <w:fldChar w:fldCharType="separate"/>
            </w:r>
            <w:r>
              <w:rPr>
                <w:noProof/>
                <w:webHidden/>
              </w:rPr>
              <w:t>5</w:t>
            </w:r>
            <w:r>
              <w:rPr>
                <w:noProof/>
                <w:webHidden/>
              </w:rPr>
              <w:fldChar w:fldCharType="end"/>
            </w:r>
          </w:hyperlink>
        </w:p>
        <w:p w14:paraId="5896830E" w14:textId="4631A5DA"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8" w:history="1">
            <w:r w:rsidRPr="00367A58">
              <w:rPr>
                <w:rStyle w:val="Hyperlink"/>
                <w:noProof/>
                <w:lang w:val="en-US"/>
              </w:rPr>
              <w:t>Conclusion</w:t>
            </w:r>
            <w:r>
              <w:rPr>
                <w:noProof/>
                <w:webHidden/>
              </w:rPr>
              <w:tab/>
            </w:r>
            <w:r>
              <w:rPr>
                <w:noProof/>
                <w:webHidden/>
              </w:rPr>
              <w:fldChar w:fldCharType="begin"/>
            </w:r>
            <w:r>
              <w:rPr>
                <w:noProof/>
                <w:webHidden/>
              </w:rPr>
              <w:instrText xml:space="preserve"> PAGEREF _Toc225009778 \h </w:instrText>
            </w:r>
            <w:r>
              <w:rPr>
                <w:noProof/>
                <w:webHidden/>
              </w:rPr>
            </w:r>
            <w:r>
              <w:rPr>
                <w:noProof/>
                <w:webHidden/>
              </w:rPr>
              <w:fldChar w:fldCharType="separate"/>
            </w:r>
            <w:r>
              <w:rPr>
                <w:noProof/>
                <w:webHidden/>
              </w:rPr>
              <w:t>6</w:t>
            </w:r>
            <w:r>
              <w:rPr>
                <w:noProof/>
                <w:webHidden/>
              </w:rPr>
              <w:fldChar w:fldCharType="end"/>
            </w:r>
          </w:hyperlink>
        </w:p>
        <w:p w14:paraId="212EA401" w14:textId="1C3ABC45"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9" w:history="1">
            <w:r w:rsidRPr="00367A58">
              <w:rPr>
                <w:rStyle w:val="Hyperlink"/>
                <w:noProof/>
                <w:lang w:val="en-US"/>
              </w:rPr>
              <w:t>Reference List</w:t>
            </w:r>
            <w:r>
              <w:rPr>
                <w:noProof/>
                <w:webHidden/>
              </w:rPr>
              <w:tab/>
            </w:r>
            <w:r>
              <w:rPr>
                <w:noProof/>
                <w:webHidden/>
              </w:rPr>
              <w:fldChar w:fldCharType="begin"/>
            </w:r>
            <w:r>
              <w:rPr>
                <w:noProof/>
                <w:webHidden/>
              </w:rPr>
              <w:instrText xml:space="preserve"> PAGEREF _Toc225009779 \h </w:instrText>
            </w:r>
            <w:r>
              <w:rPr>
                <w:noProof/>
                <w:webHidden/>
              </w:rPr>
            </w:r>
            <w:r>
              <w:rPr>
                <w:noProof/>
                <w:webHidden/>
              </w:rPr>
              <w:fldChar w:fldCharType="separate"/>
            </w:r>
            <w:r>
              <w:rPr>
                <w:noProof/>
                <w:webHidden/>
              </w:rPr>
              <w:t>7</w:t>
            </w:r>
            <w:r>
              <w:rPr>
                <w:noProof/>
                <w:webHidden/>
              </w:rPr>
              <w:fldChar w:fldCharType="end"/>
            </w:r>
          </w:hyperlink>
        </w:p>
        <w:p w14:paraId="166442F1" w14:textId="15566DC4" w:rsidR="00D47F6E" w:rsidRPr="006720D9" w:rsidRDefault="00D47F6E">
          <w:pPr>
            <w:rPr>
              <w:rFonts w:ascii="Arial" w:hAnsi="Arial" w:cs="Arial"/>
            </w:rPr>
          </w:pPr>
          <w:r w:rsidRPr="006720D9">
            <w:rPr>
              <w:rFonts w:ascii="Arial" w:hAnsi="Arial" w:cs="Arial"/>
              <w:b/>
              <w:bCs/>
              <w:noProof/>
            </w:rPr>
            <w:fldChar w:fldCharType="end"/>
          </w:r>
        </w:p>
      </w:sdtContent>
    </w:sdt>
    <w:p w14:paraId="1F68C389" w14:textId="77777777" w:rsidR="006F74CE" w:rsidRPr="006720D9" w:rsidRDefault="006F74CE">
      <w:pPr>
        <w:rPr>
          <w:rFonts w:ascii="Arial" w:hAnsi="Arial" w:cs="Arial"/>
          <w:lang w:val="en-US"/>
        </w:rPr>
      </w:pPr>
    </w:p>
    <w:p w14:paraId="11222A27" w14:textId="77777777" w:rsidR="006F74CE" w:rsidRDefault="006F74CE">
      <w:pPr>
        <w:rPr>
          <w:rFonts w:ascii="Arial" w:hAnsi="Arial" w:cs="Arial"/>
          <w:lang w:val="en-US"/>
        </w:rPr>
      </w:pPr>
    </w:p>
    <w:p w14:paraId="66B7C34D" w14:textId="77777777" w:rsidR="006F74CE" w:rsidRDefault="006F74CE">
      <w:pPr>
        <w:rPr>
          <w:rFonts w:ascii="Arial" w:hAnsi="Arial" w:cs="Arial"/>
          <w:lang w:val="en-US"/>
        </w:rPr>
      </w:pPr>
      <w:r>
        <w:rPr>
          <w:rFonts w:ascii="Arial" w:hAnsi="Arial" w:cs="Arial"/>
          <w:lang w:val="en-US"/>
        </w:rPr>
        <w:br w:type="page"/>
      </w:r>
    </w:p>
    <w:p w14:paraId="32CC5676" w14:textId="77777777" w:rsidR="006F74CE" w:rsidRPr="006F74CE" w:rsidRDefault="006F74CE" w:rsidP="006F74CE">
      <w:pPr>
        <w:pStyle w:val="Heading1"/>
        <w:rPr>
          <w:lang w:val="en-US"/>
        </w:rPr>
      </w:pPr>
      <w:bookmarkStart w:id="0" w:name="_Toc225009774"/>
      <w:r w:rsidRPr="006F74CE">
        <w:rPr>
          <w:lang w:val="en-US"/>
        </w:rPr>
        <w:lastRenderedPageBreak/>
        <w:t>Introduction</w:t>
      </w:r>
      <w:bookmarkEnd w:id="0"/>
    </w:p>
    <w:p w14:paraId="5252C4EF" w14:textId="09AA8BAA" w:rsidR="00DA486B" w:rsidRPr="001F633C" w:rsidRDefault="00DA486B" w:rsidP="00EE58D8">
      <w:pPr>
        <w:pStyle w:val="NormalWeb"/>
        <w:spacing w:line="360" w:lineRule="auto"/>
        <w:jc w:val="both"/>
        <w:rPr>
          <w:rFonts w:ascii="Arial" w:hAnsi="Arial" w:cs="Arial"/>
          <w:sz w:val="22"/>
          <w:szCs w:val="22"/>
        </w:rPr>
      </w:pPr>
      <w:r w:rsidRPr="001F633C">
        <w:rPr>
          <w:rFonts w:ascii="Arial" w:hAnsi="Arial" w:cs="Arial"/>
          <w:sz w:val="22"/>
          <w:szCs w:val="22"/>
        </w:rPr>
        <w:t>The safety and wellbeing of service users within the British health and social care framework are fundamentally dependent on cohesive professional practice, clear communication, and robust administrative oversight.</w:t>
      </w:r>
      <w:r w:rsidR="00CB52F0" w:rsidRPr="00CB52F0">
        <w:rPr>
          <w:rFonts w:ascii="Arial" w:hAnsi="Arial" w:cs="Arial"/>
          <w:sz w:val="22"/>
          <w:szCs w:val="22"/>
        </w:rPr>
        <w:t xml:space="preserve"> </w:t>
      </w:r>
      <w:r w:rsidR="00CB52F0">
        <w:rPr>
          <w:rFonts w:ascii="Arial" w:hAnsi="Arial" w:cs="Arial"/>
          <w:sz w:val="22"/>
          <w:szCs w:val="22"/>
        </w:rPr>
        <w:t>Stroke affects the speech and cognition of a person and makes a patient more reliant on carers, requiring culturally competent and tailored speech therapy (Fitzmaurice et al., 2024; Burton-Hughes, 2017</w:t>
      </w:r>
      <w:r w:rsidR="004078DF">
        <w:rPr>
          <w:rFonts w:ascii="Arial" w:hAnsi="Arial" w:cs="Arial"/>
          <w:sz w:val="22"/>
          <w:szCs w:val="22"/>
        </w:rPr>
        <w:t>).</w:t>
      </w:r>
      <w:r w:rsidR="004078DF" w:rsidRPr="001F633C">
        <w:rPr>
          <w:rFonts w:ascii="Arial" w:hAnsi="Arial" w:cs="Arial"/>
          <w:sz w:val="22"/>
          <w:szCs w:val="22"/>
        </w:rPr>
        <w:t xml:space="preserve"> Care</w:t>
      </w:r>
      <w:r w:rsidRPr="001F633C">
        <w:rPr>
          <w:rFonts w:ascii="Arial" w:hAnsi="Arial" w:cs="Arial"/>
          <w:sz w:val="22"/>
          <w:szCs w:val="22"/>
        </w:rPr>
        <w:t xml:space="preserve"> delivery in the UK is governed by specific legislation and professional codes of practice designed to protect vulnerable individuals with complex needs. The significance of patient-</w:t>
      </w:r>
      <w:r w:rsidR="00355687" w:rsidRPr="001F633C">
        <w:rPr>
          <w:rFonts w:ascii="Arial" w:hAnsi="Arial" w:cs="Arial"/>
          <w:sz w:val="22"/>
          <w:szCs w:val="22"/>
        </w:rPr>
        <w:t>centered</w:t>
      </w:r>
      <w:r w:rsidRPr="001F633C">
        <w:rPr>
          <w:rFonts w:ascii="Arial" w:hAnsi="Arial" w:cs="Arial"/>
          <w:sz w:val="22"/>
          <w:szCs w:val="22"/>
        </w:rPr>
        <w:t xml:space="preserve"> interaction, administrative diligence, and inter-professional collaboration is vividly demonstrated through the case of </w:t>
      </w:r>
      <w:r w:rsidR="00355687" w:rsidRPr="001F633C">
        <w:rPr>
          <w:rFonts w:ascii="Arial" w:hAnsi="Arial" w:cs="Arial"/>
          <w:sz w:val="22"/>
          <w:szCs w:val="22"/>
        </w:rPr>
        <w:t>Mr.</w:t>
      </w:r>
      <w:r w:rsidRPr="001F633C">
        <w:rPr>
          <w:rFonts w:ascii="Arial" w:hAnsi="Arial" w:cs="Arial"/>
          <w:sz w:val="22"/>
          <w:szCs w:val="22"/>
        </w:rPr>
        <w:t xml:space="preserve"> Ahmed, a 68-year-old stroke survivor. </w:t>
      </w:r>
    </w:p>
    <w:p w14:paraId="61FD8ABD" w14:textId="77777777" w:rsidR="00A411E2" w:rsidRDefault="00DA486B" w:rsidP="00FA0734">
      <w:pPr>
        <w:pStyle w:val="NormalWeb"/>
        <w:spacing w:line="360" w:lineRule="auto"/>
        <w:jc w:val="both"/>
        <w:rPr>
          <w:rFonts w:ascii="Arial" w:hAnsi="Arial" w:cs="Arial"/>
          <w:sz w:val="22"/>
          <w:szCs w:val="22"/>
        </w:rPr>
      </w:pPr>
      <w:r w:rsidRPr="001F633C">
        <w:rPr>
          <w:rFonts w:ascii="Arial" w:hAnsi="Arial" w:cs="Arial"/>
          <w:sz w:val="22"/>
          <w:szCs w:val="22"/>
        </w:rPr>
        <w:t xml:space="preserve">​Following his hospital discharge, </w:t>
      </w:r>
      <w:r w:rsidR="0027596C" w:rsidRPr="001F633C">
        <w:rPr>
          <w:rFonts w:ascii="Arial" w:hAnsi="Arial" w:cs="Arial"/>
          <w:sz w:val="22"/>
          <w:szCs w:val="22"/>
        </w:rPr>
        <w:t>Mr.</w:t>
      </w:r>
      <w:r w:rsidRPr="001F633C">
        <w:rPr>
          <w:rFonts w:ascii="Arial" w:hAnsi="Arial" w:cs="Arial"/>
          <w:sz w:val="22"/>
          <w:szCs w:val="22"/>
        </w:rPr>
        <w:t xml:space="preserve"> Ahmed requires domiciliary care to manage physical and cognitive impairments that have left him increasingly reliant on professional support. This report critically evaluates the communication strategies, administrative frameworks, and collaborative approaches required to support </w:t>
      </w:r>
      <w:r w:rsidR="0027596C" w:rsidRPr="001F633C">
        <w:rPr>
          <w:rFonts w:ascii="Arial" w:hAnsi="Arial" w:cs="Arial"/>
          <w:sz w:val="22"/>
          <w:szCs w:val="22"/>
        </w:rPr>
        <w:t>Mr.</w:t>
      </w:r>
      <w:r w:rsidRPr="001F633C">
        <w:rPr>
          <w:rFonts w:ascii="Arial" w:hAnsi="Arial" w:cs="Arial"/>
          <w:sz w:val="22"/>
          <w:szCs w:val="22"/>
        </w:rPr>
        <w:t xml:space="preserve"> Ahmed’s recovery. By examining the intersection of legal duties and clinical practice, this report identifies how integrated care can ensure </w:t>
      </w:r>
      <w:r w:rsidR="00E00C32" w:rsidRPr="001F633C">
        <w:rPr>
          <w:rFonts w:ascii="Arial" w:hAnsi="Arial" w:cs="Arial"/>
          <w:sz w:val="22"/>
          <w:szCs w:val="22"/>
        </w:rPr>
        <w:t>Mr.</w:t>
      </w:r>
      <w:r w:rsidRPr="001F633C">
        <w:rPr>
          <w:rFonts w:ascii="Arial" w:hAnsi="Arial" w:cs="Arial"/>
          <w:sz w:val="22"/>
          <w:szCs w:val="22"/>
        </w:rPr>
        <w:t xml:space="preserve"> Ahmed's ongoing</w:t>
      </w:r>
      <w:r w:rsidR="00D56CEF">
        <w:rPr>
          <w:rFonts w:ascii="Arial" w:hAnsi="Arial" w:cs="Arial"/>
          <w:sz w:val="22"/>
          <w:szCs w:val="22"/>
        </w:rPr>
        <w:t xml:space="preserve"> </w:t>
      </w:r>
      <w:r w:rsidRPr="001F633C">
        <w:rPr>
          <w:rFonts w:ascii="Arial" w:hAnsi="Arial" w:cs="Arial"/>
          <w:sz w:val="22"/>
          <w:szCs w:val="22"/>
        </w:rPr>
        <w:t>safety and dignity within a community setting.</w:t>
      </w:r>
      <w:r w:rsidR="00FA0734">
        <w:rPr>
          <w:rFonts w:ascii="Arial" w:hAnsi="Arial" w:cs="Arial"/>
          <w:sz w:val="22"/>
          <w:szCs w:val="22"/>
        </w:rPr>
        <w:t xml:space="preserve"> </w:t>
      </w:r>
    </w:p>
    <w:p w14:paraId="4C59E807" w14:textId="5C025ED9" w:rsidR="00DA486B" w:rsidRPr="00160BB3" w:rsidRDefault="00FA0734" w:rsidP="00FA0734">
      <w:pPr>
        <w:pStyle w:val="NormalWeb"/>
        <w:spacing w:line="360" w:lineRule="auto"/>
        <w:jc w:val="both"/>
        <w:rPr>
          <w:rFonts w:ascii="Arial" w:hAnsi="Arial" w:cs="Arial"/>
          <w:sz w:val="22"/>
          <w:szCs w:val="22"/>
        </w:rPr>
      </w:pPr>
      <w:r>
        <w:rPr>
          <w:rFonts w:ascii="Arial" w:hAnsi="Arial" w:cs="Arial"/>
          <w:sz w:val="22"/>
          <w:szCs w:val="22"/>
        </w:rPr>
        <w:t xml:space="preserve">In this report I am going to be elaborating on several topics concerning stroke, prevention and its management which </w:t>
      </w:r>
      <w:r w:rsidR="00D56CEF">
        <w:rPr>
          <w:rFonts w:ascii="Arial" w:hAnsi="Arial" w:cs="Arial"/>
          <w:sz w:val="22"/>
          <w:szCs w:val="22"/>
        </w:rPr>
        <w:t>include</w:t>
      </w:r>
      <w:r>
        <w:rPr>
          <w:rFonts w:ascii="Arial" w:hAnsi="Arial" w:cs="Arial"/>
          <w:sz w:val="22"/>
          <w:szCs w:val="22"/>
        </w:rPr>
        <w:t xml:space="preserve"> communication and cultural responsiveness in post stroke, </w:t>
      </w:r>
      <w:r w:rsidRPr="00160BB3">
        <w:rPr>
          <w:rFonts w:ascii="Arial" w:hAnsi="Arial" w:cs="Arial"/>
          <w:sz w:val="22"/>
          <w:szCs w:val="22"/>
        </w:rPr>
        <w:t>administrative skills and record-keeping in professional practice and collaborative working in multidisciplinary health and social care.</w:t>
      </w:r>
    </w:p>
    <w:p w14:paraId="6448EBD7" w14:textId="77777777" w:rsidR="00510E17" w:rsidRDefault="00510E17" w:rsidP="004A3AE3">
      <w:pPr>
        <w:pStyle w:val="Heading1"/>
        <w:jc w:val="left"/>
        <w:rPr>
          <w:lang w:val="en-US"/>
        </w:rPr>
      </w:pPr>
      <w:bookmarkStart w:id="1" w:name="_Toc225009775"/>
      <w:r>
        <w:rPr>
          <w:lang w:val="en-US"/>
        </w:rPr>
        <w:t>1.</w:t>
      </w:r>
      <w:r w:rsidRPr="006F74CE">
        <w:rPr>
          <w:lang w:val="en-US"/>
        </w:rPr>
        <w:t xml:space="preserve"> </w:t>
      </w:r>
      <w:r w:rsidRPr="007717B7">
        <w:t>Communication</w:t>
      </w:r>
      <w:r w:rsidRPr="006F74CE">
        <w:rPr>
          <w:lang w:val="en-US"/>
        </w:rPr>
        <w:t xml:space="preserve"> and Cultural Responsiveness in Post-Stroke</w:t>
      </w:r>
      <w:bookmarkEnd w:id="1"/>
      <w:r w:rsidRPr="006F74CE">
        <w:rPr>
          <w:lang w:val="en-US"/>
        </w:rPr>
        <w:t xml:space="preserve"> </w:t>
      </w:r>
    </w:p>
    <w:p w14:paraId="69AFBCCF" w14:textId="4930852C" w:rsidR="00E1231D" w:rsidRPr="00DE78D5" w:rsidRDefault="00E1231D" w:rsidP="00E82858">
      <w:pPr>
        <w:pStyle w:val="NormalWeb"/>
        <w:spacing w:line="360" w:lineRule="auto"/>
        <w:jc w:val="both"/>
        <w:rPr>
          <w:rFonts w:ascii="Arial" w:hAnsi="Arial" w:cs="Arial"/>
          <w:sz w:val="22"/>
          <w:szCs w:val="22"/>
        </w:rPr>
      </w:pPr>
      <w:r w:rsidRPr="00DE78D5">
        <w:rPr>
          <w:rFonts w:ascii="Arial" w:hAnsi="Arial" w:cs="Arial"/>
          <w:sz w:val="22"/>
          <w:szCs w:val="22"/>
        </w:rPr>
        <w:t>Effective communication is the cornerstone of patient empowerment, enabling individuals to understand their clinical pathway and participate meaningfully in their own care</w:t>
      </w:r>
      <w:r w:rsidR="00872384">
        <w:rPr>
          <w:rFonts w:ascii="Arial" w:hAnsi="Arial" w:cs="Arial"/>
          <w:sz w:val="22"/>
          <w:szCs w:val="22"/>
        </w:rPr>
        <w:t xml:space="preserve"> </w:t>
      </w:r>
      <w:r w:rsidR="00AA3AF8">
        <w:rPr>
          <w:rFonts w:ascii="Arial" w:hAnsi="Arial" w:cs="Arial"/>
          <w:sz w:val="22"/>
          <w:szCs w:val="22"/>
        </w:rPr>
        <w:t>(Leavey et al., 2020)</w:t>
      </w:r>
      <w:r w:rsidRPr="00DE78D5">
        <w:rPr>
          <w:rFonts w:ascii="Arial" w:hAnsi="Arial" w:cs="Arial"/>
          <w:sz w:val="22"/>
          <w:szCs w:val="22"/>
        </w:rPr>
        <w:t xml:space="preserve">. For </w:t>
      </w:r>
      <w:r w:rsidR="00E00C32" w:rsidRPr="00DE78D5">
        <w:rPr>
          <w:rFonts w:ascii="Arial" w:hAnsi="Arial" w:cs="Arial"/>
          <w:sz w:val="22"/>
          <w:szCs w:val="22"/>
        </w:rPr>
        <w:t>Mr.</w:t>
      </w:r>
      <w:r w:rsidRPr="00DE78D5">
        <w:rPr>
          <w:rFonts w:ascii="Arial" w:hAnsi="Arial" w:cs="Arial"/>
          <w:sz w:val="22"/>
          <w:szCs w:val="22"/>
        </w:rPr>
        <w:t xml:space="preserve"> Ahmed, this is complicated by the dual challenges of a post-stroke communication deficit and a significant language barrier, as his primary language is Bengali</w:t>
      </w:r>
      <w:r w:rsidR="00596A27">
        <w:rPr>
          <w:rFonts w:ascii="Arial" w:hAnsi="Arial" w:cs="Arial"/>
          <w:sz w:val="22"/>
          <w:szCs w:val="22"/>
        </w:rPr>
        <w:t xml:space="preserve">, </w:t>
      </w:r>
      <w:r w:rsidR="00FC126A">
        <w:rPr>
          <w:rFonts w:ascii="Arial" w:hAnsi="Arial" w:cs="Arial"/>
          <w:sz w:val="22"/>
          <w:szCs w:val="22"/>
        </w:rPr>
        <w:t>failure to address these linguist</w:t>
      </w:r>
      <w:r w:rsidR="000212D6">
        <w:rPr>
          <w:rFonts w:ascii="Arial" w:hAnsi="Arial" w:cs="Arial"/>
          <w:sz w:val="22"/>
          <w:szCs w:val="22"/>
        </w:rPr>
        <w:t xml:space="preserve">ic barriers can lead to a breakdown in the therapeutic relationship </w:t>
      </w:r>
      <w:r w:rsidR="005868E2">
        <w:rPr>
          <w:rFonts w:ascii="Arial" w:hAnsi="Arial" w:cs="Arial"/>
          <w:sz w:val="22"/>
          <w:szCs w:val="22"/>
        </w:rPr>
        <w:t xml:space="preserve">and prevent the patient </w:t>
      </w:r>
      <w:r w:rsidR="003A5420">
        <w:rPr>
          <w:rFonts w:ascii="Arial" w:hAnsi="Arial" w:cs="Arial"/>
          <w:sz w:val="22"/>
          <w:szCs w:val="22"/>
        </w:rPr>
        <w:t xml:space="preserve">from accessing equitable care, as </w:t>
      </w:r>
      <w:r w:rsidR="00041E18">
        <w:rPr>
          <w:rFonts w:ascii="Arial" w:hAnsi="Arial" w:cs="Arial"/>
          <w:sz w:val="22"/>
          <w:szCs w:val="22"/>
        </w:rPr>
        <w:t xml:space="preserve">language gaps often result in </w:t>
      </w:r>
      <w:r w:rsidR="00BA47C4">
        <w:rPr>
          <w:rFonts w:ascii="Arial" w:hAnsi="Arial" w:cs="Arial"/>
          <w:sz w:val="22"/>
          <w:szCs w:val="22"/>
        </w:rPr>
        <w:t>marginalization</w:t>
      </w:r>
      <w:r w:rsidR="00041E18">
        <w:rPr>
          <w:rFonts w:ascii="Arial" w:hAnsi="Arial" w:cs="Arial"/>
          <w:sz w:val="22"/>
          <w:szCs w:val="22"/>
        </w:rPr>
        <w:t xml:space="preserve"> health outcomes and leak of informed</w:t>
      </w:r>
      <w:r w:rsidR="005A20BF">
        <w:rPr>
          <w:rFonts w:ascii="Arial" w:hAnsi="Arial" w:cs="Arial"/>
          <w:sz w:val="22"/>
          <w:szCs w:val="22"/>
        </w:rPr>
        <w:t xml:space="preserve"> consent (Fitzmaurice et al., 2024)</w:t>
      </w:r>
      <w:r w:rsidR="000909CC">
        <w:rPr>
          <w:rFonts w:ascii="Arial" w:hAnsi="Arial" w:cs="Arial"/>
          <w:sz w:val="22"/>
          <w:szCs w:val="22"/>
        </w:rPr>
        <w:t xml:space="preserve">. Therefore, </w:t>
      </w:r>
      <w:r w:rsidRPr="00DE78D5">
        <w:rPr>
          <w:rFonts w:ascii="Arial" w:hAnsi="Arial" w:cs="Arial"/>
          <w:sz w:val="22"/>
          <w:szCs w:val="22"/>
        </w:rPr>
        <w:t xml:space="preserve">Healthcare practitioners must adopt inclusive, macro-level approaches that </w:t>
      </w:r>
      <w:r w:rsidR="00BA47C4" w:rsidRPr="00DE78D5">
        <w:rPr>
          <w:rFonts w:ascii="Arial" w:hAnsi="Arial" w:cs="Arial"/>
          <w:sz w:val="22"/>
          <w:szCs w:val="22"/>
        </w:rPr>
        <w:t>prioriti</w:t>
      </w:r>
      <w:r w:rsidR="00BA47C4">
        <w:rPr>
          <w:rFonts w:ascii="Arial" w:hAnsi="Arial" w:cs="Arial"/>
          <w:sz w:val="22"/>
          <w:szCs w:val="22"/>
        </w:rPr>
        <w:t>z</w:t>
      </w:r>
      <w:r w:rsidR="00BA47C4" w:rsidRPr="00DE78D5">
        <w:rPr>
          <w:rFonts w:ascii="Arial" w:hAnsi="Arial" w:cs="Arial"/>
          <w:sz w:val="22"/>
          <w:szCs w:val="22"/>
        </w:rPr>
        <w:t>e</w:t>
      </w:r>
      <w:r w:rsidRPr="00DE78D5">
        <w:rPr>
          <w:rFonts w:ascii="Arial" w:hAnsi="Arial" w:cs="Arial"/>
          <w:sz w:val="22"/>
          <w:szCs w:val="22"/>
        </w:rPr>
        <w:t xml:space="preserve"> the patient’s cultural and linguistic context to avoid </w:t>
      </w:r>
      <w:r w:rsidR="00BA47C4" w:rsidRPr="00DE78D5">
        <w:rPr>
          <w:rFonts w:ascii="Arial" w:hAnsi="Arial" w:cs="Arial"/>
          <w:sz w:val="22"/>
          <w:szCs w:val="22"/>
        </w:rPr>
        <w:t>marginali</w:t>
      </w:r>
      <w:r w:rsidR="00BA47C4">
        <w:rPr>
          <w:rFonts w:ascii="Arial" w:hAnsi="Arial" w:cs="Arial"/>
          <w:sz w:val="22"/>
          <w:szCs w:val="22"/>
        </w:rPr>
        <w:t>z</w:t>
      </w:r>
      <w:r w:rsidR="00BA47C4" w:rsidRPr="00DE78D5">
        <w:rPr>
          <w:rFonts w:ascii="Arial" w:hAnsi="Arial" w:cs="Arial"/>
          <w:sz w:val="22"/>
          <w:szCs w:val="22"/>
        </w:rPr>
        <w:t>ation</w:t>
      </w:r>
      <w:r w:rsidRPr="00DE78D5">
        <w:rPr>
          <w:rFonts w:ascii="Arial" w:hAnsi="Arial" w:cs="Arial"/>
          <w:sz w:val="22"/>
          <w:szCs w:val="22"/>
        </w:rPr>
        <w:t xml:space="preserve">. </w:t>
      </w:r>
    </w:p>
    <w:p w14:paraId="15EB41AB" w14:textId="49D5AFBB" w:rsidR="00E1231D" w:rsidRPr="00DE78D5" w:rsidRDefault="00E1231D" w:rsidP="00E82858">
      <w:pPr>
        <w:pStyle w:val="NormalWeb"/>
        <w:spacing w:line="360" w:lineRule="auto"/>
        <w:jc w:val="both"/>
        <w:rPr>
          <w:rFonts w:ascii="Arial" w:hAnsi="Arial" w:cs="Arial"/>
          <w:sz w:val="22"/>
          <w:szCs w:val="22"/>
        </w:rPr>
      </w:pPr>
      <w:r w:rsidRPr="00DE78D5">
        <w:rPr>
          <w:rFonts w:ascii="Arial" w:hAnsi="Arial" w:cs="Arial"/>
          <w:sz w:val="22"/>
          <w:szCs w:val="22"/>
        </w:rPr>
        <w:lastRenderedPageBreak/>
        <w:t>​</w:t>
      </w:r>
      <w:r w:rsidRPr="004E577D">
        <w:rPr>
          <w:rFonts w:ascii="Arial" w:hAnsi="Arial" w:cs="Arial"/>
          <w:sz w:val="22"/>
          <w:szCs w:val="22"/>
        </w:rPr>
        <w:t>Legal Frameworks and Reasonable Adjustments</w:t>
      </w:r>
      <w:r w:rsidRPr="00DE78D5">
        <w:rPr>
          <w:rFonts w:ascii="Arial" w:hAnsi="Arial" w:cs="Arial"/>
          <w:sz w:val="22"/>
          <w:szCs w:val="22"/>
        </w:rPr>
        <w:t xml:space="preserve"> Under the Equality Act 2010, </w:t>
      </w:r>
      <w:r w:rsidR="00D04EE7">
        <w:rPr>
          <w:rFonts w:ascii="Arial" w:hAnsi="Arial" w:cs="Arial"/>
          <w:sz w:val="22"/>
          <w:szCs w:val="22"/>
        </w:rPr>
        <w:t xml:space="preserve">noted that </w:t>
      </w:r>
      <w:r w:rsidRPr="00DE78D5">
        <w:rPr>
          <w:rFonts w:ascii="Arial" w:hAnsi="Arial" w:cs="Arial"/>
          <w:sz w:val="22"/>
          <w:szCs w:val="22"/>
        </w:rPr>
        <w:t>healthcare providers have a statutory duty to make ‘reasonable adjustments’ for individuals with disabilities.</w:t>
      </w:r>
      <w:r w:rsidR="00D04EE7">
        <w:rPr>
          <w:rFonts w:ascii="Arial" w:hAnsi="Arial" w:cs="Arial"/>
          <w:sz w:val="22"/>
          <w:szCs w:val="22"/>
        </w:rPr>
        <w:t xml:space="preserve"> In </w:t>
      </w:r>
      <w:proofErr w:type="gramStart"/>
      <w:r w:rsidR="00D04EE7">
        <w:rPr>
          <w:rFonts w:ascii="Arial" w:hAnsi="Arial" w:cs="Arial"/>
          <w:sz w:val="22"/>
          <w:szCs w:val="22"/>
        </w:rPr>
        <w:t>like</w:t>
      </w:r>
      <w:proofErr w:type="gramEnd"/>
      <w:r w:rsidR="00D04EE7">
        <w:rPr>
          <w:rFonts w:ascii="Arial" w:hAnsi="Arial" w:cs="Arial"/>
          <w:sz w:val="22"/>
          <w:szCs w:val="22"/>
        </w:rPr>
        <w:t xml:space="preserve"> manner,</w:t>
      </w:r>
      <w:r w:rsidRPr="00DE78D5">
        <w:rPr>
          <w:rFonts w:ascii="Arial" w:hAnsi="Arial" w:cs="Arial"/>
          <w:sz w:val="22"/>
          <w:szCs w:val="22"/>
        </w:rPr>
        <w:t xml:space="preserve"> </w:t>
      </w:r>
      <w:r w:rsidR="00E00C32" w:rsidRPr="00DE78D5">
        <w:rPr>
          <w:rFonts w:ascii="Arial" w:hAnsi="Arial" w:cs="Arial"/>
          <w:sz w:val="22"/>
          <w:szCs w:val="22"/>
        </w:rPr>
        <w:t>Mr.</w:t>
      </w:r>
      <w:r w:rsidRPr="00DE78D5">
        <w:rPr>
          <w:rFonts w:ascii="Arial" w:hAnsi="Arial" w:cs="Arial"/>
          <w:sz w:val="22"/>
          <w:szCs w:val="22"/>
        </w:rPr>
        <w:t xml:space="preserve"> Ahmed’s stroke-related communication difficulties constitute a disability under this Act, requiring the care team to implement tailored strategies</w:t>
      </w:r>
      <w:r w:rsidR="00D04EE7">
        <w:rPr>
          <w:rFonts w:ascii="Arial" w:hAnsi="Arial" w:cs="Arial"/>
          <w:sz w:val="22"/>
          <w:szCs w:val="22"/>
        </w:rPr>
        <w:t xml:space="preserve"> (</w:t>
      </w:r>
      <w:r w:rsidR="00AA7D9A">
        <w:rPr>
          <w:rFonts w:ascii="Arial" w:hAnsi="Arial" w:cs="Arial"/>
          <w:sz w:val="22"/>
          <w:szCs w:val="22"/>
        </w:rPr>
        <w:t>Equality Act, 2010</w:t>
      </w:r>
      <w:r w:rsidR="00D04EE7">
        <w:rPr>
          <w:rFonts w:ascii="Arial" w:hAnsi="Arial" w:cs="Arial"/>
          <w:sz w:val="22"/>
          <w:szCs w:val="22"/>
        </w:rPr>
        <w:t>)</w:t>
      </w:r>
      <w:r w:rsidRPr="00DE78D5">
        <w:rPr>
          <w:rFonts w:ascii="Arial" w:hAnsi="Arial" w:cs="Arial"/>
          <w:sz w:val="22"/>
          <w:szCs w:val="22"/>
        </w:rPr>
        <w:t xml:space="preserve">. In a practical sense, this involves </w:t>
      </w:r>
      <w:r w:rsidR="00505D0C" w:rsidRPr="00DE78D5">
        <w:rPr>
          <w:rFonts w:ascii="Arial" w:hAnsi="Arial" w:cs="Arial"/>
          <w:sz w:val="22"/>
          <w:szCs w:val="22"/>
        </w:rPr>
        <w:t>utili</w:t>
      </w:r>
      <w:r w:rsidR="00505D0C">
        <w:rPr>
          <w:rFonts w:ascii="Arial" w:hAnsi="Arial" w:cs="Arial"/>
          <w:sz w:val="22"/>
          <w:szCs w:val="22"/>
        </w:rPr>
        <w:t>z</w:t>
      </w:r>
      <w:r w:rsidR="00505D0C" w:rsidRPr="00DE78D5">
        <w:rPr>
          <w:rFonts w:ascii="Arial" w:hAnsi="Arial" w:cs="Arial"/>
          <w:sz w:val="22"/>
          <w:szCs w:val="22"/>
        </w:rPr>
        <w:t>ing</w:t>
      </w:r>
      <w:r w:rsidRPr="00DE78D5">
        <w:rPr>
          <w:rFonts w:ascii="Arial" w:hAnsi="Arial" w:cs="Arial"/>
          <w:sz w:val="22"/>
          <w:szCs w:val="22"/>
        </w:rPr>
        <w:t xml:space="preserve"> his wife’s fluency in English as a communication bridge or providing translated medical resources to ensure he is not disadvantaged. Such adjustments are essential for upholding the principles of dignity and autonomy. Furthermore, evidence regarding communication partner training (Fitzmaurice </w:t>
      </w:r>
      <w:r w:rsidRPr="00E82858">
        <w:rPr>
          <w:rFonts w:ascii="Arial" w:hAnsi="Arial" w:cs="Arial"/>
          <w:sz w:val="22"/>
          <w:szCs w:val="22"/>
        </w:rPr>
        <w:t>et al</w:t>
      </w:r>
      <w:r w:rsidRPr="00DE78D5">
        <w:rPr>
          <w:rFonts w:ascii="Arial" w:hAnsi="Arial" w:cs="Arial"/>
          <w:sz w:val="22"/>
          <w:szCs w:val="22"/>
        </w:rPr>
        <w:t>., 2024) suggests that when professionals adapt their supportive styles to the individual, patient engagement in therapy significantly improves.</w:t>
      </w:r>
    </w:p>
    <w:p w14:paraId="72527CA2" w14:textId="413BE23C" w:rsidR="001A77E7" w:rsidRPr="00AF0160" w:rsidRDefault="00AF0160" w:rsidP="00AF0160">
      <w:pPr>
        <w:pStyle w:val="NormalWeb"/>
        <w:spacing w:line="360" w:lineRule="auto"/>
        <w:jc w:val="both"/>
        <w:rPr>
          <w:rFonts w:ascii="Arial" w:hAnsi="Arial" w:cs="Arial"/>
          <w:sz w:val="22"/>
          <w:szCs w:val="22"/>
        </w:rPr>
      </w:pPr>
      <w:r>
        <w:rPr>
          <w:noProof/>
        </w:rPr>
        <w:drawing>
          <wp:anchor distT="0" distB="0" distL="114300" distR="114300" simplePos="0" relativeHeight="251661312" behindDoc="0" locked="0" layoutInCell="1" allowOverlap="1" wp14:anchorId="62955FEE" wp14:editId="7A6DD5C6">
            <wp:simplePos x="0" y="0"/>
            <wp:positionH relativeFrom="margin">
              <wp:align>right</wp:align>
            </wp:positionH>
            <wp:positionV relativeFrom="paragraph">
              <wp:posOffset>1218012</wp:posOffset>
            </wp:positionV>
            <wp:extent cx="5943600" cy="1769745"/>
            <wp:effectExtent l="0" t="0" r="0" b="1905"/>
            <wp:wrapTopAndBottom/>
            <wp:docPr id="437949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49116" name=""/>
                    <pic:cNvPicPr/>
                  </pic:nvPicPr>
                  <pic:blipFill>
                    <a:blip r:embed="rId8"/>
                    <a:stretch>
                      <a:fillRect/>
                    </a:stretch>
                  </pic:blipFill>
                  <pic:spPr>
                    <a:xfrm>
                      <a:off x="0" y="0"/>
                      <a:ext cx="5943600" cy="1769745"/>
                    </a:xfrm>
                    <a:prstGeom prst="rect">
                      <a:avLst/>
                    </a:prstGeom>
                  </pic:spPr>
                </pic:pic>
              </a:graphicData>
            </a:graphic>
            <wp14:sizeRelV relativeFrom="margin">
              <wp14:pctHeight>0</wp14:pctHeight>
            </wp14:sizeRelV>
          </wp:anchor>
        </w:drawing>
      </w:r>
      <w:r w:rsidR="00E1231D" w:rsidRPr="00DE78D5">
        <w:rPr>
          <w:rFonts w:ascii="Arial" w:hAnsi="Arial" w:cs="Arial"/>
          <w:sz w:val="22"/>
          <w:szCs w:val="22"/>
        </w:rPr>
        <w:t>​</w:t>
      </w:r>
      <w:r w:rsidR="00E1231D" w:rsidRPr="000F7F8E">
        <w:rPr>
          <w:rFonts w:ascii="Arial" w:hAnsi="Arial" w:cs="Arial"/>
          <w:sz w:val="22"/>
          <w:szCs w:val="22"/>
        </w:rPr>
        <w:t>The Shannon-Weaver</w:t>
      </w:r>
      <w:r w:rsidR="00DB3C8A">
        <w:rPr>
          <w:rFonts w:ascii="Arial" w:hAnsi="Arial" w:cs="Arial"/>
          <w:sz w:val="22"/>
          <w:szCs w:val="22"/>
        </w:rPr>
        <w:t xml:space="preserve"> 1949</w:t>
      </w:r>
      <w:r>
        <w:rPr>
          <w:rFonts w:ascii="Arial" w:hAnsi="Arial" w:cs="Arial"/>
          <w:sz w:val="22"/>
          <w:szCs w:val="22"/>
        </w:rPr>
        <w:t xml:space="preserve"> </w:t>
      </w:r>
      <w:r w:rsidR="00E1231D" w:rsidRPr="000F7F8E">
        <w:rPr>
          <w:rFonts w:ascii="Arial" w:hAnsi="Arial" w:cs="Arial"/>
          <w:sz w:val="22"/>
          <w:szCs w:val="22"/>
        </w:rPr>
        <w:t xml:space="preserve">Model </w:t>
      </w:r>
      <w:r w:rsidR="00E1231D" w:rsidRPr="00DE78D5">
        <w:rPr>
          <w:rFonts w:ascii="Arial" w:hAnsi="Arial" w:cs="Arial"/>
          <w:sz w:val="22"/>
          <w:szCs w:val="22"/>
        </w:rPr>
        <w:t>provides a useful framework for understanding these dynamics</w:t>
      </w:r>
      <w:r w:rsidR="007F40EE">
        <w:rPr>
          <w:rFonts w:ascii="Arial" w:hAnsi="Arial" w:cs="Arial"/>
          <w:sz w:val="22"/>
          <w:szCs w:val="22"/>
        </w:rPr>
        <w:t xml:space="preserve"> to be considered in </w:t>
      </w:r>
      <w:r w:rsidR="00E00C32" w:rsidRPr="00DE78D5">
        <w:rPr>
          <w:rFonts w:ascii="Arial" w:hAnsi="Arial" w:cs="Arial"/>
          <w:sz w:val="22"/>
          <w:szCs w:val="22"/>
        </w:rPr>
        <w:t>Mr.</w:t>
      </w:r>
      <w:r w:rsidR="00E1231D" w:rsidRPr="00DE78D5">
        <w:rPr>
          <w:rFonts w:ascii="Arial" w:hAnsi="Arial" w:cs="Arial"/>
          <w:sz w:val="22"/>
          <w:szCs w:val="22"/>
        </w:rPr>
        <w:t xml:space="preserve"> Ahmed’s context</w:t>
      </w:r>
      <w:r w:rsidR="007F40EE">
        <w:rPr>
          <w:rFonts w:ascii="Arial" w:hAnsi="Arial" w:cs="Arial"/>
          <w:sz w:val="22"/>
          <w:szCs w:val="22"/>
        </w:rPr>
        <w:t>.</w:t>
      </w:r>
      <w:r w:rsidR="00E1231D" w:rsidRPr="00DE78D5">
        <w:rPr>
          <w:rFonts w:ascii="Arial" w:hAnsi="Arial" w:cs="Arial"/>
          <w:sz w:val="22"/>
          <w:szCs w:val="22"/>
        </w:rPr>
        <w:t xml:space="preserve"> </w:t>
      </w:r>
      <w:r w:rsidR="007F40EE">
        <w:rPr>
          <w:rFonts w:ascii="Arial" w:hAnsi="Arial" w:cs="Arial"/>
          <w:sz w:val="22"/>
          <w:szCs w:val="22"/>
        </w:rPr>
        <w:t>T</w:t>
      </w:r>
      <w:r w:rsidR="00E1231D" w:rsidRPr="00DE78D5">
        <w:rPr>
          <w:rFonts w:ascii="Arial" w:hAnsi="Arial" w:cs="Arial"/>
          <w:sz w:val="22"/>
          <w:szCs w:val="22"/>
        </w:rPr>
        <w:t>he ‘sender’ (the healthcare professional) must transmit a ‘message’ (care instructions) through a ‘channel’ (verbal or written) to the ‘receiver’ (</w:t>
      </w:r>
      <w:r w:rsidR="00E00C32" w:rsidRPr="00DE78D5">
        <w:rPr>
          <w:rFonts w:ascii="Arial" w:hAnsi="Arial" w:cs="Arial"/>
          <w:sz w:val="22"/>
          <w:szCs w:val="22"/>
        </w:rPr>
        <w:t>Mr.</w:t>
      </w:r>
      <w:r w:rsidR="00E1231D" w:rsidRPr="00DE78D5">
        <w:rPr>
          <w:rFonts w:ascii="Arial" w:hAnsi="Arial" w:cs="Arial"/>
          <w:sz w:val="22"/>
          <w:szCs w:val="22"/>
        </w:rPr>
        <w:t xml:space="preserve"> Ahmed)</w:t>
      </w:r>
      <w:r>
        <w:rPr>
          <w:rFonts w:ascii="Arial" w:hAnsi="Arial" w:cs="Arial"/>
          <w:sz w:val="22"/>
          <w:szCs w:val="22"/>
        </w:rPr>
        <w:t>.</w:t>
      </w:r>
    </w:p>
    <w:p w14:paraId="618447AA" w14:textId="1D278A17" w:rsidR="001A77E7" w:rsidRPr="006F74CE" w:rsidRDefault="001A77E7" w:rsidP="001A77E7">
      <w:pPr>
        <w:spacing w:after="0" w:line="360" w:lineRule="auto"/>
        <w:jc w:val="center"/>
        <w:rPr>
          <w:rFonts w:ascii="Arial" w:hAnsi="Arial" w:cs="Arial"/>
          <w:lang w:val="en-US"/>
        </w:rPr>
      </w:pPr>
    </w:p>
    <w:p w14:paraId="2ABE257E" w14:textId="4BF46BA7" w:rsidR="006F74CE" w:rsidRPr="00BC0601" w:rsidRDefault="001A77E7" w:rsidP="001A77E7">
      <w:pPr>
        <w:spacing w:after="0" w:line="360" w:lineRule="auto"/>
        <w:jc w:val="center"/>
        <w:rPr>
          <w:rFonts w:ascii="Arial" w:hAnsi="Arial" w:cs="Arial"/>
          <w:b/>
          <w:bCs/>
          <w:i/>
          <w:color w:val="8EAADB" w:themeColor="accent5" w:themeTint="99"/>
          <w:sz w:val="18"/>
          <w:lang w:val="en-US"/>
        </w:rPr>
      </w:pPr>
      <w:r w:rsidRPr="00BC0601">
        <w:rPr>
          <w:rFonts w:ascii="Arial" w:hAnsi="Arial" w:cs="Arial"/>
          <w:b/>
          <w:bCs/>
          <w:i/>
          <w:color w:val="8EAADB" w:themeColor="accent5" w:themeTint="99"/>
          <w:sz w:val="18"/>
          <w:lang w:val="en-US"/>
        </w:rPr>
        <w:t>Figure 1</w:t>
      </w:r>
      <w:r w:rsidR="00BC0601">
        <w:rPr>
          <w:rFonts w:ascii="Arial" w:hAnsi="Arial" w:cs="Arial"/>
          <w:b/>
          <w:bCs/>
          <w:i/>
          <w:color w:val="8EAADB" w:themeColor="accent5" w:themeTint="99"/>
          <w:sz w:val="18"/>
          <w:lang w:val="en-US"/>
        </w:rPr>
        <w:t>.1</w:t>
      </w:r>
      <w:r w:rsidRPr="00BC0601">
        <w:rPr>
          <w:rFonts w:ascii="Arial" w:hAnsi="Arial" w:cs="Arial"/>
          <w:b/>
          <w:bCs/>
          <w:i/>
          <w:color w:val="8EAADB" w:themeColor="accent5" w:themeTint="99"/>
          <w:sz w:val="18"/>
          <w:lang w:val="en-US"/>
        </w:rPr>
        <w:t>: Simplified Shannon-</w:t>
      </w:r>
      <w:r w:rsidR="006F74CE" w:rsidRPr="00BC0601">
        <w:rPr>
          <w:rFonts w:ascii="Arial" w:hAnsi="Arial" w:cs="Arial"/>
          <w:b/>
          <w:bCs/>
          <w:i/>
          <w:color w:val="8EAADB" w:themeColor="accent5" w:themeTint="99"/>
          <w:sz w:val="18"/>
          <w:lang w:val="en-US"/>
        </w:rPr>
        <w:t>Weaver Communication Model Applied to Healthcare</w:t>
      </w:r>
      <w:r w:rsidRPr="00BC0601">
        <w:rPr>
          <w:rFonts w:ascii="Arial" w:hAnsi="Arial" w:cs="Arial"/>
          <w:b/>
          <w:bCs/>
          <w:i/>
          <w:color w:val="8EAADB" w:themeColor="accent5" w:themeTint="99"/>
          <w:sz w:val="18"/>
          <w:lang w:val="en-US"/>
        </w:rPr>
        <w:t xml:space="preserve"> </w:t>
      </w:r>
    </w:p>
    <w:p w14:paraId="5BB1195B" w14:textId="77777777" w:rsidR="001A77E7" w:rsidRDefault="001A77E7" w:rsidP="006F74CE">
      <w:pPr>
        <w:spacing w:after="0" w:line="360" w:lineRule="auto"/>
        <w:jc w:val="both"/>
        <w:rPr>
          <w:rFonts w:ascii="Arial" w:hAnsi="Arial" w:cs="Arial"/>
          <w:lang w:val="en-US"/>
        </w:rPr>
      </w:pPr>
    </w:p>
    <w:p w14:paraId="342695F2" w14:textId="61ADDE0C" w:rsidR="00510E17" w:rsidRPr="00510E17" w:rsidRDefault="001F46D8" w:rsidP="004A3AE3">
      <w:pPr>
        <w:spacing w:after="0" w:line="360" w:lineRule="auto"/>
        <w:rPr>
          <w:rFonts w:ascii="Arial" w:hAnsi="Arial" w:cs="Arial"/>
          <w:lang w:val="en-US"/>
        </w:rPr>
      </w:pPr>
      <w:r>
        <w:rPr>
          <w:rFonts w:ascii="Arial" w:hAnsi="Arial" w:cs="Arial"/>
          <w:lang w:val="en-US"/>
        </w:rPr>
        <w:t>However, noise</w:t>
      </w:r>
      <w:r w:rsidR="001564A2">
        <w:rPr>
          <w:rFonts w:ascii="Arial" w:hAnsi="Arial" w:cs="Arial"/>
          <w:lang w:val="en-US"/>
        </w:rPr>
        <w:t xml:space="preserve">, </w:t>
      </w:r>
      <w:r>
        <w:rPr>
          <w:rFonts w:ascii="Arial" w:hAnsi="Arial" w:cs="Arial"/>
          <w:lang w:val="en-US"/>
        </w:rPr>
        <w:t>in the form of medical jargon, language barriers, and aphasia</w:t>
      </w:r>
      <w:r w:rsidR="001564A2">
        <w:rPr>
          <w:rFonts w:ascii="Arial" w:hAnsi="Arial" w:cs="Arial"/>
          <w:lang w:val="en-US"/>
        </w:rPr>
        <w:t xml:space="preserve"> </w:t>
      </w:r>
      <w:r>
        <w:rPr>
          <w:rFonts w:ascii="Arial" w:hAnsi="Arial" w:cs="Arial"/>
          <w:lang w:val="en-US"/>
        </w:rPr>
        <w:t xml:space="preserve">can distort this process. To mitigate this, practitioners must </w:t>
      </w:r>
      <w:r w:rsidR="00694D62">
        <w:rPr>
          <w:rFonts w:ascii="Arial" w:hAnsi="Arial" w:cs="Arial"/>
          <w:lang w:val="en-US"/>
        </w:rPr>
        <w:t>utilize</w:t>
      </w:r>
      <w:r>
        <w:rPr>
          <w:rFonts w:ascii="Arial" w:hAnsi="Arial" w:cs="Arial"/>
          <w:lang w:val="en-US"/>
        </w:rPr>
        <w:t xml:space="preserve"> a robust feedback loop, encouraging </w:t>
      </w:r>
      <w:r w:rsidR="00E00C32">
        <w:rPr>
          <w:rFonts w:ascii="Arial" w:hAnsi="Arial" w:cs="Arial"/>
          <w:lang w:val="en-US"/>
        </w:rPr>
        <w:t>Mr.</w:t>
      </w:r>
      <w:r>
        <w:rPr>
          <w:rFonts w:ascii="Arial" w:hAnsi="Arial" w:cs="Arial"/>
          <w:lang w:val="en-US"/>
        </w:rPr>
        <w:t xml:space="preserve"> Ahmed and his wife to clarify information, thereby ensuring the message is decoded accurately. By </w:t>
      </w:r>
      <w:r w:rsidR="00694D62">
        <w:rPr>
          <w:rFonts w:ascii="Arial" w:hAnsi="Arial" w:cs="Arial"/>
          <w:lang w:val="en-US"/>
        </w:rPr>
        <w:t>recognizing</w:t>
      </w:r>
      <w:r>
        <w:rPr>
          <w:rFonts w:ascii="Arial" w:hAnsi="Arial" w:cs="Arial"/>
          <w:lang w:val="en-US"/>
        </w:rPr>
        <w:t xml:space="preserve"> these barriers, the care team can foster a more inclusive environment that respects </w:t>
      </w:r>
      <w:r w:rsidR="00E00C32">
        <w:rPr>
          <w:rFonts w:ascii="Arial" w:hAnsi="Arial" w:cs="Arial"/>
          <w:lang w:val="en-US"/>
        </w:rPr>
        <w:t>Mr.</w:t>
      </w:r>
      <w:r>
        <w:rPr>
          <w:rFonts w:ascii="Arial" w:hAnsi="Arial" w:cs="Arial"/>
          <w:lang w:val="en-US"/>
        </w:rPr>
        <w:t xml:space="preserve"> Ahmed’s heritage while addressing his clinical </w:t>
      </w:r>
      <w:r w:rsidR="00E9539C">
        <w:rPr>
          <w:rFonts w:ascii="Arial" w:hAnsi="Arial" w:cs="Arial"/>
          <w:lang w:val="en-US"/>
        </w:rPr>
        <w:t>needs.</w:t>
      </w:r>
    </w:p>
    <w:p w14:paraId="47532F3E" w14:textId="77777777" w:rsidR="00510E17" w:rsidRPr="006F74CE" w:rsidRDefault="00510E17" w:rsidP="004A3AE3">
      <w:pPr>
        <w:pStyle w:val="Heading1"/>
        <w:jc w:val="left"/>
        <w:rPr>
          <w:lang w:val="en-US"/>
        </w:rPr>
      </w:pPr>
      <w:bookmarkStart w:id="2" w:name="_Toc225009776"/>
      <w:r w:rsidRPr="006F74CE">
        <w:rPr>
          <w:lang w:val="en-US"/>
        </w:rPr>
        <w:lastRenderedPageBreak/>
        <w:t>2. Administrative Skills and Record-Keeping in Professional Practice</w:t>
      </w:r>
      <w:bookmarkEnd w:id="2"/>
    </w:p>
    <w:p w14:paraId="62FE396A" w14:textId="560340D0" w:rsidR="00F5436D" w:rsidRPr="00F5436D" w:rsidRDefault="00F5436D" w:rsidP="00F5436D">
      <w:pPr>
        <w:pStyle w:val="NormalWeb"/>
        <w:spacing w:line="360" w:lineRule="auto"/>
        <w:rPr>
          <w:rFonts w:ascii="Arial" w:hAnsi="Arial" w:cs="Arial"/>
          <w:sz w:val="22"/>
          <w:szCs w:val="22"/>
        </w:rPr>
      </w:pPr>
      <w:r w:rsidRPr="00F5436D">
        <w:rPr>
          <w:rFonts w:ascii="Arial" w:hAnsi="Arial" w:cs="Arial"/>
          <w:sz w:val="22"/>
          <w:szCs w:val="22"/>
        </w:rPr>
        <w:t xml:space="preserve">Administrative competence is not merely a clerical task but a vital component of clinical safety and legal accountability. The recent incident where a missed domiciliary visit led to </w:t>
      </w:r>
      <w:r w:rsidR="00E00C32" w:rsidRPr="00F5436D">
        <w:rPr>
          <w:rFonts w:ascii="Arial" w:hAnsi="Arial" w:cs="Arial"/>
          <w:sz w:val="22"/>
          <w:szCs w:val="22"/>
        </w:rPr>
        <w:t>Mr.</w:t>
      </w:r>
      <w:r w:rsidRPr="00F5436D">
        <w:rPr>
          <w:rFonts w:ascii="Arial" w:hAnsi="Arial" w:cs="Arial"/>
          <w:sz w:val="22"/>
          <w:szCs w:val="22"/>
        </w:rPr>
        <w:t xml:space="preserve"> Ahmed failing to receive his prescribed medication serves as a stark reminder of how administrative failures can directly compromise patient health. Precise record-keeping is essential to document treatment plans, medication schedules, and daily observations, ensuring that every member of the care team is informed of the patient's </w:t>
      </w:r>
      <w:proofErr w:type="gramStart"/>
      <w:r w:rsidRPr="00F5436D">
        <w:rPr>
          <w:rFonts w:ascii="Arial" w:hAnsi="Arial" w:cs="Arial"/>
          <w:sz w:val="22"/>
          <w:szCs w:val="22"/>
        </w:rPr>
        <w:t>current status</w:t>
      </w:r>
      <w:proofErr w:type="gramEnd"/>
      <w:r w:rsidRPr="00F5436D">
        <w:rPr>
          <w:rFonts w:ascii="Arial" w:hAnsi="Arial" w:cs="Arial"/>
          <w:sz w:val="22"/>
          <w:szCs w:val="22"/>
        </w:rPr>
        <w:t xml:space="preserve"> and any deviations from the care plan. </w:t>
      </w:r>
    </w:p>
    <w:p w14:paraId="44546F42" w14:textId="251F59B1" w:rsidR="00B6261A" w:rsidRPr="004B6649" w:rsidRDefault="00F5436D" w:rsidP="005C482A">
      <w:pPr>
        <w:pStyle w:val="NormalWeb"/>
        <w:spacing w:line="360" w:lineRule="auto"/>
        <w:rPr>
          <w:rFonts w:ascii="Arial" w:hAnsi="Arial" w:cs="Arial"/>
          <w:sz w:val="22"/>
          <w:szCs w:val="22"/>
        </w:rPr>
      </w:pPr>
      <w:r w:rsidRPr="00F5436D">
        <w:rPr>
          <w:rFonts w:ascii="Arial" w:hAnsi="Arial" w:cs="Arial"/>
          <w:sz w:val="22"/>
          <w:szCs w:val="22"/>
        </w:rPr>
        <w:t>​</w:t>
      </w:r>
      <w:r w:rsidRPr="009F2A8B">
        <w:rPr>
          <w:rFonts w:ascii="Arial" w:hAnsi="Arial" w:cs="Arial"/>
          <w:sz w:val="22"/>
          <w:szCs w:val="22"/>
        </w:rPr>
        <w:t>Legislative Compliance and Data Protection</w:t>
      </w:r>
      <w:r w:rsidR="00AB13BF">
        <w:rPr>
          <w:rFonts w:ascii="Arial" w:hAnsi="Arial" w:cs="Arial"/>
          <w:sz w:val="22"/>
          <w:szCs w:val="22"/>
        </w:rPr>
        <w:t>:</w:t>
      </w:r>
      <w:r w:rsidRPr="00F5436D">
        <w:rPr>
          <w:rFonts w:ascii="Arial" w:hAnsi="Arial" w:cs="Arial"/>
          <w:sz w:val="22"/>
          <w:szCs w:val="22"/>
        </w:rPr>
        <w:t xml:space="preserve"> In the UK, the management of such information is strictly regulated by the Data Protection Act 2018. This legislation mandates that personal health data must be processed lawfully, kept accurate, and secured against </w:t>
      </w:r>
      <w:r w:rsidR="00DE02F8" w:rsidRPr="00F5436D">
        <w:rPr>
          <w:rFonts w:ascii="Arial" w:hAnsi="Arial" w:cs="Arial"/>
          <w:sz w:val="22"/>
          <w:szCs w:val="22"/>
        </w:rPr>
        <w:t>unauthori</w:t>
      </w:r>
      <w:r w:rsidR="00DE02F8">
        <w:rPr>
          <w:rFonts w:ascii="Arial" w:hAnsi="Arial" w:cs="Arial"/>
          <w:sz w:val="22"/>
          <w:szCs w:val="22"/>
        </w:rPr>
        <w:t>z</w:t>
      </w:r>
      <w:r w:rsidR="00DE02F8" w:rsidRPr="00F5436D">
        <w:rPr>
          <w:rFonts w:ascii="Arial" w:hAnsi="Arial" w:cs="Arial"/>
          <w:sz w:val="22"/>
          <w:szCs w:val="22"/>
        </w:rPr>
        <w:t>ed</w:t>
      </w:r>
      <w:r w:rsidRPr="00F5436D">
        <w:rPr>
          <w:rFonts w:ascii="Arial" w:hAnsi="Arial" w:cs="Arial"/>
          <w:sz w:val="22"/>
          <w:szCs w:val="22"/>
        </w:rPr>
        <w:t xml:space="preserve"> access.</w:t>
      </w:r>
    </w:p>
    <w:p w14:paraId="2500B00D" w14:textId="77777777" w:rsidR="006F74CE" w:rsidRPr="006F74CE" w:rsidRDefault="006F74CE" w:rsidP="006F74CE">
      <w:pPr>
        <w:spacing w:after="0" w:line="360" w:lineRule="auto"/>
        <w:jc w:val="both"/>
        <w:rPr>
          <w:rFonts w:ascii="Arial" w:hAnsi="Arial" w:cs="Arial"/>
          <w:b/>
          <w:bCs/>
          <w:lang w:val="en-US"/>
        </w:rPr>
      </w:pPr>
      <w:r w:rsidRPr="006F74CE">
        <w:rPr>
          <w:rFonts w:ascii="Arial" w:hAnsi="Arial" w:cs="Arial"/>
          <w:b/>
          <w:bCs/>
          <w:lang w:val="en-US"/>
        </w:rPr>
        <w:t>Table 1</w:t>
      </w:r>
      <w:r w:rsidR="00510E17">
        <w:rPr>
          <w:rFonts w:ascii="Arial" w:hAnsi="Arial" w:cs="Arial"/>
          <w:b/>
          <w:bCs/>
          <w:lang w:val="en-US"/>
        </w:rPr>
        <w:t>.1</w:t>
      </w:r>
      <w:r w:rsidRPr="006F74CE">
        <w:rPr>
          <w:rFonts w:ascii="Arial" w:hAnsi="Arial" w:cs="Arial"/>
          <w:b/>
          <w:bCs/>
          <w:lang w:val="en-US"/>
        </w:rPr>
        <w:t>: Key Principles of Data Protection in Health and Social Care</w:t>
      </w:r>
    </w:p>
    <w:tbl>
      <w:tblPr>
        <w:tblStyle w:val="TableGrid"/>
        <w:tblW w:w="9247" w:type="dxa"/>
        <w:tblLook w:val="04A0" w:firstRow="1" w:lastRow="0" w:firstColumn="1" w:lastColumn="0" w:noHBand="0" w:noVBand="1"/>
      </w:tblPr>
      <w:tblGrid>
        <w:gridCol w:w="2317"/>
        <w:gridCol w:w="6930"/>
      </w:tblGrid>
      <w:tr w:rsidR="008C6478" w:rsidRPr="008C6478" w14:paraId="035343A8" w14:textId="77777777" w:rsidTr="00547900">
        <w:trPr>
          <w:trHeight w:val="315"/>
        </w:trPr>
        <w:tc>
          <w:tcPr>
            <w:tcW w:w="2317" w:type="dxa"/>
            <w:hideMark/>
          </w:tcPr>
          <w:p w14:paraId="266E991F" w14:textId="77777777" w:rsidR="008C6478" w:rsidRPr="008C6478" w:rsidRDefault="008C6478" w:rsidP="008C6478">
            <w:pPr>
              <w:spacing w:line="276" w:lineRule="auto"/>
              <w:jc w:val="center"/>
              <w:rPr>
                <w:rFonts w:ascii="Arial" w:hAnsi="Arial" w:cs="Arial"/>
                <w:b/>
                <w:bCs/>
                <w:lang w:val="en-US"/>
              </w:rPr>
            </w:pPr>
            <w:r w:rsidRPr="008C6478">
              <w:rPr>
                <w:rFonts w:ascii="Arial" w:hAnsi="Arial" w:cs="Arial"/>
                <w:b/>
                <w:bCs/>
                <w:lang w:val="en-US"/>
              </w:rPr>
              <w:t>Principle</w:t>
            </w:r>
          </w:p>
        </w:tc>
        <w:tc>
          <w:tcPr>
            <w:tcW w:w="6930" w:type="dxa"/>
            <w:hideMark/>
          </w:tcPr>
          <w:p w14:paraId="7BF50F27" w14:textId="31E86636" w:rsidR="008C6478" w:rsidRPr="008C6478" w:rsidRDefault="008C6478" w:rsidP="008C6478">
            <w:pPr>
              <w:spacing w:line="276" w:lineRule="auto"/>
              <w:jc w:val="center"/>
              <w:rPr>
                <w:rFonts w:ascii="Arial" w:hAnsi="Arial" w:cs="Arial"/>
                <w:b/>
                <w:bCs/>
                <w:lang w:val="en-US"/>
              </w:rPr>
            </w:pPr>
            <w:r w:rsidRPr="008C6478">
              <w:rPr>
                <w:rFonts w:ascii="Arial" w:hAnsi="Arial" w:cs="Arial"/>
                <w:b/>
                <w:bCs/>
                <w:lang w:val="en-US"/>
              </w:rPr>
              <w:t xml:space="preserve">Application in </w:t>
            </w:r>
            <w:r w:rsidR="00F140F6" w:rsidRPr="008C6478">
              <w:rPr>
                <w:rFonts w:ascii="Arial" w:hAnsi="Arial" w:cs="Arial"/>
                <w:b/>
                <w:bCs/>
                <w:lang w:val="en-US"/>
              </w:rPr>
              <w:t>Mr.</w:t>
            </w:r>
            <w:r w:rsidRPr="008C6478">
              <w:rPr>
                <w:rFonts w:ascii="Arial" w:hAnsi="Arial" w:cs="Arial"/>
                <w:b/>
                <w:bCs/>
                <w:lang w:val="en-US"/>
              </w:rPr>
              <w:t xml:space="preserve"> Ahmed’s Care</w:t>
            </w:r>
          </w:p>
        </w:tc>
      </w:tr>
      <w:tr w:rsidR="008C6478" w:rsidRPr="008C6478" w14:paraId="3948BE93" w14:textId="77777777" w:rsidTr="00547900">
        <w:trPr>
          <w:trHeight w:val="315"/>
        </w:trPr>
        <w:tc>
          <w:tcPr>
            <w:tcW w:w="2317" w:type="dxa"/>
            <w:hideMark/>
          </w:tcPr>
          <w:p w14:paraId="2C573A81"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Lawful processing</w:t>
            </w:r>
          </w:p>
        </w:tc>
        <w:tc>
          <w:tcPr>
            <w:tcW w:w="6930" w:type="dxa"/>
            <w:hideMark/>
          </w:tcPr>
          <w:p w14:paraId="296C42BB"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Personal health information used only for clinical purposes</w:t>
            </w:r>
          </w:p>
        </w:tc>
      </w:tr>
      <w:tr w:rsidR="008C6478" w:rsidRPr="008C6478" w14:paraId="77B872DC" w14:textId="77777777" w:rsidTr="00547900">
        <w:trPr>
          <w:trHeight w:val="315"/>
        </w:trPr>
        <w:tc>
          <w:tcPr>
            <w:tcW w:w="2317" w:type="dxa"/>
            <w:hideMark/>
          </w:tcPr>
          <w:p w14:paraId="36C3E18C"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Confidentiality</w:t>
            </w:r>
          </w:p>
        </w:tc>
        <w:tc>
          <w:tcPr>
            <w:tcW w:w="6930" w:type="dxa"/>
            <w:hideMark/>
          </w:tcPr>
          <w:p w14:paraId="13B09107" w14:textId="435EBA70" w:rsidR="008C6478" w:rsidRPr="008C6478" w:rsidRDefault="008C6478" w:rsidP="008C6478">
            <w:pPr>
              <w:spacing w:line="276" w:lineRule="auto"/>
              <w:jc w:val="both"/>
              <w:rPr>
                <w:rFonts w:ascii="Arial" w:hAnsi="Arial" w:cs="Arial"/>
                <w:lang w:val="en-US"/>
              </w:rPr>
            </w:pPr>
            <w:r w:rsidRPr="008C6478">
              <w:rPr>
                <w:rFonts w:ascii="Arial" w:hAnsi="Arial" w:cs="Arial"/>
                <w:lang w:val="en-US"/>
              </w:rPr>
              <w:t xml:space="preserve">Only </w:t>
            </w:r>
            <w:r w:rsidR="0062051A" w:rsidRPr="008C6478">
              <w:rPr>
                <w:rFonts w:ascii="Arial" w:hAnsi="Arial" w:cs="Arial"/>
                <w:lang w:val="en-US"/>
              </w:rPr>
              <w:t>authori</w:t>
            </w:r>
            <w:r w:rsidR="0062051A">
              <w:rPr>
                <w:rFonts w:ascii="Arial" w:hAnsi="Arial" w:cs="Arial"/>
                <w:lang w:val="en-US"/>
              </w:rPr>
              <w:t>z</w:t>
            </w:r>
            <w:r w:rsidR="0062051A" w:rsidRPr="008C6478">
              <w:rPr>
                <w:rFonts w:ascii="Arial" w:hAnsi="Arial" w:cs="Arial"/>
                <w:lang w:val="en-US"/>
              </w:rPr>
              <w:t>ed</w:t>
            </w:r>
            <w:r w:rsidRPr="008C6478">
              <w:rPr>
                <w:rFonts w:ascii="Arial" w:hAnsi="Arial" w:cs="Arial"/>
                <w:lang w:val="en-US"/>
              </w:rPr>
              <w:t xml:space="preserve"> professionals access </w:t>
            </w:r>
            <w:r w:rsidR="00F140F6" w:rsidRPr="008C6478">
              <w:rPr>
                <w:rFonts w:ascii="Arial" w:hAnsi="Arial" w:cs="Arial"/>
                <w:lang w:val="en-US"/>
              </w:rPr>
              <w:t>Mr.</w:t>
            </w:r>
            <w:r w:rsidRPr="008C6478">
              <w:rPr>
                <w:rFonts w:ascii="Arial" w:hAnsi="Arial" w:cs="Arial"/>
                <w:lang w:val="en-US"/>
              </w:rPr>
              <w:t xml:space="preserve"> Ahmed’s records</w:t>
            </w:r>
          </w:p>
        </w:tc>
      </w:tr>
      <w:tr w:rsidR="008C6478" w:rsidRPr="008C6478" w14:paraId="5A52B496" w14:textId="77777777" w:rsidTr="00547900">
        <w:trPr>
          <w:trHeight w:val="315"/>
        </w:trPr>
        <w:tc>
          <w:tcPr>
            <w:tcW w:w="2317" w:type="dxa"/>
            <w:hideMark/>
          </w:tcPr>
          <w:p w14:paraId="7A1B6066"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Accuracy</w:t>
            </w:r>
          </w:p>
        </w:tc>
        <w:tc>
          <w:tcPr>
            <w:tcW w:w="6930" w:type="dxa"/>
            <w:hideMark/>
          </w:tcPr>
          <w:p w14:paraId="074E1A46"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Medical records updated after each domiciliary visit</w:t>
            </w:r>
          </w:p>
        </w:tc>
      </w:tr>
      <w:tr w:rsidR="008C6478" w:rsidRPr="008C6478" w14:paraId="58A199FC" w14:textId="77777777" w:rsidTr="00547900">
        <w:trPr>
          <w:trHeight w:val="315"/>
        </w:trPr>
        <w:tc>
          <w:tcPr>
            <w:tcW w:w="2317" w:type="dxa"/>
            <w:hideMark/>
          </w:tcPr>
          <w:p w14:paraId="31E6D16F" w14:textId="22873972" w:rsidR="008C6478" w:rsidRPr="008C6478" w:rsidRDefault="008C6478" w:rsidP="008C6478">
            <w:pPr>
              <w:spacing w:line="276" w:lineRule="auto"/>
              <w:jc w:val="both"/>
              <w:rPr>
                <w:rFonts w:ascii="Arial" w:hAnsi="Arial" w:cs="Arial"/>
                <w:lang w:val="en-US"/>
              </w:rPr>
            </w:pPr>
            <w:r w:rsidRPr="008C6478">
              <w:rPr>
                <w:rFonts w:ascii="Arial" w:hAnsi="Arial" w:cs="Arial"/>
                <w:lang w:val="en-US"/>
              </w:rPr>
              <w:t xml:space="preserve">Data </w:t>
            </w:r>
            <w:r w:rsidR="0062051A" w:rsidRPr="008C6478">
              <w:rPr>
                <w:rFonts w:ascii="Arial" w:hAnsi="Arial" w:cs="Arial"/>
                <w:lang w:val="en-US"/>
              </w:rPr>
              <w:t>minimi</w:t>
            </w:r>
            <w:r w:rsidR="0062051A">
              <w:rPr>
                <w:rFonts w:ascii="Arial" w:hAnsi="Arial" w:cs="Arial"/>
                <w:lang w:val="en-US"/>
              </w:rPr>
              <w:t>z</w:t>
            </w:r>
            <w:r w:rsidR="0062051A" w:rsidRPr="008C6478">
              <w:rPr>
                <w:rFonts w:ascii="Arial" w:hAnsi="Arial" w:cs="Arial"/>
                <w:lang w:val="en-US"/>
              </w:rPr>
              <w:t>ation</w:t>
            </w:r>
          </w:p>
        </w:tc>
        <w:tc>
          <w:tcPr>
            <w:tcW w:w="6930" w:type="dxa"/>
            <w:hideMark/>
          </w:tcPr>
          <w:p w14:paraId="7EFD5B39"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Only relevant health information recorded</w:t>
            </w:r>
          </w:p>
        </w:tc>
      </w:tr>
      <w:tr w:rsidR="008C6478" w:rsidRPr="008C6478" w14:paraId="1BEA955B" w14:textId="77777777" w:rsidTr="00547900">
        <w:trPr>
          <w:trHeight w:val="315"/>
        </w:trPr>
        <w:tc>
          <w:tcPr>
            <w:tcW w:w="2317" w:type="dxa"/>
            <w:hideMark/>
          </w:tcPr>
          <w:p w14:paraId="4A9D3130"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Security</w:t>
            </w:r>
          </w:p>
        </w:tc>
        <w:tc>
          <w:tcPr>
            <w:tcW w:w="6930" w:type="dxa"/>
            <w:hideMark/>
          </w:tcPr>
          <w:p w14:paraId="0B74D3B6"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Electronic and physical records protected</w:t>
            </w:r>
          </w:p>
        </w:tc>
      </w:tr>
    </w:tbl>
    <w:p w14:paraId="11708C4B" w14:textId="77777777" w:rsidR="008C6478" w:rsidRDefault="008C6478" w:rsidP="006F74CE">
      <w:pPr>
        <w:spacing w:after="0" w:line="360" w:lineRule="auto"/>
        <w:jc w:val="both"/>
        <w:rPr>
          <w:rFonts w:ascii="Arial" w:hAnsi="Arial" w:cs="Arial"/>
          <w:lang w:val="en-US"/>
        </w:rPr>
      </w:pPr>
    </w:p>
    <w:p w14:paraId="03B41F4D" w14:textId="0E20CEB7" w:rsidR="000F477A" w:rsidRPr="000737DC" w:rsidRDefault="000F477A" w:rsidP="000737DC">
      <w:pPr>
        <w:pStyle w:val="NormalWeb"/>
        <w:spacing w:line="360" w:lineRule="auto"/>
        <w:rPr>
          <w:rFonts w:ascii="Arial" w:hAnsi="Arial" w:cs="Arial"/>
          <w:sz w:val="22"/>
          <w:szCs w:val="22"/>
        </w:rPr>
      </w:pPr>
      <w:r w:rsidRPr="000737DC">
        <w:rPr>
          <w:rFonts w:ascii="Arial" w:hAnsi="Arial" w:cs="Arial"/>
          <w:sz w:val="22"/>
          <w:szCs w:val="22"/>
        </w:rPr>
        <w:t xml:space="preserve">For </w:t>
      </w:r>
      <w:r w:rsidR="00E00C32" w:rsidRPr="000737DC">
        <w:rPr>
          <w:rFonts w:ascii="Arial" w:hAnsi="Arial" w:cs="Arial"/>
          <w:sz w:val="22"/>
          <w:szCs w:val="22"/>
        </w:rPr>
        <w:t>Mr.</w:t>
      </w:r>
      <w:r w:rsidRPr="000737DC">
        <w:rPr>
          <w:rFonts w:ascii="Arial" w:hAnsi="Arial" w:cs="Arial"/>
          <w:sz w:val="22"/>
          <w:szCs w:val="22"/>
        </w:rPr>
        <w:t xml:space="preserve"> Ahmed, this means his sensitive stroke therapy records and medication logs must be accessible to his multidisciplinary team while being shielded from external breaches. This aligns with the Care Act 2014, which </w:t>
      </w:r>
      <w:r w:rsidR="0062051A" w:rsidRPr="000737DC">
        <w:rPr>
          <w:rFonts w:ascii="Arial" w:hAnsi="Arial" w:cs="Arial"/>
          <w:sz w:val="22"/>
          <w:szCs w:val="22"/>
        </w:rPr>
        <w:t>emphasi</w:t>
      </w:r>
      <w:r w:rsidR="0062051A">
        <w:rPr>
          <w:rFonts w:ascii="Arial" w:hAnsi="Arial" w:cs="Arial"/>
          <w:sz w:val="22"/>
          <w:szCs w:val="22"/>
        </w:rPr>
        <w:t>z</w:t>
      </w:r>
      <w:r w:rsidR="0062051A" w:rsidRPr="000737DC">
        <w:rPr>
          <w:rFonts w:ascii="Arial" w:hAnsi="Arial" w:cs="Arial"/>
          <w:sz w:val="22"/>
          <w:szCs w:val="22"/>
        </w:rPr>
        <w:t>es</w:t>
      </w:r>
      <w:r w:rsidRPr="000737DC">
        <w:rPr>
          <w:rFonts w:ascii="Arial" w:hAnsi="Arial" w:cs="Arial"/>
          <w:sz w:val="22"/>
          <w:szCs w:val="22"/>
        </w:rPr>
        <w:t xml:space="preserve"> that transparency and accountability in </w:t>
      </w:r>
      <w:r w:rsidR="002827EF">
        <w:rPr>
          <w:rFonts w:ascii="Arial" w:hAnsi="Arial" w:cs="Arial"/>
          <w:sz w:val="22"/>
          <w:szCs w:val="22"/>
        </w:rPr>
        <w:t>accurate and comprehensive record-keeping (</w:t>
      </w:r>
      <w:proofErr w:type="spellStart"/>
      <w:r w:rsidR="002827EF">
        <w:rPr>
          <w:rFonts w:ascii="Arial" w:hAnsi="Arial" w:cs="Arial"/>
          <w:sz w:val="22"/>
          <w:szCs w:val="22"/>
        </w:rPr>
        <w:t>Mitchels</w:t>
      </w:r>
      <w:proofErr w:type="spellEnd"/>
      <w:r w:rsidR="002827EF">
        <w:rPr>
          <w:rFonts w:ascii="Arial" w:hAnsi="Arial" w:cs="Arial"/>
          <w:sz w:val="22"/>
          <w:szCs w:val="22"/>
        </w:rPr>
        <w:t xml:space="preserve"> and Bond</w:t>
      </w:r>
      <w:r w:rsidR="006B1F95">
        <w:rPr>
          <w:rFonts w:ascii="Arial" w:hAnsi="Arial" w:cs="Arial"/>
          <w:sz w:val="22"/>
          <w:szCs w:val="22"/>
        </w:rPr>
        <w:t>, 2021)</w:t>
      </w:r>
      <w:r w:rsidRPr="000737DC">
        <w:rPr>
          <w:rFonts w:ascii="Arial" w:hAnsi="Arial" w:cs="Arial"/>
          <w:sz w:val="22"/>
          <w:szCs w:val="22"/>
        </w:rPr>
        <w:t xml:space="preserve"> are fundamental to safeguarding vulnerable adults. When a visit is missed, a robust administrative system should flag the lapse immediately; the failure to do so in this case suggests a need for tighter oversight of digital scheduling and reporting.</w:t>
      </w:r>
    </w:p>
    <w:p w14:paraId="30217B6E" w14:textId="1E76EE56" w:rsidR="000F477A" w:rsidRPr="000737DC" w:rsidRDefault="000F477A" w:rsidP="000737DC">
      <w:pPr>
        <w:pStyle w:val="NormalWeb"/>
        <w:spacing w:line="360" w:lineRule="auto"/>
        <w:rPr>
          <w:rFonts w:ascii="Arial" w:hAnsi="Arial" w:cs="Arial"/>
          <w:sz w:val="22"/>
          <w:szCs w:val="22"/>
        </w:rPr>
      </w:pPr>
      <w:r w:rsidRPr="000737DC">
        <w:rPr>
          <w:rFonts w:ascii="Arial" w:hAnsi="Arial" w:cs="Arial"/>
          <w:sz w:val="22"/>
          <w:szCs w:val="22"/>
        </w:rPr>
        <w:t>​</w:t>
      </w:r>
      <w:r w:rsidRPr="009F2A8B">
        <w:rPr>
          <w:rFonts w:ascii="Arial" w:hAnsi="Arial" w:cs="Arial"/>
          <w:sz w:val="22"/>
          <w:szCs w:val="22"/>
        </w:rPr>
        <w:t>Accountability and Audit Trails</w:t>
      </w:r>
      <w:r w:rsidR="009F2A8B">
        <w:rPr>
          <w:rFonts w:ascii="Arial" w:hAnsi="Arial" w:cs="Arial"/>
          <w:sz w:val="22"/>
          <w:szCs w:val="22"/>
        </w:rPr>
        <w:t xml:space="preserve">: </w:t>
      </w:r>
      <w:r w:rsidRPr="000737DC">
        <w:rPr>
          <w:rFonts w:ascii="Arial" w:hAnsi="Arial" w:cs="Arial"/>
          <w:sz w:val="22"/>
          <w:szCs w:val="22"/>
        </w:rPr>
        <w:t>Effective administration also involves ethical considerations regarding data ownership and the balance between professional information-sharing and patient privacy</w:t>
      </w:r>
      <w:r w:rsidR="00DA3C55">
        <w:rPr>
          <w:rFonts w:ascii="Arial" w:hAnsi="Arial" w:cs="Arial"/>
          <w:sz w:val="22"/>
          <w:szCs w:val="22"/>
        </w:rPr>
        <w:t xml:space="preserve"> </w:t>
      </w:r>
      <w:r w:rsidR="00283136">
        <w:rPr>
          <w:rFonts w:ascii="Arial" w:hAnsi="Arial" w:cs="Arial"/>
          <w:sz w:val="22"/>
          <w:szCs w:val="22"/>
        </w:rPr>
        <w:t>(Scheibner et al., 2020).</w:t>
      </w:r>
      <w:r w:rsidRPr="000737DC">
        <w:rPr>
          <w:rFonts w:ascii="Arial" w:hAnsi="Arial" w:cs="Arial"/>
          <w:sz w:val="22"/>
          <w:szCs w:val="22"/>
        </w:rPr>
        <w:t xml:space="preserve"> By maintaining meticulous records, the care agency can facilitate an honest investigation into the missed visit, identifying systemic weaknesses and preventing future lapses in </w:t>
      </w:r>
      <w:r w:rsidR="00E00C32" w:rsidRPr="000737DC">
        <w:rPr>
          <w:rFonts w:ascii="Arial" w:hAnsi="Arial" w:cs="Arial"/>
          <w:sz w:val="22"/>
          <w:szCs w:val="22"/>
        </w:rPr>
        <w:t>Mr.</w:t>
      </w:r>
      <w:r w:rsidRPr="000737DC">
        <w:rPr>
          <w:rFonts w:ascii="Arial" w:hAnsi="Arial" w:cs="Arial"/>
          <w:sz w:val="22"/>
          <w:szCs w:val="22"/>
        </w:rPr>
        <w:t xml:space="preserve"> Ahmed's care. High-quality documentation serves as a protective </w:t>
      </w:r>
      <w:r w:rsidRPr="000737DC">
        <w:rPr>
          <w:rFonts w:ascii="Arial" w:hAnsi="Arial" w:cs="Arial"/>
          <w:sz w:val="22"/>
          <w:szCs w:val="22"/>
        </w:rPr>
        <w:lastRenderedPageBreak/>
        <w:t xml:space="preserve">measure for both the practitioner and the service user, providing a clear audit </w:t>
      </w:r>
      <w:proofErr w:type="gramStart"/>
      <w:r w:rsidRPr="000737DC">
        <w:rPr>
          <w:rFonts w:ascii="Arial" w:hAnsi="Arial" w:cs="Arial"/>
          <w:sz w:val="22"/>
          <w:szCs w:val="22"/>
        </w:rPr>
        <w:t>trail</w:t>
      </w:r>
      <w:proofErr w:type="gramEnd"/>
      <w:r w:rsidRPr="000737DC">
        <w:rPr>
          <w:rFonts w:ascii="Arial" w:hAnsi="Arial" w:cs="Arial"/>
          <w:sz w:val="22"/>
          <w:szCs w:val="22"/>
        </w:rPr>
        <w:t xml:space="preserve"> of the care delivered.</w:t>
      </w:r>
    </w:p>
    <w:p w14:paraId="3DCA2028" w14:textId="77777777" w:rsidR="006F74CE" w:rsidRPr="006F74CE" w:rsidRDefault="006F74CE" w:rsidP="004E616C">
      <w:pPr>
        <w:pStyle w:val="Heading1"/>
        <w:jc w:val="left"/>
        <w:rPr>
          <w:lang w:val="en-US"/>
        </w:rPr>
      </w:pPr>
      <w:bookmarkStart w:id="3" w:name="_Toc225009777"/>
      <w:r w:rsidRPr="006F74CE">
        <w:rPr>
          <w:lang w:val="en-US"/>
        </w:rPr>
        <w:t>3. Collaborative Working in Multidisciplinary Health and Social Care</w:t>
      </w:r>
      <w:bookmarkEnd w:id="3"/>
    </w:p>
    <w:p w14:paraId="56E70DC2" w14:textId="609C1069" w:rsidR="001A77E7" w:rsidRPr="006F74CE" w:rsidRDefault="00F16D82" w:rsidP="00F16D82">
      <w:pPr>
        <w:spacing w:after="0" w:line="360" w:lineRule="auto"/>
        <w:rPr>
          <w:rFonts w:ascii="Arial" w:hAnsi="Arial" w:cs="Arial"/>
          <w:lang w:val="en-US"/>
        </w:rPr>
      </w:pPr>
      <w:r w:rsidRPr="00F16D82">
        <w:rPr>
          <w:rFonts w:ascii="Arial" w:eastAsia="Times New Roman" w:hAnsi="Arial" w:cs="Arial"/>
          <w:color w:val="000000"/>
        </w:rPr>
        <w:t>The management of complex post-stroke recovery requires a multidisciplinary team (MDT) comprising a GP, district nurse, speech and language therapist (SLT), and domiciliary care workers.</w:t>
      </w:r>
      <w:r w:rsidR="00A258B5">
        <w:rPr>
          <w:rFonts w:ascii="Arial" w:hAnsi="Arial" w:cs="Arial"/>
          <w:noProof/>
          <w:lang w:val="en-US"/>
        </w:rPr>
        <w:t>,</w:t>
      </w:r>
      <w:r w:rsidR="001A77E7" w:rsidRPr="001A77E7">
        <w:rPr>
          <w:rFonts w:ascii="Arial" w:hAnsi="Arial" w:cs="Arial"/>
          <w:noProof/>
          <w:lang w:val="en-US"/>
        </w:rPr>
        <w:drawing>
          <wp:inline distT="0" distB="0" distL="0" distR="0" wp14:anchorId="4CA7DDEE" wp14:editId="63A6011A">
            <wp:extent cx="6326505" cy="208443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stretch>
                      <a:fillRect/>
                    </a:stretch>
                  </pic:blipFill>
                  <pic:spPr>
                    <a:xfrm>
                      <a:off x="0" y="0"/>
                      <a:ext cx="6348938" cy="2091830"/>
                    </a:xfrm>
                    <a:prstGeom prst="rect">
                      <a:avLst/>
                    </a:prstGeom>
                  </pic:spPr>
                </pic:pic>
              </a:graphicData>
            </a:graphic>
          </wp:inline>
        </w:drawing>
      </w:r>
    </w:p>
    <w:p w14:paraId="79079FEB" w14:textId="657D46E3" w:rsidR="006F74CE" w:rsidRPr="001A77E7" w:rsidRDefault="00510E17" w:rsidP="001A77E7">
      <w:pPr>
        <w:spacing w:after="0" w:line="360" w:lineRule="auto"/>
        <w:jc w:val="center"/>
        <w:rPr>
          <w:rFonts w:ascii="Arial" w:hAnsi="Arial" w:cs="Arial"/>
          <w:b/>
          <w:bCs/>
          <w:i/>
          <w:color w:val="8EAADB" w:themeColor="accent5" w:themeTint="99"/>
          <w:sz w:val="18"/>
          <w:lang w:val="en-US"/>
        </w:rPr>
      </w:pPr>
      <w:r>
        <w:rPr>
          <w:rFonts w:ascii="Arial" w:hAnsi="Arial" w:cs="Arial"/>
          <w:b/>
          <w:bCs/>
          <w:i/>
          <w:color w:val="8EAADB" w:themeColor="accent5" w:themeTint="99"/>
          <w:sz w:val="18"/>
          <w:lang w:val="en-US"/>
        </w:rPr>
        <w:t>Figure 2</w:t>
      </w:r>
      <w:r w:rsidR="00BC0601">
        <w:rPr>
          <w:rFonts w:ascii="Arial" w:hAnsi="Arial" w:cs="Arial"/>
          <w:b/>
          <w:bCs/>
          <w:i/>
          <w:color w:val="8EAADB" w:themeColor="accent5" w:themeTint="99"/>
          <w:sz w:val="18"/>
          <w:lang w:val="en-US"/>
        </w:rPr>
        <w:t>.1</w:t>
      </w:r>
      <w:r w:rsidR="006F74CE" w:rsidRPr="001A77E7">
        <w:rPr>
          <w:rFonts w:ascii="Arial" w:hAnsi="Arial" w:cs="Arial"/>
          <w:b/>
          <w:bCs/>
          <w:i/>
          <w:color w:val="8EAADB" w:themeColor="accent5" w:themeTint="99"/>
          <w:sz w:val="18"/>
          <w:lang w:val="en-US"/>
        </w:rPr>
        <w:t xml:space="preserve">: Multidisciplinary Team Structure in </w:t>
      </w:r>
      <w:r w:rsidR="009E5186" w:rsidRPr="001A77E7">
        <w:rPr>
          <w:rFonts w:ascii="Arial" w:hAnsi="Arial" w:cs="Arial"/>
          <w:b/>
          <w:bCs/>
          <w:i/>
          <w:color w:val="8EAADB" w:themeColor="accent5" w:themeTint="99"/>
          <w:sz w:val="18"/>
          <w:lang w:val="en-US"/>
        </w:rPr>
        <w:t>Mr.</w:t>
      </w:r>
      <w:r w:rsidR="006F74CE" w:rsidRPr="001A77E7">
        <w:rPr>
          <w:rFonts w:ascii="Arial" w:hAnsi="Arial" w:cs="Arial"/>
          <w:b/>
          <w:bCs/>
          <w:i/>
          <w:color w:val="8EAADB" w:themeColor="accent5" w:themeTint="99"/>
          <w:sz w:val="18"/>
          <w:lang w:val="en-US"/>
        </w:rPr>
        <w:t xml:space="preserve"> Ahmed’s Care</w:t>
      </w:r>
      <w:r w:rsidR="001A77E7">
        <w:rPr>
          <w:rFonts w:ascii="Arial" w:hAnsi="Arial" w:cs="Arial"/>
          <w:b/>
          <w:bCs/>
          <w:i/>
          <w:color w:val="8EAADB" w:themeColor="accent5" w:themeTint="99"/>
          <w:sz w:val="18"/>
          <w:lang w:val="en-US"/>
        </w:rPr>
        <w:t xml:space="preserve"> </w:t>
      </w:r>
    </w:p>
    <w:p w14:paraId="348EEF69" w14:textId="77777777" w:rsidR="001A77E7" w:rsidRDefault="001A77E7" w:rsidP="006F74CE">
      <w:pPr>
        <w:spacing w:after="0" w:line="360" w:lineRule="auto"/>
        <w:jc w:val="both"/>
        <w:rPr>
          <w:rFonts w:ascii="Arial" w:hAnsi="Arial" w:cs="Arial"/>
          <w:lang w:val="en-US"/>
        </w:rPr>
      </w:pPr>
    </w:p>
    <w:p w14:paraId="541976E5" w14:textId="77777777" w:rsidR="00E93F8A" w:rsidRPr="00A81661" w:rsidRDefault="00E93F8A" w:rsidP="00A81661">
      <w:pPr>
        <w:pStyle w:val="NormalWeb"/>
        <w:spacing w:line="360" w:lineRule="auto"/>
        <w:rPr>
          <w:rFonts w:ascii="Arial" w:hAnsi="Arial" w:cs="Arial"/>
          <w:sz w:val="22"/>
          <w:szCs w:val="22"/>
        </w:rPr>
      </w:pPr>
      <w:r w:rsidRPr="00A81661">
        <w:rPr>
          <w:rFonts w:ascii="Arial" w:hAnsi="Arial" w:cs="Arial"/>
          <w:sz w:val="22"/>
          <w:szCs w:val="22"/>
        </w:rPr>
        <w:t xml:space="preserve">Each professional brings distinct expertise: the GP provides medical oversight, the district nurse monitors physiological markers like blood pressure and skin integrity, and the SLT focuses on rehabilitating swallowing (dysphagia) and speech functions. This diversity of skill ensures that the patient is treated as a "whole person" rather than a set of symptoms. </w:t>
      </w:r>
    </w:p>
    <w:p w14:paraId="6FF31F48" w14:textId="71A02AFE" w:rsidR="00E93F8A" w:rsidRPr="00A81661" w:rsidRDefault="00E93F8A" w:rsidP="00A81661">
      <w:pPr>
        <w:pStyle w:val="NormalWeb"/>
        <w:spacing w:line="360" w:lineRule="auto"/>
        <w:rPr>
          <w:rFonts w:ascii="Arial" w:hAnsi="Arial" w:cs="Arial"/>
          <w:sz w:val="22"/>
          <w:szCs w:val="22"/>
        </w:rPr>
      </w:pPr>
      <w:r w:rsidRPr="00A81661">
        <w:rPr>
          <w:rFonts w:ascii="Arial" w:hAnsi="Arial" w:cs="Arial"/>
          <w:sz w:val="22"/>
          <w:szCs w:val="22"/>
        </w:rPr>
        <w:t>​</w:t>
      </w:r>
      <w:r w:rsidR="00937F04">
        <w:rPr>
          <w:rFonts w:ascii="Arial" w:hAnsi="Arial" w:cs="Arial"/>
          <w:sz w:val="22"/>
          <w:szCs w:val="22"/>
        </w:rPr>
        <w:t xml:space="preserve">According to Carrier, Jones and Newbury (2022), </w:t>
      </w:r>
      <w:r w:rsidR="003E5B12">
        <w:rPr>
          <w:rFonts w:ascii="Arial" w:hAnsi="Arial" w:cs="Arial"/>
          <w:sz w:val="22"/>
          <w:szCs w:val="22"/>
        </w:rPr>
        <w:t>multidisciplinary working is essential for the effective</w:t>
      </w:r>
      <w:r w:rsidR="00D8451A">
        <w:rPr>
          <w:rFonts w:ascii="Arial" w:hAnsi="Arial" w:cs="Arial"/>
          <w:sz w:val="22"/>
          <w:szCs w:val="22"/>
        </w:rPr>
        <w:t xml:space="preserve"> coordination of care, ensu</w:t>
      </w:r>
      <w:r w:rsidR="00866011">
        <w:rPr>
          <w:rFonts w:ascii="Arial" w:hAnsi="Arial" w:cs="Arial"/>
          <w:sz w:val="22"/>
          <w:szCs w:val="22"/>
        </w:rPr>
        <w:t>ring that complex needs are met through a unified strategy</w:t>
      </w:r>
      <w:r w:rsidR="00421BDD">
        <w:rPr>
          <w:rFonts w:ascii="Arial" w:hAnsi="Arial" w:cs="Arial"/>
          <w:sz w:val="22"/>
          <w:szCs w:val="22"/>
        </w:rPr>
        <w:t xml:space="preserve">. Furthermore, Durand et al. (2025) </w:t>
      </w:r>
      <w:r w:rsidR="009E6FD0">
        <w:rPr>
          <w:rFonts w:ascii="Arial" w:hAnsi="Arial" w:cs="Arial"/>
          <w:sz w:val="22"/>
          <w:szCs w:val="22"/>
        </w:rPr>
        <w:t>emphasize</w:t>
      </w:r>
      <w:r w:rsidR="003E4542">
        <w:rPr>
          <w:rFonts w:ascii="Arial" w:hAnsi="Arial" w:cs="Arial"/>
          <w:sz w:val="22"/>
          <w:szCs w:val="22"/>
        </w:rPr>
        <w:t xml:space="preserve"> that integrated MDTs are vital for reducing</w:t>
      </w:r>
      <w:r w:rsidR="00E06940">
        <w:rPr>
          <w:rFonts w:ascii="Arial" w:hAnsi="Arial" w:cs="Arial"/>
          <w:sz w:val="22"/>
          <w:szCs w:val="22"/>
        </w:rPr>
        <w:t xml:space="preserve"> service fragmentation.</w:t>
      </w:r>
      <w:r w:rsidR="00CD4F78">
        <w:rPr>
          <w:rFonts w:ascii="Arial" w:hAnsi="Arial" w:cs="Arial"/>
          <w:sz w:val="22"/>
          <w:szCs w:val="22"/>
        </w:rPr>
        <w:t xml:space="preserve"> </w:t>
      </w:r>
      <w:r w:rsidRPr="00A81661">
        <w:rPr>
          <w:rFonts w:ascii="Arial" w:hAnsi="Arial" w:cs="Arial"/>
          <w:sz w:val="22"/>
          <w:szCs w:val="22"/>
        </w:rPr>
        <w:t>Overcoming Professional Silos</w:t>
      </w:r>
      <w:r w:rsidR="00E06940">
        <w:rPr>
          <w:rFonts w:ascii="Arial" w:hAnsi="Arial" w:cs="Arial"/>
          <w:sz w:val="22"/>
          <w:szCs w:val="22"/>
        </w:rPr>
        <w:t>,</w:t>
      </w:r>
      <w:r w:rsidRPr="00A81661">
        <w:rPr>
          <w:rFonts w:ascii="Arial" w:hAnsi="Arial" w:cs="Arial"/>
          <w:sz w:val="22"/>
          <w:szCs w:val="22"/>
        </w:rPr>
        <w:t xml:space="preserve"> Collaborative working, however, is often hindered by "professional silos," differing communication styles, or fragmented </w:t>
      </w:r>
      <w:r w:rsidR="009E6FD0" w:rsidRPr="00A81661">
        <w:rPr>
          <w:rFonts w:ascii="Arial" w:hAnsi="Arial" w:cs="Arial"/>
          <w:sz w:val="22"/>
          <w:szCs w:val="22"/>
        </w:rPr>
        <w:t>organi</w:t>
      </w:r>
      <w:r w:rsidR="009E6FD0">
        <w:rPr>
          <w:rFonts w:ascii="Arial" w:hAnsi="Arial" w:cs="Arial"/>
          <w:sz w:val="22"/>
          <w:szCs w:val="22"/>
        </w:rPr>
        <w:t>z</w:t>
      </w:r>
      <w:r w:rsidR="009E6FD0" w:rsidRPr="00A81661">
        <w:rPr>
          <w:rFonts w:ascii="Arial" w:hAnsi="Arial" w:cs="Arial"/>
          <w:sz w:val="22"/>
          <w:szCs w:val="22"/>
        </w:rPr>
        <w:t>ational</w:t>
      </w:r>
      <w:r w:rsidRPr="00A81661">
        <w:rPr>
          <w:rFonts w:ascii="Arial" w:hAnsi="Arial" w:cs="Arial"/>
          <w:sz w:val="22"/>
          <w:szCs w:val="22"/>
        </w:rPr>
        <w:t xml:space="preserve"> structures. The breakdown in </w:t>
      </w:r>
      <w:r w:rsidR="009E5186" w:rsidRPr="00A81661">
        <w:rPr>
          <w:rFonts w:ascii="Arial" w:hAnsi="Arial" w:cs="Arial"/>
          <w:sz w:val="22"/>
          <w:szCs w:val="22"/>
        </w:rPr>
        <w:t>Mr.</w:t>
      </w:r>
      <w:r w:rsidRPr="00A81661">
        <w:rPr>
          <w:rFonts w:ascii="Arial" w:hAnsi="Arial" w:cs="Arial"/>
          <w:sz w:val="22"/>
          <w:szCs w:val="22"/>
        </w:rPr>
        <w:t xml:space="preserve"> Ahmed’s care</w:t>
      </w:r>
      <w:r w:rsidR="00C645B1">
        <w:rPr>
          <w:rFonts w:ascii="Arial" w:hAnsi="Arial" w:cs="Arial"/>
          <w:sz w:val="22"/>
          <w:szCs w:val="22"/>
        </w:rPr>
        <w:t>,</w:t>
      </w:r>
      <w:r w:rsidR="00A81661">
        <w:rPr>
          <w:rFonts w:ascii="Arial" w:hAnsi="Arial" w:cs="Arial"/>
          <w:sz w:val="22"/>
          <w:szCs w:val="22"/>
        </w:rPr>
        <w:t xml:space="preserve"> </w:t>
      </w:r>
      <w:r w:rsidRPr="00A81661">
        <w:rPr>
          <w:rFonts w:ascii="Arial" w:hAnsi="Arial" w:cs="Arial"/>
          <w:sz w:val="22"/>
          <w:szCs w:val="22"/>
        </w:rPr>
        <w:t>specifically the missed home visit</w:t>
      </w:r>
      <w:r w:rsidR="00A81661">
        <w:rPr>
          <w:rFonts w:ascii="Arial" w:hAnsi="Arial" w:cs="Arial"/>
          <w:sz w:val="22"/>
          <w:szCs w:val="22"/>
        </w:rPr>
        <w:t xml:space="preserve">, </w:t>
      </w:r>
      <w:r w:rsidRPr="00A81661">
        <w:rPr>
          <w:rFonts w:ascii="Arial" w:hAnsi="Arial" w:cs="Arial"/>
          <w:sz w:val="22"/>
          <w:szCs w:val="22"/>
        </w:rPr>
        <w:t>suggests a lack of integrated coordination between the domiciliary agency and the wider MDT. To overcome such challenges, professionals must adopt strategies such as regular inter-</w:t>
      </w:r>
      <w:proofErr w:type="gramStart"/>
      <w:r w:rsidRPr="00A81661">
        <w:rPr>
          <w:rFonts w:ascii="Arial" w:hAnsi="Arial" w:cs="Arial"/>
          <w:sz w:val="22"/>
          <w:szCs w:val="22"/>
        </w:rPr>
        <w:t>agency</w:t>
      </w:r>
      <w:proofErr w:type="gramEnd"/>
      <w:r w:rsidRPr="00A81661">
        <w:rPr>
          <w:rFonts w:ascii="Arial" w:hAnsi="Arial" w:cs="Arial"/>
          <w:sz w:val="22"/>
          <w:szCs w:val="22"/>
        </w:rPr>
        <w:t xml:space="preserve"> meetings and the use of shared digital care plans that allow for real-time updates. If a carer notices a decline in </w:t>
      </w:r>
      <w:r w:rsidR="009E5186" w:rsidRPr="00A81661">
        <w:rPr>
          <w:rFonts w:ascii="Arial" w:hAnsi="Arial" w:cs="Arial"/>
          <w:sz w:val="22"/>
          <w:szCs w:val="22"/>
        </w:rPr>
        <w:t>Mr.</w:t>
      </w:r>
      <w:r w:rsidRPr="00A81661">
        <w:rPr>
          <w:rFonts w:ascii="Arial" w:hAnsi="Arial" w:cs="Arial"/>
          <w:sz w:val="22"/>
          <w:szCs w:val="22"/>
        </w:rPr>
        <w:t xml:space="preserve"> Ahmed's mobility, this information must reach the GP and nurse instantly to prevent a hospital readmission. </w:t>
      </w:r>
    </w:p>
    <w:p w14:paraId="5D04032B" w14:textId="1DB9A440" w:rsidR="00E93F8A" w:rsidRPr="00A81661" w:rsidRDefault="00E93F8A" w:rsidP="00A81661">
      <w:pPr>
        <w:pStyle w:val="NormalWeb"/>
        <w:spacing w:line="360" w:lineRule="auto"/>
        <w:rPr>
          <w:rFonts w:ascii="Arial" w:hAnsi="Arial" w:cs="Arial"/>
          <w:sz w:val="22"/>
          <w:szCs w:val="22"/>
        </w:rPr>
      </w:pPr>
      <w:r w:rsidRPr="00A81661">
        <w:rPr>
          <w:rFonts w:ascii="Arial" w:hAnsi="Arial" w:cs="Arial"/>
          <w:sz w:val="22"/>
          <w:szCs w:val="22"/>
        </w:rPr>
        <w:lastRenderedPageBreak/>
        <w:t>​The Role of the Informal Caregiver</w:t>
      </w:r>
      <w:r w:rsidR="00193959">
        <w:rPr>
          <w:rFonts w:ascii="Arial" w:hAnsi="Arial" w:cs="Arial"/>
          <w:sz w:val="22"/>
          <w:szCs w:val="22"/>
        </w:rPr>
        <w:t xml:space="preserve"> is </w:t>
      </w:r>
      <w:r w:rsidR="001C5200">
        <w:rPr>
          <w:rFonts w:ascii="Arial" w:hAnsi="Arial" w:cs="Arial"/>
          <w:sz w:val="22"/>
          <w:szCs w:val="22"/>
        </w:rPr>
        <w:t xml:space="preserve">pivotal, as they </w:t>
      </w:r>
      <w:r w:rsidR="000E7B24">
        <w:rPr>
          <w:rFonts w:ascii="Arial" w:hAnsi="Arial" w:cs="Arial"/>
          <w:sz w:val="22"/>
          <w:szCs w:val="22"/>
        </w:rPr>
        <w:t>often</w:t>
      </w:r>
      <w:r w:rsidR="001C5200">
        <w:rPr>
          <w:rFonts w:ascii="Arial" w:hAnsi="Arial" w:cs="Arial"/>
          <w:sz w:val="22"/>
          <w:szCs w:val="22"/>
        </w:rPr>
        <w:t xml:space="preserve"> provide the most consistent oversight of the patient</w:t>
      </w:r>
      <w:r w:rsidR="00E53098">
        <w:rPr>
          <w:rFonts w:ascii="Arial" w:hAnsi="Arial" w:cs="Arial"/>
          <w:sz w:val="22"/>
          <w:szCs w:val="22"/>
        </w:rPr>
        <w:t>’s wellbeing; however, they require formal recognition</w:t>
      </w:r>
      <w:r w:rsidR="002F73EC">
        <w:rPr>
          <w:rFonts w:ascii="Arial" w:hAnsi="Arial" w:cs="Arial"/>
          <w:sz w:val="22"/>
          <w:szCs w:val="22"/>
        </w:rPr>
        <w:t xml:space="preserve"> and support to ensure the sustainability of home-based care </w:t>
      </w:r>
      <w:r w:rsidR="000E7B24">
        <w:rPr>
          <w:rFonts w:ascii="Arial" w:hAnsi="Arial" w:cs="Arial"/>
          <w:sz w:val="22"/>
          <w:szCs w:val="22"/>
        </w:rPr>
        <w:t>(Carers UK, 2022).</w:t>
      </w:r>
      <w:r w:rsidRPr="00A81661">
        <w:rPr>
          <w:rFonts w:ascii="Arial" w:hAnsi="Arial" w:cs="Arial"/>
          <w:sz w:val="22"/>
          <w:szCs w:val="22"/>
        </w:rPr>
        <w:t xml:space="preserve"> A 'shared purpose' approach ensures that all practitioners, regardless of their specific role, are aligned with </w:t>
      </w:r>
      <w:r w:rsidR="00B30D09" w:rsidRPr="00A81661">
        <w:rPr>
          <w:rFonts w:ascii="Arial" w:hAnsi="Arial" w:cs="Arial"/>
          <w:sz w:val="22"/>
          <w:szCs w:val="22"/>
        </w:rPr>
        <w:t>Mr.</w:t>
      </w:r>
      <w:r w:rsidRPr="00A81661">
        <w:rPr>
          <w:rFonts w:ascii="Arial" w:hAnsi="Arial" w:cs="Arial"/>
          <w:sz w:val="22"/>
          <w:szCs w:val="22"/>
        </w:rPr>
        <w:t xml:space="preserve"> Ahmed’s holistic goals. Central to this collaboration is the inclusion of </w:t>
      </w:r>
      <w:r w:rsidR="00B30D09" w:rsidRPr="00A81661">
        <w:rPr>
          <w:rFonts w:ascii="Arial" w:hAnsi="Arial" w:cs="Arial"/>
          <w:sz w:val="22"/>
          <w:szCs w:val="22"/>
        </w:rPr>
        <w:t>Mr.</w:t>
      </w:r>
      <w:r w:rsidRPr="00A81661">
        <w:rPr>
          <w:rFonts w:ascii="Arial" w:hAnsi="Arial" w:cs="Arial"/>
          <w:sz w:val="22"/>
          <w:szCs w:val="22"/>
        </w:rPr>
        <w:t xml:space="preserve"> Ahmed’s wife, who acts as a primary caregiver and informal advocate. By integrating her insights into the MDT’s discussions, professionals can ensure that care plans are not only clinically sound but also practically viable within the home environment. Effective collaboration ultimately reduces the risk of duplicated efforts or, more dangerously, overlooked care requirements. </w:t>
      </w:r>
    </w:p>
    <w:p w14:paraId="1EBB4C23" w14:textId="77777777" w:rsidR="00510E17" w:rsidRPr="00510E17" w:rsidRDefault="00510E17" w:rsidP="00510E17">
      <w:pPr>
        <w:pStyle w:val="Heading1"/>
        <w:rPr>
          <w:lang w:val="en-US"/>
        </w:rPr>
      </w:pPr>
      <w:bookmarkStart w:id="4" w:name="_Toc225009778"/>
      <w:r w:rsidRPr="00510E17">
        <w:rPr>
          <w:lang w:val="en-US"/>
        </w:rPr>
        <w:t>Conclusion</w:t>
      </w:r>
      <w:bookmarkEnd w:id="4"/>
    </w:p>
    <w:p w14:paraId="7BB8972A" w14:textId="1BE9034F" w:rsidR="00EF0AAE" w:rsidRPr="00EF0AAE" w:rsidRDefault="00EF0AAE" w:rsidP="00EF0AAE">
      <w:pPr>
        <w:pStyle w:val="NormalWeb"/>
        <w:spacing w:line="360" w:lineRule="auto"/>
        <w:rPr>
          <w:rFonts w:ascii="Arial" w:hAnsi="Arial" w:cs="Arial"/>
          <w:sz w:val="22"/>
          <w:szCs w:val="22"/>
        </w:rPr>
      </w:pPr>
      <w:r w:rsidRPr="00EF0AAE">
        <w:rPr>
          <w:rFonts w:ascii="Arial" w:hAnsi="Arial" w:cs="Arial"/>
          <w:sz w:val="22"/>
          <w:szCs w:val="22"/>
        </w:rPr>
        <w:t xml:space="preserve">In summary, </w:t>
      </w:r>
      <w:r w:rsidR="00B30D09" w:rsidRPr="00EF0AAE">
        <w:rPr>
          <w:rFonts w:ascii="Arial" w:hAnsi="Arial" w:cs="Arial"/>
          <w:sz w:val="22"/>
          <w:szCs w:val="22"/>
        </w:rPr>
        <w:t>Mr.</w:t>
      </w:r>
      <w:r w:rsidRPr="00EF0AAE">
        <w:rPr>
          <w:rFonts w:ascii="Arial" w:hAnsi="Arial" w:cs="Arial"/>
          <w:sz w:val="22"/>
          <w:szCs w:val="22"/>
        </w:rPr>
        <w:t xml:space="preserve"> Ahmed’s case highlights that high-quality care is built upon the intersection of effective communication, administrative precision, and seamless collaboration. By applying the Equality Act 2010 and communication models like Shannon-Weaver, providers can bridge linguistic and cognitive gaps. Simultaneously, adherence to the Data Protection Act 2018 and robust record-keeping ensures that care is both safe and accountable, preventing incidents like missed medication. </w:t>
      </w:r>
    </w:p>
    <w:p w14:paraId="738C18D2" w14:textId="7868D86B" w:rsidR="00EF0AAE" w:rsidRPr="00EF0AAE" w:rsidRDefault="00EF0AAE" w:rsidP="00EF0AAE">
      <w:pPr>
        <w:pStyle w:val="NormalWeb"/>
        <w:spacing w:line="360" w:lineRule="auto"/>
        <w:rPr>
          <w:rFonts w:ascii="Arial" w:hAnsi="Arial" w:cs="Arial"/>
          <w:sz w:val="22"/>
          <w:szCs w:val="22"/>
        </w:rPr>
      </w:pPr>
      <w:r w:rsidRPr="00EF0AAE">
        <w:rPr>
          <w:rFonts w:ascii="Arial" w:hAnsi="Arial" w:cs="Arial"/>
          <w:sz w:val="22"/>
          <w:szCs w:val="22"/>
        </w:rPr>
        <w:t xml:space="preserve">​The integration of professional expertise with the lived experience of the family is essential for supporting </w:t>
      </w:r>
      <w:r w:rsidR="00B30D09" w:rsidRPr="00EF0AAE">
        <w:rPr>
          <w:rFonts w:ascii="Arial" w:hAnsi="Arial" w:cs="Arial"/>
          <w:sz w:val="22"/>
          <w:szCs w:val="22"/>
        </w:rPr>
        <w:t>Mr.</w:t>
      </w:r>
      <w:r w:rsidRPr="00EF0AAE">
        <w:rPr>
          <w:rFonts w:ascii="Arial" w:hAnsi="Arial" w:cs="Arial"/>
          <w:sz w:val="22"/>
          <w:szCs w:val="22"/>
        </w:rPr>
        <w:t xml:space="preserve"> Ahmed’s journey toward recovery. Moving forward, the care team must </w:t>
      </w:r>
      <w:r w:rsidR="00BB28BB" w:rsidRPr="00EF0AAE">
        <w:rPr>
          <w:rFonts w:ascii="Arial" w:hAnsi="Arial" w:cs="Arial"/>
          <w:sz w:val="22"/>
          <w:szCs w:val="22"/>
        </w:rPr>
        <w:t>prioriti</w:t>
      </w:r>
      <w:r w:rsidR="00BB28BB">
        <w:rPr>
          <w:rFonts w:ascii="Arial" w:hAnsi="Arial" w:cs="Arial"/>
          <w:sz w:val="22"/>
          <w:szCs w:val="22"/>
        </w:rPr>
        <w:t>z</w:t>
      </w:r>
      <w:r w:rsidR="00BB28BB" w:rsidRPr="00EF0AAE">
        <w:rPr>
          <w:rFonts w:ascii="Arial" w:hAnsi="Arial" w:cs="Arial"/>
          <w:sz w:val="22"/>
          <w:szCs w:val="22"/>
        </w:rPr>
        <w:t>e</w:t>
      </w:r>
      <w:r w:rsidRPr="00EF0AAE">
        <w:rPr>
          <w:rFonts w:ascii="Arial" w:hAnsi="Arial" w:cs="Arial"/>
          <w:sz w:val="22"/>
          <w:szCs w:val="22"/>
        </w:rPr>
        <w:t xml:space="preserve"> real-time information sharing to maintain </w:t>
      </w:r>
      <w:r w:rsidR="00B30D09" w:rsidRPr="00EF0AAE">
        <w:rPr>
          <w:rFonts w:ascii="Arial" w:hAnsi="Arial" w:cs="Arial"/>
          <w:sz w:val="22"/>
          <w:szCs w:val="22"/>
        </w:rPr>
        <w:t>Mr.</w:t>
      </w:r>
      <w:r w:rsidRPr="00EF0AAE">
        <w:rPr>
          <w:rFonts w:ascii="Arial" w:hAnsi="Arial" w:cs="Arial"/>
          <w:sz w:val="22"/>
          <w:szCs w:val="22"/>
        </w:rPr>
        <w:t xml:space="preserve"> Ahmed’s dignity and safety within the community, ensuring that the administrative lapses seen in this case are never repeated.</w:t>
      </w:r>
    </w:p>
    <w:p w14:paraId="6387F33B" w14:textId="77777777" w:rsidR="006F74CE" w:rsidRDefault="005046EE" w:rsidP="005046EE">
      <w:pPr>
        <w:spacing w:after="0" w:line="360" w:lineRule="auto"/>
        <w:jc w:val="both"/>
        <w:rPr>
          <w:rFonts w:ascii="Arial" w:hAnsi="Arial" w:cs="Arial"/>
          <w:lang w:val="en-US"/>
        </w:rPr>
      </w:pPr>
      <w:r>
        <w:rPr>
          <w:rFonts w:ascii="Arial" w:hAnsi="Arial" w:cs="Arial"/>
          <w:lang w:val="en-US"/>
        </w:rPr>
        <w:t xml:space="preserve">   </w:t>
      </w:r>
      <w:r w:rsidR="006F74CE">
        <w:rPr>
          <w:rFonts w:ascii="Arial" w:hAnsi="Arial" w:cs="Arial"/>
          <w:lang w:val="en-US"/>
        </w:rPr>
        <w:br w:type="page"/>
      </w:r>
    </w:p>
    <w:p w14:paraId="32F12AA8" w14:textId="572D12E1" w:rsidR="00AA6D00" w:rsidRPr="00AA6D00" w:rsidRDefault="006F74CE" w:rsidP="00AA6D00">
      <w:pPr>
        <w:pStyle w:val="Heading1"/>
        <w:rPr>
          <w:lang w:val="en-US"/>
        </w:rPr>
      </w:pPr>
      <w:bookmarkStart w:id="5" w:name="_Toc225009779"/>
      <w:r w:rsidRPr="006F74CE">
        <w:rPr>
          <w:lang w:val="en-US"/>
        </w:rPr>
        <w:lastRenderedPageBreak/>
        <w:t>Reference List</w:t>
      </w:r>
      <w:bookmarkEnd w:id="5"/>
    </w:p>
    <w:p w14:paraId="57CB53DF" w14:textId="1191E34D" w:rsidR="009C0305" w:rsidRPr="009C0305" w:rsidRDefault="009C0305" w:rsidP="009C0305">
      <w:pPr>
        <w:spacing w:after="0" w:line="360" w:lineRule="auto"/>
        <w:rPr>
          <w:rFonts w:ascii="Arial" w:hAnsi="Arial" w:cs="Arial"/>
        </w:rPr>
      </w:pPr>
      <w:r w:rsidRPr="009C0305">
        <w:rPr>
          <w:rFonts w:ascii="Arial" w:hAnsi="Arial" w:cs="Arial"/>
        </w:rPr>
        <w:t xml:space="preserve">Bates, S.M., Lin, J., Allen, L.N., Wright, M. and Kidd, M. (2025) 'Can multidisciplinary teams improve the quality of primary care? A scoping review', </w:t>
      </w:r>
      <w:proofErr w:type="spellStart"/>
      <w:r w:rsidRPr="009C0305">
        <w:rPr>
          <w:rFonts w:ascii="Arial" w:hAnsi="Arial" w:cs="Arial"/>
          <w:i/>
          <w:iCs/>
        </w:rPr>
        <w:t>EClinicalMedicine</w:t>
      </w:r>
      <w:proofErr w:type="spellEnd"/>
      <w:r w:rsidRPr="009C0305">
        <w:rPr>
          <w:rFonts w:ascii="Arial" w:hAnsi="Arial" w:cs="Arial"/>
        </w:rPr>
        <w:t xml:space="preserve">, 88. Available at: </w:t>
      </w:r>
      <w:hyperlink r:id="rId10" w:history="1">
        <w:r w:rsidRPr="009C0305">
          <w:rPr>
            <w:rStyle w:val="Hyperlink"/>
            <w:rFonts w:ascii="Arial" w:hAnsi="Arial" w:cs="Arial"/>
          </w:rPr>
          <w:t>https://www.thelancet.com/journals/eclinm/article/PIIS2589-5370(25)00430-4/fulltext</w:t>
        </w:r>
      </w:hyperlink>
      <w:r>
        <w:rPr>
          <w:rFonts w:ascii="Arial" w:hAnsi="Arial" w:cs="Arial"/>
          <w:lang w:val="en-US"/>
        </w:rPr>
        <w:br/>
      </w:r>
    </w:p>
    <w:p w14:paraId="2E5D79F0" w14:textId="24C9BB32" w:rsidR="009C0305" w:rsidRPr="009C0305" w:rsidRDefault="009C0305" w:rsidP="009C0305">
      <w:pPr>
        <w:spacing w:after="0" w:line="360" w:lineRule="auto"/>
        <w:rPr>
          <w:rFonts w:ascii="Arial" w:hAnsi="Arial" w:cs="Arial"/>
        </w:rPr>
      </w:pPr>
      <w:r w:rsidRPr="009C0305">
        <w:rPr>
          <w:rFonts w:ascii="Arial" w:hAnsi="Arial" w:cs="Arial"/>
        </w:rPr>
        <w:t xml:space="preserve">Burton-Hughes, L. (2017) </w:t>
      </w:r>
      <w:r w:rsidRPr="009C0305">
        <w:rPr>
          <w:rFonts w:ascii="Arial" w:hAnsi="Arial" w:cs="Arial"/>
          <w:i/>
          <w:iCs/>
        </w:rPr>
        <w:t>What are the 6 principles of the Care Act 2014?</w:t>
      </w:r>
      <w:r w:rsidRPr="009C0305">
        <w:rPr>
          <w:rFonts w:ascii="Arial" w:hAnsi="Arial" w:cs="Arial"/>
        </w:rPr>
        <w:t xml:space="preserve"> Available at: </w:t>
      </w:r>
      <w:hyperlink r:id="rId11" w:history="1">
        <w:r w:rsidRPr="009C0305">
          <w:rPr>
            <w:rStyle w:val="Hyperlink"/>
            <w:rFonts w:ascii="Arial" w:hAnsi="Arial" w:cs="Arial"/>
          </w:rPr>
          <w:t>https://www.highspeedtraining.co.uk/hub/six-principles-care-act-2014/</w:t>
        </w:r>
      </w:hyperlink>
      <w:r w:rsidRPr="009C0305">
        <w:rPr>
          <w:rFonts w:ascii="Arial" w:hAnsi="Arial" w:cs="Arial"/>
        </w:rPr>
        <w:t xml:space="preserve"> (Accessed: 4 March 2026).</w:t>
      </w:r>
      <w:r>
        <w:rPr>
          <w:rFonts w:ascii="Arial" w:hAnsi="Arial" w:cs="Arial"/>
        </w:rPr>
        <w:br/>
      </w:r>
    </w:p>
    <w:p w14:paraId="531BC38E" w14:textId="6A1F25CF" w:rsidR="009C0305" w:rsidRPr="009C0305" w:rsidRDefault="009C0305" w:rsidP="009C0305">
      <w:pPr>
        <w:spacing w:after="0" w:line="360" w:lineRule="auto"/>
        <w:rPr>
          <w:rFonts w:ascii="Arial" w:hAnsi="Arial" w:cs="Arial"/>
        </w:rPr>
      </w:pPr>
      <w:r w:rsidRPr="009C0305">
        <w:rPr>
          <w:rFonts w:ascii="Arial" w:hAnsi="Arial" w:cs="Arial"/>
        </w:rPr>
        <w:t xml:space="preserve">Carers UK (2022) </w:t>
      </w:r>
      <w:r w:rsidRPr="009C0305">
        <w:rPr>
          <w:rFonts w:ascii="Arial" w:hAnsi="Arial" w:cs="Arial"/>
          <w:i/>
          <w:iCs/>
        </w:rPr>
        <w:t>Assessments – Your guide to getting help and support in England</w:t>
      </w:r>
      <w:r w:rsidRPr="009C0305">
        <w:rPr>
          <w:rFonts w:ascii="Arial" w:hAnsi="Arial" w:cs="Arial"/>
        </w:rPr>
        <w:t xml:space="preserve">. Available at: </w:t>
      </w:r>
      <w:hyperlink r:id="rId12" w:history="1">
        <w:r w:rsidRPr="009C0305">
          <w:rPr>
            <w:rStyle w:val="Hyperlink"/>
            <w:rFonts w:ascii="Arial" w:hAnsi="Arial" w:cs="Arial"/>
          </w:rPr>
          <w:t>https://www.carersuk.org/help-and-advice/practical-support/getting-care-and-support/carers-assessment</w:t>
        </w:r>
      </w:hyperlink>
      <w:r w:rsidRPr="009C0305">
        <w:rPr>
          <w:rFonts w:ascii="Arial" w:hAnsi="Arial" w:cs="Arial"/>
        </w:rPr>
        <w:t xml:space="preserve"> (Accessed: 28 February 2026).</w:t>
      </w:r>
      <w:r>
        <w:rPr>
          <w:rFonts w:ascii="Arial" w:hAnsi="Arial" w:cs="Arial"/>
        </w:rPr>
        <w:br/>
      </w:r>
    </w:p>
    <w:p w14:paraId="6B29F07B" w14:textId="47FA5C54" w:rsidR="009C0305" w:rsidRPr="009C0305" w:rsidRDefault="009C0305" w:rsidP="009C0305">
      <w:pPr>
        <w:spacing w:after="0" w:line="360" w:lineRule="auto"/>
        <w:rPr>
          <w:rFonts w:ascii="Arial" w:hAnsi="Arial" w:cs="Arial"/>
        </w:rPr>
      </w:pPr>
      <w:r w:rsidRPr="009C0305">
        <w:rPr>
          <w:rFonts w:ascii="Arial" w:hAnsi="Arial" w:cs="Arial"/>
        </w:rPr>
        <w:t xml:space="preserve">Carrier, J., Jones, A. and Newbury, G. (2022) 'Care coordination and the role of multi-disciplinary teams', in </w:t>
      </w:r>
      <w:r w:rsidRPr="009C0305">
        <w:rPr>
          <w:rFonts w:ascii="Arial" w:hAnsi="Arial" w:cs="Arial"/>
          <w:i/>
          <w:iCs/>
        </w:rPr>
        <w:t>Managing Long-term Conditions and Chronic Illness in Primary Care</w:t>
      </w:r>
      <w:r w:rsidRPr="009C0305">
        <w:rPr>
          <w:rFonts w:ascii="Arial" w:hAnsi="Arial" w:cs="Arial"/>
        </w:rPr>
        <w:t xml:space="preserve">. London: Routledge. Available at: </w:t>
      </w:r>
      <w:hyperlink r:id="rId13" w:history="1">
        <w:r w:rsidRPr="009C0305">
          <w:rPr>
            <w:rStyle w:val="Hyperlink"/>
            <w:rFonts w:ascii="Arial" w:hAnsi="Arial" w:cs="Arial"/>
          </w:rPr>
          <w:t>https://api.taylorfrancis.com/content/chapters/edit/download?identifierName=doi&amp;identifierValue=10.4324/9781003020653-3&amp;type=chapterpdf</w:t>
        </w:r>
      </w:hyperlink>
      <w:r w:rsidRPr="009C0305">
        <w:rPr>
          <w:rFonts w:ascii="Arial" w:hAnsi="Arial" w:cs="Arial"/>
        </w:rPr>
        <w:t xml:space="preserve"> </w:t>
      </w:r>
      <w:r w:rsidRPr="009C0305">
        <w:rPr>
          <w:rFonts w:ascii="Arial" w:hAnsi="Arial" w:cs="Arial"/>
          <w:i/>
          <w:iCs/>
        </w:rPr>
        <w:t>(Accessed date missing – add before submission)</w:t>
      </w:r>
      <w:r w:rsidRPr="009C0305">
        <w:rPr>
          <w:rFonts w:ascii="Arial" w:hAnsi="Arial" w:cs="Arial"/>
        </w:rPr>
        <w:t>.</w:t>
      </w:r>
      <w:r>
        <w:rPr>
          <w:rFonts w:ascii="Arial" w:hAnsi="Arial" w:cs="Arial"/>
        </w:rPr>
        <w:br/>
      </w:r>
    </w:p>
    <w:p w14:paraId="42FB8CFA" w14:textId="6AB4CC18" w:rsidR="009C0305" w:rsidRPr="009C0305" w:rsidRDefault="009C0305" w:rsidP="009C0305">
      <w:pPr>
        <w:spacing w:after="0" w:line="360" w:lineRule="auto"/>
        <w:rPr>
          <w:rFonts w:ascii="Arial" w:hAnsi="Arial" w:cs="Arial"/>
        </w:rPr>
      </w:pPr>
      <w:r w:rsidRPr="009C0305">
        <w:rPr>
          <w:rFonts w:ascii="Arial" w:hAnsi="Arial" w:cs="Arial"/>
        </w:rPr>
        <w:t xml:space="preserve">Durand, M.A., </w:t>
      </w:r>
      <w:proofErr w:type="spellStart"/>
      <w:r w:rsidRPr="009C0305">
        <w:rPr>
          <w:rFonts w:ascii="Arial" w:hAnsi="Arial" w:cs="Arial"/>
        </w:rPr>
        <w:t>Wistow</w:t>
      </w:r>
      <w:proofErr w:type="spellEnd"/>
      <w:r w:rsidRPr="009C0305">
        <w:rPr>
          <w:rFonts w:ascii="Arial" w:hAnsi="Arial" w:cs="Arial"/>
        </w:rPr>
        <w:t xml:space="preserve">, G., Al Haboubi, M., Douglas, N., Erens, B., </w:t>
      </w:r>
      <w:proofErr w:type="spellStart"/>
      <w:r w:rsidRPr="009C0305">
        <w:rPr>
          <w:rFonts w:ascii="Arial" w:hAnsi="Arial" w:cs="Arial"/>
        </w:rPr>
        <w:t>Hoomans</w:t>
      </w:r>
      <w:proofErr w:type="spellEnd"/>
      <w:r w:rsidRPr="009C0305">
        <w:rPr>
          <w:rFonts w:ascii="Arial" w:hAnsi="Arial" w:cs="Arial"/>
        </w:rPr>
        <w:t xml:space="preserve">, T., </w:t>
      </w:r>
      <w:proofErr w:type="spellStart"/>
      <w:r w:rsidRPr="009C0305">
        <w:rPr>
          <w:rFonts w:ascii="Arial" w:hAnsi="Arial" w:cs="Arial"/>
        </w:rPr>
        <w:t>Manacorda</w:t>
      </w:r>
      <w:proofErr w:type="spellEnd"/>
      <w:r w:rsidRPr="009C0305">
        <w:rPr>
          <w:rFonts w:ascii="Arial" w:hAnsi="Arial" w:cs="Arial"/>
        </w:rPr>
        <w:t xml:space="preserve">, T., Miller, R., Pacho, A., Rehackova, L. and Smith, J. (2025) 'Evaluating the role of community-based multi-disciplinary teams in integrated health and social care in England', </w:t>
      </w:r>
      <w:r w:rsidRPr="009C0305">
        <w:rPr>
          <w:rFonts w:ascii="Arial" w:hAnsi="Arial" w:cs="Arial"/>
          <w:i/>
          <w:iCs/>
        </w:rPr>
        <w:t>Journal of Health Services Research &amp; Policy</w:t>
      </w:r>
      <w:r w:rsidRPr="009C0305">
        <w:rPr>
          <w:rFonts w:ascii="Arial" w:hAnsi="Arial" w:cs="Arial"/>
        </w:rPr>
        <w:t xml:space="preserve">, 30(1), pp.69–81. Available at: </w:t>
      </w:r>
      <w:hyperlink r:id="rId14" w:history="1">
        <w:r w:rsidRPr="009C0305">
          <w:rPr>
            <w:rStyle w:val="Hyperlink"/>
            <w:rFonts w:ascii="Arial" w:hAnsi="Arial" w:cs="Arial"/>
          </w:rPr>
          <w:t>https://journals.sagepub.com/doi/abs/10.1177/13558196251349398</w:t>
        </w:r>
      </w:hyperlink>
      <w:r>
        <w:rPr>
          <w:rFonts w:ascii="Arial" w:hAnsi="Arial" w:cs="Arial"/>
          <w:lang w:val="en-US"/>
        </w:rPr>
        <w:br/>
      </w:r>
    </w:p>
    <w:p w14:paraId="475C3B0C" w14:textId="35069CCC" w:rsidR="009C0305" w:rsidRPr="009C0305" w:rsidRDefault="009C0305" w:rsidP="009C0305">
      <w:pPr>
        <w:spacing w:after="0" w:line="360" w:lineRule="auto"/>
        <w:rPr>
          <w:rFonts w:ascii="Arial" w:hAnsi="Arial" w:cs="Arial"/>
        </w:rPr>
      </w:pPr>
      <w:r w:rsidRPr="009C0305">
        <w:rPr>
          <w:rFonts w:ascii="Arial" w:hAnsi="Arial" w:cs="Arial"/>
        </w:rPr>
        <w:t xml:space="preserve">Glasby, J. and Dickinson, H. (2014) </w:t>
      </w:r>
      <w:r w:rsidRPr="009C0305">
        <w:rPr>
          <w:rFonts w:ascii="Arial" w:hAnsi="Arial" w:cs="Arial"/>
          <w:i/>
          <w:iCs/>
        </w:rPr>
        <w:t>Partnership working in health and social care: what is integrated care and how can we deliver it?</w:t>
      </w:r>
      <w:r w:rsidRPr="009C0305">
        <w:rPr>
          <w:rFonts w:ascii="Arial" w:hAnsi="Arial" w:cs="Arial"/>
        </w:rPr>
        <w:t xml:space="preserve"> 2nd </w:t>
      </w:r>
      <w:proofErr w:type="spellStart"/>
      <w:r w:rsidRPr="009C0305">
        <w:rPr>
          <w:rFonts w:ascii="Arial" w:hAnsi="Arial" w:cs="Arial"/>
        </w:rPr>
        <w:t>edn</w:t>
      </w:r>
      <w:proofErr w:type="spellEnd"/>
      <w:r w:rsidRPr="009C0305">
        <w:rPr>
          <w:rFonts w:ascii="Arial" w:hAnsi="Arial" w:cs="Arial"/>
        </w:rPr>
        <w:t xml:space="preserve">. Bristol: Policy Press. Available at: </w:t>
      </w:r>
      <w:hyperlink r:id="rId15" w:history="1">
        <w:r w:rsidRPr="009C0305">
          <w:rPr>
            <w:rStyle w:val="Hyperlink"/>
            <w:rFonts w:ascii="Arial" w:hAnsi="Arial" w:cs="Arial"/>
          </w:rPr>
          <w:t>https://books.google.com/books?hl=en&amp;lr=&amp;id=_E3qAgAAQBAJ&amp;oi=fnd&amp;pg=PR7&amp;dq=Partnership+working+in+health+and+social+care:+what+is+integrated+care+and+how+can+we+deliver+it%3F&amp;ots=KVCj5N7vQM&amp;sig=K6rFVLtb7_orRRCanuOEKuA5rDg</w:t>
        </w:r>
      </w:hyperlink>
      <w:r>
        <w:rPr>
          <w:rFonts w:ascii="Arial" w:hAnsi="Arial" w:cs="Arial"/>
          <w:lang w:val="en-US"/>
        </w:rPr>
        <w:br/>
      </w:r>
    </w:p>
    <w:p w14:paraId="3852083D" w14:textId="7C51045B" w:rsidR="009C0305" w:rsidRPr="009C0305" w:rsidRDefault="009C0305" w:rsidP="009C0305">
      <w:pPr>
        <w:spacing w:after="0" w:line="360" w:lineRule="auto"/>
        <w:rPr>
          <w:rFonts w:ascii="Arial" w:hAnsi="Arial" w:cs="Arial"/>
        </w:rPr>
      </w:pPr>
      <w:r w:rsidRPr="009C0305">
        <w:rPr>
          <w:rFonts w:ascii="Arial" w:hAnsi="Arial" w:cs="Arial"/>
        </w:rPr>
        <w:t xml:space="preserve">Leavey, G., Curran, E., Fullerton, D., Todd, S., </w:t>
      </w:r>
      <w:proofErr w:type="spellStart"/>
      <w:r w:rsidRPr="009C0305">
        <w:rPr>
          <w:rFonts w:ascii="Arial" w:hAnsi="Arial" w:cs="Arial"/>
        </w:rPr>
        <w:t>McIlfatrick</w:t>
      </w:r>
      <w:proofErr w:type="spellEnd"/>
      <w:r w:rsidRPr="009C0305">
        <w:rPr>
          <w:rFonts w:ascii="Arial" w:hAnsi="Arial" w:cs="Arial"/>
        </w:rPr>
        <w:t xml:space="preserve">, S., Coates, V., Watson, M., Abbott, A. and Corry, D. (2020) 'Patient and service-related barriers and facilitators to the acceptance </w:t>
      </w:r>
      <w:r w:rsidRPr="009C0305">
        <w:rPr>
          <w:rFonts w:ascii="Arial" w:hAnsi="Arial" w:cs="Arial"/>
        </w:rPr>
        <w:lastRenderedPageBreak/>
        <w:t xml:space="preserve">and use of interventions to promote communication in health and social care: a realist review', </w:t>
      </w:r>
      <w:r w:rsidRPr="009C0305">
        <w:rPr>
          <w:rFonts w:ascii="Arial" w:hAnsi="Arial" w:cs="Arial"/>
          <w:i/>
          <w:iCs/>
        </w:rPr>
        <w:t>BMC Health Services Research</w:t>
      </w:r>
      <w:r w:rsidRPr="009C0305">
        <w:rPr>
          <w:rFonts w:ascii="Arial" w:hAnsi="Arial" w:cs="Arial"/>
        </w:rPr>
        <w:t xml:space="preserve">, 20(1), p.503. Available at: </w:t>
      </w:r>
      <w:hyperlink r:id="rId16" w:history="1">
        <w:r w:rsidRPr="009C0305">
          <w:rPr>
            <w:rStyle w:val="Hyperlink"/>
            <w:rFonts w:ascii="Arial" w:hAnsi="Arial" w:cs="Arial"/>
          </w:rPr>
          <w:t>https://link.springer.com/article/10.1186/s12913-020-05366-4</w:t>
        </w:r>
      </w:hyperlink>
      <w:r w:rsidR="00F64C90">
        <w:rPr>
          <w:rFonts w:ascii="Arial" w:hAnsi="Arial" w:cs="Arial"/>
          <w:lang w:val="en-US"/>
        </w:rPr>
        <w:br/>
      </w:r>
    </w:p>
    <w:p w14:paraId="3E12CD93" w14:textId="4B210906" w:rsidR="009C0305" w:rsidRPr="009C0305" w:rsidRDefault="009C0305" w:rsidP="009C0305">
      <w:pPr>
        <w:spacing w:after="0" w:line="360" w:lineRule="auto"/>
        <w:rPr>
          <w:rFonts w:ascii="Arial" w:hAnsi="Arial" w:cs="Arial"/>
        </w:rPr>
      </w:pPr>
      <w:r w:rsidRPr="009C0305">
        <w:rPr>
          <w:rFonts w:ascii="Arial" w:hAnsi="Arial" w:cs="Arial"/>
        </w:rPr>
        <w:t xml:space="preserve">Liddell, K., Simon, D.A. and Lucassen, A. (2021) 'Patient data ownership: who owns your health?', </w:t>
      </w:r>
      <w:r w:rsidRPr="009C0305">
        <w:rPr>
          <w:rFonts w:ascii="Arial" w:hAnsi="Arial" w:cs="Arial"/>
          <w:i/>
          <w:iCs/>
        </w:rPr>
        <w:t>Journal of Law and the Biosciences</w:t>
      </w:r>
      <w:r w:rsidRPr="009C0305">
        <w:rPr>
          <w:rFonts w:ascii="Arial" w:hAnsi="Arial" w:cs="Arial"/>
        </w:rPr>
        <w:t xml:space="preserve">, 8(2), </w:t>
      </w:r>
      <w:proofErr w:type="gramStart"/>
      <w:r w:rsidRPr="009C0305">
        <w:rPr>
          <w:rFonts w:ascii="Arial" w:hAnsi="Arial" w:cs="Arial"/>
        </w:rPr>
        <w:t>p.lsab</w:t>
      </w:r>
      <w:proofErr w:type="gramEnd"/>
      <w:r w:rsidRPr="009C0305">
        <w:rPr>
          <w:rFonts w:ascii="Arial" w:hAnsi="Arial" w:cs="Arial"/>
        </w:rPr>
        <w:t xml:space="preserve">023. Available at: </w:t>
      </w:r>
      <w:hyperlink r:id="rId17" w:history="1">
        <w:r w:rsidRPr="009C0305">
          <w:rPr>
            <w:rStyle w:val="Hyperlink"/>
            <w:rFonts w:ascii="Arial" w:hAnsi="Arial" w:cs="Arial"/>
          </w:rPr>
          <w:t>https://academic.oup.com/jlb/article-pdf/doi/10.1093/jlb/lsab023/42431993/lsab023.pdf</w:t>
        </w:r>
      </w:hyperlink>
      <w:r w:rsidR="00F64C90">
        <w:rPr>
          <w:rFonts w:ascii="Arial" w:hAnsi="Arial" w:cs="Arial"/>
          <w:lang w:val="en-US"/>
        </w:rPr>
        <w:br/>
      </w:r>
    </w:p>
    <w:p w14:paraId="726549D4" w14:textId="4D640FA8" w:rsidR="009C0305" w:rsidRPr="009C0305" w:rsidRDefault="009C0305" w:rsidP="009C0305">
      <w:pPr>
        <w:spacing w:after="0" w:line="360" w:lineRule="auto"/>
        <w:rPr>
          <w:rFonts w:ascii="Arial" w:hAnsi="Arial" w:cs="Arial"/>
        </w:rPr>
      </w:pPr>
      <w:proofErr w:type="spellStart"/>
      <w:r w:rsidRPr="009C0305">
        <w:rPr>
          <w:rFonts w:ascii="Arial" w:hAnsi="Arial" w:cs="Arial"/>
        </w:rPr>
        <w:t>Mitchels</w:t>
      </w:r>
      <w:proofErr w:type="spellEnd"/>
      <w:r w:rsidRPr="009C0305">
        <w:rPr>
          <w:rFonts w:ascii="Arial" w:hAnsi="Arial" w:cs="Arial"/>
        </w:rPr>
        <w:t xml:space="preserve">, B. and Bond, T. (2021) </w:t>
      </w:r>
      <w:r w:rsidRPr="009C0305">
        <w:rPr>
          <w:rFonts w:ascii="Arial" w:hAnsi="Arial" w:cs="Arial"/>
          <w:i/>
          <w:iCs/>
        </w:rPr>
        <w:t>Confidentiality and Record Keeping in Counselling and Psychotherapy</w:t>
      </w:r>
      <w:r w:rsidRPr="009C0305">
        <w:rPr>
          <w:rFonts w:ascii="Arial" w:hAnsi="Arial" w:cs="Arial"/>
        </w:rPr>
        <w:t xml:space="preserve">. London: Sage. Available at: </w:t>
      </w:r>
      <w:hyperlink r:id="rId18" w:history="1">
        <w:r w:rsidRPr="009C0305">
          <w:rPr>
            <w:rStyle w:val="Hyperlink"/>
            <w:rFonts w:ascii="Arial" w:hAnsi="Arial" w:cs="Arial"/>
          </w:rPr>
          <w:t>https://www.torrossa.com/gs/resourceProxy?an=5018423&amp;publisher=FZ7200</w:t>
        </w:r>
      </w:hyperlink>
      <w:r w:rsidR="00F64C90">
        <w:rPr>
          <w:rFonts w:ascii="Arial" w:hAnsi="Arial" w:cs="Arial"/>
          <w:lang w:val="en-US"/>
        </w:rPr>
        <w:br/>
      </w:r>
    </w:p>
    <w:p w14:paraId="32CE4A85" w14:textId="77777777" w:rsidR="009C0305" w:rsidRPr="009C0305" w:rsidRDefault="009C0305" w:rsidP="009C0305">
      <w:pPr>
        <w:spacing w:after="0" w:line="360" w:lineRule="auto"/>
        <w:rPr>
          <w:rFonts w:ascii="Arial" w:hAnsi="Arial" w:cs="Arial"/>
        </w:rPr>
      </w:pPr>
      <w:r w:rsidRPr="009C0305">
        <w:rPr>
          <w:rFonts w:ascii="Arial" w:hAnsi="Arial" w:cs="Arial"/>
        </w:rPr>
        <w:t xml:space="preserve">Scheibner, J., Ienca, M., Kechagia, S., Troncoso-Pastoriza, J.R., Raisaro, J.L., Hubaux, J.P., Fellay, J. and </w:t>
      </w:r>
      <w:proofErr w:type="spellStart"/>
      <w:r w:rsidRPr="009C0305">
        <w:rPr>
          <w:rFonts w:ascii="Arial" w:hAnsi="Arial" w:cs="Arial"/>
        </w:rPr>
        <w:t>Vayena</w:t>
      </w:r>
      <w:proofErr w:type="spellEnd"/>
      <w:r w:rsidRPr="009C0305">
        <w:rPr>
          <w:rFonts w:ascii="Arial" w:hAnsi="Arial" w:cs="Arial"/>
        </w:rPr>
        <w:t xml:space="preserve">, E. (2020) 'Data protection and ethics requirements for multisite research with health data', </w:t>
      </w:r>
      <w:r w:rsidRPr="009C0305">
        <w:rPr>
          <w:rFonts w:ascii="Arial" w:hAnsi="Arial" w:cs="Arial"/>
          <w:i/>
          <w:iCs/>
        </w:rPr>
        <w:t>Journal of Law and the Biosciences</w:t>
      </w:r>
      <w:r w:rsidRPr="009C0305">
        <w:rPr>
          <w:rFonts w:ascii="Arial" w:hAnsi="Arial" w:cs="Arial"/>
        </w:rPr>
        <w:t xml:space="preserve">, 7(1), </w:t>
      </w:r>
      <w:proofErr w:type="gramStart"/>
      <w:r w:rsidRPr="009C0305">
        <w:rPr>
          <w:rFonts w:ascii="Arial" w:hAnsi="Arial" w:cs="Arial"/>
        </w:rPr>
        <w:t>p.lsaa</w:t>
      </w:r>
      <w:proofErr w:type="gramEnd"/>
      <w:r w:rsidRPr="009C0305">
        <w:rPr>
          <w:rFonts w:ascii="Arial" w:hAnsi="Arial" w:cs="Arial"/>
        </w:rPr>
        <w:t xml:space="preserve">010. Available at: </w:t>
      </w:r>
      <w:hyperlink r:id="rId19" w:history="1">
        <w:r w:rsidRPr="009C0305">
          <w:rPr>
            <w:rStyle w:val="Hyperlink"/>
            <w:rFonts w:ascii="Arial" w:hAnsi="Arial" w:cs="Arial"/>
          </w:rPr>
          <w:t>https://academic.oup.com/jlb/article-abstract/7/1/lsaa010/5825716</w:t>
        </w:r>
      </w:hyperlink>
    </w:p>
    <w:p w14:paraId="4E2711C8" w14:textId="77777777" w:rsidR="00D47F6E" w:rsidRPr="006F74CE" w:rsidRDefault="00D47F6E" w:rsidP="00AA6D00">
      <w:pPr>
        <w:spacing w:after="0" w:line="360" w:lineRule="auto"/>
        <w:rPr>
          <w:rFonts w:ascii="Arial" w:hAnsi="Arial" w:cs="Arial"/>
          <w:lang w:val="en-US"/>
        </w:rPr>
      </w:pPr>
    </w:p>
    <w:sectPr w:rsidR="00D47F6E" w:rsidRPr="006F74CE" w:rsidSect="0077432C">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62BD1" w14:textId="77777777" w:rsidR="00AC3F1F" w:rsidRDefault="00AC3F1F" w:rsidP="00AF3934">
      <w:pPr>
        <w:spacing w:after="0" w:line="240" w:lineRule="auto"/>
      </w:pPr>
      <w:r>
        <w:separator/>
      </w:r>
    </w:p>
  </w:endnote>
  <w:endnote w:type="continuationSeparator" w:id="0">
    <w:p w14:paraId="30B938CF" w14:textId="77777777" w:rsidR="00AC3F1F" w:rsidRDefault="00AC3F1F" w:rsidP="00AF3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3458411"/>
      <w:docPartObj>
        <w:docPartGallery w:val="Page Numbers (Bottom of Page)"/>
        <w:docPartUnique/>
      </w:docPartObj>
    </w:sdtPr>
    <w:sdtEndPr>
      <w:rPr>
        <w:color w:val="7F7F7F" w:themeColor="background1" w:themeShade="7F"/>
        <w:spacing w:val="60"/>
      </w:rPr>
    </w:sdtEndPr>
    <w:sdtContent>
      <w:p w14:paraId="3C0F80D1" w14:textId="77777777" w:rsidR="00877DFD" w:rsidRDefault="00877DFD">
        <w:pPr>
          <w:pStyle w:val="Footer"/>
          <w:pBdr>
            <w:top w:val="single" w:sz="4" w:space="1" w:color="D9D9D9" w:themeColor="background1" w:themeShade="D9"/>
          </w:pBdr>
          <w:jc w:val="right"/>
        </w:pPr>
        <w:r>
          <w:fldChar w:fldCharType="begin"/>
        </w:r>
        <w:r>
          <w:instrText xml:space="preserve"> PAGE   \* MERGEFORMAT </w:instrText>
        </w:r>
        <w:r>
          <w:fldChar w:fldCharType="separate"/>
        </w:r>
        <w:r w:rsidR="002F46DD">
          <w:rPr>
            <w:noProof/>
          </w:rPr>
          <w:t>9</w:t>
        </w:r>
        <w:r>
          <w:rPr>
            <w:noProof/>
          </w:rPr>
          <w:fldChar w:fldCharType="end"/>
        </w:r>
        <w:r>
          <w:t xml:space="preserve"> | </w:t>
        </w:r>
        <w:r>
          <w:rPr>
            <w:color w:val="7F7F7F" w:themeColor="background1" w:themeShade="7F"/>
            <w:spacing w:val="60"/>
          </w:rPr>
          <w:t>Page</w:t>
        </w:r>
      </w:p>
    </w:sdtContent>
  </w:sdt>
  <w:p w14:paraId="39CDA792" w14:textId="77777777" w:rsidR="00AF3934" w:rsidRDefault="00AF3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CEC47" w14:textId="77777777" w:rsidR="00AC3F1F" w:rsidRDefault="00AC3F1F" w:rsidP="00AF3934">
      <w:pPr>
        <w:spacing w:after="0" w:line="240" w:lineRule="auto"/>
      </w:pPr>
      <w:r>
        <w:separator/>
      </w:r>
    </w:p>
  </w:footnote>
  <w:footnote w:type="continuationSeparator" w:id="0">
    <w:p w14:paraId="59D60EDF" w14:textId="77777777" w:rsidR="00AC3F1F" w:rsidRDefault="00AC3F1F" w:rsidP="00AF3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E026B"/>
    <w:multiLevelType w:val="hybridMultilevel"/>
    <w:tmpl w:val="C8DACDF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43258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4CE"/>
    <w:rsid w:val="000212D6"/>
    <w:rsid w:val="0003286E"/>
    <w:rsid w:val="00041E18"/>
    <w:rsid w:val="000737DC"/>
    <w:rsid w:val="000909CC"/>
    <w:rsid w:val="000960C6"/>
    <w:rsid w:val="000A538A"/>
    <w:rsid w:val="000C183E"/>
    <w:rsid w:val="000D05E6"/>
    <w:rsid w:val="000E7B24"/>
    <w:rsid w:val="000F477A"/>
    <w:rsid w:val="000F7F8E"/>
    <w:rsid w:val="00115C13"/>
    <w:rsid w:val="001564A2"/>
    <w:rsid w:val="00160BB3"/>
    <w:rsid w:val="00164AF0"/>
    <w:rsid w:val="001710F4"/>
    <w:rsid w:val="00193959"/>
    <w:rsid w:val="001A77E7"/>
    <w:rsid w:val="001C5200"/>
    <w:rsid w:val="001F46D8"/>
    <w:rsid w:val="001F633C"/>
    <w:rsid w:val="00200194"/>
    <w:rsid w:val="00217A71"/>
    <w:rsid w:val="00222C9A"/>
    <w:rsid w:val="0027596C"/>
    <w:rsid w:val="002827EF"/>
    <w:rsid w:val="00283136"/>
    <w:rsid w:val="0029455E"/>
    <w:rsid w:val="00297BB4"/>
    <w:rsid w:val="00297BE9"/>
    <w:rsid w:val="002D76D3"/>
    <w:rsid w:val="002E3EEF"/>
    <w:rsid w:val="002E7662"/>
    <w:rsid w:val="002F46DD"/>
    <w:rsid w:val="002F73EC"/>
    <w:rsid w:val="0030656E"/>
    <w:rsid w:val="00326CA1"/>
    <w:rsid w:val="003533DF"/>
    <w:rsid w:val="00355687"/>
    <w:rsid w:val="003848E3"/>
    <w:rsid w:val="003A5420"/>
    <w:rsid w:val="003E03B8"/>
    <w:rsid w:val="003E4542"/>
    <w:rsid w:val="003E5B12"/>
    <w:rsid w:val="0040080B"/>
    <w:rsid w:val="004078DF"/>
    <w:rsid w:val="0041270C"/>
    <w:rsid w:val="00417FB6"/>
    <w:rsid w:val="00421BDD"/>
    <w:rsid w:val="00425B58"/>
    <w:rsid w:val="00446972"/>
    <w:rsid w:val="004A3AE3"/>
    <w:rsid w:val="004B6649"/>
    <w:rsid w:val="004D1336"/>
    <w:rsid w:val="004D2B1C"/>
    <w:rsid w:val="004E42D1"/>
    <w:rsid w:val="004E577D"/>
    <w:rsid w:val="004E616C"/>
    <w:rsid w:val="005046EE"/>
    <w:rsid w:val="00505D0C"/>
    <w:rsid w:val="00510E17"/>
    <w:rsid w:val="0054436D"/>
    <w:rsid w:val="00547900"/>
    <w:rsid w:val="005751E3"/>
    <w:rsid w:val="005868E2"/>
    <w:rsid w:val="00596A27"/>
    <w:rsid w:val="005A20BF"/>
    <w:rsid w:val="005C3D1C"/>
    <w:rsid w:val="005C482A"/>
    <w:rsid w:val="005C785B"/>
    <w:rsid w:val="00610BD1"/>
    <w:rsid w:val="00616BB9"/>
    <w:rsid w:val="0062051A"/>
    <w:rsid w:val="00637891"/>
    <w:rsid w:val="00642541"/>
    <w:rsid w:val="0065597C"/>
    <w:rsid w:val="00671CAE"/>
    <w:rsid w:val="006720D9"/>
    <w:rsid w:val="00687985"/>
    <w:rsid w:val="00694D62"/>
    <w:rsid w:val="006A12F5"/>
    <w:rsid w:val="006B1F95"/>
    <w:rsid w:val="006C2A4C"/>
    <w:rsid w:val="006C381D"/>
    <w:rsid w:val="006D7C7A"/>
    <w:rsid w:val="006E43F5"/>
    <w:rsid w:val="006F74CE"/>
    <w:rsid w:val="00722C2B"/>
    <w:rsid w:val="00754185"/>
    <w:rsid w:val="00767B6E"/>
    <w:rsid w:val="007717B7"/>
    <w:rsid w:val="0077432C"/>
    <w:rsid w:val="0077712C"/>
    <w:rsid w:val="007A52A7"/>
    <w:rsid w:val="007F40EE"/>
    <w:rsid w:val="00813C07"/>
    <w:rsid w:val="0083726F"/>
    <w:rsid w:val="00866011"/>
    <w:rsid w:val="00872384"/>
    <w:rsid w:val="00877DFD"/>
    <w:rsid w:val="008A1BA0"/>
    <w:rsid w:val="008A46E1"/>
    <w:rsid w:val="008B3785"/>
    <w:rsid w:val="008C6478"/>
    <w:rsid w:val="00901A9C"/>
    <w:rsid w:val="009052FE"/>
    <w:rsid w:val="00927D99"/>
    <w:rsid w:val="00937F04"/>
    <w:rsid w:val="00997A59"/>
    <w:rsid w:val="009A758A"/>
    <w:rsid w:val="009B4B8F"/>
    <w:rsid w:val="009C0305"/>
    <w:rsid w:val="009E5186"/>
    <w:rsid w:val="009E6FD0"/>
    <w:rsid w:val="009F2A8B"/>
    <w:rsid w:val="00A00784"/>
    <w:rsid w:val="00A06B23"/>
    <w:rsid w:val="00A258B5"/>
    <w:rsid w:val="00A411E2"/>
    <w:rsid w:val="00A4125E"/>
    <w:rsid w:val="00A44E82"/>
    <w:rsid w:val="00A62377"/>
    <w:rsid w:val="00A81661"/>
    <w:rsid w:val="00A95A64"/>
    <w:rsid w:val="00AA3AF8"/>
    <w:rsid w:val="00AA6D00"/>
    <w:rsid w:val="00AA789E"/>
    <w:rsid w:val="00AA7D9A"/>
    <w:rsid w:val="00AB13BF"/>
    <w:rsid w:val="00AC24A7"/>
    <w:rsid w:val="00AC3F1F"/>
    <w:rsid w:val="00AC61C7"/>
    <w:rsid w:val="00AD68F5"/>
    <w:rsid w:val="00AE09CE"/>
    <w:rsid w:val="00AE2720"/>
    <w:rsid w:val="00AE3B7D"/>
    <w:rsid w:val="00AE70A2"/>
    <w:rsid w:val="00AF0160"/>
    <w:rsid w:val="00AF24A7"/>
    <w:rsid w:val="00AF3934"/>
    <w:rsid w:val="00B11494"/>
    <w:rsid w:val="00B30138"/>
    <w:rsid w:val="00B30D09"/>
    <w:rsid w:val="00B34AD3"/>
    <w:rsid w:val="00B36610"/>
    <w:rsid w:val="00B6261A"/>
    <w:rsid w:val="00B71B50"/>
    <w:rsid w:val="00B80AC8"/>
    <w:rsid w:val="00B82581"/>
    <w:rsid w:val="00B92115"/>
    <w:rsid w:val="00BA47C4"/>
    <w:rsid w:val="00BB28BB"/>
    <w:rsid w:val="00BB5134"/>
    <w:rsid w:val="00BC0601"/>
    <w:rsid w:val="00BD1CDD"/>
    <w:rsid w:val="00C04E50"/>
    <w:rsid w:val="00C10077"/>
    <w:rsid w:val="00C645B1"/>
    <w:rsid w:val="00C67DDE"/>
    <w:rsid w:val="00C70523"/>
    <w:rsid w:val="00C76D80"/>
    <w:rsid w:val="00CB24EC"/>
    <w:rsid w:val="00CB450A"/>
    <w:rsid w:val="00CB52F0"/>
    <w:rsid w:val="00CD4F78"/>
    <w:rsid w:val="00CE60FF"/>
    <w:rsid w:val="00D04EE7"/>
    <w:rsid w:val="00D23FFB"/>
    <w:rsid w:val="00D40E86"/>
    <w:rsid w:val="00D471F9"/>
    <w:rsid w:val="00D47F6E"/>
    <w:rsid w:val="00D56CEF"/>
    <w:rsid w:val="00D8451A"/>
    <w:rsid w:val="00D8520F"/>
    <w:rsid w:val="00D942AE"/>
    <w:rsid w:val="00DA3C55"/>
    <w:rsid w:val="00DA486B"/>
    <w:rsid w:val="00DB3C8A"/>
    <w:rsid w:val="00DE02F8"/>
    <w:rsid w:val="00DE78D5"/>
    <w:rsid w:val="00E00C32"/>
    <w:rsid w:val="00E03300"/>
    <w:rsid w:val="00E06940"/>
    <w:rsid w:val="00E1231D"/>
    <w:rsid w:val="00E22FEA"/>
    <w:rsid w:val="00E362D4"/>
    <w:rsid w:val="00E52392"/>
    <w:rsid w:val="00E53098"/>
    <w:rsid w:val="00E73128"/>
    <w:rsid w:val="00E732C1"/>
    <w:rsid w:val="00E82858"/>
    <w:rsid w:val="00E93F8A"/>
    <w:rsid w:val="00E9539C"/>
    <w:rsid w:val="00EE00FB"/>
    <w:rsid w:val="00EE58D8"/>
    <w:rsid w:val="00EF0AAE"/>
    <w:rsid w:val="00F140F6"/>
    <w:rsid w:val="00F16D82"/>
    <w:rsid w:val="00F27677"/>
    <w:rsid w:val="00F30DC5"/>
    <w:rsid w:val="00F44E57"/>
    <w:rsid w:val="00F5436D"/>
    <w:rsid w:val="00F64C90"/>
    <w:rsid w:val="00F70BF1"/>
    <w:rsid w:val="00F73563"/>
    <w:rsid w:val="00F7451D"/>
    <w:rsid w:val="00F83297"/>
    <w:rsid w:val="00F8656A"/>
    <w:rsid w:val="00FA0734"/>
    <w:rsid w:val="00FC126A"/>
    <w:rsid w:val="00FD1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AA490C"/>
  <w15:chartTrackingRefBased/>
  <w15:docId w15:val="{DE25FDB8-451D-4081-84BF-DB17032F0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601"/>
    <w:rPr>
      <w:lang w:val="en-GB"/>
    </w:rPr>
  </w:style>
  <w:style w:type="paragraph" w:styleId="Heading1">
    <w:name w:val="heading 1"/>
    <w:basedOn w:val="Normal"/>
    <w:next w:val="Normal"/>
    <w:link w:val="Heading1Char"/>
    <w:uiPriority w:val="9"/>
    <w:qFormat/>
    <w:rsid w:val="006F74CE"/>
    <w:pPr>
      <w:keepNext/>
      <w:keepLines/>
      <w:spacing w:before="360" w:after="120"/>
      <w:jc w:val="both"/>
      <w:outlineLvl w:val="0"/>
    </w:pPr>
    <w:rPr>
      <w:rFonts w:ascii="Arial" w:eastAsiaTheme="majorEastAsia" w:hAnsi="Arial" w:cstheme="majorBidi"/>
      <w:b/>
      <w:color w:val="1F3864" w:themeColor="accent5" w:themeShade="80"/>
      <w:sz w:val="28"/>
      <w:szCs w:val="32"/>
    </w:rPr>
  </w:style>
  <w:style w:type="paragraph" w:styleId="Heading2">
    <w:name w:val="heading 2"/>
    <w:basedOn w:val="Normal"/>
    <w:next w:val="Normal"/>
    <w:link w:val="Heading2Char"/>
    <w:uiPriority w:val="9"/>
    <w:semiHidden/>
    <w:unhideWhenUsed/>
    <w:qFormat/>
    <w:rsid w:val="00A95A64"/>
    <w:pPr>
      <w:keepNext/>
      <w:keepLines/>
      <w:spacing w:before="40" w:after="0"/>
      <w:outlineLvl w:val="1"/>
    </w:pPr>
    <w:rPr>
      <w:rFonts w:ascii="Times New Roman" w:eastAsiaTheme="majorEastAsia" w:hAnsi="Times New Roman" w:cstheme="majorBidi"/>
      <w:b/>
      <w:color w:val="2F5496"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95A64"/>
    <w:rPr>
      <w:rFonts w:ascii="Times New Roman" w:eastAsiaTheme="majorEastAsia" w:hAnsi="Times New Roman" w:cstheme="majorBidi"/>
      <w:b/>
      <w:color w:val="2F5496" w:themeColor="accent5" w:themeShade="BF"/>
      <w:sz w:val="26"/>
      <w:szCs w:val="26"/>
    </w:rPr>
  </w:style>
  <w:style w:type="character" w:customStyle="1" w:styleId="Heading1Char">
    <w:name w:val="Heading 1 Char"/>
    <w:basedOn w:val="DefaultParagraphFont"/>
    <w:link w:val="Heading1"/>
    <w:uiPriority w:val="9"/>
    <w:rsid w:val="006F74CE"/>
    <w:rPr>
      <w:rFonts w:ascii="Arial" w:eastAsiaTheme="majorEastAsia" w:hAnsi="Arial" w:cstheme="majorBidi"/>
      <w:b/>
      <w:color w:val="1F3864" w:themeColor="accent5" w:themeShade="80"/>
      <w:sz w:val="28"/>
      <w:szCs w:val="32"/>
      <w:lang w:val="en-GB"/>
    </w:rPr>
  </w:style>
  <w:style w:type="paragraph" w:styleId="ListParagraph">
    <w:name w:val="List Paragraph"/>
    <w:basedOn w:val="Normal"/>
    <w:uiPriority w:val="34"/>
    <w:qFormat/>
    <w:rsid w:val="006F74CE"/>
    <w:pPr>
      <w:ind w:left="720"/>
      <w:contextualSpacing/>
    </w:pPr>
  </w:style>
  <w:style w:type="paragraph" w:styleId="Header">
    <w:name w:val="header"/>
    <w:basedOn w:val="Normal"/>
    <w:link w:val="HeaderChar"/>
    <w:uiPriority w:val="99"/>
    <w:unhideWhenUsed/>
    <w:rsid w:val="00AF39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3934"/>
    <w:rPr>
      <w:lang w:val="en-GB"/>
    </w:rPr>
  </w:style>
  <w:style w:type="paragraph" w:styleId="Footer">
    <w:name w:val="footer"/>
    <w:basedOn w:val="Normal"/>
    <w:link w:val="FooterChar"/>
    <w:uiPriority w:val="99"/>
    <w:unhideWhenUsed/>
    <w:rsid w:val="00AF39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3934"/>
    <w:rPr>
      <w:lang w:val="en-GB"/>
    </w:rPr>
  </w:style>
  <w:style w:type="paragraph" w:styleId="TOCHeading">
    <w:name w:val="TOC Heading"/>
    <w:basedOn w:val="Heading1"/>
    <w:next w:val="Normal"/>
    <w:uiPriority w:val="39"/>
    <w:unhideWhenUsed/>
    <w:qFormat/>
    <w:rsid w:val="00D47F6E"/>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47F6E"/>
    <w:pPr>
      <w:spacing w:after="100"/>
    </w:pPr>
  </w:style>
  <w:style w:type="character" w:styleId="Hyperlink">
    <w:name w:val="Hyperlink"/>
    <w:basedOn w:val="DefaultParagraphFont"/>
    <w:uiPriority w:val="99"/>
    <w:unhideWhenUsed/>
    <w:rsid w:val="00D47F6E"/>
    <w:rPr>
      <w:color w:val="0563C1" w:themeColor="hyperlink"/>
      <w:u w:val="single"/>
    </w:rPr>
  </w:style>
  <w:style w:type="paragraph" w:styleId="NormalWeb">
    <w:name w:val="Normal (Web)"/>
    <w:basedOn w:val="Normal"/>
    <w:uiPriority w:val="99"/>
    <w:unhideWhenUsed/>
    <w:rsid w:val="002F46DD"/>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5479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A6D00"/>
    <w:rPr>
      <w:color w:val="605E5C"/>
      <w:shd w:val="clear" w:color="auto" w:fill="E1DFDD"/>
    </w:rPr>
  </w:style>
  <w:style w:type="paragraph" w:styleId="NoSpacing">
    <w:name w:val="No Spacing"/>
    <w:link w:val="NoSpacingChar"/>
    <w:uiPriority w:val="1"/>
    <w:qFormat/>
    <w:rsid w:val="0077432C"/>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77432C"/>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634443">
      <w:bodyDiv w:val="1"/>
      <w:marLeft w:val="0"/>
      <w:marRight w:val="0"/>
      <w:marTop w:val="0"/>
      <w:marBottom w:val="0"/>
      <w:divBdr>
        <w:top w:val="none" w:sz="0" w:space="0" w:color="auto"/>
        <w:left w:val="none" w:sz="0" w:space="0" w:color="auto"/>
        <w:bottom w:val="none" w:sz="0" w:space="0" w:color="auto"/>
        <w:right w:val="none" w:sz="0" w:space="0" w:color="auto"/>
      </w:divBdr>
      <w:divsChild>
        <w:div w:id="1853492560">
          <w:marLeft w:val="0"/>
          <w:marRight w:val="0"/>
          <w:marTop w:val="0"/>
          <w:marBottom w:val="0"/>
          <w:divBdr>
            <w:top w:val="none" w:sz="0" w:space="0" w:color="auto"/>
            <w:left w:val="none" w:sz="0" w:space="0" w:color="auto"/>
            <w:bottom w:val="none" w:sz="0" w:space="0" w:color="auto"/>
            <w:right w:val="none" w:sz="0" w:space="0" w:color="auto"/>
          </w:divBdr>
          <w:divsChild>
            <w:div w:id="2051613541">
              <w:marLeft w:val="0"/>
              <w:marRight w:val="0"/>
              <w:marTop w:val="0"/>
              <w:marBottom w:val="0"/>
              <w:divBdr>
                <w:top w:val="none" w:sz="0" w:space="0" w:color="auto"/>
                <w:left w:val="none" w:sz="0" w:space="0" w:color="auto"/>
                <w:bottom w:val="none" w:sz="0" w:space="0" w:color="auto"/>
                <w:right w:val="none" w:sz="0" w:space="0" w:color="auto"/>
              </w:divBdr>
              <w:divsChild>
                <w:div w:id="1091773756">
                  <w:marLeft w:val="0"/>
                  <w:marRight w:val="0"/>
                  <w:marTop w:val="0"/>
                  <w:marBottom w:val="0"/>
                  <w:divBdr>
                    <w:top w:val="none" w:sz="0" w:space="0" w:color="auto"/>
                    <w:left w:val="none" w:sz="0" w:space="0" w:color="auto"/>
                    <w:bottom w:val="none" w:sz="0" w:space="0" w:color="auto"/>
                    <w:right w:val="none" w:sz="0" w:space="0" w:color="auto"/>
                  </w:divBdr>
                  <w:divsChild>
                    <w:div w:id="1298990325">
                      <w:marLeft w:val="0"/>
                      <w:marRight w:val="0"/>
                      <w:marTop w:val="0"/>
                      <w:marBottom w:val="0"/>
                      <w:divBdr>
                        <w:top w:val="none" w:sz="0" w:space="0" w:color="auto"/>
                        <w:left w:val="none" w:sz="0" w:space="0" w:color="auto"/>
                        <w:bottom w:val="none" w:sz="0" w:space="0" w:color="auto"/>
                        <w:right w:val="none" w:sz="0" w:space="0" w:color="auto"/>
                      </w:divBdr>
                      <w:divsChild>
                        <w:div w:id="646470814">
                          <w:marLeft w:val="0"/>
                          <w:marRight w:val="0"/>
                          <w:marTop w:val="0"/>
                          <w:marBottom w:val="0"/>
                          <w:divBdr>
                            <w:top w:val="none" w:sz="0" w:space="0" w:color="auto"/>
                            <w:left w:val="none" w:sz="0" w:space="0" w:color="auto"/>
                            <w:bottom w:val="none" w:sz="0" w:space="0" w:color="auto"/>
                            <w:right w:val="none" w:sz="0" w:space="0" w:color="auto"/>
                          </w:divBdr>
                          <w:divsChild>
                            <w:div w:id="251472339">
                              <w:marLeft w:val="0"/>
                              <w:marRight w:val="0"/>
                              <w:marTop w:val="0"/>
                              <w:marBottom w:val="0"/>
                              <w:divBdr>
                                <w:top w:val="none" w:sz="0" w:space="0" w:color="auto"/>
                                <w:left w:val="none" w:sz="0" w:space="0" w:color="auto"/>
                                <w:bottom w:val="none" w:sz="0" w:space="0" w:color="auto"/>
                                <w:right w:val="none" w:sz="0" w:space="0" w:color="auto"/>
                              </w:divBdr>
                              <w:divsChild>
                                <w:div w:id="1839613217">
                                  <w:marLeft w:val="0"/>
                                  <w:marRight w:val="0"/>
                                  <w:marTop w:val="0"/>
                                  <w:marBottom w:val="0"/>
                                  <w:divBdr>
                                    <w:top w:val="none" w:sz="0" w:space="0" w:color="auto"/>
                                    <w:left w:val="none" w:sz="0" w:space="0" w:color="auto"/>
                                    <w:bottom w:val="none" w:sz="0" w:space="0" w:color="auto"/>
                                    <w:right w:val="none" w:sz="0" w:space="0" w:color="auto"/>
                                  </w:divBdr>
                                  <w:divsChild>
                                    <w:div w:id="6700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6970244">
          <w:marLeft w:val="0"/>
          <w:marRight w:val="0"/>
          <w:marTop w:val="0"/>
          <w:marBottom w:val="0"/>
          <w:divBdr>
            <w:top w:val="none" w:sz="0" w:space="0" w:color="auto"/>
            <w:left w:val="none" w:sz="0" w:space="0" w:color="auto"/>
            <w:bottom w:val="none" w:sz="0" w:space="0" w:color="auto"/>
            <w:right w:val="none" w:sz="0" w:space="0" w:color="auto"/>
          </w:divBdr>
          <w:divsChild>
            <w:div w:id="522210895">
              <w:marLeft w:val="0"/>
              <w:marRight w:val="0"/>
              <w:marTop w:val="0"/>
              <w:marBottom w:val="0"/>
              <w:divBdr>
                <w:top w:val="none" w:sz="0" w:space="0" w:color="auto"/>
                <w:left w:val="none" w:sz="0" w:space="0" w:color="auto"/>
                <w:bottom w:val="none" w:sz="0" w:space="0" w:color="auto"/>
                <w:right w:val="none" w:sz="0" w:space="0" w:color="auto"/>
              </w:divBdr>
              <w:divsChild>
                <w:div w:id="1624458092">
                  <w:marLeft w:val="0"/>
                  <w:marRight w:val="0"/>
                  <w:marTop w:val="0"/>
                  <w:marBottom w:val="0"/>
                  <w:divBdr>
                    <w:top w:val="none" w:sz="0" w:space="0" w:color="auto"/>
                    <w:left w:val="none" w:sz="0" w:space="0" w:color="auto"/>
                    <w:bottom w:val="none" w:sz="0" w:space="0" w:color="auto"/>
                    <w:right w:val="none" w:sz="0" w:space="0" w:color="auto"/>
                  </w:divBdr>
                  <w:divsChild>
                    <w:div w:id="1793403422">
                      <w:marLeft w:val="0"/>
                      <w:marRight w:val="0"/>
                      <w:marTop w:val="0"/>
                      <w:marBottom w:val="0"/>
                      <w:divBdr>
                        <w:top w:val="none" w:sz="0" w:space="0" w:color="auto"/>
                        <w:left w:val="none" w:sz="0" w:space="0" w:color="auto"/>
                        <w:bottom w:val="none" w:sz="0" w:space="0" w:color="auto"/>
                        <w:right w:val="none" w:sz="0" w:space="0" w:color="auto"/>
                      </w:divBdr>
                      <w:divsChild>
                        <w:div w:id="847871565">
                          <w:marLeft w:val="0"/>
                          <w:marRight w:val="0"/>
                          <w:marTop w:val="0"/>
                          <w:marBottom w:val="0"/>
                          <w:divBdr>
                            <w:top w:val="none" w:sz="0" w:space="0" w:color="auto"/>
                            <w:left w:val="none" w:sz="0" w:space="0" w:color="auto"/>
                            <w:bottom w:val="none" w:sz="0" w:space="0" w:color="auto"/>
                            <w:right w:val="none" w:sz="0" w:space="0" w:color="auto"/>
                          </w:divBdr>
                          <w:divsChild>
                            <w:div w:id="1338190662">
                              <w:marLeft w:val="0"/>
                              <w:marRight w:val="0"/>
                              <w:marTop w:val="0"/>
                              <w:marBottom w:val="0"/>
                              <w:divBdr>
                                <w:top w:val="none" w:sz="0" w:space="0" w:color="auto"/>
                                <w:left w:val="none" w:sz="0" w:space="0" w:color="auto"/>
                                <w:bottom w:val="none" w:sz="0" w:space="0" w:color="auto"/>
                                <w:right w:val="none" w:sz="0" w:space="0" w:color="auto"/>
                              </w:divBdr>
                              <w:divsChild>
                                <w:div w:id="89268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1917225">
          <w:marLeft w:val="0"/>
          <w:marRight w:val="0"/>
          <w:marTop w:val="0"/>
          <w:marBottom w:val="0"/>
          <w:divBdr>
            <w:top w:val="none" w:sz="0" w:space="0" w:color="auto"/>
            <w:left w:val="none" w:sz="0" w:space="0" w:color="auto"/>
            <w:bottom w:val="none" w:sz="0" w:space="0" w:color="auto"/>
            <w:right w:val="none" w:sz="0" w:space="0" w:color="auto"/>
          </w:divBdr>
          <w:divsChild>
            <w:div w:id="960649012">
              <w:marLeft w:val="0"/>
              <w:marRight w:val="0"/>
              <w:marTop w:val="0"/>
              <w:marBottom w:val="0"/>
              <w:divBdr>
                <w:top w:val="none" w:sz="0" w:space="0" w:color="auto"/>
                <w:left w:val="none" w:sz="0" w:space="0" w:color="auto"/>
                <w:bottom w:val="none" w:sz="0" w:space="0" w:color="auto"/>
                <w:right w:val="none" w:sz="0" w:space="0" w:color="auto"/>
              </w:divBdr>
              <w:divsChild>
                <w:div w:id="385295964">
                  <w:marLeft w:val="0"/>
                  <w:marRight w:val="0"/>
                  <w:marTop w:val="0"/>
                  <w:marBottom w:val="0"/>
                  <w:divBdr>
                    <w:top w:val="none" w:sz="0" w:space="0" w:color="auto"/>
                    <w:left w:val="none" w:sz="0" w:space="0" w:color="auto"/>
                    <w:bottom w:val="none" w:sz="0" w:space="0" w:color="auto"/>
                    <w:right w:val="none" w:sz="0" w:space="0" w:color="auto"/>
                  </w:divBdr>
                  <w:divsChild>
                    <w:div w:id="1596672186">
                      <w:marLeft w:val="0"/>
                      <w:marRight w:val="0"/>
                      <w:marTop w:val="0"/>
                      <w:marBottom w:val="0"/>
                      <w:divBdr>
                        <w:top w:val="none" w:sz="0" w:space="0" w:color="auto"/>
                        <w:left w:val="none" w:sz="0" w:space="0" w:color="auto"/>
                        <w:bottom w:val="none" w:sz="0" w:space="0" w:color="auto"/>
                        <w:right w:val="none" w:sz="0" w:space="0" w:color="auto"/>
                      </w:divBdr>
                      <w:divsChild>
                        <w:div w:id="780800851">
                          <w:marLeft w:val="0"/>
                          <w:marRight w:val="0"/>
                          <w:marTop w:val="0"/>
                          <w:marBottom w:val="0"/>
                          <w:divBdr>
                            <w:top w:val="none" w:sz="0" w:space="0" w:color="auto"/>
                            <w:left w:val="none" w:sz="0" w:space="0" w:color="auto"/>
                            <w:bottom w:val="none" w:sz="0" w:space="0" w:color="auto"/>
                            <w:right w:val="none" w:sz="0" w:space="0" w:color="auto"/>
                          </w:divBdr>
                          <w:divsChild>
                            <w:div w:id="1734424611">
                              <w:marLeft w:val="0"/>
                              <w:marRight w:val="0"/>
                              <w:marTop w:val="0"/>
                              <w:marBottom w:val="0"/>
                              <w:divBdr>
                                <w:top w:val="none" w:sz="0" w:space="0" w:color="auto"/>
                                <w:left w:val="none" w:sz="0" w:space="0" w:color="auto"/>
                                <w:bottom w:val="none" w:sz="0" w:space="0" w:color="auto"/>
                                <w:right w:val="none" w:sz="0" w:space="0" w:color="auto"/>
                              </w:divBdr>
                              <w:divsChild>
                                <w:div w:id="1406801681">
                                  <w:marLeft w:val="0"/>
                                  <w:marRight w:val="0"/>
                                  <w:marTop w:val="0"/>
                                  <w:marBottom w:val="0"/>
                                  <w:divBdr>
                                    <w:top w:val="none" w:sz="0" w:space="0" w:color="auto"/>
                                    <w:left w:val="none" w:sz="0" w:space="0" w:color="auto"/>
                                    <w:bottom w:val="none" w:sz="0" w:space="0" w:color="auto"/>
                                    <w:right w:val="none" w:sz="0" w:space="0" w:color="auto"/>
                                  </w:divBdr>
                                  <w:divsChild>
                                    <w:div w:id="96616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7797373">
      <w:bodyDiv w:val="1"/>
      <w:marLeft w:val="0"/>
      <w:marRight w:val="0"/>
      <w:marTop w:val="0"/>
      <w:marBottom w:val="0"/>
      <w:divBdr>
        <w:top w:val="none" w:sz="0" w:space="0" w:color="auto"/>
        <w:left w:val="none" w:sz="0" w:space="0" w:color="auto"/>
        <w:bottom w:val="none" w:sz="0" w:space="0" w:color="auto"/>
        <w:right w:val="none" w:sz="0" w:space="0" w:color="auto"/>
      </w:divBdr>
    </w:div>
    <w:div w:id="1248420697">
      <w:bodyDiv w:val="1"/>
      <w:marLeft w:val="0"/>
      <w:marRight w:val="0"/>
      <w:marTop w:val="0"/>
      <w:marBottom w:val="0"/>
      <w:divBdr>
        <w:top w:val="none" w:sz="0" w:space="0" w:color="auto"/>
        <w:left w:val="none" w:sz="0" w:space="0" w:color="auto"/>
        <w:bottom w:val="none" w:sz="0" w:space="0" w:color="auto"/>
        <w:right w:val="none" w:sz="0" w:space="0" w:color="auto"/>
      </w:divBdr>
      <w:divsChild>
        <w:div w:id="609437718">
          <w:marLeft w:val="0"/>
          <w:marRight w:val="0"/>
          <w:marTop w:val="0"/>
          <w:marBottom w:val="0"/>
          <w:divBdr>
            <w:top w:val="none" w:sz="0" w:space="0" w:color="auto"/>
            <w:left w:val="none" w:sz="0" w:space="0" w:color="auto"/>
            <w:bottom w:val="none" w:sz="0" w:space="0" w:color="auto"/>
            <w:right w:val="none" w:sz="0" w:space="0" w:color="auto"/>
          </w:divBdr>
          <w:divsChild>
            <w:div w:id="1330718927">
              <w:marLeft w:val="0"/>
              <w:marRight w:val="0"/>
              <w:marTop w:val="0"/>
              <w:marBottom w:val="0"/>
              <w:divBdr>
                <w:top w:val="none" w:sz="0" w:space="0" w:color="auto"/>
                <w:left w:val="none" w:sz="0" w:space="0" w:color="auto"/>
                <w:bottom w:val="none" w:sz="0" w:space="0" w:color="auto"/>
                <w:right w:val="none" w:sz="0" w:space="0" w:color="auto"/>
              </w:divBdr>
            </w:div>
          </w:divsChild>
        </w:div>
        <w:div w:id="1694113735">
          <w:marLeft w:val="0"/>
          <w:marRight w:val="0"/>
          <w:marTop w:val="0"/>
          <w:marBottom w:val="0"/>
          <w:divBdr>
            <w:top w:val="none" w:sz="0" w:space="0" w:color="auto"/>
            <w:left w:val="none" w:sz="0" w:space="0" w:color="auto"/>
            <w:bottom w:val="none" w:sz="0" w:space="0" w:color="auto"/>
            <w:right w:val="none" w:sz="0" w:space="0" w:color="auto"/>
          </w:divBdr>
          <w:divsChild>
            <w:div w:id="267667240">
              <w:marLeft w:val="0"/>
              <w:marRight w:val="0"/>
              <w:marTop w:val="0"/>
              <w:marBottom w:val="0"/>
              <w:divBdr>
                <w:top w:val="none" w:sz="0" w:space="0" w:color="auto"/>
                <w:left w:val="none" w:sz="0" w:space="0" w:color="auto"/>
                <w:bottom w:val="none" w:sz="0" w:space="0" w:color="auto"/>
                <w:right w:val="none" w:sz="0" w:space="0" w:color="auto"/>
              </w:divBdr>
            </w:div>
          </w:divsChild>
        </w:div>
        <w:div w:id="1222718851">
          <w:marLeft w:val="0"/>
          <w:marRight w:val="0"/>
          <w:marTop w:val="0"/>
          <w:marBottom w:val="0"/>
          <w:divBdr>
            <w:top w:val="none" w:sz="0" w:space="0" w:color="auto"/>
            <w:left w:val="none" w:sz="0" w:space="0" w:color="auto"/>
            <w:bottom w:val="none" w:sz="0" w:space="0" w:color="auto"/>
            <w:right w:val="none" w:sz="0" w:space="0" w:color="auto"/>
          </w:divBdr>
          <w:divsChild>
            <w:div w:id="686909579">
              <w:marLeft w:val="0"/>
              <w:marRight w:val="0"/>
              <w:marTop w:val="0"/>
              <w:marBottom w:val="0"/>
              <w:divBdr>
                <w:top w:val="none" w:sz="0" w:space="0" w:color="auto"/>
                <w:left w:val="none" w:sz="0" w:space="0" w:color="auto"/>
                <w:bottom w:val="none" w:sz="0" w:space="0" w:color="auto"/>
                <w:right w:val="none" w:sz="0" w:space="0" w:color="auto"/>
              </w:divBdr>
            </w:div>
          </w:divsChild>
        </w:div>
        <w:div w:id="1649624484">
          <w:marLeft w:val="0"/>
          <w:marRight w:val="0"/>
          <w:marTop w:val="0"/>
          <w:marBottom w:val="0"/>
          <w:divBdr>
            <w:top w:val="none" w:sz="0" w:space="0" w:color="auto"/>
            <w:left w:val="none" w:sz="0" w:space="0" w:color="auto"/>
            <w:bottom w:val="none" w:sz="0" w:space="0" w:color="auto"/>
            <w:right w:val="none" w:sz="0" w:space="0" w:color="auto"/>
          </w:divBdr>
          <w:divsChild>
            <w:div w:id="188614065">
              <w:marLeft w:val="0"/>
              <w:marRight w:val="0"/>
              <w:marTop w:val="0"/>
              <w:marBottom w:val="0"/>
              <w:divBdr>
                <w:top w:val="none" w:sz="0" w:space="0" w:color="auto"/>
                <w:left w:val="none" w:sz="0" w:space="0" w:color="auto"/>
                <w:bottom w:val="none" w:sz="0" w:space="0" w:color="auto"/>
                <w:right w:val="none" w:sz="0" w:space="0" w:color="auto"/>
              </w:divBdr>
            </w:div>
          </w:divsChild>
        </w:div>
        <w:div w:id="1766420165">
          <w:marLeft w:val="0"/>
          <w:marRight w:val="0"/>
          <w:marTop w:val="0"/>
          <w:marBottom w:val="0"/>
          <w:divBdr>
            <w:top w:val="none" w:sz="0" w:space="0" w:color="auto"/>
            <w:left w:val="none" w:sz="0" w:space="0" w:color="auto"/>
            <w:bottom w:val="none" w:sz="0" w:space="0" w:color="auto"/>
            <w:right w:val="none" w:sz="0" w:space="0" w:color="auto"/>
          </w:divBdr>
          <w:divsChild>
            <w:div w:id="1091468446">
              <w:marLeft w:val="0"/>
              <w:marRight w:val="0"/>
              <w:marTop w:val="0"/>
              <w:marBottom w:val="0"/>
              <w:divBdr>
                <w:top w:val="none" w:sz="0" w:space="0" w:color="auto"/>
                <w:left w:val="none" w:sz="0" w:space="0" w:color="auto"/>
                <w:bottom w:val="none" w:sz="0" w:space="0" w:color="auto"/>
                <w:right w:val="none" w:sz="0" w:space="0" w:color="auto"/>
              </w:divBdr>
            </w:div>
          </w:divsChild>
        </w:div>
        <w:div w:id="603154773">
          <w:marLeft w:val="0"/>
          <w:marRight w:val="0"/>
          <w:marTop w:val="0"/>
          <w:marBottom w:val="0"/>
          <w:divBdr>
            <w:top w:val="none" w:sz="0" w:space="0" w:color="auto"/>
            <w:left w:val="none" w:sz="0" w:space="0" w:color="auto"/>
            <w:bottom w:val="none" w:sz="0" w:space="0" w:color="auto"/>
            <w:right w:val="none" w:sz="0" w:space="0" w:color="auto"/>
          </w:divBdr>
          <w:divsChild>
            <w:div w:id="36722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721878">
      <w:bodyDiv w:val="1"/>
      <w:marLeft w:val="0"/>
      <w:marRight w:val="0"/>
      <w:marTop w:val="0"/>
      <w:marBottom w:val="0"/>
      <w:divBdr>
        <w:top w:val="none" w:sz="0" w:space="0" w:color="auto"/>
        <w:left w:val="none" w:sz="0" w:space="0" w:color="auto"/>
        <w:bottom w:val="none" w:sz="0" w:space="0" w:color="auto"/>
        <w:right w:val="none" w:sz="0" w:space="0" w:color="auto"/>
      </w:divBdr>
    </w:div>
    <w:div w:id="1671591842">
      <w:bodyDiv w:val="1"/>
      <w:marLeft w:val="0"/>
      <w:marRight w:val="0"/>
      <w:marTop w:val="0"/>
      <w:marBottom w:val="0"/>
      <w:divBdr>
        <w:top w:val="none" w:sz="0" w:space="0" w:color="auto"/>
        <w:left w:val="none" w:sz="0" w:space="0" w:color="auto"/>
        <w:bottom w:val="none" w:sz="0" w:space="0" w:color="auto"/>
        <w:right w:val="none" w:sz="0" w:space="0" w:color="auto"/>
      </w:divBdr>
      <w:divsChild>
        <w:div w:id="284581722">
          <w:marLeft w:val="0"/>
          <w:marRight w:val="0"/>
          <w:marTop w:val="0"/>
          <w:marBottom w:val="0"/>
          <w:divBdr>
            <w:top w:val="none" w:sz="0" w:space="0" w:color="auto"/>
            <w:left w:val="none" w:sz="0" w:space="0" w:color="auto"/>
            <w:bottom w:val="none" w:sz="0" w:space="0" w:color="auto"/>
            <w:right w:val="none" w:sz="0" w:space="0" w:color="auto"/>
          </w:divBdr>
          <w:divsChild>
            <w:div w:id="519248251">
              <w:marLeft w:val="0"/>
              <w:marRight w:val="0"/>
              <w:marTop w:val="0"/>
              <w:marBottom w:val="0"/>
              <w:divBdr>
                <w:top w:val="none" w:sz="0" w:space="0" w:color="auto"/>
                <w:left w:val="none" w:sz="0" w:space="0" w:color="auto"/>
                <w:bottom w:val="none" w:sz="0" w:space="0" w:color="auto"/>
                <w:right w:val="none" w:sz="0" w:space="0" w:color="auto"/>
              </w:divBdr>
            </w:div>
          </w:divsChild>
        </w:div>
        <w:div w:id="360670996">
          <w:marLeft w:val="0"/>
          <w:marRight w:val="0"/>
          <w:marTop w:val="0"/>
          <w:marBottom w:val="0"/>
          <w:divBdr>
            <w:top w:val="none" w:sz="0" w:space="0" w:color="auto"/>
            <w:left w:val="none" w:sz="0" w:space="0" w:color="auto"/>
            <w:bottom w:val="none" w:sz="0" w:space="0" w:color="auto"/>
            <w:right w:val="none" w:sz="0" w:space="0" w:color="auto"/>
          </w:divBdr>
          <w:divsChild>
            <w:div w:id="490875841">
              <w:marLeft w:val="0"/>
              <w:marRight w:val="0"/>
              <w:marTop w:val="0"/>
              <w:marBottom w:val="0"/>
              <w:divBdr>
                <w:top w:val="none" w:sz="0" w:space="0" w:color="auto"/>
                <w:left w:val="none" w:sz="0" w:space="0" w:color="auto"/>
                <w:bottom w:val="none" w:sz="0" w:space="0" w:color="auto"/>
                <w:right w:val="none" w:sz="0" w:space="0" w:color="auto"/>
              </w:divBdr>
            </w:div>
          </w:divsChild>
        </w:div>
        <w:div w:id="1416784916">
          <w:marLeft w:val="0"/>
          <w:marRight w:val="0"/>
          <w:marTop w:val="0"/>
          <w:marBottom w:val="0"/>
          <w:divBdr>
            <w:top w:val="none" w:sz="0" w:space="0" w:color="auto"/>
            <w:left w:val="none" w:sz="0" w:space="0" w:color="auto"/>
            <w:bottom w:val="none" w:sz="0" w:space="0" w:color="auto"/>
            <w:right w:val="none" w:sz="0" w:space="0" w:color="auto"/>
          </w:divBdr>
          <w:divsChild>
            <w:div w:id="82841947">
              <w:marLeft w:val="0"/>
              <w:marRight w:val="0"/>
              <w:marTop w:val="0"/>
              <w:marBottom w:val="0"/>
              <w:divBdr>
                <w:top w:val="none" w:sz="0" w:space="0" w:color="auto"/>
                <w:left w:val="none" w:sz="0" w:space="0" w:color="auto"/>
                <w:bottom w:val="none" w:sz="0" w:space="0" w:color="auto"/>
                <w:right w:val="none" w:sz="0" w:space="0" w:color="auto"/>
              </w:divBdr>
            </w:div>
          </w:divsChild>
        </w:div>
        <w:div w:id="2144080146">
          <w:marLeft w:val="0"/>
          <w:marRight w:val="0"/>
          <w:marTop w:val="0"/>
          <w:marBottom w:val="0"/>
          <w:divBdr>
            <w:top w:val="none" w:sz="0" w:space="0" w:color="auto"/>
            <w:left w:val="none" w:sz="0" w:space="0" w:color="auto"/>
            <w:bottom w:val="none" w:sz="0" w:space="0" w:color="auto"/>
            <w:right w:val="none" w:sz="0" w:space="0" w:color="auto"/>
          </w:divBdr>
          <w:divsChild>
            <w:div w:id="1422724761">
              <w:marLeft w:val="0"/>
              <w:marRight w:val="0"/>
              <w:marTop w:val="0"/>
              <w:marBottom w:val="0"/>
              <w:divBdr>
                <w:top w:val="none" w:sz="0" w:space="0" w:color="auto"/>
                <w:left w:val="none" w:sz="0" w:space="0" w:color="auto"/>
                <w:bottom w:val="none" w:sz="0" w:space="0" w:color="auto"/>
                <w:right w:val="none" w:sz="0" w:space="0" w:color="auto"/>
              </w:divBdr>
            </w:div>
          </w:divsChild>
        </w:div>
        <w:div w:id="1660696063">
          <w:marLeft w:val="0"/>
          <w:marRight w:val="0"/>
          <w:marTop w:val="0"/>
          <w:marBottom w:val="0"/>
          <w:divBdr>
            <w:top w:val="none" w:sz="0" w:space="0" w:color="auto"/>
            <w:left w:val="none" w:sz="0" w:space="0" w:color="auto"/>
            <w:bottom w:val="none" w:sz="0" w:space="0" w:color="auto"/>
            <w:right w:val="none" w:sz="0" w:space="0" w:color="auto"/>
          </w:divBdr>
          <w:divsChild>
            <w:div w:id="1943758220">
              <w:marLeft w:val="0"/>
              <w:marRight w:val="0"/>
              <w:marTop w:val="0"/>
              <w:marBottom w:val="0"/>
              <w:divBdr>
                <w:top w:val="none" w:sz="0" w:space="0" w:color="auto"/>
                <w:left w:val="none" w:sz="0" w:space="0" w:color="auto"/>
                <w:bottom w:val="none" w:sz="0" w:space="0" w:color="auto"/>
                <w:right w:val="none" w:sz="0" w:space="0" w:color="auto"/>
              </w:divBdr>
            </w:div>
          </w:divsChild>
        </w:div>
        <w:div w:id="1246643617">
          <w:marLeft w:val="0"/>
          <w:marRight w:val="0"/>
          <w:marTop w:val="0"/>
          <w:marBottom w:val="0"/>
          <w:divBdr>
            <w:top w:val="none" w:sz="0" w:space="0" w:color="auto"/>
            <w:left w:val="none" w:sz="0" w:space="0" w:color="auto"/>
            <w:bottom w:val="none" w:sz="0" w:space="0" w:color="auto"/>
            <w:right w:val="none" w:sz="0" w:space="0" w:color="auto"/>
          </w:divBdr>
          <w:divsChild>
            <w:div w:id="7039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344768">
      <w:bodyDiv w:val="1"/>
      <w:marLeft w:val="0"/>
      <w:marRight w:val="0"/>
      <w:marTop w:val="0"/>
      <w:marBottom w:val="0"/>
      <w:divBdr>
        <w:top w:val="none" w:sz="0" w:space="0" w:color="auto"/>
        <w:left w:val="none" w:sz="0" w:space="0" w:color="auto"/>
        <w:bottom w:val="none" w:sz="0" w:space="0" w:color="auto"/>
        <w:right w:val="none" w:sz="0" w:space="0" w:color="auto"/>
      </w:divBdr>
    </w:div>
    <w:div w:id="1804226571">
      <w:bodyDiv w:val="1"/>
      <w:marLeft w:val="0"/>
      <w:marRight w:val="0"/>
      <w:marTop w:val="0"/>
      <w:marBottom w:val="0"/>
      <w:divBdr>
        <w:top w:val="none" w:sz="0" w:space="0" w:color="auto"/>
        <w:left w:val="none" w:sz="0" w:space="0" w:color="auto"/>
        <w:bottom w:val="none" w:sz="0" w:space="0" w:color="auto"/>
        <w:right w:val="none" w:sz="0" w:space="0" w:color="auto"/>
      </w:divBdr>
      <w:divsChild>
        <w:div w:id="159276944">
          <w:marLeft w:val="0"/>
          <w:marRight w:val="0"/>
          <w:marTop w:val="0"/>
          <w:marBottom w:val="0"/>
          <w:divBdr>
            <w:top w:val="none" w:sz="0" w:space="0" w:color="auto"/>
            <w:left w:val="none" w:sz="0" w:space="0" w:color="auto"/>
            <w:bottom w:val="none" w:sz="0" w:space="0" w:color="auto"/>
            <w:right w:val="none" w:sz="0" w:space="0" w:color="auto"/>
          </w:divBdr>
          <w:divsChild>
            <w:div w:id="1279682260">
              <w:marLeft w:val="0"/>
              <w:marRight w:val="0"/>
              <w:marTop w:val="0"/>
              <w:marBottom w:val="0"/>
              <w:divBdr>
                <w:top w:val="none" w:sz="0" w:space="0" w:color="auto"/>
                <w:left w:val="none" w:sz="0" w:space="0" w:color="auto"/>
                <w:bottom w:val="none" w:sz="0" w:space="0" w:color="auto"/>
                <w:right w:val="none" w:sz="0" w:space="0" w:color="auto"/>
              </w:divBdr>
            </w:div>
          </w:divsChild>
        </w:div>
        <w:div w:id="880675931">
          <w:marLeft w:val="0"/>
          <w:marRight w:val="0"/>
          <w:marTop w:val="0"/>
          <w:marBottom w:val="0"/>
          <w:divBdr>
            <w:top w:val="none" w:sz="0" w:space="0" w:color="auto"/>
            <w:left w:val="none" w:sz="0" w:space="0" w:color="auto"/>
            <w:bottom w:val="none" w:sz="0" w:space="0" w:color="auto"/>
            <w:right w:val="none" w:sz="0" w:space="0" w:color="auto"/>
          </w:divBdr>
          <w:divsChild>
            <w:div w:id="1126006434">
              <w:marLeft w:val="0"/>
              <w:marRight w:val="0"/>
              <w:marTop w:val="0"/>
              <w:marBottom w:val="0"/>
              <w:divBdr>
                <w:top w:val="none" w:sz="0" w:space="0" w:color="auto"/>
                <w:left w:val="none" w:sz="0" w:space="0" w:color="auto"/>
                <w:bottom w:val="none" w:sz="0" w:space="0" w:color="auto"/>
                <w:right w:val="none" w:sz="0" w:space="0" w:color="auto"/>
              </w:divBdr>
            </w:div>
          </w:divsChild>
        </w:div>
        <w:div w:id="592009880">
          <w:marLeft w:val="0"/>
          <w:marRight w:val="0"/>
          <w:marTop w:val="0"/>
          <w:marBottom w:val="0"/>
          <w:divBdr>
            <w:top w:val="none" w:sz="0" w:space="0" w:color="auto"/>
            <w:left w:val="none" w:sz="0" w:space="0" w:color="auto"/>
            <w:bottom w:val="none" w:sz="0" w:space="0" w:color="auto"/>
            <w:right w:val="none" w:sz="0" w:space="0" w:color="auto"/>
          </w:divBdr>
          <w:divsChild>
            <w:div w:id="210505206">
              <w:marLeft w:val="0"/>
              <w:marRight w:val="0"/>
              <w:marTop w:val="0"/>
              <w:marBottom w:val="0"/>
              <w:divBdr>
                <w:top w:val="none" w:sz="0" w:space="0" w:color="auto"/>
                <w:left w:val="none" w:sz="0" w:space="0" w:color="auto"/>
                <w:bottom w:val="none" w:sz="0" w:space="0" w:color="auto"/>
                <w:right w:val="none" w:sz="0" w:space="0" w:color="auto"/>
              </w:divBdr>
            </w:div>
          </w:divsChild>
        </w:div>
        <w:div w:id="1224291654">
          <w:marLeft w:val="0"/>
          <w:marRight w:val="0"/>
          <w:marTop w:val="0"/>
          <w:marBottom w:val="0"/>
          <w:divBdr>
            <w:top w:val="none" w:sz="0" w:space="0" w:color="auto"/>
            <w:left w:val="none" w:sz="0" w:space="0" w:color="auto"/>
            <w:bottom w:val="none" w:sz="0" w:space="0" w:color="auto"/>
            <w:right w:val="none" w:sz="0" w:space="0" w:color="auto"/>
          </w:divBdr>
          <w:divsChild>
            <w:div w:id="699168661">
              <w:marLeft w:val="0"/>
              <w:marRight w:val="0"/>
              <w:marTop w:val="0"/>
              <w:marBottom w:val="0"/>
              <w:divBdr>
                <w:top w:val="none" w:sz="0" w:space="0" w:color="auto"/>
                <w:left w:val="none" w:sz="0" w:space="0" w:color="auto"/>
                <w:bottom w:val="none" w:sz="0" w:space="0" w:color="auto"/>
                <w:right w:val="none" w:sz="0" w:space="0" w:color="auto"/>
              </w:divBdr>
            </w:div>
          </w:divsChild>
        </w:div>
        <w:div w:id="1078357803">
          <w:marLeft w:val="0"/>
          <w:marRight w:val="0"/>
          <w:marTop w:val="0"/>
          <w:marBottom w:val="0"/>
          <w:divBdr>
            <w:top w:val="none" w:sz="0" w:space="0" w:color="auto"/>
            <w:left w:val="none" w:sz="0" w:space="0" w:color="auto"/>
            <w:bottom w:val="none" w:sz="0" w:space="0" w:color="auto"/>
            <w:right w:val="none" w:sz="0" w:space="0" w:color="auto"/>
          </w:divBdr>
          <w:divsChild>
            <w:div w:id="1467506603">
              <w:marLeft w:val="0"/>
              <w:marRight w:val="0"/>
              <w:marTop w:val="0"/>
              <w:marBottom w:val="0"/>
              <w:divBdr>
                <w:top w:val="none" w:sz="0" w:space="0" w:color="auto"/>
                <w:left w:val="none" w:sz="0" w:space="0" w:color="auto"/>
                <w:bottom w:val="none" w:sz="0" w:space="0" w:color="auto"/>
                <w:right w:val="none" w:sz="0" w:space="0" w:color="auto"/>
              </w:divBdr>
            </w:div>
          </w:divsChild>
        </w:div>
        <w:div w:id="1093938981">
          <w:marLeft w:val="0"/>
          <w:marRight w:val="0"/>
          <w:marTop w:val="0"/>
          <w:marBottom w:val="0"/>
          <w:divBdr>
            <w:top w:val="none" w:sz="0" w:space="0" w:color="auto"/>
            <w:left w:val="none" w:sz="0" w:space="0" w:color="auto"/>
            <w:bottom w:val="none" w:sz="0" w:space="0" w:color="auto"/>
            <w:right w:val="none" w:sz="0" w:space="0" w:color="auto"/>
          </w:divBdr>
          <w:divsChild>
            <w:div w:id="18506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pi.taylorfrancis.com/content/chapters/edit/download?identifierName=doi&amp;identifierValue=10.4324/9781003020653-3&amp;type=chapterpdf" TargetMode="External"/><Relationship Id="rId18" Type="http://schemas.openxmlformats.org/officeDocument/2006/relationships/hyperlink" Target="https://www.torrossa.com/gs/resourceProxy?an=5018423&amp;publisher=FZ720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arersuk.org/help-and-advice/practical-support/getting-care-and-support/carers-assessment" TargetMode="External"/><Relationship Id="rId17" Type="http://schemas.openxmlformats.org/officeDocument/2006/relationships/hyperlink" Target="https://academic.oup.com/jlb/article-pdf/doi/10.1093/jlb/lsab023/42431993/lsab023.pdf" TargetMode="External"/><Relationship Id="rId2" Type="http://schemas.openxmlformats.org/officeDocument/2006/relationships/numbering" Target="numbering.xml"/><Relationship Id="rId16" Type="http://schemas.openxmlformats.org/officeDocument/2006/relationships/hyperlink" Target="https://link.springer.com/article/10.1186/s12913-020-05366-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hub/six-principles-care-act-2014/" TargetMode="External"/><Relationship Id="rId5" Type="http://schemas.openxmlformats.org/officeDocument/2006/relationships/webSettings" Target="webSettings.xml"/><Relationship Id="rId15" Type="http://schemas.openxmlformats.org/officeDocument/2006/relationships/hyperlink" Target="https://books.google.com/books?hl=en&amp;lr=&amp;id=_E3qAgAAQBAJ&amp;oi=fnd&amp;pg=PR7&amp;dq=Partnership+working+in+health+and+social+care:+what+is+integrated+care+and+how+can+we+deliver+it%3F&amp;ots=KVCj5N7vQM&amp;sig=K6rFVLtb7_orRRCanuOEKuA5rDg" TargetMode="External"/><Relationship Id="rId10" Type="http://schemas.openxmlformats.org/officeDocument/2006/relationships/hyperlink" Target="https://www.thelancet.com/journals/eclinm/article/PIIS2589-5370(25)00430-4/fulltext" TargetMode="External"/><Relationship Id="rId19" Type="http://schemas.openxmlformats.org/officeDocument/2006/relationships/hyperlink" Target="https://academic.oup.com/jlb/article-abstract/7/1/lsaa010/5825716"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journals.sagepub.com/doi/abs/10.1177/1355819625134939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2239</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Module: Introduction to Health and Social Care (LCHS4003
Student Name: Elizabeth Nuworkpor
Student ID: 2508597
Lecturer: Daniel Haruna
Table of Contents
Introduction	3
1. Communication and Cultural Responsiveness in Post-Stroke	3
2. Adminis</vt:lpstr>
    </vt:vector>
  </TitlesOfParts>
  <Company>Elizabeth Nuworkpor</Company>
  <LinksUpToDate>false</LinksUpToDate>
  <CharactersWithSpaces>14973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Introduction to Health and Social Care (LCHS4003
Student Name: Elizabeth Nuworkpor
Student ID: 2508597
Lecturer: Daniel Haruna
Table of Contents
Introduction	3
1. Communication and Cultural Responsiveness in Post-Stroke	3
2. Administrative Skills and Record-Keeping in Professional Practice	5
3. Collaborative Working in Multidisciplinary Health and Social Care	6
Conclusion	8
Reference List	9
â€ƒ
Introduction
The safety and wellbeing of service users within the British health and social care framework are fundamentally dependent on cohesive professional practice, clear communication, and robust administrative oversight. Care delivery in the UK is governed by specific legislation and professional codes of practice designed to protect vulnerable individuals with complex needs. The significance of patient-centered interaction, administrative diligence, and inter-professional collaboration is vividly demonstrated through the case of Mr. Ahmed, a 68-year-old stroke survivor. 
Following his hospital discharge, Mr. Ahmed requires domiciliary care to manage physical and cognitive impairments that have left him increasingly reliant on professional support. This report critically evaluates the communication strategies, administrative frameworks, and collaborative approaches required to support Mr. Ahmedâ€™s recovery. By examining the intersection of legal duties and clinical practice, this report identifies how integrated care can ensure Mr. Ahmed's ongoing safety and dignity within a community setting.
1. Communication and Cultural Responsiveness in Post-Stroke 
Effective communication is the cornerstone of patient empowerment, enabling individuals to understand their clinical pathway and participate meaningfully in their own care. For Mr. Ahmed, this is complicated by the dual challenges of a post-stroke communication deficit and a significant language barrier, as his primary language is Bengali. Healthcare practitioners must therefore adopt inclusive, macro-level approaches that prioritize the patientâ€™s cultural and linguistic c</dc:title>
  <dc:subject/>
  <dc:creator>Elizabeth Nuworkpor</dc:creator>
  <cp:keywords/>
  <dc:description/>
  <cp:lastModifiedBy>Elizabeth Nuworkpor</cp:lastModifiedBy>
  <cp:revision>7</cp:revision>
  <dcterms:created xsi:type="dcterms:W3CDTF">2026-03-21T18:46:00Z</dcterms:created>
  <dcterms:modified xsi:type="dcterms:W3CDTF">2026-03-23T21:37:00Z</dcterms:modified>
</cp:coreProperties>
</file>