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25AB4" w14:textId="77777777" w:rsidR="00DF09FB" w:rsidRDefault="00DF09FB" w:rsidP="00DF09FB">
      <w:pPr>
        <w:jc w:val="center"/>
        <w:rPr>
          <w:b/>
          <w:bCs/>
        </w:rPr>
      </w:pPr>
    </w:p>
    <w:p w14:paraId="71C19ACE" w14:textId="77777777" w:rsidR="00DF09FB" w:rsidRDefault="00DF09FB" w:rsidP="00DF09FB">
      <w:pPr>
        <w:jc w:val="center"/>
        <w:rPr>
          <w:b/>
          <w:bCs/>
        </w:rPr>
      </w:pPr>
    </w:p>
    <w:p w14:paraId="22C0BEE6" w14:textId="77777777" w:rsidR="00DF09FB" w:rsidRDefault="00DF09FB" w:rsidP="00DF09FB">
      <w:pPr>
        <w:jc w:val="center"/>
        <w:rPr>
          <w:b/>
          <w:bCs/>
        </w:rPr>
      </w:pPr>
    </w:p>
    <w:p w14:paraId="56A049E0" w14:textId="77777777" w:rsidR="00DF09FB" w:rsidRDefault="00DF09FB" w:rsidP="00DF09FB">
      <w:pPr>
        <w:jc w:val="center"/>
        <w:rPr>
          <w:b/>
          <w:bCs/>
        </w:rPr>
      </w:pPr>
    </w:p>
    <w:p w14:paraId="2FA09F02" w14:textId="77777777" w:rsidR="00DF09FB" w:rsidRDefault="00DF09FB" w:rsidP="00DF09FB">
      <w:pPr>
        <w:jc w:val="center"/>
        <w:rPr>
          <w:b/>
          <w:bCs/>
        </w:rPr>
      </w:pPr>
    </w:p>
    <w:p w14:paraId="7AE575AF" w14:textId="77777777" w:rsidR="00DF09FB" w:rsidRDefault="00DF09FB" w:rsidP="00DF09FB">
      <w:pPr>
        <w:jc w:val="center"/>
        <w:rPr>
          <w:b/>
          <w:bCs/>
        </w:rPr>
      </w:pPr>
    </w:p>
    <w:p w14:paraId="4CA21345" w14:textId="4FE0C172" w:rsidR="00DF09FB" w:rsidRDefault="00DF09FB" w:rsidP="00DF09FB">
      <w:pPr>
        <w:jc w:val="center"/>
        <w:rPr>
          <w:b/>
          <w:bCs/>
        </w:rPr>
      </w:pPr>
      <w:r w:rsidRPr="00DF09FB">
        <w:rPr>
          <w:b/>
          <w:bCs/>
        </w:rPr>
        <w:t>Assignment 1: Hilton Hotel</w:t>
      </w:r>
    </w:p>
    <w:p w14:paraId="7C6A0A74" w14:textId="0B1FEE64" w:rsidR="00DF09FB" w:rsidRDefault="00DF09FB" w:rsidP="00DF09FB">
      <w:pPr>
        <w:jc w:val="center"/>
        <w:rPr>
          <w:b/>
          <w:bCs/>
        </w:rPr>
      </w:pPr>
    </w:p>
    <w:p w14:paraId="63093BAE" w14:textId="74437BBE" w:rsidR="00DF09FB" w:rsidRDefault="00DF09FB" w:rsidP="00DF09FB">
      <w:pPr>
        <w:jc w:val="center"/>
        <w:rPr>
          <w:b/>
          <w:bCs/>
        </w:rPr>
      </w:pPr>
    </w:p>
    <w:p w14:paraId="5BEF19B0" w14:textId="7EB963E7" w:rsidR="00DF09FB" w:rsidRDefault="00DF09FB" w:rsidP="00DF09FB">
      <w:pPr>
        <w:jc w:val="center"/>
        <w:rPr>
          <w:b/>
          <w:bCs/>
        </w:rPr>
      </w:pPr>
    </w:p>
    <w:p w14:paraId="293A957F" w14:textId="4785F749" w:rsidR="00DF09FB" w:rsidRDefault="00DF09FB" w:rsidP="00DF09FB">
      <w:pPr>
        <w:jc w:val="center"/>
        <w:rPr>
          <w:b/>
          <w:bCs/>
        </w:rPr>
      </w:pPr>
    </w:p>
    <w:p w14:paraId="796C96AA" w14:textId="55DCEE38" w:rsidR="00DF09FB" w:rsidRDefault="00DF09FB" w:rsidP="00DF09FB">
      <w:pPr>
        <w:jc w:val="center"/>
        <w:rPr>
          <w:b/>
          <w:bCs/>
        </w:rPr>
      </w:pPr>
    </w:p>
    <w:p w14:paraId="75260BE6" w14:textId="55DFFC6E" w:rsidR="00DF09FB" w:rsidRPr="00DF09FB" w:rsidRDefault="00DF09FB" w:rsidP="00DF09FB">
      <w:pPr>
        <w:jc w:val="center"/>
      </w:pPr>
      <w:r w:rsidRPr="00DF09FB">
        <w:t>Student: Eduard Slavu</w:t>
      </w:r>
    </w:p>
    <w:p w14:paraId="0CE3EC98" w14:textId="733B9AAA" w:rsidR="00DF09FB" w:rsidRPr="00DF09FB" w:rsidRDefault="00DF09FB" w:rsidP="00DF09FB">
      <w:pPr>
        <w:jc w:val="center"/>
      </w:pPr>
      <w:r w:rsidRPr="00DF09FB">
        <w:t>ID:2022664</w:t>
      </w:r>
    </w:p>
    <w:p w14:paraId="50A95AE0" w14:textId="64A411A9" w:rsidR="00DF09FB" w:rsidRPr="00DF09FB" w:rsidRDefault="00DF09FB" w:rsidP="00DF09FB">
      <w:pPr>
        <w:jc w:val="center"/>
      </w:pPr>
      <w:r w:rsidRPr="00DF09FB">
        <w:t>Module: BMIH5007</w:t>
      </w:r>
    </w:p>
    <w:p w14:paraId="05466E51" w14:textId="4F53B75B" w:rsidR="00DF09FB" w:rsidRPr="00DF09FB" w:rsidRDefault="00DF09FB" w:rsidP="00DF09FB">
      <w:pPr>
        <w:jc w:val="center"/>
      </w:pPr>
      <w:r w:rsidRPr="00DF09FB">
        <w:t>Lecturer: Dale Clarke</w:t>
      </w:r>
    </w:p>
    <w:p w14:paraId="0E495F3F" w14:textId="2FD7A1E5" w:rsidR="00DF09FB" w:rsidRDefault="00DF09FB" w:rsidP="00DF09FB"/>
    <w:p w14:paraId="7E6A95E5" w14:textId="5A056BE0" w:rsidR="00DF09FB" w:rsidRDefault="00DF09FB" w:rsidP="00DF09FB"/>
    <w:p w14:paraId="1D08499E" w14:textId="61FCF2AF" w:rsidR="00DF09FB" w:rsidRDefault="00DF09FB" w:rsidP="00DF09FB"/>
    <w:p w14:paraId="3FF71DEF" w14:textId="0644250E" w:rsidR="00DF09FB" w:rsidRDefault="00DF09FB" w:rsidP="00DF09FB"/>
    <w:p w14:paraId="7F4E4BA5" w14:textId="79B8F6AB" w:rsidR="00DF09FB" w:rsidRDefault="00DF09FB" w:rsidP="00DF09FB"/>
    <w:p w14:paraId="47DBF688" w14:textId="5C8D9559" w:rsidR="00DF09FB" w:rsidRDefault="00DF09FB" w:rsidP="00DF09FB"/>
    <w:p w14:paraId="3EA75E49" w14:textId="35D8E006" w:rsidR="00DF09FB" w:rsidRDefault="00DF09FB" w:rsidP="00DF09FB"/>
    <w:p w14:paraId="5C172749" w14:textId="7F4B04F1" w:rsidR="00DF09FB" w:rsidRDefault="00DF09FB" w:rsidP="00DF09FB"/>
    <w:p w14:paraId="7C098131" w14:textId="13AE2785" w:rsidR="00DF09FB" w:rsidRDefault="00DF09FB" w:rsidP="00DF09FB"/>
    <w:p w14:paraId="0B49E76B" w14:textId="021C1926" w:rsidR="00D2745C" w:rsidRPr="0093203A" w:rsidRDefault="00D2745C" w:rsidP="0093203A">
      <w:pPr>
        <w:rPr>
          <w:b/>
          <w:bCs/>
          <w:szCs w:val="24"/>
        </w:rPr>
      </w:pPr>
      <w:r w:rsidRPr="0093203A">
        <w:rPr>
          <w:b/>
          <w:bCs/>
          <w:szCs w:val="24"/>
        </w:rPr>
        <w:t>Analysis of the Financial Statements</w:t>
      </w:r>
    </w:p>
    <w:p w14:paraId="2D3FAE77" w14:textId="77777777" w:rsidR="005A5CA6" w:rsidRPr="0093203A" w:rsidRDefault="005A5CA6" w:rsidP="0093203A">
      <w:pPr>
        <w:pStyle w:val="Heading1"/>
        <w:spacing w:line="360" w:lineRule="auto"/>
        <w:rPr>
          <w:bCs/>
          <w:sz w:val="24"/>
          <w:szCs w:val="24"/>
        </w:rPr>
      </w:pPr>
      <w:bookmarkStart w:id="0" w:name="_Toc104065660"/>
      <w:r w:rsidRPr="0093203A">
        <w:rPr>
          <w:bCs/>
          <w:sz w:val="24"/>
          <w:szCs w:val="24"/>
        </w:rPr>
        <w:t>Ration Analysis</w:t>
      </w:r>
      <w:bookmarkEnd w:id="0"/>
      <w:r w:rsidRPr="0093203A">
        <w:rPr>
          <w:bCs/>
          <w:sz w:val="24"/>
          <w:szCs w:val="24"/>
        </w:rPr>
        <w:t xml:space="preserve"> </w:t>
      </w:r>
    </w:p>
    <w:p w14:paraId="7F14E6B7" w14:textId="77777777" w:rsidR="0024514D" w:rsidRPr="0093203A" w:rsidRDefault="0024514D" w:rsidP="0093203A">
      <w:pPr>
        <w:pStyle w:val="Heading2"/>
        <w:spacing w:line="360" w:lineRule="auto"/>
        <w:rPr>
          <w:bCs/>
          <w:szCs w:val="24"/>
        </w:rPr>
      </w:pPr>
      <w:bookmarkStart w:id="1" w:name="_Toc104065661"/>
      <w:r w:rsidRPr="0093203A">
        <w:rPr>
          <w:bCs/>
          <w:szCs w:val="24"/>
        </w:rPr>
        <w:t>Income statement 2019 &amp; 2020</w:t>
      </w:r>
      <w:bookmarkEnd w:id="1"/>
    </w:p>
    <w:p w14:paraId="5FE3F25D" w14:textId="77777777" w:rsidR="0024514D" w:rsidRPr="003A1696" w:rsidRDefault="0024514D" w:rsidP="0024514D">
      <w:pPr>
        <w:rPr>
          <w:sz w:val="22"/>
        </w:rPr>
      </w:pPr>
      <w:r w:rsidRPr="003A1696">
        <w:rPr>
          <w:noProof/>
          <w:lang w:val="en-GB" w:eastAsia="en-GB"/>
        </w:rPr>
        <w:drawing>
          <wp:inline distT="0" distB="0" distL="0" distR="0" wp14:anchorId="2FDF4720" wp14:editId="23B854E4">
            <wp:extent cx="4546600" cy="24003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46600" cy="2400300"/>
                    </a:xfrm>
                    <a:prstGeom prst="rect">
                      <a:avLst/>
                    </a:prstGeom>
                    <a:noFill/>
                    <a:ln>
                      <a:noFill/>
                    </a:ln>
                  </pic:spPr>
                </pic:pic>
              </a:graphicData>
            </a:graphic>
          </wp:inline>
        </w:drawing>
      </w:r>
    </w:p>
    <w:p w14:paraId="46D5CB9A" w14:textId="77777777" w:rsidR="0024514D" w:rsidRPr="003A1696" w:rsidRDefault="0024514D" w:rsidP="0024514D">
      <w:pPr>
        <w:rPr>
          <w:sz w:val="22"/>
        </w:rPr>
      </w:pPr>
    </w:p>
    <w:p w14:paraId="12F0A96A" w14:textId="77777777" w:rsidR="0024514D" w:rsidRPr="003A1696" w:rsidRDefault="0024514D" w:rsidP="0024514D">
      <w:pPr>
        <w:rPr>
          <w:sz w:val="22"/>
        </w:rPr>
      </w:pPr>
      <w:r w:rsidRPr="003A1696">
        <w:rPr>
          <w:noProof/>
          <w:lang w:val="en-GB" w:eastAsia="en-GB"/>
        </w:rPr>
        <w:drawing>
          <wp:inline distT="0" distB="0" distL="0" distR="0" wp14:anchorId="719D867E" wp14:editId="433D7D8B">
            <wp:extent cx="4546600" cy="28257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6600" cy="2825750"/>
                    </a:xfrm>
                    <a:prstGeom prst="rect">
                      <a:avLst/>
                    </a:prstGeom>
                    <a:noFill/>
                    <a:ln>
                      <a:noFill/>
                    </a:ln>
                  </pic:spPr>
                </pic:pic>
              </a:graphicData>
            </a:graphic>
          </wp:inline>
        </w:drawing>
      </w:r>
    </w:p>
    <w:p w14:paraId="35A01283" w14:textId="77777777" w:rsidR="0024514D" w:rsidRPr="003A1696" w:rsidRDefault="0024514D" w:rsidP="0024514D">
      <w:pPr>
        <w:rPr>
          <w:sz w:val="22"/>
        </w:rPr>
      </w:pPr>
    </w:p>
    <w:p w14:paraId="20E77DE7" w14:textId="77777777" w:rsidR="0093203A" w:rsidRDefault="0093203A" w:rsidP="00310E6C"/>
    <w:p w14:paraId="031A1252" w14:textId="77777777" w:rsidR="0093203A" w:rsidRDefault="0093203A" w:rsidP="00310E6C"/>
    <w:p w14:paraId="58F2FE9C" w14:textId="596AFB81" w:rsidR="0024514D" w:rsidRPr="0093203A" w:rsidRDefault="0024514D" w:rsidP="0093203A">
      <w:pPr>
        <w:rPr>
          <w:szCs w:val="24"/>
        </w:rPr>
      </w:pPr>
      <w:r w:rsidRPr="0093203A">
        <w:rPr>
          <w:szCs w:val="24"/>
        </w:rPr>
        <w:t>Sales in compar</w:t>
      </w:r>
      <w:r w:rsidR="00D06169" w:rsidRPr="0093203A">
        <w:rPr>
          <w:szCs w:val="24"/>
        </w:rPr>
        <w:t>ison</w:t>
      </w:r>
      <w:r w:rsidRPr="0093203A">
        <w:rPr>
          <w:szCs w:val="24"/>
        </w:rPr>
        <w:t xml:space="preserve"> to the previous year ha</w:t>
      </w:r>
      <w:r w:rsidR="00D06169" w:rsidRPr="0093203A">
        <w:rPr>
          <w:szCs w:val="24"/>
        </w:rPr>
        <w:t>ve</w:t>
      </w:r>
      <w:r w:rsidRPr="0093203A">
        <w:rPr>
          <w:szCs w:val="24"/>
        </w:rPr>
        <w:t xml:space="preserve"> been decreased by 54% and COGS also decreased by </w:t>
      </w:r>
      <w:r w:rsidR="00D06169" w:rsidRPr="0093203A">
        <w:rPr>
          <w:szCs w:val="24"/>
        </w:rPr>
        <w:t>a</w:t>
      </w:r>
      <w:r w:rsidRPr="0093203A">
        <w:rPr>
          <w:szCs w:val="24"/>
        </w:rPr>
        <w:t xml:space="preserve"> massive 47% which </w:t>
      </w:r>
      <w:r w:rsidR="00D06169" w:rsidRPr="0093203A">
        <w:rPr>
          <w:szCs w:val="24"/>
        </w:rPr>
        <w:t xml:space="preserve">is </w:t>
      </w:r>
      <w:r w:rsidR="0093203A" w:rsidRPr="0093203A">
        <w:rPr>
          <w:szCs w:val="24"/>
        </w:rPr>
        <w:t>in</w:t>
      </w:r>
      <w:r w:rsidRPr="0093203A">
        <w:rPr>
          <w:szCs w:val="24"/>
        </w:rPr>
        <w:t xml:space="preserve"> line with the decrease in sales growth. While on the other hand operating expenses should also go down in the ratio of sales and COGS but </w:t>
      </w:r>
      <w:r w:rsidR="00D06169" w:rsidRPr="0093203A">
        <w:rPr>
          <w:szCs w:val="24"/>
        </w:rPr>
        <w:t>are</w:t>
      </w:r>
      <w:r w:rsidRPr="0093203A">
        <w:rPr>
          <w:szCs w:val="24"/>
        </w:rPr>
        <w:t xml:space="preserve"> not decreasing </w:t>
      </w:r>
      <w:r w:rsidR="00D06169" w:rsidRPr="0093203A">
        <w:rPr>
          <w:szCs w:val="24"/>
        </w:rPr>
        <w:t>at</w:t>
      </w:r>
      <w:r w:rsidRPr="0093203A">
        <w:rPr>
          <w:szCs w:val="24"/>
        </w:rPr>
        <w:t xml:space="preserve"> the same rate which caus</w:t>
      </w:r>
      <w:r w:rsidR="00D06169" w:rsidRPr="0093203A">
        <w:rPr>
          <w:szCs w:val="24"/>
        </w:rPr>
        <w:t>es</w:t>
      </w:r>
      <w:r w:rsidRPr="0093203A">
        <w:rPr>
          <w:szCs w:val="24"/>
        </w:rPr>
        <w:t xml:space="preserve"> the negative operating income </w:t>
      </w:r>
      <w:r w:rsidR="00E01366" w:rsidRPr="0093203A">
        <w:rPr>
          <w:szCs w:val="24"/>
        </w:rPr>
        <w:t xml:space="preserve">and further negative Net Income. </w:t>
      </w:r>
      <w:r w:rsidRPr="0093203A">
        <w:rPr>
          <w:szCs w:val="24"/>
        </w:rPr>
        <w:t>As we can see that the Interest expenses instead of decreased ha</w:t>
      </w:r>
      <w:r w:rsidR="00D06169" w:rsidRPr="0093203A">
        <w:rPr>
          <w:szCs w:val="24"/>
        </w:rPr>
        <w:t>ve</w:t>
      </w:r>
      <w:r w:rsidRPr="0093203A">
        <w:rPr>
          <w:szCs w:val="24"/>
        </w:rPr>
        <w:t xml:space="preserve"> been increased which might be due to the non-compliance of bank terms which also show</w:t>
      </w:r>
      <w:r w:rsidR="00D06169" w:rsidRPr="0093203A">
        <w:rPr>
          <w:szCs w:val="24"/>
        </w:rPr>
        <w:t>s</w:t>
      </w:r>
      <w:r w:rsidRPr="0093203A">
        <w:rPr>
          <w:szCs w:val="24"/>
        </w:rPr>
        <w:t xml:space="preserve"> the poor condition of </w:t>
      </w:r>
      <w:r w:rsidR="00D06169" w:rsidRPr="0093203A">
        <w:rPr>
          <w:szCs w:val="24"/>
        </w:rPr>
        <w:t>H</w:t>
      </w:r>
      <w:r w:rsidR="00932CB0" w:rsidRPr="0093203A">
        <w:rPr>
          <w:szCs w:val="24"/>
        </w:rPr>
        <w:t>ilton Worldwide Holdings Inc. (HLT)</w:t>
      </w:r>
      <w:r w:rsidRPr="0093203A">
        <w:rPr>
          <w:szCs w:val="24"/>
        </w:rPr>
        <w:t>’s liquidity condition and caus</w:t>
      </w:r>
      <w:r w:rsidR="00D06169" w:rsidRPr="0093203A">
        <w:rPr>
          <w:szCs w:val="24"/>
        </w:rPr>
        <w:t>es</w:t>
      </w:r>
      <w:r w:rsidRPr="0093203A">
        <w:rPr>
          <w:szCs w:val="24"/>
        </w:rPr>
        <w:t xml:space="preserve"> negative profit at the same time</w:t>
      </w:r>
      <w:r w:rsidR="00143B0B" w:rsidRPr="0093203A">
        <w:rPr>
          <w:szCs w:val="24"/>
        </w:rPr>
        <w:t xml:space="preserve"> (</w:t>
      </w:r>
      <w:r w:rsidR="00143B0B" w:rsidRPr="0093203A">
        <w:rPr>
          <w:szCs w:val="24"/>
          <w:shd w:val="clear" w:color="auto" w:fill="FFFFFF"/>
        </w:rPr>
        <w:t>Newlands et. al., 2019</w:t>
      </w:r>
      <w:r w:rsidR="00143B0B" w:rsidRPr="0093203A">
        <w:rPr>
          <w:szCs w:val="24"/>
        </w:rPr>
        <w:t>)</w:t>
      </w:r>
      <w:r w:rsidRPr="0093203A">
        <w:rPr>
          <w:szCs w:val="24"/>
        </w:rPr>
        <w:t>.</w:t>
      </w:r>
    </w:p>
    <w:p w14:paraId="7D1E8A66" w14:textId="6F240399" w:rsidR="0024514D" w:rsidRPr="0093203A" w:rsidRDefault="0024514D" w:rsidP="0093203A">
      <w:pPr>
        <w:rPr>
          <w:szCs w:val="24"/>
        </w:rPr>
      </w:pPr>
      <w:r w:rsidRPr="0093203A">
        <w:rPr>
          <w:szCs w:val="24"/>
        </w:rPr>
        <w:t xml:space="preserve">There is </w:t>
      </w:r>
      <w:r w:rsidR="00D06169" w:rsidRPr="0093203A">
        <w:rPr>
          <w:szCs w:val="24"/>
        </w:rPr>
        <w:t xml:space="preserve">a </w:t>
      </w:r>
      <w:r w:rsidRPr="0093203A">
        <w:rPr>
          <w:szCs w:val="24"/>
        </w:rPr>
        <w:t xml:space="preserve">massive decrease in the operating income which represents that situation of </w:t>
      </w:r>
      <w:r w:rsidR="00D06169" w:rsidRPr="0093203A">
        <w:rPr>
          <w:szCs w:val="24"/>
        </w:rPr>
        <w:t>H</w:t>
      </w:r>
      <w:r w:rsidR="00932CB0" w:rsidRPr="0093203A">
        <w:rPr>
          <w:szCs w:val="24"/>
        </w:rPr>
        <w:t>ilton Worldwide Holdings Inc. (HLT)</w:t>
      </w:r>
      <w:r w:rsidRPr="0093203A">
        <w:rPr>
          <w:szCs w:val="24"/>
        </w:rPr>
        <w:t xml:space="preserve">'s operations </w:t>
      </w:r>
      <w:r w:rsidR="00D06169" w:rsidRPr="0093203A">
        <w:rPr>
          <w:szCs w:val="24"/>
        </w:rPr>
        <w:t>are</w:t>
      </w:r>
      <w:r w:rsidRPr="0093203A">
        <w:rPr>
          <w:szCs w:val="24"/>
        </w:rPr>
        <w:t xml:space="preserve"> not at all in good condition. Net income is also representing the same. Now, if this situation arises due to some unavoidable </w:t>
      </w:r>
      <w:r w:rsidR="0093203A" w:rsidRPr="0093203A">
        <w:rPr>
          <w:szCs w:val="24"/>
        </w:rPr>
        <w:t>reasons,</w:t>
      </w:r>
      <w:r w:rsidRPr="0093203A">
        <w:rPr>
          <w:szCs w:val="24"/>
        </w:rPr>
        <w:t xml:space="preserve"> then </w:t>
      </w:r>
      <w:r w:rsidR="00D06169" w:rsidRPr="0093203A">
        <w:rPr>
          <w:szCs w:val="24"/>
        </w:rPr>
        <w:t>H</w:t>
      </w:r>
      <w:r w:rsidR="00932CB0" w:rsidRPr="0093203A">
        <w:rPr>
          <w:szCs w:val="24"/>
        </w:rPr>
        <w:t>ilton Worldwide Holdings Inc. (HLT)</w:t>
      </w:r>
      <w:r w:rsidRPr="0093203A">
        <w:rPr>
          <w:szCs w:val="24"/>
        </w:rPr>
        <w:t xml:space="preserve"> should formulate </w:t>
      </w:r>
      <w:r w:rsidR="00D06169" w:rsidRPr="0093203A">
        <w:rPr>
          <w:szCs w:val="24"/>
        </w:rPr>
        <w:t>a</w:t>
      </w:r>
      <w:r w:rsidRPr="0093203A">
        <w:rPr>
          <w:szCs w:val="24"/>
        </w:rPr>
        <w:t xml:space="preserve"> strategy to face this situation and come out from this as soon as possible because </w:t>
      </w:r>
      <w:r w:rsidR="00D06169" w:rsidRPr="0093203A">
        <w:rPr>
          <w:szCs w:val="24"/>
        </w:rPr>
        <w:t>H</w:t>
      </w:r>
      <w:r w:rsidR="00932CB0" w:rsidRPr="0093203A">
        <w:rPr>
          <w:szCs w:val="24"/>
        </w:rPr>
        <w:t>ilton Worldwide Holdings Inc. (HLT)</w:t>
      </w:r>
      <w:r w:rsidRPr="0093203A">
        <w:rPr>
          <w:szCs w:val="24"/>
        </w:rPr>
        <w:t xml:space="preserve"> will not be able to recover from this if this continue</w:t>
      </w:r>
      <w:r w:rsidR="00D06169" w:rsidRPr="0093203A">
        <w:rPr>
          <w:szCs w:val="24"/>
        </w:rPr>
        <w:t>s</w:t>
      </w:r>
      <w:r w:rsidRPr="0093203A">
        <w:rPr>
          <w:szCs w:val="24"/>
        </w:rPr>
        <w:t xml:space="preserve"> for next 1-2 years. And if this situation arises due to some internal </w:t>
      </w:r>
      <w:r w:rsidR="0093203A" w:rsidRPr="0093203A">
        <w:rPr>
          <w:szCs w:val="24"/>
        </w:rPr>
        <w:t>reasons,</w:t>
      </w:r>
      <w:r w:rsidRPr="0093203A">
        <w:rPr>
          <w:szCs w:val="24"/>
        </w:rPr>
        <w:t xml:space="preserve"> then they should investigate the matter because this is a serious issue for </w:t>
      </w:r>
      <w:r w:rsidR="00D06169" w:rsidRPr="0093203A">
        <w:rPr>
          <w:szCs w:val="24"/>
        </w:rPr>
        <w:t>H</w:t>
      </w:r>
      <w:r w:rsidR="00932CB0" w:rsidRPr="0093203A">
        <w:rPr>
          <w:szCs w:val="24"/>
        </w:rPr>
        <w:t>ilton Worldwide Holdings Inc. (HLT)</w:t>
      </w:r>
      <w:r w:rsidRPr="0093203A">
        <w:rPr>
          <w:szCs w:val="24"/>
        </w:rPr>
        <w:t xml:space="preserve">'s future, so investigate and try to mitigate the same so that </w:t>
      </w:r>
      <w:r w:rsidR="00D06169" w:rsidRPr="0093203A">
        <w:rPr>
          <w:szCs w:val="24"/>
        </w:rPr>
        <w:t>H</w:t>
      </w:r>
      <w:r w:rsidR="00932CB0" w:rsidRPr="0093203A">
        <w:rPr>
          <w:szCs w:val="24"/>
        </w:rPr>
        <w:t>ilton Worldwide Holdings Inc. (HLT)</w:t>
      </w:r>
      <w:r w:rsidRPr="0093203A">
        <w:rPr>
          <w:szCs w:val="24"/>
        </w:rPr>
        <w:t>'s operations able to come on track as soon as possible.</w:t>
      </w:r>
    </w:p>
    <w:p w14:paraId="17B06232" w14:textId="5AD67DF8" w:rsidR="0024514D" w:rsidRPr="0093203A" w:rsidRDefault="0024514D" w:rsidP="0093203A">
      <w:pPr>
        <w:rPr>
          <w:szCs w:val="24"/>
        </w:rPr>
      </w:pPr>
      <w:r w:rsidRPr="0093203A">
        <w:rPr>
          <w:szCs w:val="24"/>
        </w:rPr>
        <w:t xml:space="preserve">All the current and non-current assets/liabilities </w:t>
      </w:r>
      <w:r w:rsidR="00CD11DD" w:rsidRPr="0093203A">
        <w:rPr>
          <w:szCs w:val="24"/>
        </w:rPr>
        <w:t>have</w:t>
      </w:r>
      <w:r w:rsidRPr="0093203A">
        <w:rPr>
          <w:szCs w:val="24"/>
        </w:rPr>
        <w:t xml:space="preserve"> been increased in compar</w:t>
      </w:r>
      <w:r w:rsidR="00D06169" w:rsidRPr="0093203A">
        <w:rPr>
          <w:szCs w:val="24"/>
        </w:rPr>
        <w:t>ison</w:t>
      </w:r>
      <w:r w:rsidRPr="0093203A">
        <w:rPr>
          <w:szCs w:val="24"/>
        </w:rPr>
        <w:t xml:space="preserve"> to the year 2019-20. Current assets increased by 100% which is showing that there is </w:t>
      </w:r>
      <w:r w:rsidR="00D06169" w:rsidRPr="0093203A">
        <w:rPr>
          <w:szCs w:val="24"/>
        </w:rPr>
        <w:t xml:space="preserve">a </w:t>
      </w:r>
      <w:r w:rsidRPr="0093203A">
        <w:rPr>
          <w:szCs w:val="24"/>
        </w:rPr>
        <w:t xml:space="preserve">serious liquidity problem in the </w:t>
      </w:r>
      <w:r w:rsidR="00D06169" w:rsidRPr="0093203A">
        <w:rPr>
          <w:szCs w:val="24"/>
        </w:rPr>
        <w:t>H</w:t>
      </w:r>
      <w:r w:rsidR="00932CB0" w:rsidRPr="0093203A">
        <w:rPr>
          <w:szCs w:val="24"/>
        </w:rPr>
        <w:t>ilton Worldwide Holdings Inc. (HLT)</w:t>
      </w:r>
      <w:r w:rsidRPr="0093203A">
        <w:rPr>
          <w:szCs w:val="24"/>
        </w:rPr>
        <w:t xml:space="preserve"> and as well </w:t>
      </w:r>
      <w:r w:rsidR="00D06169" w:rsidRPr="0093203A">
        <w:rPr>
          <w:szCs w:val="24"/>
        </w:rPr>
        <w:t xml:space="preserve">as an </w:t>
      </w:r>
      <w:r w:rsidRPr="0093203A">
        <w:rPr>
          <w:szCs w:val="24"/>
        </w:rPr>
        <w:t xml:space="preserve">increase in non-current liability showing that </w:t>
      </w:r>
      <w:r w:rsidR="00D06169" w:rsidRPr="0093203A">
        <w:rPr>
          <w:szCs w:val="24"/>
        </w:rPr>
        <w:t>H</w:t>
      </w:r>
      <w:r w:rsidR="00932CB0" w:rsidRPr="0093203A">
        <w:rPr>
          <w:szCs w:val="24"/>
        </w:rPr>
        <w:t>ilton Worldwide Holdings Inc. (HLT)</w:t>
      </w:r>
      <w:r w:rsidRPr="0093203A">
        <w:rPr>
          <w:szCs w:val="24"/>
        </w:rPr>
        <w:t xml:space="preserve"> is not able to pay its liabilities</w:t>
      </w:r>
      <w:r w:rsidR="00BB309E" w:rsidRPr="0093203A">
        <w:rPr>
          <w:szCs w:val="24"/>
        </w:rPr>
        <w:t xml:space="preserve"> (Salman, et. al., 2018)</w:t>
      </w:r>
      <w:r w:rsidRPr="0093203A">
        <w:rPr>
          <w:szCs w:val="24"/>
        </w:rPr>
        <w:t>.</w:t>
      </w:r>
      <w:r w:rsidR="00831D4E" w:rsidRPr="0093203A">
        <w:rPr>
          <w:szCs w:val="24"/>
        </w:rPr>
        <w:t xml:space="preserve"> </w:t>
      </w:r>
      <w:r w:rsidR="00D06169" w:rsidRPr="0093203A">
        <w:rPr>
          <w:szCs w:val="24"/>
        </w:rPr>
        <w:t>The i</w:t>
      </w:r>
      <w:r w:rsidRPr="0093203A">
        <w:rPr>
          <w:szCs w:val="24"/>
        </w:rPr>
        <w:t>ncrease in non-current assets show</w:t>
      </w:r>
      <w:r w:rsidR="00D06169" w:rsidRPr="0093203A">
        <w:rPr>
          <w:szCs w:val="24"/>
        </w:rPr>
        <w:t>s</w:t>
      </w:r>
      <w:r w:rsidRPr="0093203A">
        <w:rPr>
          <w:szCs w:val="24"/>
        </w:rPr>
        <w:t xml:space="preserve"> that </w:t>
      </w:r>
      <w:r w:rsidR="00D06169" w:rsidRPr="0093203A">
        <w:rPr>
          <w:szCs w:val="24"/>
        </w:rPr>
        <w:t>H</w:t>
      </w:r>
      <w:r w:rsidR="00932CB0" w:rsidRPr="0093203A">
        <w:rPr>
          <w:szCs w:val="24"/>
        </w:rPr>
        <w:t>ilton Worldwide Holdings Inc. (HLT)</w:t>
      </w:r>
      <w:r w:rsidRPr="0093203A">
        <w:rPr>
          <w:szCs w:val="24"/>
        </w:rPr>
        <w:t xml:space="preserve"> bought some fixed assets to improve the current situation which also caus</w:t>
      </w:r>
      <w:r w:rsidR="00D06169" w:rsidRPr="0093203A">
        <w:rPr>
          <w:szCs w:val="24"/>
        </w:rPr>
        <w:t>ed</w:t>
      </w:r>
      <w:r w:rsidRPr="0093203A">
        <w:rPr>
          <w:szCs w:val="24"/>
        </w:rPr>
        <w:t xml:space="preserve"> the increase in non-current liabilities includ</w:t>
      </w:r>
      <w:r w:rsidR="00D06169" w:rsidRPr="0093203A">
        <w:rPr>
          <w:szCs w:val="24"/>
        </w:rPr>
        <w:t>ing</w:t>
      </w:r>
      <w:r w:rsidRPr="0093203A">
        <w:rPr>
          <w:szCs w:val="24"/>
        </w:rPr>
        <w:t xml:space="preserve"> loans. Although </w:t>
      </w:r>
      <w:r w:rsidR="00D06169" w:rsidRPr="0093203A">
        <w:rPr>
          <w:szCs w:val="24"/>
        </w:rPr>
        <w:t>H</w:t>
      </w:r>
      <w:r w:rsidR="00932CB0" w:rsidRPr="0093203A">
        <w:rPr>
          <w:szCs w:val="24"/>
        </w:rPr>
        <w:t>ilton Worldwide Holdings Inc. (HLT)</w:t>
      </w:r>
      <w:r w:rsidRPr="0093203A">
        <w:rPr>
          <w:szCs w:val="24"/>
        </w:rPr>
        <w:t xml:space="preserve"> should assess </w:t>
      </w:r>
      <w:r w:rsidR="00CD11DD" w:rsidRPr="0093203A">
        <w:rPr>
          <w:szCs w:val="24"/>
        </w:rPr>
        <w:t>its</w:t>
      </w:r>
      <w:r w:rsidRPr="0093203A">
        <w:rPr>
          <w:szCs w:val="24"/>
        </w:rPr>
        <w:t xml:space="preserve"> condition to improve </w:t>
      </w:r>
      <w:r w:rsidR="00D06169" w:rsidRPr="0093203A">
        <w:rPr>
          <w:szCs w:val="24"/>
        </w:rPr>
        <w:t xml:space="preserve">the </w:t>
      </w:r>
      <w:r w:rsidRPr="0093203A">
        <w:rPr>
          <w:szCs w:val="24"/>
        </w:rPr>
        <w:t xml:space="preserve">current situation of </w:t>
      </w:r>
      <w:r w:rsidR="00D06169" w:rsidRPr="0093203A">
        <w:rPr>
          <w:szCs w:val="24"/>
        </w:rPr>
        <w:t>H</w:t>
      </w:r>
      <w:r w:rsidR="00932CB0" w:rsidRPr="0093203A">
        <w:rPr>
          <w:szCs w:val="24"/>
        </w:rPr>
        <w:t>ilton Worldwide Holdings Inc. (HLT)</w:t>
      </w:r>
      <w:r w:rsidRPr="0093203A">
        <w:rPr>
          <w:szCs w:val="24"/>
        </w:rPr>
        <w:t xml:space="preserve"> so that it won't affect them in long </w:t>
      </w:r>
      <w:r w:rsidR="0093203A" w:rsidRPr="0093203A">
        <w:rPr>
          <w:szCs w:val="24"/>
        </w:rPr>
        <w:t>term,</w:t>
      </w:r>
      <w:r w:rsidRPr="0093203A">
        <w:rPr>
          <w:szCs w:val="24"/>
        </w:rPr>
        <w:t xml:space="preserve"> and they can recover from it as soon as possible. Although </w:t>
      </w:r>
      <w:r w:rsidR="00D06169" w:rsidRPr="0093203A">
        <w:rPr>
          <w:szCs w:val="24"/>
        </w:rPr>
        <w:t>H</w:t>
      </w:r>
      <w:r w:rsidR="00932CB0" w:rsidRPr="0093203A">
        <w:rPr>
          <w:szCs w:val="24"/>
        </w:rPr>
        <w:t xml:space="preserve">ilton Worldwide </w:t>
      </w:r>
      <w:r w:rsidR="00932CB0" w:rsidRPr="0093203A">
        <w:rPr>
          <w:szCs w:val="24"/>
        </w:rPr>
        <w:lastRenderedPageBreak/>
        <w:t>Holdings Inc. (HLT)</w:t>
      </w:r>
      <w:r w:rsidRPr="0093203A">
        <w:rPr>
          <w:szCs w:val="24"/>
        </w:rPr>
        <w:t xml:space="preserve"> should assess </w:t>
      </w:r>
      <w:r w:rsidR="00CD11DD" w:rsidRPr="0093203A">
        <w:rPr>
          <w:szCs w:val="24"/>
        </w:rPr>
        <w:t>its</w:t>
      </w:r>
      <w:r w:rsidRPr="0093203A">
        <w:rPr>
          <w:szCs w:val="24"/>
        </w:rPr>
        <w:t xml:space="preserve"> condition for going concern</w:t>
      </w:r>
      <w:r w:rsidR="00D06169" w:rsidRPr="0093203A">
        <w:rPr>
          <w:szCs w:val="24"/>
        </w:rPr>
        <w:t>ed</w:t>
      </w:r>
      <w:r w:rsidRPr="0093203A">
        <w:rPr>
          <w:szCs w:val="24"/>
        </w:rPr>
        <w:t xml:space="preserve"> then prepare the financial statements as per the assessment.</w:t>
      </w:r>
    </w:p>
    <w:p w14:paraId="64B3C472" w14:textId="021FCC6D" w:rsidR="00771927" w:rsidRDefault="0024514D" w:rsidP="0093203A">
      <w:r w:rsidRPr="0093203A">
        <w:rPr>
          <w:szCs w:val="24"/>
        </w:rPr>
        <w:t xml:space="preserve">In the end, </w:t>
      </w:r>
      <w:r w:rsidR="00D06169" w:rsidRPr="0093203A">
        <w:rPr>
          <w:szCs w:val="24"/>
        </w:rPr>
        <w:t>H</w:t>
      </w:r>
      <w:r w:rsidR="00932CB0" w:rsidRPr="0093203A">
        <w:rPr>
          <w:szCs w:val="24"/>
        </w:rPr>
        <w:t>ilton Worldwide Holdings Inc. (HLT)</w:t>
      </w:r>
      <w:r w:rsidRPr="0093203A">
        <w:rPr>
          <w:szCs w:val="24"/>
        </w:rPr>
        <w:t xml:space="preserve"> should assess the reasons </w:t>
      </w:r>
      <w:r w:rsidR="00D06169" w:rsidRPr="0093203A">
        <w:rPr>
          <w:szCs w:val="24"/>
        </w:rPr>
        <w:t>for</w:t>
      </w:r>
      <w:r w:rsidRPr="0093203A">
        <w:rPr>
          <w:szCs w:val="24"/>
        </w:rPr>
        <w:t xml:space="preserve"> such bad financial positions at the end of </w:t>
      </w:r>
      <w:r w:rsidR="00D06169" w:rsidRPr="0093203A">
        <w:rPr>
          <w:szCs w:val="24"/>
        </w:rPr>
        <w:t xml:space="preserve">the </w:t>
      </w:r>
      <w:r w:rsidRPr="0093203A">
        <w:rPr>
          <w:szCs w:val="24"/>
        </w:rPr>
        <w:t xml:space="preserve">year 2020-21 in comparison to </w:t>
      </w:r>
      <w:r w:rsidR="00D06169" w:rsidRPr="0093203A">
        <w:rPr>
          <w:szCs w:val="24"/>
        </w:rPr>
        <w:t xml:space="preserve">the </w:t>
      </w:r>
      <w:r w:rsidRPr="0093203A">
        <w:rPr>
          <w:szCs w:val="24"/>
        </w:rPr>
        <w:t xml:space="preserve">year 2019-20. Higher authorities of </w:t>
      </w:r>
      <w:r w:rsidR="00D06169" w:rsidRPr="0093203A">
        <w:rPr>
          <w:szCs w:val="24"/>
        </w:rPr>
        <w:t>H</w:t>
      </w:r>
      <w:r w:rsidR="00932CB0" w:rsidRPr="0093203A">
        <w:rPr>
          <w:szCs w:val="24"/>
        </w:rPr>
        <w:t>ilton Worldwide Holdings Inc. (HLT)</w:t>
      </w:r>
      <w:r w:rsidRPr="0093203A">
        <w:rPr>
          <w:szCs w:val="24"/>
        </w:rPr>
        <w:t xml:space="preserve"> should come into play and try to get out from this bad performance as soon as possible because if they will not pay attention to it now then it will cause very bad consequences in the coming years to them and the investors of the </w:t>
      </w:r>
      <w:r w:rsidR="00D06169" w:rsidRPr="0093203A">
        <w:rPr>
          <w:szCs w:val="24"/>
        </w:rPr>
        <w:t>H</w:t>
      </w:r>
      <w:r w:rsidR="00932CB0" w:rsidRPr="0093203A">
        <w:rPr>
          <w:szCs w:val="24"/>
        </w:rPr>
        <w:t>ilton Worldwide Holdings Inc. (HLT)</w:t>
      </w:r>
      <w:r w:rsidR="00143B0B" w:rsidRPr="0093203A">
        <w:rPr>
          <w:szCs w:val="24"/>
        </w:rPr>
        <w:t xml:space="preserve"> (</w:t>
      </w:r>
      <w:proofErr w:type="spellStart"/>
      <w:r w:rsidR="00143B0B" w:rsidRPr="0093203A">
        <w:rPr>
          <w:szCs w:val="24"/>
          <w:shd w:val="clear" w:color="auto" w:fill="FFFFFF"/>
        </w:rPr>
        <w:t>Meresa</w:t>
      </w:r>
      <w:proofErr w:type="spellEnd"/>
      <w:r w:rsidR="00143B0B" w:rsidRPr="0093203A">
        <w:rPr>
          <w:szCs w:val="24"/>
          <w:shd w:val="clear" w:color="auto" w:fill="FFFFFF"/>
        </w:rPr>
        <w:t>, 2019</w:t>
      </w:r>
      <w:r w:rsidR="00143B0B" w:rsidRPr="0093203A">
        <w:rPr>
          <w:szCs w:val="24"/>
        </w:rPr>
        <w:t>)</w:t>
      </w:r>
      <w:r w:rsidRPr="0093203A">
        <w:rPr>
          <w:szCs w:val="24"/>
        </w:rPr>
        <w:t xml:space="preserve">. Also, </w:t>
      </w:r>
      <w:r w:rsidR="00D06169" w:rsidRPr="0093203A">
        <w:rPr>
          <w:szCs w:val="24"/>
        </w:rPr>
        <w:t>H</w:t>
      </w:r>
      <w:r w:rsidR="00932CB0" w:rsidRPr="0093203A">
        <w:rPr>
          <w:szCs w:val="24"/>
        </w:rPr>
        <w:t>ilton Worldwide Holdings Inc. (HLT)</w:t>
      </w:r>
      <w:r w:rsidRPr="0093203A">
        <w:rPr>
          <w:szCs w:val="24"/>
        </w:rPr>
        <w:t xml:space="preserve"> should provide the reason </w:t>
      </w:r>
      <w:r w:rsidR="00D06169" w:rsidRPr="0093203A">
        <w:rPr>
          <w:szCs w:val="24"/>
        </w:rPr>
        <w:t>for</w:t>
      </w:r>
      <w:r w:rsidRPr="0093203A">
        <w:rPr>
          <w:szCs w:val="24"/>
        </w:rPr>
        <w:t xml:space="preserve"> such bad performance to </w:t>
      </w:r>
      <w:r w:rsidR="00E1008A" w:rsidRPr="0093203A">
        <w:rPr>
          <w:szCs w:val="24"/>
        </w:rPr>
        <w:t>its</w:t>
      </w:r>
      <w:r w:rsidRPr="0093203A">
        <w:rPr>
          <w:szCs w:val="24"/>
        </w:rPr>
        <w:t xml:space="preserve"> investors </w:t>
      </w:r>
      <w:proofErr w:type="gramStart"/>
      <w:r w:rsidRPr="0093203A">
        <w:rPr>
          <w:szCs w:val="24"/>
        </w:rPr>
        <w:t>and also</w:t>
      </w:r>
      <w:proofErr w:type="gramEnd"/>
      <w:r w:rsidRPr="0093203A">
        <w:rPr>
          <w:szCs w:val="24"/>
        </w:rPr>
        <w:t xml:space="preserve"> tell them the recovery plan so that they don’t think about </w:t>
      </w:r>
      <w:r w:rsidR="00D06169" w:rsidRPr="0093203A">
        <w:rPr>
          <w:szCs w:val="24"/>
        </w:rPr>
        <w:t>going</w:t>
      </w:r>
      <w:r w:rsidRPr="0093203A">
        <w:rPr>
          <w:szCs w:val="24"/>
        </w:rPr>
        <w:t xml:space="preserve"> out with their investments in the </w:t>
      </w:r>
      <w:r w:rsidR="00D06169" w:rsidRPr="0093203A">
        <w:rPr>
          <w:szCs w:val="24"/>
        </w:rPr>
        <w:t>H</w:t>
      </w:r>
      <w:r w:rsidR="00932CB0" w:rsidRPr="0093203A">
        <w:rPr>
          <w:szCs w:val="24"/>
        </w:rPr>
        <w:t>ilton Worldwide Holdings Inc. (HLT)</w:t>
      </w:r>
      <w:r w:rsidRPr="0093203A">
        <w:rPr>
          <w:szCs w:val="24"/>
        </w:rPr>
        <w:t xml:space="preserve">. Such bad performance will also impact public faith in the </w:t>
      </w:r>
      <w:r w:rsidR="00D06169" w:rsidRPr="0093203A">
        <w:rPr>
          <w:szCs w:val="24"/>
        </w:rPr>
        <w:t>H</w:t>
      </w:r>
      <w:r w:rsidR="00932CB0" w:rsidRPr="0093203A">
        <w:rPr>
          <w:szCs w:val="24"/>
        </w:rPr>
        <w:t>ilton Worldwide Holdings Inc. (HLT)</w:t>
      </w:r>
      <w:r w:rsidRPr="0093203A">
        <w:rPr>
          <w:szCs w:val="24"/>
        </w:rPr>
        <w:t xml:space="preserve"> and </w:t>
      </w:r>
      <w:r w:rsidR="00E1008A" w:rsidRPr="0093203A">
        <w:rPr>
          <w:szCs w:val="24"/>
        </w:rPr>
        <w:t>its</w:t>
      </w:r>
      <w:r w:rsidRPr="0093203A">
        <w:rPr>
          <w:szCs w:val="24"/>
        </w:rPr>
        <w:t xml:space="preserve"> </w:t>
      </w:r>
      <w:r w:rsidR="0093203A" w:rsidRPr="0093203A">
        <w:rPr>
          <w:szCs w:val="24"/>
        </w:rPr>
        <w:t>services,</w:t>
      </w:r>
      <w:r w:rsidRPr="0093203A">
        <w:rPr>
          <w:szCs w:val="24"/>
        </w:rPr>
        <w:t xml:space="preserve"> so they also need to cover this aspect as well while creating the recovery plan</w:t>
      </w:r>
      <w:r w:rsidR="00143B0B" w:rsidRPr="0093203A">
        <w:rPr>
          <w:szCs w:val="24"/>
        </w:rPr>
        <w:t xml:space="preserve"> (</w:t>
      </w:r>
      <w:proofErr w:type="spellStart"/>
      <w:r w:rsidR="00143B0B" w:rsidRPr="0093203A">
        <w:rPr>
          <w:szCs w:val="24"/>
          <w:shd w:val="clear" w:color="auto" w:fill="FFFFFF"/>
        </w:rPr>
        <w:t>Paraskevas</w:t>
      </w:r>
      <w:proofErr w:type="spellEnd"/>
      <w:r w:rsidR="00143B0B" w:rsidRPr="0093203A">
        <w:rPr>
          <w:szCs w:val="24"/>
          <w:shd w:val="clear" w:color="auto" w:fill="FFFFFF"/>
        </w:rPr>
        <w:t xml:space="preserve"> and Quek, 2019</w:t>
      </w:r>
      <w:r w:rsidR="00143B0B" w:rsidRPr="0093203A">
        <w:rPr>
          <w:szCs w:val="24"/>
        </w:rPr>
        <w:t>)</w:t>
      </w:r>
      <w:r w:rsidRPr="0093203A">
        <w:rPr>
          <w:szCs w:val="24"/>
        </w:rPr>
        <w:t>.</w:t>
      </w:r>
    </w:p>
    <w:p w14:paraId="18F22F31" w14:textId="77777777" w:rsidR="0093203A" w:rsidRPr="00D2745C" w:rsidRDefault="0093203A" w:rsidP="0093203A"/>
    <w:p w14:paraId="5F8430AA" w14:textId="77777777" w:rsidR="008175C3" w:rsidRPr="0093203A" w:rsidRDefault="00771927" w:rsidP="0093203A">
      <w:pPr>
        <w:pStyle w:val="Heading1"/>
        <w:spacing w:line="360" w:lineRule="auto"/>
        <w:rPr>
          <w:sz w:val="24"/>
          <w:szCs w:val="24"/>
        </w:rPr>
      </w:pPr>
      <w:bookmarkStart w:id="2" w:name="_Toc104065662"/>
      <w:r w:rsidRPr="0093203A">
        <w:rPr>
          <w:sz w:val="24"/>
          <w:szCs w:val="24"/>
        </w:rPr>
        <w:t>Importance of using ratio analysis for decision making</w:t>
      </w:r>
      <w:bookmarkEnd w:id="2"/>
    </w:p>
    <w:p w14:paraId="6D4BCF22" w14:textId="77777777" w:rsidR="00B80108" w:rsidRDefault="00E23A27" w:rsidP="00B80108">
      <w:r>
        <w:t xml:space="preserve">Ratio </w:t>
      </w:r>
      <w:r w:rsidRPr="00E23A27">
        <w:t>analysis is essential for the firm to disintegrate its financial position, liquidity, profit, risk, affectability, economic output, task validity, and acceptable use of resources, as well as to show the template or causative link of people who deal that can be beneficial for judgment by venture capitalists</w:t>
      </w:r>
      <w:r w:rsidR="00B95B27">
        <w:t xml:space="preserve"> (Salman, et. al., 2018)</w:t>
      </w:r>
      <w:r w:rsidRPr="00E23A27">
        <w:t>. All of the firm's inner and exterior partners need to appreciate the fiscal summaries and facts</w:t>
      </w:r>
      <w:r w:rsidR="008B334D">
        <w:t xml:space="preserve"> (</w:t>
      </w:r>
      <w:r w:rsidR="008B334D" w:rsidRPr="008B334D">
        <w:rPr>
          <w:szCs w:val="24"/>
          <w:shd w:val="clear" w:color="auto" w:fill="FFFFFF"/>
        </w:rPr>
        <w:t>Mosley</w:t>
      </w:r>
      <w:r w:rsidR="008B334D">
        <w:rPr>
          <w:szCs w:val="24"/>
          <w:shd w:val="clear" w:color="auto" w:fill="FFFFFF"/>
        </w:rPr>
        <w:t>, 2021</w:t>
      </w:r>
      <w:r w:rsidR="008B334D">
        <w:t>)</w:t>
      </w:r>
      <w:r w:rsidRPr="00E23A27">
        <w:t>. We decode the figures from the financial statement and pay assertions, and in the independent path, using percentage evaluation. In terms of the financial consequence, each partner has different interests. Money managers are more interested in the long-term growth of gain installments and the organization's earnings strength</w:t>
      </w:r>
      <w:r w:rsidR="004C4E21">
        <w:t xml:space="preserve"> (Palepu, et. al., 2020)</w:t>
      </w:r>
      <w:r w:rsidRPr="00E23A27">
        <w:t>. Loan managers may wish to ensure that they get timely refunds for their contributions.</w:t>
      </w:r>
    </w:p>
    <w:p w14:paraId="10564257" w14:textId="77777777" w:rsidR="00B20EAC" w:rsidRDefault="00236DCF" w:rsidP="00B20EAC">
      <w:pPr>
        <w:keepNext/>
      </w:pPr>
      <w:r>
        <w:rPr>
          <w:noProof/>
          <w:lang w:val="en-GB" w:eastAsia="en-GB"/>
        </w:rPr>
        <w:drawing>
          <wp:inline distT="0" distB="0" distL="0" distR="0" wp14:anchorId="29061B62" wp14:editId="6A5548EE">
            <wp:extent cx="5943600" cy="4035238"/>
            <wp:effectExtent l="0" t="0" r="0" b="3810"/>
            <wp:docPr id="2" name="Picture 2" descr="Ratio Analysis Framewor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tio Analysis Framework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035238"/>
                    </a:xfrm>
                    <a:prstGeom prst="rect">
                      <a:avLst/>
                    </a:prstGeom>
                    <a:noFill/>
                    <a:ln>
                      <a:noFill/>
                    </a:ln>
                  </pic:spPr>
                </pic:pic>
              </a:graphicData>
            </a:graphic>
          </wp:inline>
        </w:drawing>
      </w:r>
    </w:p>
    <w:p w14:paraId="583BC82A" w14:textId="77777777" w:rsidR="00236DCF" w:rsidRDefault="00B20EAC" w:rsidP="00B20EAC">
      <w:pPr>
        <w:pStyle w:val="Caption"/>
        <w:rPr>
          <w:color w:val="auto"/>
        </w:rPr>
      </w:pPr>
      <w:r w:rsidRPr="005C5ABE">
        <w:rPr>
          <w:color w:val="auto"/>
        </w:rPr>
        <w:t xml:space="preserve">Figure </w:t>
      </w:r>
      <w:r w:rsidRPr="005C5ABE">
        <w:rPr>
          <w:color w:val="auto"/>
        </w:rPr>
        <w:fldChar w:fldCharType="begin"/>
      </w:r>
      <w:r w:rsidRPr="005C5ABE">
        <w:rPr>
          <w:color w:val="auto"/>
        </w:rPr>
        <w:instrText xml:space="preserve"> SEQ Figure \* ARABIC </w:instrText>
      </w:r>
      <w:r w:rsidRPr="005C5ABE">
        <w:rPr>
          <w:color w:val="auto"/>
        </w:rPr>
        <w:fldChar w:fldCharType="separate"/>
      </w:r>
      <w:r w:rsidRPr="005C5ABE">
        <w:rPr>
          <w:noProof/>
          <w:color w:val="auto"/>
        </w:rPr>
        <w:t>1</w:t>
      </w:r>
      <w:r w:rsidRPr="005C5ABE">
        <w:rPr>
          <w:color w:val="auto"/>
        </w:rPr>
        <w:fldChar w:fldCharType="end"/>
      </w:r>
      <w:r w:rsidRPr="005C5ABE">
        <w:rPr>
          <w:color w:val="auto"/>
        </w:rPr>
        <w:t>: Ratio Analysis Architecture</w:t>
      </w:r>
    </w:p>
    <w:p w14:paraId="087AD4D1" w14:textId="77777777" w:rsidR="009746F8" w:rsidRPr="009746F8" w:rsidRDefault="009746F8" w:rsidP="009746F8">
      <w:r>
        <w:t>(Source: Palepu, et. al., 2020)</w:t>
      </w:r>
    </w:p>
    <w:p w14:paraId="6B431C6E" w14:textId="77777777" w:rsidR="00F6616E" w:rsidRDefault="00E23A27" w:rsidP="00F6616E">
      <w:r w:rsidRPr="00E23A27">
        <w:t>Contributi</w:t>
      </w:r>
      <w:r w:rsidR="00D06169">
        <w:t>on portions aid in determining H</w:t>
      </w:r>
      <w:r w:rsidR="00932CB0">
        <w:t>ilton Worldwide Holdings Inc. (HLT)</w:t>
      </w:r>
      <w:r w:rsidRPr="00E23A27">
        <w:t xml:space="preserve">'s productivity. Return on assets ratio on value might help you figure out how profitable your </w:t>
      </w:r>
      <w:r w:rsidR="00D06169">
        <w:t>H</w:t>
      </w:r>
      <w:r w:rsidR="00932CB0">
        <w:t>ilton Worldwide Holdings Inc. (HLT)</w:t>
      </w:r>
      <w:r w:rsidRPr="00E23A27">
        <w:t xml:space="preserve"> is. The relative net benefit divided by total means is the payback on expenditures. It refers to how much profit an organization makes on each dollar spent. The overall payout by the shareholder's value is referred to as net on value. This ratio tells us how effectively a business manages its economic means. Gross gain and net total income are examples of proportionality. Edges aid in evaluating the organization's capacity to comprehend negotiations for profit</w:t>
      </w:r>
      <w:r w:rsidR="008B334D">
        <w:t xml:space="preserve"> (</w:t>
      </w:r>
      <w:proofErr w:type="spellStart"/>
      <w:r w:rsidR="008B334D" w:rsidRPr="008B334D">
        <w:rPr>
          <w:szCs w:val="24"/>
          <w:shd w:val="clear" w:color="auto" w:fill="FFFFFF"/>
        </w:rPr>
        <w:t>Lacalle</w:t>
      </w:r>
      <w:proofErr w:type="spellEnd"/>
      <w:r w:rsidR="008B334D">
        <w:rPr>
          <w:szCs w:val="24"/>
          <w:shd w:val="clear" w:color="auto" w:fill="FFFFFF"/>
        </w:rPr>
        <w:t>, 2020</w:t>
      </w:r>
      <w:r w:rsidR="008B334D">
        <w:t>)</w:t>
      </w:r>
      <w:r w:rsidRPr="00E23A27">
        <w:t>.</w:t>
      </w:r>
    </w:p>
    <w:p w14:paraId="08A6A53F" w14:textId="77777777" w:rsidR="00E23A27" w:rsidRPr="008B334D" w:rsidRDefault="00E23A27" w:rsidP="00F6616E">
      <w:pPr>
        <w:rPr>
          <w:szCs w:val="24"/>
          <w:shd w:val="clear" w:color="auto" w:fill="FFFFFF"/>
        </w:rPr>
      </w:pPr>
      <w:r w:rsidRPr="008B334D">
        <w:t>To properly include monetary amounts in an operational free direction, it is necessary to understand how the organization operates from a monetary standpoint. Instead of verifying a detachment sort out, the proportionality should be used as a set of clinically meaningful markers that should be observed throughout time. Furthermore, some kind of benchmarking is critical</w:t>
      </w:r>
      <w:r w:rsidR="008B334D" w:rsidRPr="008B334D">
        <w:t xml:space="preserve"> </w:t>
      </w:r>
      <w:r w:rsidR="008B334D" w:rsidRPr="008B334D">
        <w:rPr>
          <w:szCs w:val="24"/>
          <w:shd w:val="clear" w:color="auto" w:fill="FFFFFF"/>
        </w:rPr>
        <w:t>(</w:t>
      </w:r>
      <w:proofErr w:type="spellStart"/>
      <w:r w:rsidR="008B334D" w:rsidRPr="008B334D">
        <w:rPr>
          <w:shd w:val="clear" w:color="auto" w:fill="FFFFFF"/>
        </w:rPr>
        <w:t>Erdil</w:t>
      </w:r>
      <w:proofErr w:type="spellEnd"/>
      <w:r w:rsidR="008B334D" w:rsidRPr="008B334D">
        <w:rPr>
          <w:shd w:val="clear" w:color="auto" w:fill="FFFFFF"/>
        </w:rPr>
        <w:t xml:space="preserve"> and </w:t>
      </w:r>
      <w:proofErr w:type="spellStart"/>
      <w:r w:rsidR="008B334D" w:rsidRPr="008B334D">
        <w:rPr>
          <w:shd w:val="clear" w:color="auto" w:fill="FFFFFF"/>
        </w:rPr>
        <w:t>Erbıyık</w:t>
      </w:r>
      <w:proofErr w:type="spellEnd"/>
      <w:r w:rsidR="008B334D" w:rsidRPr="008B334D">
        <w:rPr>
          <w:shd w:val="clear" w:color="auto" w:fill="FFFFFF"/>
        </w:rPr>
        <w:t>, 2019</w:t>
      </w:r>
      <w:r w:rsidR="008B334D" w:rsidRPr="008B334D">
        <w:rPr>
          <w:szCs w:val="24"/>
          <w:shd w:val="clear" w:color="auto" w:fill="FFFFFF"/>
        </w:rPr>
        <w:t>)</w:t>
      </w:r>
      <w:r w:rsidRPr="008B334D">
        <w:t>. Operational assessment is much aided by industry norms for identical predicted enterprises named to benefits level. Without such business manuals, knowledge from a willing competitor or data from the </w:t>
      </w:r>
      <w:r w:rsidR="008B334D" w:rsidRPr="008B334D">
        <w:t>groups</w:t>
      </w:r>
      <w:r w:rsidRPr="008B334D">
        <w:t xml:space="preserve"> past years' records can help identify whether financial situations are developing or worse. Two key budgetary analyses record down the basic facts required to foster amounts for assessment: 1) the operating or Financial position Assertion (see Table 1), which provides data over a </w:t>
      </w:r>
      <w:r w:rsidR="00D06169" w:rsidRPr="008B334D">
        <w:t>whil</w:t>
      </w:r>
      <w:r w:rsidRPr="008B334D">
        <w:t>e (usually one year, but more commonly month or quarter), and 2) the financial record or Personal Income Statements (see Table 2), which provides data at a single point in time (as a rule toward the finish of the working year).</w:t>
      </w:r>
    </w:p>
    <w:p w14:paraId="7C1E09F8" w14:textId="77777777" w:rsidR="00E23A27" w:rsidRDefault="00E23A27" w:rsidP="00F6616E">
      <w:r w:rsidRPr="00E23A27">
        <w:t>The operating assumption is updated in</w:t>
      </w:r>
      <w:r w:rsidR="008B334D" w:rsidRPr="00E23A27">
        <w:t> order</w:t>
      </w:r>
      <w:r w:rsidRPr="00E23A27">
        <w:t xml:space="preserve"> to provide better administrative information. The main difference is that every one of the items drives wages down and the cost is a cash item rather than a mix of cash and non-cash expenditures. As a result, the manager may quickly determine how much money is available to satisfy obligations, allow replacement of faulty supplies, or expand the organization. As the first step in bringing the assertions into compliance with collecting accountancy systems and returning benefits before degradation, this total money pay is adjusted to variations in supply and substance inventory to represent actual use, not just buys. As part of his overall spending control program, this evolution also allows the director to keep an eye on stock developments.</w:t>
      </w:r>
    </w:p>
    <w:p w14:paraId="2771761E" w14:textId="77777777" w:rsidR="0013459F" w:rsidRDefault="0013459F">
      <w:pPr>
        <w:spacing w:line="259" w:lineRule="auto"/>
        <w:jc w:val="left"/>
        <w:rPr>
          <w:b/>
        </w:rPr>
      </w:pPr>
      <w:r>
        <w:br w:type="page"/>
      </w:r>
    </w:p>
    <w:p w14:paraId="46CD1CAA" w14:textId="77777777" w:rsidR="008F5C2E" w:rsidRDefault="008F5C2E" w:rsidP="006A7887">
      <w:pPr>
        <w:pStyle w:val="Heading2"/>
      </w:pPr>
      <w:bookmarkStart w:id="3" w:name="_Toc104065663"/>
      <w:r>
        <w:t xml:space="preserve">Aspects of ration analysis in decision </w:t>
      </w:r>
      <w:r w:rsidRPr="006A7887">
        <w:t>making</w:t>
      </w:r>
      <w:bookmarkEnd w:id="3"/>
      <w:r>
        <w:t xml:space="preserve"> </w:t>
      </w:r>
    </w:p>
    <w:p w14:paraId="45D16F56" w14:textId="77777777" w:rsidR="000A000B" w:rsidRPr="000A000B" w:rsidRDefault="000A000B" w:rsidP="000A000B">
      <w:pPr>
        <w:pStyle w:val="Heading3"/>
      </w:pPr>
      <w:bookmarkStart w:id="4" w:name="_Toc104065664"/>
      <w:r>
        <w:rPr>
          <w:bdr w:val="none" w:sz="0" w:space="0" w:color="auto" w:frame="1"/>
          <w:shd w:val="clear" w:color="auto" w:fill="FFFFFF"/>
        </w:rPr>
        <w:t>Aid to Measure Financial Solvency</w:t>
      </w:r>
      <w:bookmarkEnd w:id="4"/>
    </w:p>
    <w:p w14:paraId="0EA91E52" w14:textId="77777777" w:rsidR="000951B0" w:rsidRDefault="00E23A27" w:rsidP="00A76B80">
      <w:r w:rsidRPr="00E23A27">
        <w:t xml:space="preserve">Distributions are </w:t>
      </w:r>
      <w:r w:rsidR="00DF5562" w:rsidRPr="00E23A27">
        <w:t>valuable</w:t>
      </w:r>
      <w:r w:rsidRPr="00E23A27">
        <w:t xml:space="preserve"> tools in the hands of the </w:t>
      </w:r>
      <w:r w:rsidR="00DF5562" w:rsidRPr="00E23A27">
        <w:t>organization</w:t>
      </w:r>
      <w:r w:rsidRPr="00E23A27">
        <w:t xml:space="preserve"> and those </w:t>
      </w:r>
      <w:r w:rsidR="00DF5562" w:rsidRPr="00E23A27">
        <w:t>worried</w:t>
      </w:r>
      <w:r w:rsidRPr="00E23A27">
        <w:t xml:space="preserve"> with evaluating the organizational value through age by examining previous and present percentages</w:t>
      </w:r>
      <w:r w:rsidR="008B334D">
        <w:t xml:space="preserve"> (</w:t>
      </w:r>
      <w:proofErr w:type="spellStart"/>
      <w:r w:rsidR="008B334D" w:rsidRPr="008B334D">
        <w:rPr>
          <w:szCs w:val="24"/>
          <w:shd w:val="clear" w:color="auto" w:fill="FFFFFF"/>
        </w:rPr>
        <w:t>Ebeke</w:t>
      </w:r>
      <w:proofErr w:type="spellEnd"/>
      <w:r w:rsidR="008B334D">
        <w:rPr>
          <w:szCs w:val="24"/>
          <w:shd w:val="clear" w:color="auto" w:fill="FFFFFF"/>
        </w:rPr>
        <w:t xml:space="preserve"> et. al., 2021</w:t>
      </w:r>
      <w:r w:rsidR="008B334D">
        <w:t>)</w:t>
      </w:r>
      <w:r w:rsidRPr="00E23A27">
        <w:t>. They direct our bank's cash flow to satisfy its short-term obligations and long-term nonappearance.</w:t>
      </w:r>
    </w:p>
    <w:p w14:paraId="08FCEEBC" w14:textId="77777777" w:rsidR="00445B5D" w:rsidRDefault="00C736CF" w:rsidP="00A33110">
      <w:pPr>
        <w:pStyle w:val="Heading3"/>
        <w:rPr>
          <w:bdr w:val="none" w:sz="0" w:space="0" w:color="auto" w:frame="1"/>
          <w:shd w:val="clear" w:color="auto" w:fill="FFFFFF"/>
        </w:rPr>
      </w:pPr>
      <w:bookmarkStart w:id="5" w:name="_Toc104065665"/>
      <w:r>
        <w:rPr>
          <w:bdr w:val="none" w:sz="0" w:space="0" w:color="auto" w:frame="1"/>
          <w:shd w:val="clear" w:color="auto" w:fill="FFFFFF"/>
        </w:rPr>
        <w:t>A</w:t>
      </w:r>
      <w:r w:rsidR="00A33110">
        <w:rPr>
          <w:bdr w:val="none" w:sz="0" w:space="0" w:color="auto" w:frame="1"/>
          <w:shd w:val="clear" w:color="auto" w:fill="FFFFFF"/>
        </w:rPr>
        <w:t>id in Forecasting and Planning</w:t>
      </w:r>
      <w:bookmarkEnd w:id="5"/>
    </w:p>
    <w:p w14:paraId="6A5F4596" w14:textId="77777777" w:rsidR="00D914ED" w:rsidRDefault="00E23A27" w:rsidP="00D914ED">
      <w:r w:rsidRPr="00E23A27">
        <w:t>Proportional testing is a vital tool for the board in releasing essential abilities such as planning, predicting, and controlling. The amounts that are identified after analyzing and researching the actual result help the framework expenditure plans, make preparations, and set up the preliminary structure of activity, among other things.</w:t>
      </w:r>
    </w:p>
    <w:p w14:paraId="63FD7A89" w14:textId="77777777" w:rsidR="00D914ED" w:rsidRDefault="00D914ED" w:rsidP="00D914ED">
      <w:pPr>
        <w:pStyle w:val="Heading3"/>
        <w:rPr>
          <w:bdr w:val="none" w:sz="0" w:space="0" w:color="auto" w:frame="1"/>
          <w:shd w:val="clear" w:color="auto" w:fill="FFFFFF"/>
        </w:rPr>
      </w:pPr>
      <w:bookmarkStart w:id="6" w:name="_Toc104065666"/>
      <w:r>
        <w:rPr>
          <w:bdr w:val="none" w:sz="0" w:space="0" w:color="auto" w:frame="1"/>
          <w:shd w:val="clear" w:color="auto" w:fill="FFFFFF"/>
        </w:rPr>
        <w:t>Facilitate Decision-Making</w:t>
      </w:r>
      <w:bookmarkEnd w:id="6"/>
    </w:p>
    <w:p w14:paraId="0E52BAF4" w14:textId="77777777" w:rsidR="00D914ED" w:rsidRDefault="00E23A27" w:rsidP="00D914ED">
      <w:r w:rsidRPr="00E23A27">
        <w:t>It is termed a performance evaluator since it exposes the amount of us</w:t>
      </w:r>
      <w:r w:rsidR="00D06169">
        <w:t>age</w:t>
      </w:r>
      <w:r w:rsidRPr="00E23A27">
        <w:t xml:space="preserve"> of the administrator and material use</w:t>
      </w:r>
      <w:r w:rsidR="00F33858">
        <w:t xml:space="preserve"> (</w:t>
      </w:r>
      <w:r w:rsidR="00F33858" w:rsidRPr="008B334D">
        <w:rPr>
          <w:szCs w:val="24"/>
          <w:shd w:val="clear" w:color="auto" w:fill="FFFFFF"/>
        </w:rPr>
        <w:t>Greenberg</w:t>
      </w:r>
      <w:r w:rsidR="00F33858">
        <w:rPr>
          <w:szCs w:val="24"/>
          <w:shd w:val="clear" w:color="auto" w:fill="FFFFFF"/>
        </w:rPr>
        <w:t xml:space="preserve"> and </w:t>
      </w:r>
      <w:r w:rsidR="00F33858" w:rsidRPr="008B334D">
        <w:rPr>
          <w:szCs w:val="24"/>
          <w:shd w:val="clear" w:color="auto" w:fill="FFFFFF"/>
        </w:rPr>
        <w:t>Hershfield</w:t>
      </w:r>
      <w:r w:rsidR="00F33858">
        <w:rPr>
          <w:szCs w:val="24"/>
          <w:shd w:val="clear" w:color="auto" w:fill="FFFFFF"/>
        </w:rPr>
        <w:t>, 2019</w:t>
      </w:r>
      <w:r w:rsidR="00F33858">
        <w:t>)</w:t>
      </w:r>
      <w:r w:rsidRPr="00E23A27">
        <w:t>. They guide the coos in the right way.</w:t>
      </w:r>
    </w:p>
    <w:p w14:paraId="16DAECAC" w14:textId="77777777" w:rsidR="00D914ED" w:rsidRDefault="00D914ED" w:rsidP="00D914ED">
      <w:pPr>
        <w:pStyle w:val="Heading3"/>
        <w:rPr>
          <w:bdr w:val="none" w:sz="0" w:space="0" w:color="auto" w:frame="1"/>
          <w:shd w:val="clear" w:color="auto" w:fill="FFFFFF"/>
        </w:rPr>
      </w:pPr>
      <w:bookmarkStart w:id="7" w:name="_Toc104065667"/>
      <w:r>
        <w:rPr>
          <w:bdr w:val="none" w:sz="0" w:space="0" w:color="auto" w:frame="1"/>
          <w:shd w:val="clear" w:color="auto" w:fill="FFFFFF"/>
        </w:rPr>
        <w:t>Aid in Corrective Action</w:t>
      </w:r>
      <w:bookmarkEnd w:id="7"/>
    </w:p>
    <w:p w14:paraId="67B647A4" w14:textId="77777777" w:rsidR="008D612A" w:rsidRDefault="00E23A27" w:rsidP="00834E91">
      <w:r w:rsidRPr="00E23A27">
        <w:t>Inter-firm evaluation is possible via profitability ratios. They illustrate the characteristics of effective and failed businesses. Correction steps can be taken if the assessment reveals an adverse difference</w:t>
      </w:r>
      <w:r w:rsidR="00D303C4">
        <w:t xml:space="preserve"> </w:t>
      </w:r>
      <w:r w:rsidR="00D303C4">
        <w:rPr>
          <w:shd w:val="clear" w:color="auto" w:fill="FFFFFF"/>
        </w:rPr>
        <w:t>(</w:t>
      </w:r>
      <w:proofErr w:type="spellStart"/>
      <w:r w:rsidR="00D303C4">
        <w:rPr>
          <w:shd w:val="clear" w:color="auto" w:fill="FFFFFF"/>
        </w:rPr>
        <w:t>Erfani</w:t>
      </w:r>
      <w:proofErr w:type="spellEnd"/>
      <w:r w:rsidR="00D303C4">
        <w:rPr>
          <w:shd w:val="clear" w:color="auto" w:fill="FFFFFF"/>
        </w:rPr>
        <w:t>, et. al., 2018)</w:t>
      </w:r>
      <w:r w:rsidRPr="00E23A27">
        <w:t>. As a result, it assists management in determining corrective measures.</w:t>
      </w:r>
    </w:p>
    <w:p w14:paraId="56E75184" w14:textId="77777777" w:rsidR="00834E91" w:rsidRDefault="000E4315" w:rsidP="000E4315">
      <w:pPr>
        <w:pStyle w:val="Heading3"/>
        <w:rPr>
          <w:bdr w:val="none" w:sz="0" w:space="0" w:color="auto" w:frame="1"/>
          <w:shd w:val="clear" w:color="auto" w:fill="FFFFFF"/>
        </w:rPr>
      </w:pPr>
      <w:bookmarkStart w:id="8" w:name="_Toc104065668"/>
      <w:r>
        <w:rPr>
          <w:bdr w:val="none" w:sz="0" w:space="0" w:color="auto" w:frame="1"/>
          <w:shd w:val="clear" w:color="auto" w:fill="FFFFFF"/>
        </w:rPr>
        <w:t>Aid in Intra Firm Comparison</w:t>
      </w:r>
      <w:bookmarkEnd w:id="8"/>
    </w:p>
    <w:p w14:paraId="032F2739" w14:textId="77777777" w:rsidR="000E4315" w:rsidRDefault="00E23A27" w:rsidP="000E4315">
      <w:r w:rsidRPr="00E23A27">
        <w:t>Fraction analysis reveals a strong association. They include factors associated with both successful and unsuccessful businesses</w:t>
      </w:r>
      <w:r w:rsidR="00BA3B66">
        <w:t xml:space="preserve"> (Easton, et. al., 2018)</w:t>
      </w:r>
      <w:r w:rsidRPr="00E23A27">
        <w:t>. If the evaluation reveals a concerning change, corrective actions might be initiated. As a result, it aids the administrator in adopting a corrective action.</w:t>
      </w:r>
    </w:p>
    <w:p w14:paraId="43006942" w14:textId="77777777" w:rsidR="000E4315" w:rsidRDefault="00996D32" w:rsidP="00996D32">
      <w:pPr>
        <w:pStyle w:val="Heading3"/>
        <w:rPr>
          <w:bdr w:val="none" w:sz="0" w:space="0" w:color="auto" w:frame="1"/>
          <w:shd w:val="clear" w:color="auto" w:fill="FFFFFF"/>
        </w:rPr>
      </w:pPr>
      <w:bookmarkStart w:id="9" w:name="_Toc104065669"/>
      <w:r>
        <w:rPr>
          <w:bdr w:val="none" w:sz="0" w:space="0" w:color="auto" w:frame="1"/>
          <w:shd w:val="clear" w:color="auto" w:fill="FFFFFF"/>
        </w:rPr>
        <w:t>Act as a Good Communication</w:t>
      </w:r>
      <w:bookmarkEnd w:id="9"/>
    </w:p>
    <w:p w14:paraId="01D2E1A0" w14:textId="77777777" w:rsidR="00B2606C" w:rsidRDefault="00BA3B66" w:rsidP="006D5891">
      <w:r w:rsidRPr="00E23A27">
        <w:t>Interfere</w:t>
      </w:r>
      <w:r w:rsidR="00E23A27" w:rsidRPr="00E23A27">
        <w:t xml:space="preserve"> relationships are investigated. It is a tool for determining the financial soundness of a project. It collaborates with management to determine if the organization's financial status is steadily declining by setting a standard using percentages.</w:t>
      </w:r>
    </w:p>
    <w:p w14:paraId="122656AC" w14:textId="77777777" w:rsidR="00932BF9" w:rsidRPr="0093203A" w:rsidRDefault="00306C2F" w:rsidP="0093203A">
      <w:pPr>
        <w:pStyle w:val="Heading1"/>
        <w:spacing w:line="360" w:lineRule="auto"/>
        <w:rPr>
          <w:sz w:val="24"/>
          <w:szCs w:val="24"/>
        </w:rPr>
      </w:pPr>
      <w:bookmarkStart w:id="10" w:name="_Toc104065670"/>
      <w:r w:rsidRPr="0093203A">
        <w:rPr>
          <w:sz w:val="24"/>
          <w:szCs w:val="24"/>
        </w:rPr>
        <w:t>Limitation of ratio analysis</w:t>
      </w:r>
      <w:bookmarkEnd w:id="10"/>
    </w:p>
    <w:p w14:paraId="63D7CA05" w14:textId="77777777" w:rsidR="00E23A27" w:rsidRDefault="00E23A27" w:rsidP="00DF09FB">
      <w:r>
        <w:t>The following are the most important limitations of percentage research:</w:t>
      </w:r>
    </w:p>
    <w:p w14:paraId="686E01DF" w14:textId="77777777" w:rsidR="00E23A27" w:rsidRDefault="00E23A27" w:rsidP="00DF09FB">
      <w:pPr>
        <w:pStyle w:val="ListParagraph"/>
        <w:numPr>
          <w:ilvl w:val="0"/>
          <w:numId w:val="2"/>
        </w:numPr>
      </w:pPr>
      <w:r w:rsidRPr="00BF49BE">
        <w:rPr>
          <w:b/>
        </w:rPr>
        <w:t>Accurate Evidence</w:t>
      </w:r>
      <w:r>
        <w:t>: The info used in the inquiry is based on the institution's actual historical results. As a result, percentage evaluation assessments cannot ensure the new organizational performance will be addressed.</w:t>
      </w:r>
    </w:p>
    <w:p w14:paraId="5F4AC2F8" w14:textId="77777777" w:rsidR="009F1B88" w:rsidRDefault="00E23A27" w:rsidP="00DF09FB">
      <w:pPr>
        <w:pStyle w:val="ListParagraph"/>
        <w:numPr>
          <w:ilvl w:val="0"/>
          <w:numId w:val="2"/>
        </w:numPr>
      </w:pPr>
      <w:r w:rsidRPr="00BF49BE">
        <w:rPr>
          <w:b/>
        </w:rPr>
        <w:t>Inflation rate effects</w:t>
      </w:r>
      <w:r>
        <w:t xml:space="preserve">: Because economic expressions are only supplied sometimes, there are temporal gaps amongst them. Real expenses are not shown in budget reports if growth occurs </w:t>
      </w:r>
      <w:r w:rsidR="00D06169">
        <w:t>during</w:t>
      </w:r>
      <w:r>
        <w:t xml:space="preserve"> seasons</w:t>
      </w:r>
      <w:r w:rsidR="00645C58">
        <w:t xml:space="preserve"> (Easton, et. al., 2018)</w:t>
      </w:r>
      <w:r>
        <w:t>. As a result, the figures from different times are not comparable until they can be expanded.</w:t>
      </w:r>
    </w:p>
    <w:p w14:paraId="522680B4" w14:textId="4102929F" w:rsidR="00E23A27" w:rsidRDefault="008B3843" w:rsidP="00DF09FB">
      <w:pPr>
        <w:pStyle w:val="ListParagraph"/>
        <w:numPr>
          <w:ilvl w:val="0"/>
          <w:numId w:val="2"/>
        </w:numPr>
      </w:pPr>
      <w:r w:rsidRPr="00BF49BE">
        <w:rPr>
          <w:b/>
        </w:rPr>
        <w:t>Changes in accounting structures</w:t>
      </w:r>
      <w:r w:rsidRPr="008B3843">
        <w:t xml:space="preserve">: If the institution's accountancy tactics and processes have changed, this might have a significant impact on financial reporting. The major monetary metrics employed in the ratio study are changed in this case, and the pecuniary outputs reported after the modification are not nearly equal to those </w:t>
      </w:r>
      <w:r w:rsidRPr="008B3843">
        <w:lastRenderedPageBreak/>
        <w:t xml:space="preserve">documented just before the change. It is the attorney's responsibility to be informed of improvements in accountancy techniques. The additions to the budgeting reports portion include </w:t>
      </w:r>
      <w:r w:rsidR="00906F2A" w:rsidRPr="008B3843">
        <w:t>most of</w:t>
      </w:r>
      <w:r w:rsidRPr="008B3843">
        <w:t xml:space="preserve"> the changes implemented.</w:t>
      </w:r>
    </w:p>
    <w:p w14:paraId="7ADCA2D5" w14:textId="77777777" w:rsidR="00906F2A" w:rsidRDefault="00906F2A" w:rsidP="00906F2A">
      <w:pPr>
        <w:pStyle w:val="ListParagraph"/>
        <w:ind w:left="360"/>
      </w:pPr>
    </w:p>
    <w:p w14:paraId="4128F0BB" w14:textId="77777777" w:rsidR="00906F2A" w:rsidRDefault="008B3843" w:rsidP="00DF09FB">
      <w:pPr>
        <w:pStyle w:val="ListParagraph"/>
        <w:numPr>
          <w:ilvl w:val="0"/>
          <w:numId w:val="2"/>
        </w:numPr>
      </w:pPr>
      <w:r w:rsidRPr="00BF49BE">
        <w:rPr>
          <w:b/>
        </w:rPr>
        <w:t>Oversight of financial descriptions</w:t>
      </w:r>
      <w:r w:rsidRPr="008B3843">
        <w:t>:</w:t>
      </w:r>
    </w:p>
    <w:p w14:paraId="2A2466B6" w14:textId="5DCA9E54" w:rsidR="008B3843" w:rsidRDefault="008B3843" w:rsidP="00906F2A">
      <w:pPr>
        <w:pStyle w:val="ListParagraph"/>
        <w:ind w:left="360"/>
      </w:pPr>
      <w:r w:rsidRPr="008B3843">
        <w:t xml:space="preserve"> Ratio analysis is based on information provided by the organization in its accounting records. This data may well be manipulated by the entire department to provide a more positive experience than the actual show. As a result, percentage evaluation may not accurately reflect the true core of the firm, because data deceit is not identified by simple research. Before reaching any conclusions, it is critical that an investigator is aware of these possible safeguards and has routinely completed the broad desired amount of funding</w:t>
      </w:r>
      <w:r w:rsidR="00F33858">
        <w:t xml:space="preserve"> (</w:t>
      </w:r>
      <w:proofErr w:type="spellStart"/>
      <w:r w:rsidR="00F33858" w:rsidRPr="00F33858">
        <w:rPr>
          <w:szCs w:val="24"/>
          <w:shd w:val="clear" w:color="auto" w:fill="FFFFFF"/>
        </w:rPr>
        <w:t>Nicolini</w:t>
      </w:r>
      <w:proofErr w:type="spellEnd"/>
      <w:r w:rsidR="00F33858">
        <w:rPr>
          <w:szCs w:val="24"/>
          <w:shd w:val="clear" w:color="auto" w:fill="FFFFFF"/>
        </w:rPr>
        <w:t xml:space="preserve"> et. al., 2019</w:t>
      </w:r>
      <w:r w:rsidR="00F33858">
        <w:t>)</w:t>
      </w:r>
      <w:r w:rsidRPr="008B3843">
        <w:t>.</w:t>
      </w:r>
    </w:p>
    <w:p w14:paraId="4E7DF2EF" w14:textId="77777777" w:rsidR="00DF09FB" w:rsidRDefault="00DF09FB" w:rsidP="00906F2A">
      <w:pPr>
        <w:pStyle w:val="ListParagraph"/>
        <w:ind w:left="360"/>
      </w:pPr>
    </w:p>
    <w:p w14:paraId="51852E7B" w14:textId="77777777" w:rsidR="00B76769" w:rsidRDefault="000414ED" w:rsidP="00DF09FB">
      <w:pPr>
        <w:pStyle w:val="Heading2"/>
        <w:spacing w:line="360" w:lineRule="auto"/>
      </w:pPr>
      <w:bookmarkStart w:id="11" w:name="_Toc104065671"/>
      <w:r>
        <w:t>H</w:t>
      </w:r>
      <w:r w:rsidRPr="000414ED">
        <w:t>ow ratio analysis helps in hotel management finances</w:t>
      </w:r>
      <w:bookmarkEnd w:id="11"/>
    </w:p>
    <w:p w14:paraId="7D5500C4" w14:textId="77777777" w:rsidR="005E5C29" w:rsidRDefault="008B3843" w:rsidP="00DF09FB">
      <w:r w:rsidRPr="008B3843">
        <w:t>The hospitality industry requires a lot of capital investment and has a lot of transitory financial obligations to meet, thus liquidity ratios are an important part of the study. Along with present obligations, businesses in the neighborliness industry have a lot of long-term liabilities. This liability is used to support large buildings such as hotels or large vehicle new fleets for freight forwarders</w:t>
      </w:r>
      <w:r w:rsidR="00176BF0">
        <w:t xml:space="preserve"> (Easton, et. al., 2018)</w:t>
      </w:r>
      <w:r w:rsidRPr="008B3843">
        <w:t xml:space="preserve">. To run an accommodation business properly, a lot of long-term capital </w:t>
      </w:r>
      <w:r w:rsidR="00D06169">
        <w:t>is</w:t>
      </w:r>
      <w:r w:rsidRPr="008B3843">
        <w:t xml:space="preserve"> necessary, hence long-term commitment capital is frequently required. The lodging sector is a vast field within the service industry that includes smaller industries such as accommodations and lodging, event planning, amusement parks, shipping, cruise lines, and other travel-related fields</w:t>
      </w:r>
      <w:r w:rsidR="00F33858">
        <w:t xml:space="preserve"> (</w:t>
      </w:r>
      <w:proofErr w:type="spellStart"/>
      <w:r w:rsidR="00F33858" w:rsidRPr="00F33858">
        <w:rPr>
          <w:szCs w:val="28"/>
          <w:shd w:val="clear" w:color="auto" w:fill="FFFFFF"/>
        </w:rPr>
        <w:t>Hashemkhani</w:t>
      </w:r>
      <w:proofErr w:type="spellEnd"/>
      <w:r w:rsidR="00F33858" w:rsidRPr="00F33858">
        <w:rPr>
          <w:szCs w:val="28"/>
          <w:shd w:val="clear" w:color="auto" w:fill="FFFFFF"/>
        </w:rPr>
        <w:t xml:space="preserve"> </w:t>
      </w:r>
      <w:proofErr w:type="spellStart"/>
      <w:r w:rsidR="00F33858" w:rsidRPr="00F33858">
        <w:rPr>
          <w:szCs w:val="28"/>
          <w:shd w:val="clear" w:color="auto" w:fill="FFFFFF"/>
        </w:rPr>
        <w:t>Zolfani</w:t>
      </w:r>
      <w:proofErr w:type="spellEnd"/>
      <w:r w:rsidR="00F33858">
        <w:rPr>
          <w:szCs w:val="28"/>
          <w:shd w:val="clear" w:color="auto" w:fill="FFFFFF"/>
        </w:rPr>
        <w:t xml:space="preserve"> et al., 2018</w:t>
      </w:r>
      <w:r w:rsidR="00F33858">
        <w:t>)</w:t>
      </w:r>
      <w:r w:rsidRPr="008B3843">
        <w:t xml:space="preserve">. </w:t>
      </w:r>
      <w:r w:rsidR="00D06169">
        <w:t>The s</w:t>
      </w:r>
      <w:r w:rsidRPr="008B3843">
        <w:t>olvency ratio provide</w:t>
      </w:r>
      <w:r w:rsidR="00D06169">
        <w:t>s</w:t>
      </w:r>
      <w:r w:rsidRPr="008B3843">
        <w:t xml:space="preserve"> information to partnerships about a firm's ability to satisfy its short-term financial obligations.</w:t>
      </w:r>
    </w:p>
    <w:p w14:paraId="410B6879" w14:textId="77777777" w:rsidR="00332B22" w:rsidRDefault="00332B22">
      <w:pPr>
        <w:spacing w:line="259" w:lineRule="auto"/>
        <w:jc w:val="left"/>
      </w:pPr>
      <w:r>
        <w:br w:type="page"/>
      </w:r>
    </w:p>
    <w:p w14:paraId="316FF760" w14:textId="77777777" w:rsidR="00906F2A" w:rsidRDefault="00906F2A" w:rsidP="00332B22">
      <w:pPr>
        <w:pStyle w:val="Heading1"/>
        <w:rPr>
          <w:sz w:val="24"/>
          <w:szCs w:val="24"/>
        </w:rPr>
      </w:pPr>
      <w:bookmarkStart w:id="12" w:name="_Toc104065672"/>
    </w:p>
    <w:p w14:paraId="6DB3BACD" w14:textId="00ED7A0D" w:rsidR="00332B22" w:rsidRPr="00DF09FB" w:rsidRDefault="00332B22" w:rsidP="00332B22">
      <w:pPr>
        <w:pStyle w:val="Heading1"/>
        <w:rPr>
          <w:sz w:val="24"/>
          <w:szCs w:val="24"/>
        </w:rPr>
      </w:pPr>
      <w:r w:rsidRPr="00DF09FB">
        <w:rPr>
          <w:sz w:val="24"/>
          <w:szCs w:val="24"/>
        </w:rPr>
        <w:t>References</w:t>
      </w:r>
      <w:bookmarkEnd w:id="12"/>
      <w:r w:rsidRPr="00DF09FB">
        <w:rPr>
          <w:sz w:val="24"/>
          <w:szCs w:val="24"/>
        </w:rPr>
        <w:t xml:space="preserve"> </w:t>
      </w:r>
    </w:p>
    <w:p w14:paraId="23124A4D" w14:textId="77777777" w:rsidR="007044F8" w:rsidRPr="00DF09FB" w:rsidRDefault="007044F8" w:rsidP="00D06169">
      <w:pPr>
        <w:rPr>
          <w:szCs w:val="24"/>
        </w:rPr>
      </w:pPr>
      <w:r w:rsidRPr="00DF09FB">
        <w:rPr>
          <w:szCs w:val="24"/>
        </w:rPr>
        <w:t xml:space="preserve">Easton, P.D., McAnally, M.L., Sommers, G.A. and Zhang, X.J., 2018. Financial statement analysis &amp; valuation. </w:t>
      </w:r>
      <w:r w:rsidRPr="00DF09FB">
        <w:rPr>
          <w:i/>
          <w:szCs w:val="24"/>
        </w:rPr>
        <w:t>Boston, MA: Cambridge Business Publishers</w:t>
      </w:r>
      <w:r w:rsidRPr="00DF09FB">
        <w:rPr>
          <w:szCs w:val="24"/>
        </w:rPr>
        <w:t>.</w:t>
      </w:r>
    </w:p>
    <w:p w14:paraId="0FB94152" w14:textId="77777777" w:rsidR="007044F8" w:rsidRPr="00DF09FB" w:rsidRDefault="007044F8" w:rsidP="008B334D">
      <w:pPr>
        <w:rPr>
          <w:szCs w:val="24"/>
          <w:shd w:val="clear" w:color="auto" w:fill="FFFFFF"/>
        </w:rPr>
      </w:pPr>
      <w:proofErr w:type="spellStart"/>
      <w:r w:rsidRPr="00DF09FB">
        <w:rPr>
          <w:szCs w:val="24"/>
          <w:shd w:val="clear" w:color="auto" w:fill="FFFFFF"/>
        </w:rPr>
        <w:t>Ebeke</w:t>
      </w:r>
      <w:proofErr w:type="spellEnd"/>
      <w:r w:rsidRPr="00DF09FB">
        <w:rPr>
          <w:szCs w:val="24"/>
          <w:shd w:val="clear" w:color="auto" w:fill="FFFFFF"/>
        </w:rPr>
        <w:t>, M.C.H., Jovanovic, N., Valderrama, M.L. and Zhou, J., 2021. </w:t>
      </w:r>
      <w:r w:rsidRPr="00DF09FB">
        <w:rPr>
          <w:i/>
          <w:iCs/>
          <w:szCs w:val="24"/>
          <w:shd w:val="clear" w:color="auto" w:fill="FFFFFF"/>
        </w:rPr>
        <w:t>Corporate liquidity and solvency in Europe during COVID-19: The role of policies</w:t>
      </w:r>
      <w:r w:rsidRPr="00DF09FB">
        <w:rPr>
          <w:szCs w:val="24"/>
          <w:shd w:val="clear" w:color="auto" w:fill="FFFFFF"/>
        </w:rPr>
        <w:t xml:space="preserve">. International Monetary Fund. </w:t>
      </w:r>
      <w:hyperlink r:id="rId12" w:history="1">
        <w:r w:rsidRPr="00DF09FB">
          <w:rPr>
            <w:rStyle w:val="Hyperlink"/>
            <w:rFonts w:cs="Arial"/>
            <w:color w:val="auto"/>
            <w:szCs w:val="24"/>
            <w:shd w:val="clear" w:color="auto" w:fill="FFFFFF"/>
          </w:rPr>
          <w:t>https://www.elibrary.imf.org/view/journals/001/2021/056/article-A001-en.xml</w:t>
        </w:r>
      </w:hyperlink>
    </w:p>
    <w:p w14:paraId="510B95FE" w14:textId="77777777" w:rsidR="007044F8" w:rsidRPr="00DF09FB" w:rsidRDefault="007044F8" w:rsidP="008B334D">
      <w:pPr>
        <w:rPr>
          <w:szCs w:val="24"/>
          <w:shd w:val="clear" w:color="auto" w:fill="FFFFFF"/>
        </w:rPr>
      </w:pPr>
      <w:proofErr w:type="spellStart"/>
      <w:r w:rsidRPr="00DF09FB">
        <w:rPr>
          <w:szCs w:val="24"/>
          <w:shd w:val="clear" w:color="auto" w:fill="FFFFFF"/>
        </w:rPr>
        <w:t>Erdil</w:t>
      </w:r>
      <w:proofErr w:type="spellEnd"/>
      <w:r w:rsidRPr="00DF09FB">
        <w:rPr>
          <w:szCs w:val="24"/>
          <w:shd w:val="clear" w:color="auto" w:fill="FFFFFF"/>
        </w:rPr>
        <w:t xml:space="preserve">, A. and </w:t>
      </w:r>
      <w:proofErr w:type="spellStart"/>
      <w:r w:rsidRPr="00DF09FB">
        <w:rPr>
          <w:szCs w:val="24"/>
          <w:shd w:val="clear" w:color="auto" w:fill="FFFFFF"/>
        </w:rPr>
        <w:t>Erbıyık</w:t>
      </w:r>
      <w:proofErr w:type="spellEnd"/>
      <w:r w:rsidRPr="00DF09FB">
        <w:rPr>
          <w:szCs w:val="24"/>
          <w:shd w:val="clear" w:color="auto" w:fill="FFFFFF"/>
        </w:rPr>
        <w:t>, H., 2019. The importance of benchmarking for the management of the firm: Evaluating the relation between total quality management and benchmarking. </w:t>
      </w:r>
      <w:r w:rsidRPr="00DF09FB">
        <w:rPr>
          <w:i/>
          <w:iCs/>
          <w:szCs w:val="24"/>
          <w:shd w:val="clear" w:color="auto" w:fill="FFFFFF"/>
        </w:rPr>
        <w:t>Procedia Computer Science</w:t>
      </w:r>
      <w:r w:rsidRPr="00DF09FB">
        <w:rPr>
          <w:szCs w:val="24"/>
          <w:shd w:val="clear" w:color="auto" w:fill="FFFFFF"/>
        </w:rPr>
        <w:t>, </w:t>
      </w:r>
      <w:r w:rsidRPr="00DF09FB">
        <w:rPr>
          <w:i/>
          <w:iCs/>
          <w:szCs w:val="24"/>
          <w:shd w:val="clear" w:color="auto" w:fill="FFFFFF"/>
        </w:rPr>
        <w:t>158</w:t>
      </w:r>
      <w:r w:rsidRPr="00DF09FB">
        <w:rPr>
          <w:szCs w:val="24"/>
          <w:shd w:val="clear" w:color="auto" w:fill="FFFFFF"/>
        </w:rPr>
        <w:t>, pp.705-714. shorturl.at/</w:t>
      </w:r>
      <w:proofErr w:type="spellStart"/>
      <w:r w:rsidRPr="00DF09FB">
        <w:rPr>
          <w:szCs w:val="24"/>
          <w:shd w:val="clear" w:color="auto" w:fill="FFFFFF"/>
        </w:rPr>
        <w:t>rstRV</w:t>
      </w:r>
      <w:proofErr w:type="spellEnd"/>
    </w:p>
    <w:p w14:paraId="44861BBF" w14:textId="77777777" w:rsidR="007044F8" w:rsidRPr="00DF09FB" w:rsidRDefault="007044F8" w:rsidP="00354A3E">
      <w:pPr>
        <w:rPr>
          <w:szCs w:val="24"/>
          <w:shd w:val="clear" w:color="auto" w:fill="FFFFFF"/>
        </w:rPr>
      </w:pPr>
      <w:proofErr w:type="spellStart"/>
      <w:r w:rsidRPr="00DF09FB">
        <w:rPr>
          <w:szCs w:val="24"/>
          <w:shd w:val="clear" w:color="auto" w:fill="FFFFFF"/>
        </w:rPr>
        <w:t>Erfani</w:t>
      </w:r>
      <w:proofErr w:type="spellEnd"/>
      <w:r w:rsidRPr="00DF09FB">
        <w:rPr>
          <w:szCs w:val="24"/>
          <w:shd w:val="clear" w:color="auto" w:fill="FFFFFF"/>
        </w:rPr>
        <w:t xml:space="preserve">, G.R. and </w:t>
      </w:r>
      <w:proofErr w:type="spellStart"/>
      <w:r w:rsidRPr="00DF09FB">
        <w:rPr>
          <w:szCs w:val="24"/>
          <w:shd w:val="clear" w:color="auto" w:fill="FFFFFF"/>
        </w:rPr>
        <w:t>Vasigh</w:t>
      </w:r>
      <w:proofErr w:type="spellEnd"/>
      <w:r w:rsidRPr="00DF09FB">
        <w:rPr>
          <w:szCs w:val="24"/>
          <w:shd w:val="clear" w:color="auto" w:fill="FFFFFF"/>
        </w:rPr>
        <w:t>, B., 2018. The impact of the global financial crisis on profitability of the banking industry: a comparative analysis. </w:t>
      </w:r>
      <w:r w:rsidRPr="00DF09FB">
        <w:rPr>
          <w:i/>
          <w:iCs/>
          <w:szCs w:val="24"/>
          <w:shd w:val="clear" w:color="auto" w:fill="FFFFFF"/>
        </w:rPr>
        <w:t>Economies</w:t>
      </w:r>
      <w:r w:rsidRPr="00DF09FB">
        <w:rPr>
          <w:szCs w:val="24"/>
          <w:shd w:val="clear" w:color="auto" w:fill="FFFFFF"/>
        </w:rPr>
        <w:t>, </w:t>
      </w:r>
      <w:r w:rsidRPr="00DF09FB">
        <w:rPr>
          <w:i/>
          <w:iCs/>
          <w:szCs w:val="24"/>
          <w:shd w:val="clear" w:color="auto" w:fill="FFFFFF"/>
        </w:rPr>
        <w:t>6</w:t>
      </w:r>
      <w:r w:rsidRPr="00DF09FB">
        <w:rPr>
          <w:szCs w:val="24"/>
          <w:shd w:val="clear" w:color="auto" w:fill="FFFFFF"/>
        </w:rPr>
        <w:t xml:space="preserve">(4), p.66. </w:t>
      </w:r>
      <w:hyperlink r:id="rId13" w:history="1">
        <w:r w:rsidRPr="00DF09FB">
          <w:rPr>
            <w:rStyle w:val="Hyperlink"/>
            <w:color w:val="auto"/>
            <w:szCs w:val="24"/>
            <w:shd w:val="clear" w:color="auto" w:fill="FFFFFF"/>
          </w:rPr>
          <w:t>http://dx.doi.org/10.3390/economies6040066</w:t>
        </w:r>
      </w:hyperlink>
    </w:p>
    <w:p w14:paraId="67E34C7F" w14:textId="77777777" w:rsidR="007044F8" w:rsidRPr="00DF09FB" w:rsidRDefault="007044F8" w:rsidP="008B334D">
      <w:pPr>
        <w:rPr>
          <w:szCs w:val="24"/>
          <w:shd w:val="clear" w:color="auto" w:fill="FFFFFF"/>
        </w:rPr>
      </w:pPr>
      <w:r w:rsidRPr="00DF09FB">
        <w:rPr>
          <w:szCs w:val="24"/>
          <w:shd w:val="clear" w:color="auto" w:fill="FFFFFF"/>
        </w:rPr>
        <w:t>Greenberg, A.E. and Hershfield, H.E., 2019. Financial decision making. </w:t>
      </w:r>
      <w:r w:rsidRPr="00DF09FB">
        <w:rPr>
          <w:i/>
          <w:iCs/>
          <w:szCs w:val="24"/>
          <w:shd w:val="clear" w:color="auto" w:fill="FFFFFF"/>
        </w:rPr>
        <w:t>Consumer Psychology Review</w:t>
      </w:r>
      <w:r w:rsidRPr="00DF09FB">
        <w:rPr>
          <w:szCs w:val="24"/>
          <w:shd w:val="clear" w:color="auto" w:fill="FFFFFF"/>
        </w:rPr>
        <w:t>, </w:t>
      </w:r>
      <w:r w:rsidRPr="00DF09FB">
        <w:rPr>
          <w:i/>
          <w:iCs/>
          <w:szCs w:val="24"/>
          <w:shd w:val="clear" w:color="auto" w:fill="FFFFFF"/>
        </w:rPr>
        <w:t>2</w:t>
      </w:r>
      <w:r w:rsidRPr="00DF09FB">
        <w:rPr>
          <w:szCs w:val="24"/>
          <w:shd w:val="clear" w:color="auto" w:fill="FFFFFF"/>
        </w:rPr>
        <w:t xml:space="preserve">(1), pp.17-29. </w:t>
      </w:r>
      <w:hyperlink r:id="rId14" w:history="1">
        <w:r w:rsidRPr="00DF09FB">
          <w:rPr>
            <w:rStyle w:val="Hyperlink"/>
            <w:rFonts w:cs="Arial"/>
            <w:color w:val="auto"/>
            <w:szCs w:val="24"/>
            <w:shd w:val="clear" w:color="auto" w:fill="FFFFFF"/>
          </w:rPr>
          <w:t>https://www.anderson.ucla.edu/documents/areas/fac/marketing/Hershfield/Greenberg_et_al-2019-Consumer_Psychology_Review.pdf</w:t>
        </w:r>
      </w:hyperlink>
    </w:p>
    <w:p w14:paraId="15FA8360" w14:textId="77777777" w:rsidR="007044F8" w:rsidRPr="00DF09FB" w:rsidRDefault="007044F8" w:rsidP="00F33858">
      <w:pPr>
        <w:rPr>
          <w:szCs w:val="24"/>
          <w:shd w:val="clear" w:color="auto" w:fill="FFFFFF"/>
        </w:rPr>
      </w:pPr>
      <w:proofErr w:type="spellStart"/>
      <w:r w:rsidRPr="00DF09FB">
        <w:rPr>
          <w:szCs w:val="24"/>
          <w:shd w:val="clear" w:color="auto" w:fill="FFFFFF"/>
        </w:rPr>
        <w:t>Hashemkhani</w:t>
      </w:r>
      <w:proofErr w:type="spellEnd"/>
      <w:r w:rsidRPr="00DF09FB">
        <w:rPr>
          <w:szCs w:val="24"/>
          <w:shd w:val="clear" w:color="auto" w:fill="FFFFFF"/>
        </w:rPr>
        <w:t xml:space="preserve"> </w:t>
      </w:r>
      <w:proofErr w:type="spellStart"/>
      <w:r w:rsidRPr="00DF09FB">
        <w:rPr>
          <w:szCs w:val="24"/>
          <w:shd w:val="clear" w:color="auto" w:fill="FFFFFF"/>
        </w:rPr>
        <w:t>Zolfani</w:t>
      </w:r>
      <w:proofErr w:type="spellEnd"/>
      <w:r w:rsidRPr="00DF09FB">
        <w:rPr>
          <w:szCs w:val="24"/>
          <w:shd w:val="clear" w:color="auto" w:fill="FFFFFF"/>
        </w:rPr>
        <w:t xml:space="preserve">, S., Yazdani, M. and </w:t>
      </w:r>
      <w:proofErr w:type="spellStart"/>
      <w:r w:rsidRPr="00DF09FB">
        <w:rPr>
          <w:szCs w:val="24"/>
          <w:shd w:val="clear" w:color="auto" w:fill="FFFFFF"/>
        </w:rPr>
        <w:t>Zavadskas</w:t>
      </w:r>
      <w:proofErr w:type="spellEnd"/>
      <w:r w:rsidRPr="00DF09FB">
        <w:rPr>
          <w:szCs w:val="24"/>
          <w:shd w:val="clear" w:color="auto" w:fill="FFFFFF"/>
        </w:rPr>
        <w:t>, E.K., 2018. An extended stepwise weight assessment ratio analysis (SWARA) method for improving criteria prioritization process. </w:t>
      </w:r>
      <w:r w:rsidRPr="00DF09FB">
        <w:rPr>
          <w:i/>
          <w:iCs/>
          <w:szCs w:val="24"/>
          <w:shd w:val="clear" w:color="auto" w:fill="FFFFFF"/>
        </w:rPr>
        <w:t>Soft Computing</w:t>
      </w:r>
      <w:r w:rsidRPr="00DF09FB">
        <w:rPr>
          <w:szCs w:val="24"/>
          <w:shd w:val="clear" w:color="auto" w:fill="FFFFFF"/>
        </w:rPr>
        <w:t>, </w:t>
      </w:r>
      <w:r w:rsidRPr="00DF09FB">
        <w:rPr>
          <w:i/>
          <w:iCs/>
          <w:szCs w:val="24"/>
          <w:shd w:val="clear" w:color="auto" w:fill="FFFFFF"/>
        </w:rPr>
        <w:t>22</w:t>
      </w:r>
      <w:r w:rsidRPr="00DF09FB">
        <w:rPr>
          <w:szCs w:val="24"/>
          <w:shd w:val="clear" w:color="auto" w:fill="FFFFFF"/>
        </w:rPr>
        <w:t xml:space="preserve">(22), pp.7399-7405. </w:t>
      </w:r>
      <w:hyperlink r:id="rId15" w:history="1">
        <w:r w:rsidRPr="00DF09FB">
          <w:rPr>
            <w:rStyle w:val="Hyperlink"/>
            <w:rFonts w:cs="Arial"/>
            <w:color w:val="auto"/>
            <w:szCs w:val="24"/>
            <w:shd w:val="clear" w:color="auto" w:fill="FFFFFF"/>
          </w:rPr>
          <w:t>https://www.researchgate.net/profile/Morteza-Yazdani-3/publication/323294917_An_extended_Stepwise_Weight_Assessment_Ratio_Analysis_SWARA_method_for_improving_criteria_prioritization_process/links/5ab6351ca6fdcc46d3b41d6f/An-extended-Stepwise-Weight-Assessment-Ratio-Analysis-SWARA-method-for-improving-criteria-prioritization-process.pdf</w:t>
        </w:r>
      </w:hyperlink>
    </w:p>
    <w:p w14:paraId="468EA82E" w14:textId="77777777" w:rsidR="007044F8" w:rsidRPr="00DF09FB" w:rsidRDefault="007044F8" w:rsidP="008B334D">
      <w:pPr>
        <w:rPr>
          <w:szCs w:val="24"/>
          <w:shd w:val="clear" w:color="auto" w:fill="FFFFFF"/>
        </w:rPr>
      </w:pPr>
      <w:proofErr w:type="spellStart"/>
      <w:r w:rsidRPr="00DF09FB">
        <w:rPr>
          <w:szCs w:val="24"/>
          <w:shd w:val="clear" w:color="auto" w:fill="FFFFFF"/>
        </w:rPr>
        <w:t>Lacalle</w:t>
      </w:r>
      <w:proofErr w:type="spellEnd"/>
      <w:r w:rsidRPr="00DF09FB">
        <w:rPr>
          <w:szCs w:val="24"/>
          <w:shd w:val="clear" w:color="auto" w:fill="FFFFFF"/>
        </w:rPr>
        <w:t>, D., 2020. The Importance of Profit and Sound Financing in Socially Responsible Investment. </w:t>
      </w:r>
      <w:r w:rsidRPr="00DF09FB">
        <w:rPr>
          <w:i/>
          <w:iCs/>
          <w:szCs w:val="24"/>
          <w:shd w:val="clear" w:color="auto" w:fill="FFFFFF"/>
        </w:rPr>
        <w:t>JBAFP</w:t>
      </w:r>
      <w:r w:rsidRPr="00DF09FB">
        <w:rPr>
          <w:szCs w:val="24"/>
          <w:shd w:val="clear" w:color="auto" w:fill="FFFFFF"/>
        </w:rPr>
        <w:t>, </w:t>
      </w:r>
      <w:r w:rsidRPr="00DF09FB">
        <w:rPr>
          <w:i/>
          <w:iCs/>
          <w:szCs w:val="24"/>
          <w:shd w:val="clear" w:color="auto" w:fill="FFFFFF"/>
        </w:rPr>
        <w:t>2</w:t>
      </w:r>
      <w:r w:rsidRPr="00DF09FB">
        <w:rPr>
          <w:szCs w:val="24"/>
          <w:shd w:val="clear" w:color="auto" w:fill="FFFFFF"/>
        </w:rPr>
        <w:t xml:space="preserve">(2), pp.0-0. </w:t>
      </w:r>
      <w:hyperlink r:id="rId16" w:history="1">
        <w:r w:rsidRPr="00DF09FB">
          <w:rPr>
            <w:rStyle w:val="Hyperlink"/>
            <w:rFonts w:cs="Arial"/>
            <w:color w:val="auto"/>
            <w:szCs w:val="24"/>
            <w:shd w:val="clear" w:color="auto" w:fill="FFFFFF"/>
          </w:rPr>
          <w:t>https://pdfs.semanticscholar.org/01c7/2a037ac46709f1520cb35cff129a5f7d1022.pdf</w:t>
        </w:r>
      </w:hyperlink>
    </w:p>
    <w:p w14:paraId="69D6D04A" w14:textId="77777777" w:rsidR="007044F8" w:rsidRPr="00DF09FB" w:rsidRDefault="007044F8" w:rsidP="00143B0B">
      <w:pPr>
        <w:rPr>
          <w:szCs w:val="24"/>
          <w:shd w:val="clear" w:color="auto" w:fill="FFFFFF"/>
        </w:rPr>
      </w:pPr>
      <w:proofErr w:type="spellStart"/>
      <w:r w:rsidRPr="00DF09FB">
        <w:rPr>
          <w:szCs w:val="24"/>
          <w:shd w:val="clear" w:color="auto" w:fill="FFFFFF"/>
        </w:rPr>
        <w:lastRenderedPageBreak/>
        <w:t>Meresa</w:t>
      </w:r>
      <w:proofErr w:type="spellEnd"/>
      <w:r w:rsidRPr="00DF09FB">
        <w:rPr>
          <w:szCs w:val="24"/>
          <w:shd w:val="clear" w:color="auto" w:fill="FFFFFF"/>
        </w:rPr>
        <w:t xml:space="preserve">, M., 2019. The Effect of Strategic Management Practices on the institutional Performance; the case of </w:t>
      </w:r>
      <w:proofErr w:type="spellStart"/>
      <w:r w:rsidRPr="00DF09FB">
        <w:rPr>
          <w:szCs w:val="24"/>
          <w:shd w:val="clear" w:color="auto" w:fill="FFFFFF"/>
        </w:rPr>
        <w:t>Dedebit</w:t>
      </w:r>
      <w:proofErr w:type="spellEnd"/>
      <w:r w:rsidRPr="00DF09FB">
        <w:rPr>
          <w:szCs w:val="24"/>
          <w:shd w:val="clear" w:color="auto" w:fill="FFFFFF"/>
        </w:rPr>
        <w:t xml:space="preserve"> credit and saving institution in Eastern Tigray. </w:t>
      </w:r>
      <w:hyperlink r:id="rId17" w:history="1">
        <w:r w:rsidRPr="00DF09FB">
          <w:rPr>
            <w:rStyle w:val="Hyperlink"/>
            <w:rFonts w:cs="Arial"/>
            <w:color w:val="auto"/>
            <w:szCs w:val="24"/>
            <w:shd w:val="clear" w:color="auto" w:fill="FFFFFF"/>
          </w:rPr>
          <w:t>https://essuir.sumdu.edu.ua/bitstream-download/123456789/75675/1/Meresa_The_Effect_of_Strategic.pdf;jsessionid=D335714EAAA1774D82B52E8665F7C499</w:t>
        </w:r>
      </w:hyperlink>
    </w:p>
    <w:p w14:paraId="71019014" w14:textId="77777777" w:rsidR="007044F8" w:rsidRPr="00DF09FB" w:rsidRDefault="007044F8" w:rsidP="008B334D">
      <w:pPr>
        <w:rPr>
          <w:szCs w:val="24"/>
          <w:shd w:val="clear" w:color="auto" w:fill="FFFFFF"/>
        </w:rPr>
      </w:pPr>
      <w:r w:rsidRPr="00DF09FB">
        <w:rPr>
          <w:szCs w:val="24"/>
          <w:shd w:val="clear" w:color="auto" w:fill="FFFFFF"/>
        </w:rPr>
        <w:t xml:space="preserve">Mosley, M., 2021. The importance of being earners: Modelling the implications of changes to welfare contributions on macroeconomic recovery. </w:t>
      </w:r>
      <w:hyperlink r:id="rId18" w:history="1">
        <w:r w:rsidRPr="00DF09FB">
          <w:rPr>
            <w:rStyle w:val="Hyperlink"/>
            <w:rFonts w:cs="Arial"/>
            <w:color w:val="auto"/>
            <w:szCs w:val="24"/>
            <w:shd w:val="clear" w:color="auto" w:fill="FFFFFF"/>
          </w:rPr>
          <w:t>https://mpra.ub.uni-muenchen.de/108620/1/MPRA_paper_108620.pdf</w:t>
        </w:r>
      </w:hyperlink>
    </w:p>
    <w:p w14:paraId="6401505D" w14:textId="77777777" w:rsidR="007044F8" w:rsidRPr="00DF09FB" w:rsidRDefault="007044F8" w:rsidP="00143B0B">
      <w:pPr>
        <w:rPr>
          <w:szCs w:val="24"/>
          <w:shd w:val="clear" w:color="auto" w:fill="FFFFFF"/>
        </w:rPr>
      </w:pPr>
      <w:r w:rsidRPr="00DF09FB">
        <w:rPr>
          <w:szCs w:val="24"/>
          <w:shd w:val="clear" w:color="auto" w:fill="FFFFFF"/>
        </w:rPr>
        <w:t xml:space="preserve">Newlands, G., Lutz, C. and </w:t>
      </w:r>
      <w:proofErr w:type="spellStart"/>
      <w:r w:rsidRPr="00DF09FB">
        <w:rPr>
          <w:szCs w:val="24"/>
          <w:shd w:val="clear" w:color="auto" w:fill="FFFFFF"/>
        </w:rPr>
        <w:t>Fieseler</w:t>
      </w:r>
      <w:proofErr w:type="spellEnd"/>
      <w:r w:rsidRPr="00DF09FB">
        <w:rPr>
          <w:szCs w:val="24"/>
          <w:shd w:val="clear" w:color="auto" w:fill="FFFFFF"/>
        </w:rPr>
        <w:t>, C., 2019. The conditioning function of rating mechanisms for consumers in the sharing economy. </w:t>
      </w:r>
      <w:r w:rsidRPr="00DF09FB">
        <w:rPr>
          <w:i/>
          <w:iCs/>
          <w:szCs w:val="24"/>
          <w:shd w:val="clear" w:color="auto" w:fill="FFFFFF"/>
        </w:rPr>
        <w:t>Internet Research</w:t>
      </w:r>
      <w:r w:rsidRPr="00DF09FB">
        <w:rPr>
          <w:szCs w:val="24"/>
          <w:shd w:val="clear" w:color="auto" w:fill="FFFFFF"/>
        </w:rPr>
        <w:t xml:space="preserve">. </w:t>
      </w:r>
      <w:hyperlink r:id="rId19" w:history="1">
        <w:r w:rsidRPr="00DF09FB">
          <w:rPr>
            <w:rStyle w:val="Hyperlink"/>
            <w:rFonts w:cs="Arial"/>
            <w:color w:val="auto"/>
            <w:szCs w:val="24"/>
            <w:shd w:val="clear" w:color="auto" w:fill="FFFFFF"/>
          </w:rPr>
          <w:t>https://biopen.bi.no/bi-xmlui/bitstream/handle/11250/2602833/Internet+Research+Revision+final+post+acceptance.pdf?sequence=4</w:t>
        </w:r>
      </w:hyperlink>
    </w:p>
    <w:p w14:paraId="2174FECA" w14:textId="77777777" w:rsidR="007044F8" w:rsidRPr="00DF09FB" w:rsidRDefault="007044F8" w:rsidP="00F33858">
      <w:pPr>
        <w:rPr>
          <w:szCs w:val="24"/>
          <w:shd w:val="clear" w:color="auto" w:fill="FFFFFF"/>
        </w:rPr>
      </w:pPr>
      <w:proofErr w:type="spellStart"/>
      <w:r w:rsidRPr="00DF09FB">
        <w:rPr>
          <w:szCs w:val="24"/>
          <w:shd w:val="clear" w:color="auto" w:fill="FFFFFF"/>
        </w:rPr>
        <w:t>Nicolini</w:t>
      </w:r>
      <w:proofErr w:type="spellEnd"/>
      <w:r w:rsidRPr="00DF09FB">
        <w:rPr>
          <w:szCs w:val="24"/>
          <w:shd w:val="clear" w:color="auto" w:fill="FFFFFF"/>
        </w:rPr>
        <w:t>, A., Ferrari, P. and Carpi, A., 2019. Limiting research on molecular targeted therapies in advanced solid cancers: beyond a cost–effectiveness ratio analysis. </w:t>
      </w:r>
      <w:r w:rsidRPr="00DF09FB">
        <w:rPr>
          <w:i/>
          <w:iCs/>
          <w:szCs w:val="24"/>
          <w:shd w:val="clear" w:color="auto" w:fill="FFFFFF"/>
        </w:rPr>
        <w:t>Biomarkers in Medicine</w:t>
      </w:r>
      <w:r w:rsidRPr="00DF09FB">
        <w:rPr>
          <w:szCs w:val="24"/>
          <w:shd w:val="clear" w:color="auto" w:fill="FFFFFF"/>
        </w:rPr>
        <w:t>, </w:t>
      </w:r>
      <w:r w:rsidRPr="00DF09FB">
        <w:rPr>
          <w:i/>
          <w:iCs/>
          <w:szCs w:val="24"/>
          <w:shd w:val="clear" w:color="auto" w:fill="FFFFFF"/>
        </w:rPr>
        <w:t>13</w:t>
      </w:r>
      <w:r w:rsidRPr="00DF09FB">
        <w:rPr>
          <w:szCs w:val="24"/>
          <w:shd w:val="clear" w:color="auto" w:fill="FFFFFF"/>
        </w:rPr>
        <w:t xml:space="preserve">(11), pp.887-890. </w:t>
      </w:r>
      <w:hyperlink r:id="rId20" w:history="1">
        <w:r w:rsidRPr="00DF09FB">
          <w:rPr>
            <w:rStyle w:val="Hyperlink"/>
            <w:rFonts w:cs="Arial"/>
            <w:color w:val="auto"/>
            <w:szCs w:val="24"/>
            <w:shd w:val="clear" w:color="auto" w:fill="FFFFFF"/>
          </w:rPr>
          <w:t>https://www.futuremedicine.com/doi/full/10.2217/bmm-2019-0216</w:t>
        </w:r>
      </w:hyperlink>
    </w:p>
    <w:p w14:paraId="205F60A7" w14:textId="77777777" w:rsidR="007044F8" w:rsidRPr="00DF09FB" w:rsidRDefault="007044F8" w:rsidP="00D06169">
      <w:pPr>
        <w:rPr>
          <w:szCs w:val="24"/>
        </w:rPr>
      </w:pPr>
      <w:r w:rsidRPr="00DF09FB">
        <w:rPr>
          <w:szCs w:val="24"/>
        </w:rPr>
        <w:t xml:space="preserve">Palepu, K.G., Healy, P.M., Wright, S., Bradbury, M. and </w:t>
      </w:r>
      <w:proofErr w:type="spellStart"/>
      <w:r w:rsidRPr="00DF09FB">
        <w:rPr>
          <w:szCs w:val="24"/>
        </w:rPr>
        <w:t>Coulton</w:t>
      </w:r>
      <w:proofErr w:type="spellEnd"/>
      <w:r w:rsidRPr="00DF09FB">
        <w:rPr>
          <w:szCs w:val="24"/>
        </w:rPr>
        <w:t xml:space="preserve">, J., 2020. Business analysis and valuation: Using financial statements. </w:t>
      </w:r>
      <w:r w:rsidRPr="00DF09FB">
        <w:rPr>
          <w:i/>
          <w:szCs w:val="24"/>
        </w:rPr>
        <w:t>Cengage AU</w:t>
      </w:r>
      <w:r w:rsidRPr="00DF09FB">
        <w:rPr>
          <w:szCs w:val="24"/>
        </w:rPr>
        <w:t>.</w:t>
      </w:r>
    </w:p>
    <w:p w14:paraId="060BB546" w14:textId="77777777" w:rsidR="007044F8" w:rsidRPr="00DF09FB" w:rsidRDefault="007044F8" w:rsidP="00143B0B">
      <w:pPr>
        <w:rPr>
          <w:szCs w:val="24"/>
          <w:shd w:val="clear" w:color="auto" w:fill="FFFFFF"/>
        </w:rPr>
      </w:pPr>
      <w:proofErr w:type="spellStart"/>
      <w:r w:rsidRPr="00DF09FB">
        <w:rPr>
          <w:szCs w:val="24"/>
          <w:shd w:val="clear" w:color="auto" w:fill="FFFFFF"/>
        </w:rPr>
        <w:t>Paraskevas</w:t>
      </w:r>
      <w:proofErr w:type="spellEnd"/>
      <w:r w:rsidRPr="00DF09FB">
        <w:rPr>
          <w:szCs w:val="24"/>
          <w:shd w:val="clear" w:color="auto" w:fill="FFFFFF"/>
        </w:rPr>
        <w:t>, A. and Quek, M., 2019. When Castro seized the Hilton: Risk and crisis management lessons from the past. </w:t>
      </w:r>
      <w:r w:rsidRPr="00DF09FB">
        <w:rPr>
          <w:i/>
          <w:iCs/>
          <w:szCs w:val="24"/>
          <w:shd w:val="clear" w:color="auto" w:fill="FFFFFF"/>
        </w:rPr>
        <w:t>Tourism Management</w:t>
      </w:r>
      <w:r w:rsidRPr="00DF09FB">
        <w:rPr>
          <w:szCs w:val="24"/>
          <w:shd w:val="clear" w:color="auto" w:fill="FFFFFF"/>
        </w:rPr>
        <w:t>, </w:t>
      </w:r>
      <w:r w:rsidRPr="00DF09FB">
        <w:rPr>
          <w:i/>
          <w:iCs/>
          <w:szCs w:val="24"/>
          <w:shd w:val="clear" w:color="auto" w:fill="FFFFFF"/>
        </w:rPr>
        <w:t>70</w:t>
      </w:r>
      <w:r w:rsidRPr="00DF09FB">
        <w:rPr>
          <w:szCs w:val="24"/>
          <w:shd w:val="clear" w:color="auto" w:fill="FFFFFF"/>
        </w:rPr>
        <w:t xml:space="preserve">, pp.419-429. </w:t>
      </w:r>
      <w:hyperlink r:id="rId21" w:history="1">
        <w:r w:rsidRPr="00DF09FB">
          <w:rPr>
            <w:rStyle w:val="Hyperlink"/>
            <w:rFonts w:cs="Arial"/>
            <w:color w:val="auto"/>
            <w:szCs w:val="24"/>
            <w:shd w:val="clear" w:color="auto" w:fill="FFFFFF"/>
          </w:rPr>
          <w:t>http://repository.uwl.ac.uk/id/eprint/5493/1/Manuscript%20R1.docx</w:t>
        </w:r>
      </w:hyperlink>
    </w:p>
    <w:p w14:paraId="0A35E04D" w14:textId="77777777" w:rsidR="007044F8" w:rsidRPr="00DF09FB" w:rsidRDefault="007044F8" w:rsidP="000C70AF">
      <w:pPr>
        <w:rPr>
          <w:szCs w:val="24"/>
        </w:rPr>
      </w:pPr>
      <w:r w:rsidRPr="00DF09FB">
        <w:rPr>
          <w:szCs w:val="24"/>
        </w:rPr>
        <w:t xml:space="preserve">Salman, A. and Nawaz, H., 2018. Islamic financial system and conventional banking: A comparison. </w:t>
      </w:r>
      <w:r w:rsidRPr="00DF09FB">
        <w:rPr>
          <w:i/>
          <w:szCs w:val="24"/>
        </w:rPr>
        <w:t>Arab economic and business journal</w:t>
      </w:r>
      <w:r w:rsidRPr="00DF09FB">
        <w:rPr>
          <w:szCs w:val="24"/>
        </w:rPr>
        <w:t xml:space="preserve">, 13(2), pp.155-167. </w:t>
      </w:r>
      <w:hyperlink r:id="rId22" w:history="1">
        <w:r w:rsidRPr="00DF09FB">
          <w:rPr>
            <w:rStyle w:val="Hyperlink"/>
            <w:color w:val="auto"/>
            <w:szCs w:val="24"/>
          </w:rPr>
          <w:t>https://doi.org/10.1016/j.aebj.2018.09.003</w:t>
        </w:r>
      </w:hyperlink>
    </w:p>
    <w:p w14:paraId="4FEAA158" w14:textId="77777777" w:rsidR="00332B22" w:rsidRDefault="00332B22">
      <w:pPr>
        <w:spacing w:line="259" w:lineRule="auto"/>
        <w:jc w:val="left"/>
        <w:rPr>
          <w:b/>
          <w:sz w:val="26"/>
        </w:rPr>
      </w:pPr>
      <w:r>
        <w:br w:type="page"/>
      </w:r>
    </w:p>
    <w:p w14:paraId="773C8FB9" w14:textId="77777777" w:rsidR="004573D2" w:rsidRPr="00DF09FB" w:rsidRDefault="00332B22" w:rsidP="00DF09FB">
      <w:pPr>
        <w:pStyle w:val="Heading1"/>
        <w:spacing w:line="360" w:lineRule="auto"/>
        <w:rPr>
          <w:rFonts w:cs="Arial"/>
          <w:sz w:val="24"/>
          <w:szCs w:val="24"/>
        </w:rPr>
      </w:pPr>
      <w:bookmarkStart w:id="13" w:name="_Toc104065673"/>
      <w:r w:rsidRPr="00DF09FB">
        <w:rPr>
          <w:rFonts w:cs="Arial"/>
          <w:sz w:val="24"/>
          <w:szCs w:val="24"/>
        </w:rPr>
        <w:lastRenderedPageBreak/>
        <w:t>Appendix</w:t>
      </w:r>
      <w:bookmarkEnd w:id="13"/>
    </w:p>
    <w:p w14:paraId="6962957B" w14:textId="77777777" w:rsidR="00B56B58" w:rsidRPr="00DF09FB" w:rsidRDefault="00B56B58" w:rsidP="00DF09FB">
      <w:pPr>
        <w:pStyle w:val="Heading2"/>
        <w:spacing w:line="360" w:lineRule="auto"/>
        <w:rPr>
          <w:rFonts w:cs="Arial"/>
          <w:szCs w:val="24"/>
        </w:rPr>
      </w:pPr>
      <w:bookmarkStart w:id="14" w:name="_Toc104065674"/>
      <w:r w:rsidRPr="00DF09FB">
        <w:rPr>
          <w:rFonts w:cs="Arial"/>
          <w:szCs w:val="24"/>
        </w:rPr>
        <w:t>Income statement 2019 &amp; 2020</w:t>
      </w:r>
      <w:bookmarkEnd w:id="14"/>
    </w:p>
    <w:p w14:paraId="060D7178" w14:textId="77777777" w:rsidR="00B56B58" w:rsidRPr="00DF09FB" w:rsidRDefault="00B56B58" w:rsidP="00DF09FB">
      <w:pPr>
        <w:pStyle w:val="Heading3"/>
        <w:spacing w:line="360" w:lineRule="auto"/>
        <w:rPr>
          <w:rFonts w:cs="Arial"/>
          <w:sz w:val="24"/>
          <w:szCs w:val="24"/>
        </w:rPr>
      </w:pPr>
      <w:bookmarkStart w:id="15" w:name="_Toc104065675"/>
      <w:r w:rsidRPr="00DF09FB">
        <w:rPr>
          <w:rFonts w:cs="Arial"/>
          <w:sz w:val="24"/>
          <w:szCs w:val="24"/>
        </w:rPr>
        <w:t>Hilton Worldwide Holdings Inc. (HLT)</w:t>
      </w:r>
      <w:bookmarkEnd w:id="15"/>
    </w:p>
    <w:tbl>
      <w:tblPr>
        <w:tblW w:w="9820" w:type="dxa"/>
        <w:tblLook w:val="04A0" w:firstRow="1" w:lastRow="0" w:firstColumn="1" w:lastColumn="0" w:noHBand="0" w:noVBand="1"/>
      </w:tblPr>
      <w:tblGrid>
        <w:gridCol w:w="3200"/>
        <w:gridCol w:w="1600"/>
        <w:gridCol w:w="2140"/>
        <w:gridCol w:w="1420"/>
        <w:gridCol w:w="1460"/>
      </w:tblGrid>
      <w:tr w:rsidR="00B56B58" w:rsidRPr="00DF09FB" w14:paraId="16A19A7D" w14:textId="77777777" w:rsidTr="00E35D5E">
        <w:trPr>
          <w:trHeight w:val="288"/>
        </w:trPr>
        <w:tc>
          <w:tcPr>
            <w:tcW w:w="3200" w:type="dxa"/>
            <w:tcBorders>
              <w:top w:val="nil"/>
              <w:left w:val="nil"/>
              <w:bottom w:val="nil"/>
              <w:right w:val="nil"/>
            </w:tcBorders>
            <w:shd w:val="clear" w:color="auto" w:fill="auto"/>
            <w:noWrap/>
            <w:vAlign w:val="bottom"/>
            <w:hideMark/>
          </w:tcPr>
          <w:p w14:paraId="4CC6BDA4" w14:textId="77777777" w:rsidR="00B56B58" w:rsidRPr="00DF09FB" w:rsidRDefault="00B56B58" w:rsidP="00DF09FB">
            <w:pPr>
              <w:rPr>
                <w:rFonts w:cs="Arial"/>
                <w:szCs w:val="24"/>
              </w:rPr>
            </w:pPr>
          </w:p>
        </w:tc>
        <w:tc>
          <w:tcPr>
            <w:tcW w:w="1600" w:type="dxa"/>
            <w:tcBorders>
              <w:top w:val="nil"/>
              <w:left w:val="nil"/>
              <w:bottom w:val="nil"/>
              <w:right w:val="nil"/>
            </w:tcBorders>
            <w:shd w:val="clear" w:color="auto" w:fill="auto"/>
            <w:noWrap/>
            <w:vAlign w:val="bottom"/>
            <w:hideMark/>
          </w:tcPr>
          <w:p w14:paraId="7F662D7E" w14:textId="77777777" w:rsidR="00B56B58" w:rsidRPr="00DF09FB" w:rsidRDefault="00B56B58" w:rsidP="00DF09FB">
            <w:pPr>
              <w:jc w:val="right"/>
              <w:rPr>
                <w:rFonts w:cs="Arial"/>
                <w:color w:val="000000"/>
                <w:szCs w:val="24"/>
              </w:rPr>
            </w:pPr>
            <w:r w:rsidRPr="00DF09FB">
              <w:rPr>
                <w:rFonts w:cs="Arial"/>
                <w:color w:val="000000"/>
                <w:szCs w:val="24"/>
              </w:rPr>
              <w:t>2020</w:t>
            </w:r>
          </w:p>
        </w:tc>
        <w:tc>
          <w:tcPr>
            <w:tcW w:w="2140" w:type="dxa"/>
            <w:tcBorders>
              <w:top w:val="nil"/>
              <w:left w:val="nil"/>
              <w:bottom w:val="nil"/>
              <w:right w:val="nil"/>
            </w:tcBorders>
            <w:shd w:val="clear" w:color="auto" w:fill="auto"/>
            <w:noWrap/>
            <w:vAlign w:val="bottom"/>
            <w:hideMark/>
          </w:tcPr>
          <w:p w14:paraId="0DEC30B7" w14:textId="77777777" w:rsidR="00B56B58" w:rsidRPr="00DF09FB" w:rsidRDefault="00B56B58" w:rsidP="00DF09FB">
            <w:pPr>
              <w:jc w:val="right"/>
              <w:rPr>
                <w:rFonts w:cs="Arial"/>
                <w:color w:val="000000"/>
                <w:szCs w:val="24"/>
              </w:rPr>
            </w:pPr>
            <w:r w:rsidRPr="00DF09FB">
              <w:rPr>
                <w:rFonts w:cs="Arial"/>
                <w:color w:val="000000"/>
                <w:szCs w:val="24"/>
              </w:rPr>
              <w:t>2019</w:t>
            </w:r>
          </w:p>
        </w:tc>
        <w:tc>
          <w:tcPr>
            <w:tcW w:w="1420" w:type="dxa"/>
            <w:tcBorders>
              <w:top w:val="nil"/>
              <w:left w:val="nil"/>
              <w:bottom w:val="nil"/>
              <w:right w:val="nil"/>
            </w:tcBorders>
            <w:shd w:val="clear" w:color="auto" w:fill="auto"/>
            <w:noWrap/>
            <w:vAlign w:val="bottom"/>
            <w:hideMark/>
          </w:tcPr>
          <w:p w14:paraId="39158C5C" w14:textId="77777777" w:rsidR="00B56B58" w:rsidRPr="00DF09FB" w:rsidRDefault="00B56B58" w:rsidP="00DF09FB">
            <w:pPr>
              <w:rPr>
                <w:rFonts w:cs="Arial"/>
                <w:color w:val="000000"/>
                <w:szCs w:val="24"/>
              </w:rPr>
            </w:pPr>
            <w:r w:rsidRPr="00DF09FB">
              <w:rPr>
                <w:rFonts w:cs="Arial"/>
                <w:color w:val="000000"/>
                <w:szCs w:val="24"/>
              </w:rPr>
              <w:t>Change</w:t>
            </w:r>
          </w:p>
        </w:tc>
        <w:tc>
          <w:tcPr>
            <w:tcW w:w="1460" w:type="dxa"/>
            <w:tcBorders>
              <w:top w:val="nil"/>
              <w:left w:val="nil"/>
              <w:bottom w:val="nil"/>
              <w:right w:val="nil"/>
            </w:tcBorders>
            <w:shd w:val="clear" w:color="auto" w:fill="auto"/>
            <w:noWrap/>
            <w:vAlign w:val="bottom"/>
            <w:hideMark/>
          </w:tcPr>
          <w:p w14:paraId="0AB681E3" w14:textId="77777777" w:rsidR="00B56B58" w:rsidRPr="00DF09FB" w:rsidRDefault="00B56B58" w:rsidP="00DF09FB">
            <w:pPr>
              <w:rPr>
                <w:rFonts w:cs="Arial"/>
                <w:color w:val="000000"/>
                <w:szCs w:val="24"/>
              </w:rPr>
            </w:pPr>
            <w:r w:rsidRPr="00DF09FB">
              <w:rPr>
                <w:rFonts w:cs="Arial"/>
                <w:color w:val="000000"/>
                <w:szCs w:val="24"/>
              </w:rPr>
              <w:t>% Change</w:t>
            </w:r>
          </w:p>
        </w:tc>
      </w:tr>
      <w:tr w:rsidR="00B56B58" w:rsidRPr="00DF09FB" w14:paraId="2BD2EF36" w14:textId="77777777" w:rsidTr="00E35D5E">
        <w:trPr>
          <w:trHeight w:val="288"/>
        </w:trPr>
        <w:tc>
          <w:tcPr>
            <w:tcW w:w="3200" w:type="dxa"/>
            <w:tcBorders>
              <w:top w:val="nil"/>
              <w:left w:val="nil"/>
              <w:bottom w:val="nil"/>
              <w:right w:val="nil"/>
            </w:tcBorders>
            <w:shd w:val="clear" w:color="auto" w:fill="auto"/>
            <w:noWrap/>
            <w:vAlign w:val="bottom"/>
            <w:hideMark/>
          </w:tcPr>
          <w:p w14:paraId="50B069A7" w14:textId="77777777" w:rsidR="00B56B58" w:rsidRPr="00DF09FB" w:rsidRDefault="00B56B58" w:rsidP="00DF09FB">
            <w:pPr>
              <w:rPr>
                <w:rFonts w:cs="Arial"/>
                <w:color w:val="000000"/>
                <w:szCs w:val="24"/>
              </w:rPr>
            </w:pPr>
            <w:r w:rsidRPr="00DF09FB">
              <w:rPr>
                <w:rFonts w:cs="Arial"/>
                <w:color w:val="000000"/>
                <w:szCs w:val="24"/>
              </w:rPr>
              <w:t>Fiscal Year Ends</w:t>
            </w:r>
          </w:p>
        </w:tc>
        <w:tc>
          <w:tcPr>
            <w:tcW w:w="1600" w:type="dxa"/>
            <w:tcBorders>
              <w:top w:val="nil"/>
              <w:left w:val="nil"/>
              <w:bottom w:val="nil"/>
              <w:right w:val="nil"/>
            </w:tcBorders>
            <w:shd w:val="clear" w:color="auto" w:fill="auto"/>
            <w:noWrap/>
            <w:vAlign w:val="bottom"/>
            <w:hideMark/>
          </w:tcPr>
          <w:p w14:paraId="1AD20702" w14:textId="77777777" w:rsidR="00B56B58" w:rsidRPr="00DF09FB" w:rsidRDefault="00B56B58" w:rsidP="00DF09FB">
            <w:pPr>
              <w:jc w:val="right"/>
              <w:rPr>
                <w:rFonts w:cs="Arial"/>
                <w:color w:val="000000"/>
                <w:szCs w:val="24"/>
              </w:rPr>
            </w:pPr>
            <w:r w:rsidRPr="00DF09FB">
              <w:rPr>
                <w:rFonts w:cs="Arial"/>
                <w:color w:val="000000"/>
                <w:szCs w:val="24"/>
              </w:rPr>
              <w:t>31/12/2021</w:t>
            </w:r>
          </w:p>
        </w:tc>
        <w:tc>
          <w:tcPr>
            <w:tcW w:w="2140" w:type="dxa"/>
            <w:tcBorders>
              <w:top w:val="nil"/>
              <w:left w:val="nil"/>
              <w:bottom w:val="nil"/>
              <w:right w:val="nil"/>
            </w:tcBorders>
            <w:shd w:val="clear" w:color="auto" w:fill="auto"/>
            <w:noWrap/>
            <w:vAlign w:val="bottom"/>
            <w:hideMark/>
          </w:tcPr>
          <w:p w14:paraId="06639B51" w14:textId="77777777" w:rsidR="00B56B58" w:rsidRPr="00DF09FB" w:rsidRDefault="00B56B58" w:rsidP="00DF09FB">
            <w:pPr>
              <w:jc w:val="right"/>
              <w:rPr>
                <w:rFonts w:cs="Arial"/>
                <w:color w:val="000000"/>
                <w:szCs w:val="24"/>
              </w:rPr>
            </w:pPr>
            <w:r w:rsidRPr="00DF09FB">
              <w:rPr>
                <w:rFonts w:cs="Arial"/>
                <w:color w:val="000000"/>
                <w:szCs w:val="24"/>
              </w:rPr>
              <w:t>31/12/2020</w:t>
            </w:r>
          </w:p>
        </w:tc>
        <w:tc>
          <w:tcPr>
            <w:tcW w:w="1420" w:type="dxa"/>
            <w:tcBorders>
              <w:top w:val="nil"/>
              <w:left w:val="nil"/>
              <w:bottom w:val="nil"/>
              <w:right w:val="nil"/>
            </w:tcBorders>
            <w:shd w:val="clear" w:color="auto" w:fill="auto"/>
            <w:noWrap/>
            <w:vAlign w:val="bottom"/>
            <w:hideMark/>
          </w:tcPr>
          <w:p w14:paraId="364A1FC2"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54B12B32" w14:textId="77777777" w:rsidR="00B56B58" w:rsidRPr="00DF09FB" w:rsidRDefault="00B56B58" w:rsidP="00DF09FB">
            <w:pPr>
              <w:rPr>
                <w:rFonts w:cs="Arial"/>
                <w:szCs w:val="24"/>
              </w:rPr>
            </w:pPr>
          </w:p>
        </w:tc>
      </w:tr>
      <w:tr w:rsidR="00B56B58" w:rsidRPr="00DF09FB" w14:paraId="7CECB37D" w14:textId="77777777" w:rsidTr="00E35D5E">
        <w:trPr>
          <w:trHeight w:val="288"/>
        </w:trPr>
        <w:tc>
          <w:tcPr>
            <w:tcW w:w="3200" w:type="dxa"/>
            <w:tcBorders>
              <w:top w:val="nil"/>
              <w:left w:val="nil"/>
              <w:bottom w:val="nil"/>
              <w:right w:val="nil"/>
            </w:tcBorders>
            <w:shd w:val="clear" w:color="auto" w:fill="auto"/>
            <w:noWrap/>
            <w:vAlign w:val="bottom"/>
            <w:hideMark/>
          </w:tcPr>
          <w:p w14:paraId="562FC07C" w14:textId="77777777" w:rsidR="00B56B58" w:rsidRPr="00DF09FB" w:rsidRDefault="00B56B58" w:rsidP="00DF09FB">
            <w:pPr>
              <w:rPr>
                <w:rFonts w:cs="Arial"/>
                <w:color w:val="000000"/>
                <w:szCs w:val="24"/>
              </w:rPr>
            </w:pPr>
            <w:r w:rsidRPr="00DF09FB">
              <w:rPr>
                <w:rFonts w:cs="Arial"/>
                <w:color w:val="000000"/>
                <w:szCs w:val="24"/>
              </w:rPr>
              <w:t>Sales</w:t>
            </w:r>
          </w:p>
        </w:tc>
        <w:tc>
          <w:tcPr>
            <w:tcW w:w="1600" w:type="dxa"/>
            <w:tcBorders>
              <w:top w:val="nil"/>
              <w:left w:val="nil"/>
              <w:bottom w:val="nil"/>
              <w:right w:val="nil"/>
            </w:tcBorders>
            <w:shd w:val="clear" w:color="auto" w:fill="auto"/>
            <w:noWrap/>
            <w:vAlign w:val="bottom"/>
            <w:hideMark/>
          </w:tcPr>
          <w:p w14:paraId="00F83509" w14:textId="77777777" w:rsidR="00B56B58" w:rsidRPr="00DF09FB" w:rsidRDefault="00B56B58" w:rsidP="00DF09FB">
            <w:pPr>
              <w:jc w:val="right"/>
              <w:rPr>
                <w:rFonts w:cs="Arial"/>
                <w:color w:val="000000"/>
                <w:szCs w:val="24"/>
              </w:rPr>
            </w:pPr>
            <w:r w:rsidRPr="00DF09FB">
              <w:rPr>
                <w:rFonts w:cs="Arial"/>
                <w:color w:val="000000"/>
                <w:szCs w:val="24"/>
              </w:rPr>
              <w:t>4,307,000</w:t>
            </w:r>
          </w:p>
        </w:tc>
        <w:tc>
          <w:tcPr>
            <w:tcW w:w="2140" w:type="dxa"/>
            <w:tcBorders>
              <w:top w:val="nil"/>
              <w:left w:val="nil"/>
              <w:bottom w:val="nil"/>
              <w:right w:val="nil"/>
            </w:tcBorders>
            <w:shd w:val="clear" w:color="auto" w:fill="auto"/>
            <w:noWrap/>
            <w:vAlign w:val="bottom"/>
            <w:hideMark/>
          </w:tcPr>
          <w:p w14:paraId="4D174188" w14:textId="77777777" w:rsidR="00B56B58" w:rsidRPr="00DF09FB" w:rsidRDefault="00B56B58" w:rsidP="00DF09FB">
            <w:pPr>
              <w:jc w:val="right"/>
              <w:rPr>
                <w:rFonts w:cs="Arial"/>
                <w:color w:val="000000"/>
                <w:szCs w:val="24"/>
              </w:rPr>
            </w:pPr>
            <w:r w:rsidRPr="00DF09FB">
              <w:rPr>
                <w:rFonts w:cs="Arial"/>
                <w:color w:val="000000"/>
                <w:szCs w:val="24"/>
              </w:rPr>
              <w:t>9,452,000</w:t>
            </w:r>
          </w:p>
        </w:tc>
        <w:tc>
          <w:tcPr>
            <w:tcW w:w="1420" w:type="dxa"/>
            <w:tcBorders>
              <w:top w:val="nil"/>
              <w:left w:val="nil"/>
              <w:bottom w:val="nil"/>
              <w:right w:val="nil"/>
            </w:tcBorders>
            <w:shd w:val="clear" w:color="auto" w:fill="auto"/>
            <w:noWrap/>
            <w:vAlign w:val="bottom"/>
            <w:hideMark/>
          </w:tcPr>
          <w:p w14:paraId="1039DF25"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17323A21" w14:textId="77777777" w:rsidR="00B56B58" w:rsidRPr="00DF09FB" w:rsidRDefault="00B56B58" w:rsidP="00DF09FB">
            <w:pPr>
              <w:rPr>
                <w:rFonts w:cs="Arial"/>
                <w:szCs w:val="24"/>
              </w:rPr>
            </w:pPr>
          </w:p>
        </w:tc>
      </w:tr>
      <w:tr w:rsidR="00B56B58" w:rsidRPr="00DF09FB" w14:paraId="6429B20C" w14:textId="77777777" w:rsidTr="00E35D5E">
        <w:trPr>
          <w:trHeight w:val="288"/>
        </w:trPr>
        <w:tc>
          <w:tcPr>
            <w:tcW w:w="3200" w:type="dxa"/>
            <w:tcBorders>
              <w:top w:val="nil"/>
              <w:left w:val="nil"/>
              <w:bottom w:val="nil"/>
              <w:right w:val="nil"/>
            </w:tcBorders>
            <w:shd w:val="clear" w:color="auto" w:fill="auto"/>
            <w:noWrap/>
            <w:vAlign w:val="bottom"/>
            <w:hideMark/>
          </w:tcPr>
          <w:p w14:paraId="1FAEC8C2" w14:textId="77777777" w:rsidR="00B56B58" w:rsidRPr="00DF09FB" w:rsidRDefault="00B56B58" w:rsidP="00DF09FB">
            <w:pPr>
              <w:rPr>
                <w:rFonts w:cs="Arial"/>
                <w:color w:val="000000"/>
                <w:szCs w:val="24"/>
              </w:rPr>
            </w:pPr>
            <w:r w:rsidRPr="00DF09FB">
              <w:rPr>
                <w:rFonts w:cs="Arial"/>
                <w:color w:val="000000"/>
                <w:szCs w:val="24"/>
              </w:rPr>
              <w:t>Cost of goods sold</w:t>
            </w:r>
          </w:p>
        </w:tc>
        <w:tc>
          <w:tcPr>
            <w:tcW w:w="1600" w:type="dxa"/>
            <w:tcBorders>
              <w:top w:val="nil"/>
              <w:left w:val="nil"/>
              <w:bottom w:val="nil"/>
              <w:right w:val="nil"/>
            </w:tcBorders>
            <w:shd w:val="clear" w:color="auto" w:fill="auto"/>
            <w:noWrap/>
            <w:vAlign w:val="bottom"/>
            <w:hideMark/>
          </w:tcPr>
          <w:p w14:paraId="0F58882E" w14:textId="77777777" w:rsidR="00B56B58" w:rsidRPr="00DF09FB" w:rsidRDefault="00B56B58" w:rsidP="00DF09FB">
            <w:pPr>
              <w:jc w:val="right"/>
              <w:rPr>
                <w:rFonts w:cs="Arial"/>
                <w:color w:val="000000"/>
                <w:szCs w:val="24"/>
              </w:rPr>
            </w:pPr>
            <w:r w:rsidRPr="00DF09FB">
              <w:rPr>
                <w:rFonts w:cs="Arial"/>
                <w:color w:val="000000"/>
                <w:szCs w:val="24"/>
              </w:rPr>
              <w:t>3,724,000</w:t>
            </w:r>
          </w:p>
        </w:tc>
        <w:tc>
          <w:tcPr>
            <w:tcW w:w="2140" w:type="dxa"/>
            <w:tcBorders>
              <w:top w:val="nil"/>
              <w:left w:val="nil"/>
              <w:bottom w:val="nil"/>
              <w:right w:val="nil"/>
            </w:tcBorders>
            <w:shd w:val="clear" w:color="auto" w:fill="auto"/>
            <w:noWrap/>
            <w:vAlign w:val="bottom"/>
            <w:hideMark/>
          </w:tcPr>
          <w:p w14:paraId="526D0E0C" w14:textId="77777777" w:rsidR="00B56B58" w:rsidRPr="00DF09FB" w:rsidRDefault="00B56B58" w:rsidP="00DF09FB">
            <w:pPr>
              <w:jc w:val="right"/>
              <w:rPr>
                <w:rFonts w:cs="Arial"/>
                <w:color w:val="000000"/>
                <w:szCs w:val="24"/>
              </w:rPr>
            </w:pPr>
            <w:r w:rsidRPr="00DF09FB">
              <w:rPr>
                <w:rFonts w:cs="Arial"/>
                <w:color w:val="000000"/>
                <w:szCs w:val="24"/>
              </w:rPr>
              <w:t>7,017,000</w:t>
            </w:r>
          </w:p>
        </w:tc>
        <w:tc>
          <w:tcPr>
            <w:tcW w:w="1420" w:type="dxa"/>
            <w:tcBorders>
              <w:top w:val="nil"/>
              <w:left w:val="nil"/>
              <w:bottom w:val="nil"/>
              <w:right w:val="nil"/>
            </w:tcBorders>
            <w:shd w:val="clear" w:color="auto" w:fill="auto"/>
            <w:noWrap/>
            <w:vAlign w:val="bottom"/>
            <w:hideMark/>
          </w:tcPr>
          <w:p w14:paraId="3CC0CB2F"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4B3FA855" w14:textId="77777777" w:rsidR="00B56B58" w:rsidRPr="00DF09FB" w:rsidRDefault="00B56B58" w:rsidP="00DF09FB">
            <w:pPr>
              <w:rPr>
                <w:rFonts w:cs="Arial"/>
                <w:szCs w:val="24"/>
              </w:rPr>
            </w:pPr>
          </w:p>
        </w:tc>
      </w:tr>
      <w:tr w:rsidR="00B56B58" w:rsidRPr="00DF09FB" w14:paraId="655AB010" w14:textId="77777777" w:rsidTr="00E35D5E">
        <w:trPr>
          <w:trHeight w:val="288"/>
        </w:trPr>
        <w:tc>
          <w:tcPr>
            <w:tcW w:w="3200" w:type="dxa"/>
            <w:tcBorders>
              <w:top w:val="nil"/>
              <w:left w:val="nil"/>
              <w:bottom w:val="nil"/>
              <w:right w:val="nil"/>
            </w:tcBorders>
            <w:shd w:val="clear" w:color="auto" w:fill="auto"/>
            <w:noWrap/>
            <w:vAlign w:val="bottom"/>
            <w:hideMark/>
          </w:tcPr>
          <w:p w14:paraId="2EA06927" w14:textId="77777777" w:rsidR="00B56B58" w:rsidRPr="00DF09FB" w:rsidRDefault="00B56B58" w:rsidP="00DF09FB">
            <w:pPr>
              <w:rPr>
                <w:rFonts w:cs="Arial"/>
                <w:color w:val="000000"/>
                <w:szCs w:val="24"/>
              </w:rPr>
            </w:pPr>
            <w:r w:rsidRPr="00DF09FB">
              <w:rPr>
                <w:rFonts w:cs="Arial"/>
                <w:color w:val="000000"/>
                <w:szCs w:val="24"/>
              </w:rPr>
              <w:t>Gross profit</w:t>
            </w:r>
          </w:p>
        </w:tc>
        <w:tc>
          <w:tcPr>
            <w:tcW w:w="1600" w:type="dxa"/>
            <w:tcBorders>
              <w:top w:val="nil"/>
              <w:left w:val="nil"/>
              <w:bottom w:val="nil"/>
              <w:right w:val="nil"/>
            </w:tcBorders>
            <w:shd w:val="clear" w:color="auto" w:fill="auto"/>
            <w:noWrap/>
            <w:vAlign w:val="bottom"/>
            <w:hideMark/>
          </w:tcPr>
          <w:p w14:paraId="5AEEBB22" w14:textId="77777777" w:rsidR="00B56B58" w:rsidRPr="00DF09FB" w:rsidRDefault="00B56B58" w:rsidP="00DF09FB">
            <w:pPr>
              <w:jc w:val="right"/>
              <w:rPr>
                <w:rFonts w:cs="Arial"/>
                <w:color w:val="000000"/>
                <w:szCs w:val="24"/>
              </w:rPr>
            </w:pPr>
            <w:r w:rsidRPr="00DF09FB">
              <w:rPr>
                <w:rFonts w:cs="Arial"/>
                <w:color w:val="000000"/>
                <w:szCs w:val="24"/>
              </w:rPr>
              <w:t>583,000</w:t>
            </w:r>
          </w:p>
        </w:tc>
        <w:tc>
          <w:tcPr>
            <w:tcW w:w="2140" w:type="dxa"/>
            <w:tcBorders>
              <w:top w:val="nil"/>
              <w:left w:val="nil"/>
              <w:bottom w:val="nil"/>
              <w:right w:val="nil"/>
            </w:tcBorders>
            <w:shd w:val="clear" w:color="auto" w:fill="auto"/>
            <w:noWrap/>
            <w:vAlign w:val="bottom"/>
            <w:hideMark/>
          </w:tcPr>
          <w:p w14:paraId="138DE983" w14:textId="77777777" w:rsidR="00B56B58" w:rsidRPr="00DF09FB" w:rsidRDefault="00B56B58" w:rsidP="00DF09FB">
            <w:pPr>
              <w:jc w:val="right"/>
              <w:rPr>
                <w:rFonts w:cs="Arial"/>
                <w:color w:val="000000"/>
                <w:szCs w:val="24"/>
              </w:rPr>
            </w:pPr>
            <w:r w:rsidRPr="00DF09FB">
              <w:rPr>
                <w:rFonts w:cs="Arial"/>
                <w:color w:val="000000"/>
                <w:szCs w:val="24"/>
              </w:rPr>
              <w:t>2,435,000</w:t>
            </w:r>
          </w:p>
        </w:tc>
        <w:tc>
          <w:tcPr>
            <w:tcW w:w="1420" w:type="dxa"/>
            <w:tcBorders>
              <w:top w:val="nil"/>
              <w:left w:val="nil"/>
              <w:bottom w:val="nil"/>
              <w:right w:val="nil"/>
            </w:tcBorders>
            <w:shd w:val="clear" w:color="auto" w:fill="auto"/>
            <w:noWrap/>
            <w:vAlign w:val="bottom"/>
            <w:hideMark/>
          </w:tcPr>
          <w:p w14:paraId="4643F81E"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38927336" w14:textId="77777777" w:rsidR="00B56B58" w:rsidRPr="00DF09FB" w:rsidRDefault="00B56B58" w:rsidP="00DF09FB">
            <w:pPr>
              <w:rPr>
                <w:rFonts w:cs="Arial"/>
                <w:szCs w:val="24"/>
              </w:rPr>
            </w:pPr>
          </w:p>
        </w:tc>
      </w:tr>
      <w:tr w:rsidR="00B56B58" w:rsidRPr="00DF09FB" w14:paraId="7F430A5E" w14:textId="77777777" w:rsidTr="00E35D5E">
        <w:trPr>
          <w:trHeight w:val="288"/>
        </w:trPr>
        <w:tc>
          <w:tcPr>
            <w:tcW w:w="3200" w:type="dxa"/>
            <w:tcBorders>
              <w:top w:val="nil"/>
              <w:left w:val="nil"/>
              <w:bottom w:val="nil"/>
              <w:right w:val="nil"/>
            </w:tcBorders>
            <w:shd w:val="clear" w:color="auto" w:fill="auto"/>
            <w:noWrap/>
            <w:vAlign w:val="bottom"/>
            <w:hideMark/>
          </w:tcPr>
          <w:p w14:paraId="632140A9" w14:textId="77777777" w:rsidR="00B56B58" w:rsidRPr="00DF09FB" w:rsidRDefault="00B56B58" w:rsidP="00DF09FB">
            <w:pPr>
              <w:rPr>
                <w:rFonts w:cs="Arial"/>
                <w:color w:val="000000"/>
                <w:szCs w:val="24"/>
              </w:rPr>
            </w:pPr>
            <w:r w:rsidRPr="00DF09FB">
              <w:rPr>
                <w:rFonts w:cs="Arial"/>
                <w:color w:val="000000"/>
                <w:szCs w:val="24"/>
              </w:rPr>
              <w:t>Operating Expenses</w:t>
            </w:r>
          </w:p>
        </w:tc>
        <w:tc>
          <w:tcPr>
            <w:tcW w:w="1600" w:type="dxa"/>
            <w:tcBorders>
              <w:top w:val="nil"/>
              <w:left w:val="nil"/>
              <w:bottom w:val="nil"/>
              <w:right w:val="nil"/>
            </w:tcBorders>
            <w:shd w:val="clear" w:color="auto" w:fill="auto"/>
            <w:noWrap/>
            <w:vAlign w:val="bottom"/>
            <w:hideMark/>
          </w:tcPr>
          <w:p w14:paraId="0DBA6DFC" w14:textId="77777777" w:rsidR="00B56B58" w:rsidRPr="00DF09FB" w:rsidRDefault="00B56B58" w:rsidP="00DF09FB">
            <w:pPr>
              <w:jc w:val="right"/>
              <w:rPr>
                <w:rFonts w:cs="Arial"/>
                <w:color w:val="000000"/>
                <w:szCs w:val="24"/>
              </w:rPr>
            </w:pPr>
            <w:r w:rsidRPr="00DF09FB">
              <w:rPr>
                <w:rFonts w:cs="Arial"/>
                <w:color w:val="000000"/>
                <w:szCs w:val="24"/>
              </w:rPr>
              <w:t>702,000</w:t>
            </w:r>
          </w:p>
        </w:tc>
        <w:tc>
          <w:tcPr>
            <w:tcW w:w="2140" w:type="dxa"/>
            <w:tcBorders>
              <w:top w:val="nil"/>
              <w:left w:val="nil"/>
              <w:bottom w:val="nil"/>
              <w:right w:val="nil"/>
            </w:tcBorders>
            <w:shd w:val="clear" w:color="auto" w:fill="auto"/>
            <w:noWrap/>
            <w:vAlign w:val="bottom"/>
            <w:hideMark/>
          </w:tcPr>
          <w:p w14:paraId="441A272D" w14:textId="77777777" w:rsidR="00B56B58" w:rsidRPr="00DF09FB" w:rsidRDefault="00B56B58" w:rsidP="00DF09FB">
            <w:pPr>
              <w:jc w:val="right"/>
              <w:rPr>
                <w:rFonts w:cs="Arial"/>
                <w:color w:val="000000"/>
                <w:szCs w:val="24"/>
              </w:rPr>
            </w:pPr>
            <w:r w:rsidRPr="00DF09FB">
              <w:rPr>
                <w:rFonts w:cs="Arial"/>
                <w:color w:val="000000"/>
                <w:szCs w:val="24"/>
              </w:rPr>
              <w:t>859,000</w:t>
            </w:r>
          </w:p>
        </w:tc>
        <w:tc>
          <w:tcPr>
            <w:tcW w:w="1420" w:type="dxa"/>
            <w:tcBorders>
              <w:top w:val="nil"/>
              <w:left w:val="nil"/>
              <w:bottom w:val="nil"/>
              <w:right w:val="nil"/>
            </w:tcBorders>
            <w:shd w:val="clear" w:color="auto" w:fill="auto"/>
            <w:noWrap/>
            <w:vAlign w:val="bottom"/>
            <w:hideMark/>
          </w:tcPr>
          <w:p w14:paraId="3A5DBFE4"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39975FCD" w14:textId="77777777" w:rsidR="00B56B58" w:rsidRPr="00DF09FB" w:rsidRDefault="00B56B58" w:rsidP="00DF09FB">
            <w:pPr>
              <w:rPr>
                <w:rFonts w:cs="Arial"/>
                <w:szCs w:val="24"/>
              </w:rPr>
            </w:pPr>
          </w:p>
        </w:tc>
      </w:tr>
      <w:tr w:rsidR="00B56B58" w:rsidRPr="00DF09FB" w14:paraId="3B6B8682" w14:textId="77777777" w:rsidTr="00E35D5E">
        <w:trPr>
          <w:trHeight w:val="288"/>
        </w:trPr>
        <w:tc>
          <w:tcPr>
            <w:tcW w:w="3200" w:type="dxa"/>
            <w:tcBorders>
              <w:top w:val="nil"/>
              <w:left w:val="nil"/>
              <w:bottom w:val="nil"/>
              <w:right w:val="nil"/>
            </w:tcBorders>
            <w:shd w:val="clear" w:color="auto" w:fill="auto"/>
            <w:noWrap/>
            <w:vAlign w:val="bottom"/>
            <w:hideMark/>
          </w:tcPr>
          <w:p w14:paraId="49F1C29E" w14:textId="77777777" w:rsidR="00B56B58" w:rsidRPr="00DF09FB" w:rsidRDefault="00B56B58" w:rsidP="00DF09FB">
            <w:pPr>
              <w:rPr>
                <w:rFonts w:cs="Arial"/>
                <w:color w:val="000000"/>
                <w:szCs w:val="24"/>
              </w:rPr>
            </w:pPr>
            <w:r w:rsidRPr="00DF09FB">
              <w:rPr>
                <w:rFonts w:cs="Arial"/>
                <w:color w:val="000000"/>
                <w:szCs w:val="24"/>
              </w:rPr>
              <w:t>Operating income</w:t>
            </w:r>
          </w:p>
        </w:tc>
        <w:tc>
          <w:tcPr>
            <w:tcW w:w="1600" w:type="dxa"/>
            <w:tcBorders>
              <w:top w:val="nil"/>
              <w:left w:val="nil"/>
              <w:bottom w:val="nil"/>
              <w:right w:val="nil"/>
            </w:tcBorders>
            <w:shd w:val="clear" w:color="auto" w:fill="auto"/>
            <w:noWrap/>
            <w:vAlign w:val="bottom"/>
            <w:hideMark/>
          </w:tcPr>
          <w:p w14:paraId="5AC3F4A6" w14:textId="77777777" w:rsidR="00B56B58" w:rsidRPr="00DF09FB" w:rsidRDefault="00B56B58" w:rsidP="00DF09FB">
            <w:pPr>
              <w:jc w:val="right"/>
              <w:rPr>
                <w:rFonts w:cs="Arial"/>
                <w:color w:val="000000"/>
                <w:szCs w:val="24"/>
              </w:rPr>
            </w:pPr>
            <w:r w:rsidRPr="00DF09FB">
              <w:rPr>
                <w:rFonts w:cs="Arial"/>
                <w:color w:val="000000"/>
                <w:szCs w:val="24"/>
              </w:rPr>
              <w:t>-119,000</w:t>
            </w:r>
          </w:p>
        </w:tc>
        <w:tc>
          <w:tcPr>
            <w:tcW w:w="2140" w:type="dxa"/>
            <w:tcBorders>
              <w:top w:val="nil"/>
              <w:left w:val="nil"/>
              <w:bottom w:val="nil"/>
              <w:right w:val="nil"/>
            </w:tcBorders>
            <w:shd w:val="clear" w:color="auto" w:fill="auto"/>
            <w:noWrap/>
            <w:vAlign w:val="bottom"/>
            <w:hideMark/>
          </w:tcPr>
          <w:p w14:paraId="2A8D688F" w14:textId="77777777" w:rsidR="00B56B58" w:rsidRPr="00DF09FB" w:rsidRDefault="00B56B58" w:rsidP="00DF09FB">
            <w:pPr>
              <w:jc w:val="right"/>
              <w:rPr>
                <w:rFonts w:cs="Arial"/>
                <w:color w:val="000000"/>
                <w:szCs w:val="24"/>
              </w:rPr>
            </w:pPr>
            <w:r w:rsidRPr="00DF09FB">
              <w:rPr>
                <w:rFonts w:cs="Arial"/>
                <w:color w:val="000000"/>
                <w:szCs w:val="24"/>
              </w:rPr>
              <w:t>1,576,000</w:t>
            </w:r>
          </w:p>
        </w:tc>
        <w:tc>
          <w:tcPr>
            <w:tcW w:w="1420" w:type="dxa"/>
            <w:tcBorders>
              <w:top w:val="nil"/>
              <w:left w:val="nil"/>
              <w:bottom w:val="nil"/>
              <w:right w:val="nil"/>
            </w:tcBorders>
            <w:shd w:val="clear" w:color="auto" w:fill="auto"/>
            <w:noWrap/>
            <w:vAlign w:val="bottom"/>
            <w:hideMark/>
          </w:tcPr>
          <w:p w14:paraId="0DF11124"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742B47B9" w14:textId="77777777" w:rsidR="00B56B58" w:rsidRPr="00DF09FB" w:rsidRDefault="00B56B58" w:rsidP="00DF09FB">
            <w:pPr>
              <w:rPr>
                <w:rFonts w:cs="Arial"/>
                <w:szCs w:val="24"/>
              </w:rPr>
            </w:pPr>
          </w:p>
        </w:tc>
      </w:tr>
      <w:tr w:rsidR="00B56B58" w:rsidRPr="00DF09FB" w14:paraId="0A208DBC" w14:textId="77777777" w:rsidTr="00E35D5E">
        <w:trPr>
          <w:trHeight w:val="288"/>
        </w:trPr>
        <w:tc>
          <w:tcPr>
            <w:tcW w:w="3200" w:type="dxa"/>
            <w:tcBorders>
              <w:top w:val="nil"/>
              <w:left w:val="nil"/>
              <w:bottom w:val="nil"/>
              <w:right w:val="nil"/>
            </w:tcBorders>
            <w:shd w:val="clear" w:color="auto" w:fill="auto"/>
            <w:noWrap/>
            <w:vAlign w:val="bottom"/>
            <w:hideMark/>
          </w:tcPr>
          <w:p w14:paraId="2713FE46" w14:textId="77777777" w:rsidR="00B56B58" w:rsidRPr="00DF09FB" w:rsidRDefault="00B56B58" w:rsidP="00DF09FB">
            <w:pPr>
              <w:rPr>
                <w:rFonts w:cs="Arial"/>
                <w:color w:val="000000"/>
                <w:szCs w:val="24"/>
              </w:rPr>
            </w:pPr>
            <w:r w:rsidRPr="00DF09FB">
              <w:rPr>
                <w:rFonts w:cs="Arial"/>
                <w:color w:val="000000"/>
                <w:szCs w:val="24"/>
              </w:rPr>
              <w:t>Interest Expense</w:t>
            </w:r>
          </w:p>
        </w:tc>
        <w:tc>
          <w:tcPr>
            <w:tcW w:w="1600" w:type="dxa"/>
            <w:tcBorders>
              <w:top w:val="nil"/>
              <w:left w:val="nil"/>
              <w:bottom w:val="nil"/>
              <w:right w:val="nil"/>
            </w:tcBorders>
            <w:shd w:val="clear" w:color="auto" w:fill="auto"/>
            <w:noWrap/>
            <w:vAlign w:val="bottom"/>
            <w:hideMark/>
          </w:tcPr>
          <w:p w14:paraId="450E7D20" w14:textId="77777777" w:rsidR="00B56B58" w:rsidRPr="00DF09FB" w:rsidRDefault="00B56B58" w:rsidP="00DF09FB">
            <w:pPr>
              <w:jc w:val="right"/>
              <w:rPr>
                <w:rFonts w:cs="Arial"/>
                <w:color w:val="000000"/>
                <w:szCs w:val="24"/>
              </w:rPr>
            </w:pPr>
            <w:r w:rsidRPr="00DF09FB">
              <w:rPr>
                <w:rFonts w:cs="Arial"/>
                <w:color w:val="000000"/>
                <w:szCs w:val="24"/>
              </w:rPr>
              <w:t>429,000</w:t>
            </w:r>
          </w:p>
        </w:tc>
        <w:tc>
          <w:tcPr>
            <w:tcW w:w="2140" w:type="dxa"/>
            <w:tcBorders>
              <w:top w:val="nil"/>
              <w:left w:val="nil"/>
              <w:bottom w:val="nil"/>
              <w:right w:val="nil"/>
            </w:tcBorders>
            <w:shd w:val="clear" w:color="auto" w:fill="auto"/>
            <w:noWrap/>
            <w:vAlign w:val="bottom"/>
            <w:hideMark/>
          </w:tcPr>
          <w:p w14:paraId="57E30938" w14:textId="77777777" w:rsidR="00B56B58" w:rsidRPr="00DF09FB" w:rsidRDefault="00B56B58" w:rsidP="00DF09FB">
            <w:pPr>
              <w:jc w:val="right"/>
              <w:rPr>
                <w:rFonts w:cs="Arial"/>
                <w:color w:val="000000"/>
                <w:szCs w:val="24"/>
              </w:rPr>
            </w:pPr>
            <w:r w:rsidRPr="00DF09FB">
              <w:rPr>
                <w:rFonts w:cs="Arial"/>
                <w:color w:val="000000"/>
                <w:szCs w:val="24"/>
              </w:rPr>
              <w:t>414,000</w:t>
            </w:r>
          </w:p>
        </w:tc>
        <w:tc>
          <w:tcPr>
            <w:tcW w:w="1420" w:type="dxa"/>
            <w:tcBorders>
              <w:top w:val="nil"/>
              <w:left w:val="nil"/>
              <w:bottom w:val="nil"/>
              <w:right w:val="nil"/>
            </w:tcBorders>
            <w:shd w:val="clear" w:color="auto" w:fill="auto"/>
            <w:noWrap/>
            <w:vAlign w:val="bottom"/>
            <w:hideMark/>
          </w:tcPr>
          <w:p w14:paraId="3BE585F5"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6F50CEF5" w14:textId="77777777" w:rsidR="00B56B58" w:rsidRPr="00DF09FB" w:rsidRDefault="00B56B58" w:rsidP="00DF09FB">
            <w:pPr>
              <w:rPr>
                <w:rFonts w:cs="Arial"/>
                <w:szCs w:val="24"/>
              </w:rPr>
            </w:pPr>
          </w:p>
        </w:tc>
      </w:tr>
      <w:tr w:rsidR="00B56B58" w:rsidRPr="00DF09FB" w14:paraId="22A2A964" w14:textId="77777777" w:rsidTr="00E35D5E">
        <w:trPr>
          <w:trHeight w:val="288"/>
        </w:trPr>
        <w:tc>
          <w:tcPr>
            <w:tcW w:w="3200" w:type="dxa"/>
            <w:tcBorders>
              <w:top w:val="nil"/>
              <w:left w:val="nil"/>
              <w:bottom w:val="nil"/>
              <w:right w:val="nil"/>
            </w:tcBorders>
            <w:shd w:val="clear" w:color="auto" w:fill="auto"/>
            <w:noWrap/>
            <w:vAlign w:val="bottom"/>
            <w:hideMark/>
          </w:tcPr>
          <w:p w14:paraId="1DEA1B2C" w14:textId="77777777" w:rsidR="00B56B58" w:rsidRPr="00DF09FB" w:rsidRDefault="00B56B58" w:rsidP="00DF09FB">
            <w:pPr>
              <w:rPr>
                <w:rFonts w:cs="Arial"/>
                <w:color w:val="000000"/>
                <w:szCs w:val="24"/>
              </w:rPr>
            </w:pPr>
            <w:r w:rsidRPr="00DF09FB">
              <w:rPr>
                <w:rFonts w:cs="Arial"/>
                <w:color w:val="000000"/>
                <w:szCs w:val="24"/>
              </w:rPr>
              <w:t xml:space="preserve">Total Other income/ expenses net </w:t>
            </w:r>
          </w:p>
        </w:tc>
        <w:tc>
          <w:tcPr>
            <w:tcW w:w="1600" w:type="dxa"/>
            <w:tcBorders>
              <w:top w:val="nil"/>
              <w:left w:val="nil"/>
              <w:bottom w:val="nil"/>
              <w:right w:val="nil"/>
            </w:tcBorders>
            <w:shd w:val="clear" w:color="auto" w:fill="auto"/>
            <w:noWrap/>
            <w:vAlign w:val="bottom"/>
            <w:hideMark/>
          </w:tcPr>
          <w:p w14:paraId="39213177" w14:textId="77777777" w:rsidR="00B56B58" w:rsidRPr="00DF09FB" w:rsidRDefault="00B56B58" w:rsidP="00DF09FB">
            <w:pPr>
              <w:jc w:val="right"/>
              <w:rPr>
                <w:rFonts w:cs="Arial"/>
                <w:color w:val="000000"/>
                <w:szCs w:val="24"/>
              </w:rPr>
            </w:pPr>
            <w:r w:rsidRPr="00DF09FB">
              <w:rPr>
                <w:rFonts w:cs="Arial"/>
                <w:color w:val="000000"/>
                <w:szCs w:val="24"/>
              </w:rPr>
              <w:t>-376,000</w:t>
            </w:r>
          </w:p>
        </w:tc>
        <w:tc>
          <w:tcPr>
            <w:tcW w:w="2140" w:type="dxa"/>
            <w:tcBorders>
              <w:top w:val="nil"/>
              <w:left w:val="nil"/>
              <w:bottom w:val="nil"/>
              <w:right w:val="nil"/>
            </w:tcBorders>
            <w:shd w:val="clear" w:color="auto" w:fill="auto"/>
            <w:noWrap/>
            <w:vAlign w:val="bottom"/>
            <w:hideMark/>
          </w:tcPr>
          <w:p w14:paraId="49736AD6" w14:textId="77777777" w:rsidR="00B56B58" w:rsidRPr="00DF09FB" w:rsidRDefault="00B56B58" w:rsidP="00DF09FB">
            <w:pPr>
              <w:jc w:val="right"/>
              <w:rPr>
                <w:rFonts w:cs="Arial"/>
                <w:color w:val="000000"/>
                <w:szCs w:val="24"/>
              </w:rPr>
            </w:pPr>
            <w:r w:rsidRPr="00DF09FB">
              <w:rPr>
                <w:rFonts w:cs="Arial"/>
                <w:color w:val="000000"/>
                <w:szCs w:val="24"/>
              </w:rPr>
              <w:t>82,000</w:t>
            </w:r>
          </w:p>
        </w:tc>
        <w:tc>
          <w:tcPr>
            <w:tcW w:w="1420" w:type="dxa"/>
            <w:tcBorders>
              <w:top w:val="nil"/>
              <w:left w:val="nil"/>
              <w:bottom w:val="nil"/>
              <w:right w:val="nil"/>
            </w:tcBorders>
            <w:shd w:val="clear" w:color="auto" w:fill="auto"/>
            <w:noWrap/>
            <w:vAlign w:val="bottom"/>
            <w:hideMark/>
          </w:tcPr>
          <w:p w14:paraId="6BD66DF4"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1C451E28" w14:textId="77777777" w:rsidR="00B56B58" w:rsidRPr="00DF09FB" w:rsidRDefault="00B56B58" w:rsidP="00DF09FB">
            <w:pPr>
              <w:rPr>
                <w:rFonts w:cs="Arial"/>
                <w:szCs w:val="24"/>
              </w:rPr>
            </w:pPr>
          </w:p>
        </w:tc>
      </w:tr>
      <w:tr w:rsidR="00B56B58" w:rsidRPr="00DF09FB" w14:paraId="450DA446" w14:textId="77777777" w:rsidTr="00E35D5E">
        <w:trPr>
          <w:trHeight w:val="288"/>
        </w:trPr>
        <w:tc>
          <w:tcPr>
            <w:tcW w:w="3200" w:type="dxa"/>
            <w:tcBorders>
              <w:top w:val="nil"/>
              <w:left w:val="nil"/>
              <w:bottom w:val="nil"/>
              <w:right w:val="nil"/>
            </w:tcBorders>
            <w:shd w:val="clear" w:color="auto" w:fill="auto"/>
            <w:noWrap/>
            <w:vAlign w:val="bottom"/>
            <w:hideMark/>
          </w:tcPr>
          <w:p w14:paraId="55493865" w14:textId="77777777" w:rsidR="00B56B58" w:rsidRPr="00DF09FB" w:rsidRDefault="00B56B58" w:rsidP="00DF09FB">
            <w:pPr>
              <w:rPr>
                <w:rFonts w:cs="Arial"/>
                <w:color w:val="000000"/>
                <w:szCs w:val="24"/>
              </w:rPr>
            </w:pPr>
            <w:r w:rsidRPr="00DF09FB">
              <w:rPr>
                <w:rFonts w:cs="Arial"/>
                <w:color w:val="000000"/>
                <w:szCs w:val="24"/>
              </w:rPr>
              <w:t>Income before taxes</w:t>
            </w:r>
          </w:p>
        </w:tc>
        <w:tc>
          <w:tcPr>
            <w:tcW w:w="1600" w:type="dxa"/>
            <w:tcBorders>
              <w:top w:val="nil"/>
              <w:left w:val="nil"/>
              <w:bottom w:val="nil"/>
              <w:right w:val="nil"/>
            </w:tcBorders>
            <w:shd w:val="clear" w:color="auto" w:fill="auto"/>
            <w:noWrap/>
            <w:vAlign w:val="bottom"/>
            <w:hideMark/>
          </w:tcPr>
          <w:p w14:paraId="75055713" w14:textId="77777777" w:rsidR="00B56B58" w:rsidRPr="00DF09FB" w:rsidRDefault="00B56B58" w:rsidP="00DF09FB">
            <w:pPr>
              <w:jc w:val="right"/>
              <w:rPr>
                <w:rFonts w:cs="Arial"/>
                <w:color w:val="000000"/>
                <w:szCs w:val="24"/>
              </w:rPr>
            </w:pPr>
            <w:r w:rsidRPr="00DF09FB">
              <w:rPr>
                <w:rFonts w:cs="Arial"/>
                <w:color w:val="000000"/>
                <w:szCs w:val="24"/>
              </w:rPr>
              <w:t>-924,000</w:t>
            </w:r>
          </w:p>
        </w:tc>
        <w:tc>
          <w:tcPr>
            <w:tcW w:w="2140" w:type="dxa"/>
            <w:tcBorders>
              <w:top w:val="nil"/>
              <w:left w:val="nil"/>
              <w:bottom w:val="nil"/>
              <w:right w:val="nil"/>
            </w:tcBorders>
            <w:shd w:val="clear" w:color="auto" w:fill="auto"/>
            <w:noWrap/>
            <w:vAlign w:val="bottom"/>
            <w:hideMark/>
          </w:tcPr>
          <w:p w14:paraId="68EA72AE" w14:textId="77777777" w:rsidR="00B56B58" w:rsidRPr="00DF09FB" w:rsidRDefault="00B56B58" w:rsidP="00DF09FB">
            <w:pPr>
              <w:jc w:val="right"/>
              <w:rPr>
                <w:rFonts w:cs="Arial"/>
                <w:color w:val="000000"/>
                <w:szCs w:val="24"/>
              </w:rPr>
            </w:pPr>
            <w:r w:rsidRPr="00DF09FB">
              <w:rPr>
                <w:rFonts w:cs="Arial"/>
                <w:color w:val="000000"/>
                <w:szCs w:val="24"/>
              </w:rPr>
              <w:t>1,244,000</w:t>
            </w:r>
          </w:p>
        </w:tc>
        <w:tc>
          <w:tcPr>
            <w:tcW w:w="1420" w:type="dxa"/>
            <w:tcBorders>
              <w:top w:val="nil"/>
              <w:left w:val="nil"/>
              <w:bottom w:val="nil"/>
              <w:right w:val="nil"/>
            </w:tcBorders>
            <w:shd w:val="clear" w:color="auto" w:fill="auto"/>
            <w:noWrap/>
            <w:vAlign w:val="bottom"/>
            <w:hideMark/>
          </w:tcPr>
          <w:p w14:paraId="053E63F1"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458CC927" w14:textId="77777777" w:rsidR="00B56B58" w:rsidRPr="00DF09FB" w:rsidRDefault="00B56B58" w:rsidP="00DF09FB">
            <w:pPr>
              <w:rPr>
                <w:rFonts w:cs="Arial"/>
                <w:szCs w:val="24"/>
              </w:rPr>
            </w:pPr>
          </w:p>
        </w:tc>
      </w:tr>
      <w:tr w:rsidR="00B56B58" w:rsidRPr="00DF09FB" w14:paraId="08A1E0D5" w14:textId="77777777" w:rsidTr="00E35D5E">
        <w:trPr>
          <w:trHeight w:val="288"/>
        </w:trPr>
        <w:tc>
          <w:tcPr>
            <w:tcW w:w="3200" w:type="dxa"/>
            <w:tcBorders>
              <w:top w:val="nil"/>
              <w:left w:val="nil"/>
              <w:bottom w:val="nil"/>
              <w:right w:val="nil"/>
            </w:tcBorders>
            <w:shd w:val="clear" w:color="auto" w:fill="auto"/>
            <w:noWrap/>
            <w:vAlign w:val="bottom"/>
            <w:hideMark/>
          </w:tcPr>
          <w:p w14:paraId="3763F9BB" w14:textId="77777777" w:rsidR="00B56B58" w:rsidRPr="00DF09FB" w:rsidRDefault="00B56B58" w:rsidP="00DF09FB">
            <w:pPr>
              <w:rPr>
                <w:rFonts w:cs="Arial"/>
                <w:color w:val="000000"/>
                <w:szCs w:val="24"/>
              </w:rPr>
            </w:pPr>
            <w:r w:rsidRPr="00DF09FB">
              <w:rPr>
                <w:rFonts w:cs="Arial"/>
                <w:color w:val="000000"/>
                <w:szCs w:val="24"/>
              </w:rPr>
              <w:t>Net income</w:t>
            </w:r>
          </w:p>
        </w:tc>
        <w:tc>
          <w:tcPr>
            <w:tcW w:w="1600" w:type="dxa"/>
            <w:tcBorders>
              <w:top w:val="nil"/>
              <w:left w:val="nil"/>
              <w:bottom w:val="nil"/>
              <w:right w:val="nil"/>
            </w:tcBorders>
            <w:shd w:val="clear" w:color="auto" w:fill="auto"/>
            <w:noWrap/>
            <w:vAlign w:val="bottom"/>
            <w:hideMark/>
          </w:tcPr>
          <w:p w14:paraId="11704EC8" w14:textId="77777777" w:rsidR="00B56B58" w:rsidRPr="00DF09FB" w:rsidRDefault="00B56B58" w:rsidP="00DF09FB">
            <w:pPr>
              <w:jc w:val="right"/>
              <w:rPr>
                <w:rFonts w:cs="Arial"/>
                <w:color w:val="000000"/>
                <w:szCs w:val="24"/>
              </w:rPr>
            </w:pPr>
            <w:r w:rsidRPr="00DF09FB">
              <w:rPr>
                <w:rFonts w:cs="Arial"/>
                <w:color w:val="000000"/>
                <w:szCs w:val="24"/>
              </w:rPr>
              <w:t>-715,000</w:t>
            </w:r>
          </w:p>
        </w:tc>
        <w:tc>
          <w:tcPr>
            <w:tcW w:w="2140" w:type="dxa"/>
            <w:tcBorders>
              <w:top w:val="nil"/>
              <w:left w:val="nil"/>
              <w:bottom w:val="nil"/>
              <w:right w:val="nil"/>
            </w:tcBorders>
            <w:shd w:val="clear" w:color="auto" w:fill="auto"/>
            <w:noWrap/>
            <w:vAlign w:val="bottom"/>
            <w:hideMark/>
          </w:tcPr>
          <w:p w14:paraId="1C8B0BF3" w14:textId="77777777" w:rsidR="00B56B58" w:rsidRPr="00DF09FB" w:rsidRDefault="00B56B58" w:rsidP="00DF09FB">
            <w:pPr>
              <w:jc w:val="right"/>
              <w:rPr>
                <w:rFonts w:cs="Arial"/>
                <w:color w:val="000000"/>
                <w:szCs w:val="24"/>
              </w:rPr>
            </w:pPr>
            <w:r w:rsidRPr="00DF09FB">
              <w:rPr>
                <w:rFonts w:cs="Arial"/>
                <w:color w:val="000000"/>
                <w:szCs w:val="24"/>
              </w:rPr>
              <w:t>881,000</w:t>
            </w:r>
          </w:p>
        </w:tc>
        <w:tc>
          <w:tcPr>
            <w:tcW w:w="1420" w:type="dxa"/>
            <w:tcBorders>
              <w:top w:val="nil"/>
              <w:left w:val="nil"/>
              <w:bottom w:val="nil"/>
              <w:right w:val="nil"/>
            </w:tcBorders>
            <w:shd w:val="clear" w:color="auto" w:fill="auto"/>
            <w:noWrap/>
            <w:vAlign w:val="bottom"/>
            <w:hideMark/>
          </w:tcPr>
          <w:p w14:paraId="1D563316" w14:textId="77777777" w:rsidR="00B56B58" w:rsidRPr="00DF09FB" w:rsidRDefault="00B56B58" w:rsidP="00DF09FB">
            <w:pPr>
              <w:jc w:val="right"/>
              <w:rPr>
                <w:rFonts w:cs="Arial"/>
                <w:color w:val="000000"/>
                <w:szCs w:val="24"/>
              </w:rPr>
            </w:pPr>
          </w:p>
        </w:tc>
        <w:tc>
          <w:tcPr>
            <w:tcW w:w="1460" w:type="dxa"/>
            <w:tcBorders>
              <w:top w:val="nil"/>
              <w:left w:val="nil"/>
              <w:bottom w:val="nil"/>
              <w:right w:val="nil"/>
            </w:tcBorders>
            <w:shd w:val="clear" w:color="auto" w:fill="auto"/>
            <w:noWrap/>
            <w:vAlign w:val="bottom"/>
            <w:hideMark/>
          </w:tcPr>
          <w:p w14:paraId="0EF28340" w14:textId="77777777" w:rsidR="00B56B58" w:rsidRPr="00DF09FB" w:rsidRDefault="00B56B58" w:rsidP="00DF09FB">
            <w:pPr>
              <w:rPr>
                <w:rFonts w:cs="Arial"/>
                <w:szCs w:val="24"/>
              </w:rPr>
            </w:pPr>
          </w:p>
        </w:tc>
      </w:tr>
      <w:tr w:rsidR="00B56B58" w:rsidRPr="00DF09FB" w14:paraId="456B6DB5" w14:textId="77777777" w:rsidTr="00E35D5E">
        <w:trPr>
          <w:trHeight w:val="288"/>
        </w:trPr>
        <w:tc>
          <w:tcPr>
            <w:tcW w:w="3200" w:type="dxa"/>
            <w:tcBorders>
              <w:top w:val="nil"/>
              <w:left w:val="nil"/>
              <w:bottom w:val="nil"/>
              <w:right w:val="nil"/>
            </w:tcBorders>
            <w:shd w:val="clear" w:color="auto" w:fill="auto"/>
            <w:noWrap/>
            <w:vAlign w:val="bottom"/>
            <w:hideMark/>
          </w:tcPr>
          <w:p w14:paraId="453AEFCB" w14:textId="77777777" w:rsidR="00B56B58" w:rsidRPr="00DF09FB" w:rsidRDefault="00B56B58" w:rsidP="00DF09FB">
            <w:pPr>
              <w:rPr>
                <w:rFonts w:cs="Arial"/>
                <w:szCs w:val="24"/>
              </w:rPr>
            </w:pPr>
          </w:p>
        </w:tc>
        <w:tc>
          <w:tcPr>
            <w:tcW w:w="1600" w:type="dxa"/>
            <w:tcBorders>
              <w:top w:val="nil"/>
              <w:left w:val="nil"/>
              <w:bottom w:val="nil"/>
              <w:right w:val="nil"/>
            </w:tcBorders>
            <w:shd w:val="clear" w:color="auto" w:fill="auto"/>
            <w:noWrap/>
            <w:vAlign w:val="bottom"/>
            <w:hideMark/>
          </w:tcPr>
          <w:p w14:paraId="010E233B" w14:textId="77777777" w:rsidR="00B56B58" w:rsidRPr="00DF09FB" w:rsidRDefault="00B56B58" w:rsidP="00DF09FB">
            <w:pPr>
              <w:rPr>
                <w:rFonts w:cs="Arial"/>
                <w:szCs w:val="24"/>
              </w:rPr>
            </w:pPr>
          </w:p>
        </w:tc>
        <w:tc>
          <w:tcPr>
            <w:tcW w:w="2140" w:type="dxa"/>
            <w:tcBorders>
              <w:top w:val="nil"/>
              <w:left w:val="nil"/>
              <w:bottom w:val="nil"/>
              <w:right w:val="nil"/>
            </w:tcBorders>
            <w:shd w:val="clear" w:color="auto" w:fill="auto"/>
            <w:noWrap/>
            <w:vAlign w:val="bottom"/>
            <w:hideMark/>
          </w:tcPr>
          <w:p w14:paraId="166A31CD" w14:textId="77777777" w:rsidR="00B56B58" w:rsidRPr="00DF09FB" w:rsidRDefault="00B56B58" w:rsidP="00DF09FB">
            <w:pPr>
              <w:rPr>
                <w:rFonts w:cs="Arial"/>
                <w:szCs w:val="24"/>
              </w:rPr>
            </w:pPr>
          </w:p>
        </w:tc>
        <w:tc>
          <w:tcPr>
            <w:tcW w:w="1420" w:type="dxa"/>
            <w:tcBorders>
              <w:top w:val="nil"/>
              <w:left w:val="nil"/>
              <w:bottom w:val="nil"/>
              <w:right w:val="nil"/>
            </w:tcBorders>
            <w:shd w:val="clear" w:color="auto" w:fill="auto"/>
            <w:noWrap/>
            <w:vAlign w:val="bottom"/>
            <w:hideMark/>
          </w:tcPr>
          <w:p w14:paraId="03055520" w14:textId="77777777" w:rsidR="00B56B58" w:rsidRPr="00DF09FB" w:rsidRDefault="00B56B58" w:rsidP="00DF09FB">
            <w:pPr>
              <w:rPr>
                <w:rFonts w:cs="Arial"/>
                <w:szCs w:val="24"/>
              </w:rPr>
            </w:pPr>
          </w:p>
        </w:tc>
        <w:tc>
          <w:tcPr>
            <w:tcW w:w="1460" w:type="dxa"/>
            <w:tcBorders>
              <w:top w:val="nil"/>
              <w:left w:val="nil"/>
              <w:bottom w:val="nil"/>
              <w:right w:val="nil"/>
            </w:tcBorders>
            <w:shd w:val="clear" w:color="auto" w:fill="auto"/>
            <w:noWrap/>
            <w:vAlign w:val="bottom"/>
            <w:hideMark/>
          </w:tcPr>
          <w:p w14:paraId="7E9F6ED2" w14:textId="77777777" w:rsidR="00B56B58" w:rsidRPr="00DF09FB" w:rsidRDefault="00B56B58" w:rsidP="00DF09FB">
            <w:pPr>
              <w:rPr>
                <w:rFonts w:cs="Arial"/>
                <w:szCs w:val="24"/>
              </w:rPr>
            </w:pPr>
          </w:p>
        </w:tc>
      </w:tr>
    </w:tbl>
    <w:p w14:paraId="455C91D8" w14:textId="77777777" w:rsidR="00B56B58" w:rsidRPr="00DF09FB" w:rsidRDefault="00B56B58" w:rsidP="00DF09FB">
      <w:pPr>
        <w:rPr>
          <w:rFonts w:cs="Arial"/>
          <w:szCs w:val="24"/>
        </w:rPr>
      </w:pPr>
    </w:p>
    <w:p w14:paraId="0B53E430" w14:textId="77777777" w:rsidR="00B56B58" w:rsidRPr="00DF09FB" w:rsidRDefault="00B56B58" w:rsidP="00DF09FB">
      <w:pPr>
        <w:rPr>
          <w:rFonts w:cs="Arial"/>
          <w:szCs w:val="24"/>
        </w:rPr>
      </w:pPr>
    </w:p>
    <w:p w14:paraId="2C65BB50" w14:textId="77777777" w:rsidR="00B56B58" w:rsidRPr="00DF09FB" w:rsidRDefault="00B56B58" w:rsidP="00DF09FB">
      <w:pPr>
        <w:rPr>
          <w:rFonts w:cs="Arial"/>
          <w:szCs w:val="24"/>
        </w:rPr>
      </w:pPr>
    </w:p>
    <w:p w14:paraId="55CFB68A" w14:textId="77777777" w:rsidR="00B56B58" w:rsidRPr="00DF09FB" w:rsidRDefault="00B56B58" w:rsidP="00DF09FB">
      <w:pPr>
        <w:rPr>
          <w:rFonts w:cs="Arial"/>
          <w:szCs w:val="24"/>
        </w:rPr>
      </w:pPr>
    </w:p>
    <w:p w14:paraId="1C9ABB1B" w14:textId="77777777" w:rsidR="00B56B58" w:rsidRPr="00DF09FB" w:rsidRDefault="00B56B58" w:rsidP="00DF09FB">
      <w:pPr>
        <w:rPr>
          <w:rFonts w:cs="Arial"/>
          <w:szCs w:val="24"/>
        </w:rPr>
      </w:pPr>
    </w:p>
    <w:p w14:paraId="7708AEA8" w14:textId="77777777" w:rsidR="00B56B58" w:rsidRPr="00DF09FB" w:rsidRDefault="00B56B58" w:rsidP="00DF09FB">
      <w:pPr>
        <w:rPr>
          <w:rFonts w:cs="Arial"/>
          <w:szCs w:val="24"/>
        </w:rPr>
      </w:pPr>
    </w:p>
    <w:p w14:paraId="2321578C" w14:textId="77777777" w:rsidR="00B56B58" w:rsidRPr="00DF09FB" w:rsidRDefault="00B56B58" w:rsidP="00DF09FB">
      <w:pPr>
        <w:rPr>
          <w:rFonts w:cs="Arial"/>
          <w:szCs w:val="24"/>
        </w:rPr>
      </w:pPr>
    </w:p>
    <w:p w14:paraId="51285AB8" w14:textId="77777777" w:rsidR="00B56B58" w:rsidRPr="00DF09FB" w:rsidRDefault="00B56B58" w:rsidP="00DF09FB">
      <w:pPr>
        <w:pStyle w:val="Heading2"/>
        <w:spacing w:line="360" w:lineRule="auto"/>
        <w:rPr>
          <w:rFonts w:cs="Arial"/>
          <w:szCs w:val="24"/>
        </w:rPr>
      </w:pPr>
      <w:bookmarkStart w:id="16" w:name="_Toc104065676"/>
      <w:r w:rsidRPr="00DF09FB">
        <w:rPr>
          <w:rFonts w:cs="Arial"/>
          <w:szCs w:val="24"/>
        </w:rPr>
        <w:lastRenderedPageBreak/>
        <w:t>Balance Sheet 2019 &amp; 2020</w:t>
      </w:r>
      <w:bookmarkEnd w:id="16"/>
      <w:r w:rsidRPr="00DF09FB">
        <w:rPr>
          <w:rFonts w:cs="Arial"/>
          <w:szCs w:val="24"/>
        </w:rPr>
        <w:tab/>
      </w:r>
      <w:r w:rsidRPr="00DF09FB">
        <w:rPr>
          <w:rFonts w:cs="Arial"/>
          <w:szCs w:val="24"/>
        </w:rPr>
        <w:tab/>
      </w:r>
    </w:p>
    <w:p w14:paraId="142D1BEA" w14:textId="77777777" w:rsidR="00B56B58" w:rsidRPr="00DF09FB" w:rsidRDefault="00B56B58" w:rsidP="00DF09FB">
      <w:pPr>
        <w:pStyle w:val="Heading3"/>
        <w:spacing w:line="360" w:lineRule="auto"/>
        <w:rPr>
          <w:rFonts w:cs="Arial"/>
          <w:sz w:val="24"/>
          <w:szCs w:val="24"/>
        </w:rPr>
      </w:pPr>
      <w:bookmarkStart w:id="17" w:name="_Toc104065677"/>
      <w:r w:rsidRPr="00DF09FB">
        <w:rPr>
          <w:rFonts w:cs="Arial"/>
          <w:sz w:val="24"/>
          <w:szCs w:val="24"/>
        </w:rPr>
        <w:t>Hilton Worldwide Holdings Inc. (HLT)</w:t>
      </w:r>
      <w:bookmarkEnd w:id="17"/>
    </w:p>
    <w:tbl>
      <w:tblPr>
        <w:tblW w:w="8180" w:type="dxa"/>
        <w:tblLook w:val="04A0" w:firstRow="1" w:lastRow="0" w:firstColumn="1" w:lastColumn="0" w:noHBand="0" w:noVBand="1"/>
      </w:tblPr>
      <w:tblGrid>
        <w:gridCol w:w="2860"/>
        <w:gridCol w:w="1600"/>
        <w:gridCol w:w="1540"/>
        <w:gridCol w:w="1220"/>
        <w:gridCol w:w="1057"/>
      </w:tblGrid>
      <w:tr w:rsidR="00B56B58" w:rsidRPr="00DF09FB" w14:paraId="681A315C" w14:textId="77777777" w:rsidTr="00E35D5E">
        <w:trPr>
          <w:trHeight w:val="288"/>
        </w:trPr>
        <w:tc>
          <w:tcPr>
            <w:tcW w:w="2860" w:type="dxa"/>
            <w:tcBorders>
              <w:top w:val="nil"/>
              <w:left w:val="nil"/>
              <w:bottom w:val="nil"/>
              <w:right w:val="nil"/>
            </w:tcBorders>
            <w:shd w:val="clear" w:color="auto" w:fill="auto"/>
            <w:noWrap/>
            <w:vAlign w:val="bottom"/>
            <w:hideMark/>
          </w:tcPr>
          <w:p w14:paraId="21949609" w14:textId="77777777" w:rsidR="00B56B58" w:rsidRPr="00DF09FB" w:rsidRDefault="00B56B58" w:rsidP="00DF09FB">
            <w:pPr>
              <w:rPr>
                <w:rFonts w:cs="Arial"/>
                <w:szCs w:val="24"/>
              </w:rPr>
            </w:pPr>
          </w:p>
        </w:tc>
        <w:tc>
          <w:tcPr>
            <w:tcW w:w="1600" w:type="dxa"/>
            <w:tcBorders>
              <w:top w:val="nil"/>
              <w:left w:val="nil"/>
              <w:bottom w:val="nil"/>
              <w:right w:val="nil"/>
            </w:tcBorders>
            <w:shd w:val="clear" w:color="auto" w:fill="auto"/>
            <w:noWrap/>
            <w:vAlign w:val="bottom"/>
            <w:hideMark/>
          </w:tcPr>
          <w:p w14:paraId="5C4C8952" w14:textId="77777777" w:rsidR="00B56B58" w:rsidRPr="00DF09FB" w:rsidRDefault="00B56B58" w:rsidP="00DF09FB">
            <w:pPr>
              <w:jc w:val="center"/>
              <w:rPr>
                <w:rFonts w:cs="Arial"/>
                <w:color w:val="000000"/>
                <w:szCs w:val="24"/>
              </w:rPr>
            </w:pPr>
            <w:r w:rsidRPr="00DF09FB">
              <w:rPr>
                <w:rFonts w:cs="Arial"/>
                <w:color w:val="000000"/>
                <w:szCs w:val="24"/>
              </w:rPr>
              <w:t>2020</w:t>
            </w:r>
          </w:p>
        </w:tc>
        <w:tc>
          <w:tcPr>
            <w:tcW w:w="1540" w:type="dxa"/>
            <w:tcBorders>
              <w:top w:val="nil"/>
              <w:left w:val="nil"/>
              <w:bottom w:val="nil"/>
              <w:right w:val="nil"/>
            </w:tcBorders>
            <w:shd w:val="clear" w:color="auto" w:fill="auto"/>
            <w:noWrap/>
            <w:vAlign w:val="bottom"/>
            <w:hideMark/>
          </w:tcPr>
          <w:p w14:paraId="7F3CF583" w14:textId="77777777" w:rsidR="00B56B58" w:rsidRPr="00DF09FB" w:rsidRDefault="00B56B58" w:rsidP="00DF09FB">
            <w:pPr>
              <w:jc w:val="center"/>
              <w:rPr>
                <w:rFonts w:cs="Arial"/>
                <w:color w:val="000000"/>
                <w:szCs w:val="24"/>
              </w:rPr>
            </w:pPr>
            <w:r w:rsidRPr="00DF09FB">
              <w:rPr>
                <w:rFonts w:cs="Arial"/>
                <w:color w:val="000000"/>
                <w:szCs w:val="24"/>
              </w:rPr>
              <w:t>2019</w:t>
            </w:r>
          </w:p>
        </w:tc>
        <w:tc>
          <w:tcPr>
            <w:tcW w:w="1220" w:type="dxa"/>
            <w:tcBorders>
              <w:top w:val="nil"/>
              <w:left w:val="nil"/>
              <w:bottom w:val="nil"/>
              <w:right w:val="nil"/>
            </w:tcBorders>
            <w:shd w:val="clear" w:color="auto" w:fill="auto"/>
            <w:noWrap/>
            <w:vAlign w:val="bottom"/>
            <w:hideMark/>
          </w:tcPr>
          <w:p w14:paraId="60A3A3EA" w14:textId="77777777" w:rsidR="00B56B58" w:rsidRPr="00DF09FB" w:rsidRDefault="00B56B58" w:rsidP="00DF09FB">
            <w:pPr>
              <w:rPr>
                <w:rFonts w:cs="Arial"/>
                <w:color w:val="000000"/>
                <w:szCs w:val="24"/>
              </w:rPr>
            </w:pPr>
            <w:r w:rsidRPr="00DF09FB">
              <w:rPr>
                <w:rFonts w:cs="Arial"/>
                <w:color w:val="000000"/>
                <w:szCs w:val="24"/>
              </w:rPr>
              <w:t xml:space="preserve">   Change</w:t>
            </w:r>
          </w:p>
        </w:tc>
        <w:tc>
          <w:tcPr>
            <w:tcW w:w="960" w:type="dxa"/>
            <w:tcBorders>
              <w:top w:val="nil"/>
              <w:left w:val="nil"/>
              <w:bottom w:val="nil"/>
              <w:right w:val="nil"/>
            </w:tcBorders>
            <w:shd w:val="clear" w:color="auto" w:fill="auto"/>
            <w:noWrap/>
            <w:vAlign w:val="bottom"/>
            <w:hideMark/>
          </w:tcPr>
          <w:p w14:paraId="00D435A2" w14:textId="77777777" w:rsidR="00B56B58" w:rsidRPr="00DF09FB" w:rsidRDefault="00B56B58" w:rsidP="00DF09FB">
            <w:pPr>
              <w:rPr>
                <w:rFonts w:cs="Arial"/>
                <w:color w:val="000000"/>
                <w:szCs w:val="24"/>
              </w:rPr>
            </w:pPr>
            <w:r w:rsidRPr="00DF09FB">
              <w:rPr>
                <w:rFonts w:cs="Arial"/>
                <w:color w:val="000000"/>
                <w:szCs w:val="24"/>
              </w:rPr>
              <w:t>%    Change</w:t>
            </w:r>
          </w:p>
        </w:tc>
      </w:tr>
      <w:tr w:rsidR="00B56B58" w:rsidRPr="00DF09FB" w14:paraId="6D96D63B" w14:textId="77777777" w:rsidTr="00E35D5E">
        <w:trPr>
          <w:trHeight w:val="288"/>
        </w:trPr>
        <w:tc>
          <w:tcPr>
            <w:tcW w:w="2860" w:type="dxa"/>
            <w:tcBorders>
              <w:top w:val="nil"/>
              <w:left w:val="nil"/>
              <w:bottom w:val="nil"/>
              <w:right w:val="nil"/>
            </w:tcBorders>
            <w:shd w:val="clear" w:color="auto" w:fill="auto"/>
            <w:noWrap/>
            <w:vAlign w:val="bottom"/>
            <w:hideMark/>
          </w:tcPr>
          <w:p w14:paraId="4FE48863" w14:textId="77777777" w:rsidR="00B56B58" w:rsidRPr="00DF09FB" w:rsidRDefault="00B56B58" w:rsidP="00DF09FB">
            <w:pPr>
              <w:rPr>
                <w:rFonts w:cs="Arial"/>
                <w:color w:val="000000"/>
                <w:szCs w:val="24"/>
              </w:rPr>
            </w:pPr>
            <w:r w:rsidRPr="00DF09FB">
              <w:rPr>
                <w:rFonts w:cs="Arial"/>
                <w:color w:val="000000"/>
                <w:szCs w:val="24"/>
              </w:rPr>
              <w:t>Current Asset</w:t>
            </w:r>
          </w:p>
        </w:tc>
        <w:tc>
          <w:tcPr>
            <w:tcW w:w="1600" w:type="dxa"/>
            <w:tcBorders>
              <w:top w:val="nil"/>
              <w:left w:val="nil"/>
              <w:bottom w:val="nil"/>
              <w:right w:val="nil"/>
            </w:tcBorders>
            <w:shd w:val="clear" w:color="auto" w:fill="auto"/>
            <w:noWrap/>
            <w:vAlign w:val="bottom"/>
            <w:hideMark/>
          </w:tcPr>
          <w:p w14:paraId="0D512DD6" w14:textId="77777777" w:rsidR="00B56B58" w:rsidRPr="00DF09FB" w:rsidRDefault="00B56B58" w:rsidP="00DF09FB">
            <w:pPr>
              <w:jc w:val="right"/>
              <w:rPr>
                <w:rFonts w:cs="Arial"/>
                <w:color w:val="000000"/>
                <w:szCs w:val="24"/>
              </w:rPr>
            </w:pPr>
            <w:r w:rsidRPr="00DF09FB">
              <w:rPr>
                <w:rFonts w:cs="Arial"/>
                <w:color w:val="000000"/>
                <w:szCs w:val="24"/>
              </w:rPr>
              <w:t>4,202,000</w:t>
            </w:r>
          </w:p>
        </w:tc>
        <w:tc>
          <w:tcPr>
            <w:tcW w:w="1540" w:type="dxa"/>
            <w:tcBorders>
              <w:top w:val="nil"/>
              <w:left w:val="nil"/>
              <w:bottom w:val="nil"/>
              <w:right w:val="nil"/>
            </w:tcBorders>
            <w:shd w:val="clear" w:color="auto" w:fill="auto"/>
            <w:noWrap/>
            <w:vAlign w:val="bottom"/>
            <w:hideMark/>
          </w:tcPr>
          <w:p w14:paraId="7E58257C" w14:textId="77777777" w:rsidR="00B56B58" w:rsidRPr="00DF09FB" w:rsidRDefault="00B56B58" w:rsidP="00DF09FB">
            <w:pPr>
              <w:jc w:val="right"/>
              <w:rPr>
                <w:rFonts w:cs="Arial"/>
                <w:color w:val="000000"/>
                <w:szCs w:val="24"/>
              </w:rPr>
            </w:pPr>
            <w:r w:rsidRPr="00DF09FB">
              <w:rPr>
                <w:rFonts w:cs="Arial"/>
                <w:color w:val="000000"/>
                <w:szCs w:val="24"/>
              </w:rPr>
              <w:t>2,093,000</w:t>
            </w:r>
          </w:p>
        </w:tc>
        <w:tc>
          <w:tcPr>
            <w:tcW w:w="1220" w:type="dxa"/>
            <w:tcBorders>
              <w:top w:val="nil"/>
              <w:left w:val="nil"/>
              <w:bottom w:val="nil"/>
              <w:right w:val="nil"/>
            </w:tcBorders>
            <w:shd w:val="clear" w:color="auto" w:fill="auto"/>
            <w:noWrap/>
            <w:vAlign w:val="bottom"/>
            <w:hideMark/>
          </w:tcPr>
          <w:p w14:paraId="16A2EF79"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03C9BE51" w14:textId="77777777" w:rsidR="00B56B58" w:rsidRPr="00DF09FB" w:rsidRDefault="00B56B58" w:rsidP="00DF09FB">
            <w:pPr>
              <w:rPr>
                <w:rFonts w:cs="Arial"/>
                <w:szCs w:val="24"/>
              </w:rPr>
            </w:pPr>
          </w:p>
        </w:tc>
      </w:tr>
      <w:tr w:rsidR="00B56B58" w:rsidRPr="00DF09FB" w14:paraId="0777546E" w14:textId="77777777" w:rsidTr="00E35D5E">
        <w:trPr>
          <w:trHeight w:val="288"/>
        </w:trPr>
        <w:tc>
          <w:tcPr>
            <w:tcW w:w="2860" w:type="dxa"/>
            <w:tcBorders>
              <w:top w:val="nil"/>
              <w:left w:val="nil"/>
              <w:bottom w:val="nil"/>
              <w:right w:val="nil"/>
            </w:tcBorders>
            <w:shd w:val="clear" w:color="auto" w:fill="auto"/>
            <w:noWrap/>
            <w:vAlign w:val="bottom"/>
            <w:hideMark/>
          </w:tcPr>
          <w:p w14:paraId="4EA58719" w14:textId="351B34ED" w:rsidR="00B56B58" w:rsidRPr="00DF09FB" w:rsidRDefault="00DF09FB" w:rsidP="00DF09FB">
            <w:pPr>
              <w:rPr>
                <w:rFonts w:cs="Arial"/>
                <w:color w:val="000000"/>
                <w:szCs w:val="24"/>
              </w:rPr>
            </w:pPr>
            <w:r w:rsidRPr="00DF09FB">
              <w:rPr>
                <w:rFonts w:cs="Arial"/>
                <w:color w:val="000000"/>
                <w:szCs w:val="24"/>
              </w:rPr>
              <w:t>Non-Current</w:t>
            </w:r>
            <w:r w:rsidR="00B56B58" w:rsidRPr="00DF09FB">
              <w:rPr>
                <w:rFonts w:cs="Arial"/>
                <w:color w:val="000000"/>
                <w:szCs w:val="24"/>
              </w:rPr>
              <w:t xml:space="preserve"> Asset</w:t>
            </w:r>
          </w:p>
        </w:tc>
        <w:tc>
          <w:tcPr>
            <w:tcW w:w="1600" w:type="dxa"/>
            <w:tcBorders>
              <w:top w:val="nil"/>
              <w:left w:val="nil"/>
              <w:bottom w:val="nil"/>
              <w:right w:val="nil"/>
            </w:tcBorders>
            <w:shd w:val="clear" w:color="auto" w:fill="auto"/>
            <w:noWrap/>
            <w:vAlign w:val="bottom"/>
            <w:hideMark/>
          </w:tcPr>
          <w:p w14:paraId="3F3CB90D" w14:textId="77777777" w:rsidR="00B56B58" w:rsidRPr="00DF09FB" w:rsidRDefault="00B56B58" w:rsidP="00DF09FB">
            <w:pPr>
              <w:jc w:val="right"/>
              <w:rPr>
                <w:rFonts w:cs="Arial"/>
                <w:color w:val="000000"/>
                <w:szCs w:val="24"/>
              </w:rPr>
            </w:pPr>
            <w:r w:rsidRPr="00DF09FB">
              <w:rPr>
                <w:rFonts w:cs="Arial"/>
                <w:color w:val="000000"/>
                <w:szCs w:val="24"/>
              </w:rPr>
              <w:t>15,810,000</w:t>
            </w:r>
          </w:p>
        </w:tc>
        <w:tc>
          <w:tcPr>
            <w:tcW w:w="1540" w:type="dxa"/>
            <w:tcBorders>
              <w:top w:val="nil"/>
              <w:left w:val="nil"/>
              <w:bottom w:val="nil"/>
              <w:right w:val="nil"/>
            </w:tcBorders>
            <w:shd w:val="clear" w:color="auto" w:fill="auto"/>
            <w:noWrap/>
            <w:vAlign w:val="bottom"/>
            <w:hideMark/>
          </w:tcPr>
          <w:p w14:paraId="179401F0" w14:textId="77777777" w:rsidR="00B56B58" w:rsidRPr="00DF09FB" w:rsidRDefault="00B56B58" w:rsidP="00DF09FB">
            <w:pPr>
              <w:jc w:val="right"/>
              <w:rPr>
                <w:rFonts w:cs="Arial"/>
                <w:color w:val="000000"/>
                <w:szCs w:val="24"/>
              </w:rPr>
            </w:pPr>
            <w:r w:rsidRPr="00DF09FB">
              <w:rPr>
                <w:rFonts w:cs="Arial"/>
                <w:color w:val="000000"/>
                <w:szCs w:val="24"/>
              </w:rPr>
              <w:t>12,558,000</w:t>
            </w:r>
          </w:p>
        </w:tc>
        <w:tc>
          <w:tcPr>
            <w:tcW w:w="1220" w:type="dxa"/>
            <w:tcBorders>
              <w:top w:val="nil"/>
              <w:left w:val="nil"/>
              <w:bottom w:val="nil"/>
              <w:right w:val="nil"/>
            </w:tcBorders>
            <w:shd w:val="clear" w:color="auto" w:fill="auto"/>
            <w:noWrap/>
            <w:vAlign w:val="bottom"/>
            <w:hideMark/>
          </w:tcPr>
          <w:p w14:paraId="241B2257"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40012864" w14:textId="77777777" w:rsidR="00B56B58" w:rsidRPr="00DF09FB" w:rsidRDefault="00B56B58" w:rsidP="00DF09FB">
            <w:pPr>
              <w:rPr>
                <w:rFonts w:cs="Arial"/>
                <w:szCs w:val="24"/>
              </w:rPr>
            </w:pPr>
          </w:p>
        </w:tc>
      </w:tr>
      <w:tr w:rsidR="00B56B58" w:rsidRPr="00DF09FB" w14:paraId="6F586A25" w14:textId="77777777" w:rsidTr="00E35D5E">
        <w:trPr>
          <w:trHeight w:val="288"/>
        </w:trPr>
        <w:tc>
          <w:tcPr>
            <w:tcW w:w="2860" w:type="dxa"/>
            <w:tcBorders>
              <w:top w:val="nil"/>
              <w:left w:val="nil"/>
              <w:bottom w:val="nil"/>
              <w:right w:val="nil"/>
            </w:tcBorders>
            <w:shd w:val="clear" w:color="auto" w:fill="auto"/>
            <w:noWrap/>
            <w:vAlign w:val="bottom"/>
            <w:hideMark/>
          </w:tcPr>
          <w:p w14:paraId="07EEBA1C" w14:textId="77777777" w:rsidR="00B56B58" w:rsidRPr="00DF09FB" w:rsidRDefault="00B56B58" w:rsidP="00DF09FB">
            <w:pPr>
              <w:rPr>
                <w:rFonts w:cs="Arial"/>
                <w:color w:val="000000"/>
                <w:szCs w:val="24"/>
              </w:rPr>
            </w:pPr>
            <w:r w:rsidRPr="00DF09FB">
              <w:rPr>
                <w:rFonts w:cs="Arial"/>
                <w:color w:val="000000"/>
                <w:szCs w:val="24"/>
              </w:rPr>
              <w:t>Total Asset</w:t>
            </w:r>
          </w:p>
        </w:tc>
        <w:tc>
          <w:tcPr>
            <w:tcW w:w="1600" w:type="dxa"/>
            <w:tcBorders>
              <w:top w:val="nil"/>
              <w:left w:val="nil"/>
              <w:bottom w:val="nil"/>
              <w:right w:val="nil"/>
            </w:tcBorders>
            <w:shd w:val="clear" w:color="auto" w:fill="auto"/>
            <w:noWrap/>
            <w:vAlign w:val="bottom"/>
            <w:hideMark/>
          </w:tcPr>
          <w:p w14:paraId="6C6675D9" w14:textId="77777777" w:rsidR="00B56B58" w:rsidRPr="00DF09FB" w:rsidRDefault="00B56B58" w:rsidP="00DF09FB">
            <w:pPr>
              <w:jc w:val="right"/>
              <w:rPr>
                <w:rFonts w:cs="Arial"/>
                <w:color w:val="000000"/>
                <w:szCs w:val="24"/>
              </w:rPr>
            </w:pPr>
            <w:r w:rsidRPr="00DF09FB">
              <w:rPr>
                <w:rFonts w:cs="Arial"/>
                <w:color w:val="000000"/>
                <w:szCs w:val="24"/>
              </w:rPr>
              <w:t>16,755,000</w:t>
            </w:r>
          </w:p>
        </w:tc>
        <w:tc>
          <w:tcPr>
            <w:tcW w:w="1540" w:type="dxa"/>
            <w:tcBorders>
              <w:top w:val="nil"/>
              <w:left w:val="nil"/>
              <w:bottom w:val="nil"/>
              <w:right w:val="nil"/>
            </w:tcBorders>
            <w:shd w:val="clear" w:color="auto" w:fill="auto"/>
            <w:noWrap/>
            <w:vAlign w:val="bottom"/>
            <w:hideMark/>
          </w:tcPr>
          <w:p w14:paraId="31C3F015" w14:textId="77777777" w:rsidR="00B56B58" w:rsidRPr="00DF09FB" w:rsidRDefault="00B56B58" w:rsidP="00DF09FB">
            <w:pPr>
              <w:jc w:val="right"/>
              <w:rPr>
                <w:rFonts w:cs="Arial"/>
                <w:color w:val="000000"/>
                <w:szCs w:val="24"/>
              </w:rPr>
            </w:pPr>
            <w:r w:rsidRPr="00DF09FB">
              <w:rPr>
                <w:rFonts w:cs="Arial"/>
                <w:color w:val="000000"/>
                <w:szCs w:val="24"/>
              </w:rPr>
              <w:t>14,957,000</w:t>
            </w:r>
          </w:p>
        </w:tc>
        <w:tc>
          <w:tcPr>
            <w:tcW w:w="1220" w:type="dxa"/>
            <w:tcBorders>
              <w:top w:val="nil"/>
              <w:left w:val="nil"/>
              <w:bottom w:val="nil"/>
              <w:right w:val="nil"/>
            </w:tcBorders>
            <w:shd w:val="clear" w:color="auto" w:fill="auto"/>
            <w:noWrap/>
            <w:vAlign w:val="bottom"/>
            <w:hideMark/>
          </w:tcPr>
          <w:p w14:paraId="44DE1EFC"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18577CB8" w14:textId="77777777" w:rsidR="00B56B58" w:rsidRPr="00DF09FB" w:rsidRDefault="00B56B58" w:rsidP="00DF09FB">
            <w:pPr>
              <w:rPr>
                <w:rFonts w:cs="Arial"/>
                <w:szCs w:val="24"/>
              </w:rPr>
            </w:pPr>
          </w:p>
        </w:tc>
      </w:tr>
      <w:tr w:rsidR="00B56B58" w:rsidRPr="00DF09FB" w14:paraId="2B43374E" w14:textId="77777777" w:rsidTr="00E35D5E">
        <w:trPr>
          <w:trHeight w:val="288"/>
        </w:trPr>
        <w:tc>
          <w:tcPr>
            <w:tcW w:w="2860" w:type="dxa"/>
            <w:tcBorders>
              <w:top w:val="nil"/>
              <w:left w:val="nil"/>
              <w:bottom w:val="nil"/>
              <w:right w:val="nil"/>
            </w:tcBorders>
            <w:shd w:val="clear" w:color="auto" w:fill="auto"/>
            <w:noWrap/>
            <w:vAlign w:val="bottom"/>
            <w:hideMark/>
          </w:tcPr>
          <w:p w14:paraId="2DECFC56" w14:textId="77777777" w:rsidR="00B56B58" w:rsidRPr="00DF09FB" w:rsidRDefault="00B56B58" w:rsidP="00DF09FB">
            <w:pPr>
              <w:rPr>
                <w:rFonts w:cs="Arial"/>
                <w:color w:val="000000"/>
                <w:szCs w:val="24"/>
              </w:rPr>
            </w:pPr>
            <w:r w:rsidRPr="00DF09FB">
              <w:rPr>
                <w:rFonts w:cs="Arial"/>
                <w:color w:val="000000"/>
                <w:szCs w:val="24"/>
              </w:rPr>
              <w:t>Current Liabilities</w:t>
            </w:r>
          </w:p>
        </w:tc>
        <w:tc>
          <w:tcPr>
            <w:tcW w:w="1600" w:type="dxa"/>
            <w:tcBorders>
              <w:top w:val="nil"/>
              <w:left w:val="nil"/>
              <w:bottom w:val="nil"/>
              <w:right w:val="nil"/>
            </w:tcBorders>
            <w:shd w:val="clear" w:color="auto" w:fill="auto"/>
            <w:noWrap/>
            <w:vAlign w:val="bottom"/>
            <w:hideMark/>
          </w:tcPr>
          <w:p w14:paraId="7799427C" w14:textId="77777777" w:rsidR="00B56B58" w:rsidRPr="00DF09FB" w:rsidRDefault="00B56B58" w:rsidP="00DF09FB">
            <w:pPr>
              <w:jc w:val="right"/>
              <w:rPr>
                <w:rFonts w:cs="Arial"/>
                <w:color w:val="000000"/>
                <w:szCs w:val="24"/>
              </w:rPr>
            </w:pPr>
            <w:r w:rsidRPr="00DF09FB">
              <w:rPr>
                <w:rFonts w:cs="Arial"/>
                <w:color w:val="000000"/>
                <w:szCs w:val="24"/>
              </w:rPr>
              <w:t>2,431,000</w:t>
            </w:r>
          </w:p>
        </w:tc>
        <w:tc>
          <w:tcPr>
            <w:tcW w:w="1540" w:type="dxa"/>
            <w:tcBorders>
              <w:top w:val="nil"/>
              <w:left w:val="nil"/>
              <w:bottom w:val="nil"/>
              <w:right w:val="nil"/>
            </w:tcBorders>
            <w:shd w:val="clear" w:color="auto" w:fill="auto"/>
            <w:noWrap/>
            <w:vAlign w:val="bottom"/>
            <w:hideMark/>
          </w:tcPr>
          <w:p w14:paraId="4D9887AE" w14:textId="77777777" w:rsidR="00B56B58" w:rsidRPr="00DF09FB" w:rsidRDefault="00B56B58" w:rsidP="00DF09FB">
            <w:pPr>
              <w:jc w:val="right"/>
              <w:rPr>
                <w:rFonts w:cs="Arial"/>
                <w:color w:val="000000"/>
                <w:szCs w:val="24"/>
              </w:rPr>
            </w:pPr>
            <w:r w:rsidRPr="00DF09FB">
              <w:rPr>
                <w:rFonts w:cs="Arial"/>
                <w:color w:val="000000"/>
                <w:szCs w:val="24"/>
              </w:rPr>
              <w:t>2,871,000</w:t>
            </w:r>
          </w:p>
        </w:tc>
        <w:tc>
          <w:tcPr>
            <w:tcW w:w="1220" w:type="dxa"/>
            <w:tcBorders>
              <w:top w:val="nil"/>
              <w:left w:val="nil"/>
              <w:bottom w:val="nil"/>
              <w:right w:val="nil"/>
            </w:tcBorders>
            <w:shd w:val="clear" w:color="auto" w:fill="auto"/>
            <w:noWrap/>
            <w:vAlign w:val="bottom"/>
            <w:hideMark/>
          </w:tcPr>
          <w:p w14:paraId="6F9A0922"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035D3EEA" w14:textId="77777777" w:rsidR="00B56B58" w:rsidRPr="00DF09FB" w:rsidRDefault="00B56B58" w:rsidP="00DF09FB">
            <w:pPr>
              <w:rPr>
                <w:rFonts w:cs="Arial"/>
                <w:szCs w:val="24"/>
              </w:rPr>
            </w:pPr>
          </w:p>
        </w:tc>
      </w:tr>
      <w:tr w:rsidR="00B56B58" w:rsidRPr="00DF09FB" w14:paraId="7F95E6CF" w14:textId="77777777" w:rsidTr="00E35D5E">
        <w:trPr>
          <w:trHeight w:val="288"/>
        </w:trPr>
        <w:tc>
          <w:tcPr>
            <w:tcW w:w="2860" w:type="dxa"/>
            <w:tcBorders>
              <w:top w:val="nil"/>
              <w:left w:val="nil"/>
              <w:bottom w:val="nil"/>
              <w:right w:val="nil"/>
            </w:tcBorders>
            <w:shd w:val="clear" w:color="auto" w:fill="auto"/>
            <w:noWrap/>
            <w:vAlign w:val="bottom"/>
            <w:hideMark/>
          </w:tcPr>
          <w:p w14:paraId="4CAD69D3" w14:textId="6DE0C846" w:rsidR="00B56B58" w:rsidRPr="00DF09FB" w:rsidRDefault="00DF09FB" w:rsidP="00DF09FB">
            <w:pPr>
              <w:rPr>
                <w:rFonts w:cs="Arial"/>
                <w:color w:val="000000"/>
                <w:szCs w:val="24"/>
              </w:rPr>
            </w:pPr>
            <w:r w:rsidRPr="00DF09FB">
              <w:rPr>
                <w:rFonts w:cs="Arial"/>
                <w:color w:val="000000"/>
                <w:szCs w:val="24"/>
              </w:rPr>
              <w:t>Non</w:t>
            </w:r>
            <w:r>
              <w:rPr>
                <w:rFonts w:cs="Arial"/>
                <w:color w:val="000000"/>
                <w:szCs w:val="24"/>
              </w:rPr>
              <w:t>-C</w:t>
            </w:r>
            <w:r w:rsidRPr="00DF09FB">
              <w:rPr>
                <w:rFonts w:cs="Arial"/>
                <w:color w:val="000000"/>
                <w:szCs w:val="24"/>
              </w:rPr>
              <w:t>urrent</w:t>
            </w:r>
            <w:r w:rsidR="00B56B58" w:rsidRPr="00DF09FB">
              <w:rPr>
                <w:rFonts w:cs="Arial"/>
                <w:color w:val="000000"/>
                <w:szCs w:val="24"/>
              </w:rPr>
              <w:t xml:space="preserve"> Liabilities</w:t>
            </w:r>
          </w:p>
        </w:tc>
        <w:tc>
          <w:tcPr>
            <w:tcW w:w="1600" w:type="dxa"/>
            <w:tcBorders>
              <w:top w:val="nil"/>
              <w:left w:val="nil"/>
              <w:bottom w:val="nil"/>
              <w:right w:val="nil"/>
            </w:tcBorders>
            <w:shd w:val="clear" w:color="auto" w:fill="auto"/>
            <w:noWrap/>
            <w:vAlign w:val="bottom"/>
            <w:hideMark/>
          </w:tcPr>
          <w:p w14:paraId="33C1B039" w14:textId="77777777" w:rsidR="00B56B58" w:rsidRPr="00DF09FB" w:rsidRDefault="00B56B58" w:rsidP="00DF09FB">
            <w:pPr>
              <w:jc w:val="right"/>
              <w:rPr>
                <w:rFonts w:cs="Arial"/>
                <w:color w:val="000000"/>
                <w:szCs w:val="24"/>
              </w:rPr>
            </w:pPr>
            <w:r w:rsidRPr="00DF09FB">
              <w:rPr>
                <w:rFonts w:cs="Arial"/>
                <w:color w:val="000000"/>
                <w:szCs w:val="24"/>
              </w:rPr>
              <w:t>15,810,000</w:t>
            </w:r>
          </w:p>
        </w:tc>
        <w:tc>
          <w:tcPr>
            <w:tcW w:w="1540" w:type="dxa"/>
            <w:tcBorders>
              <w:top w:val="nil"/>
              <w:left w:val="nil"/>
              <w:bottom w:val="nil"/>
              <w:right w:val="nil"/>
            </w:tcBorders>
            <w:shd w:val="clear" w:color="auto" w:fill="auto"/>
            <w:noWrap/>
            <w:vAlign w:val="bottom"/>
            <w:hideMark/>
          </w:tcPr>
          <w:p w14:paraId="28925C1E" w14:textId="77777777" w:rsidR="00B56B58" w:rsidRPr="00DF09FB" w:rsidRDefault="00B56B58" w:rsidP="00DF09FB">
            <w:pPr>
              <w:jc w:val="right"/>
              <w:rPr>
                <w:rFonts w:cs="Arial"/>
                <w:color w:val="000000"/>
                <w:szCs w:val="24"/>
              </w:rPr>
            </w:pPr>
            <w:r w:rsidRPr="00DF09FB">
              <w:rPr>
                <w:rFonts w:cs="Arial"/>
                <w:color w:val="000000"/>
                <w:szCs w:val="24"/>
              </w:rPr>
              <w:t>12,558,000</w:t>
            </w:r>
          </w:p>
        </w:tc>
        <w:tc>
          <w:tcPr>
            <w:tcW w:w="1220" w:type="dxa"/>
            <w:tcBorders>
              <w:top w:val="nil"/>
              <w:left w:val="nil"/>
              <w:bottom w:val="nil"/>
              <w:right w:val="nil"/>
            </w:tcBorders>
            <w:shd w:val="clear" w:color="auto" w:fill="auto"/>
            <w:noWrap/>
            <w:vAlign w:val="bottom"/>
            <w:hideMark/>
          </w:tcPr>
          <w:p w14:paraId="11E4A379"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0B6011C2" w14:textId="77777777" w:rsidR="00B56B58" w:rsidRPr="00DF09FB" w:rsidRDefault="00B56B58" w:rsidP="00DF09FB">
            <w:pPr>
              <w:rPr>
                <w:rFonts w:cs="Arial"/>
                <w:szCs w:val="24"/>
              </w:rPr>
            </w:pPr>
          </w:p>
        </w:tc>
      </w:tr>
      <w:tr w:rsidR="00B56B58" w:rsidRPr="00DF09FB" w14:paraId="190D3CD6" w14:textId="77777777" w:rsidTr="00E35D5E">
        <w:trPr>
          <w:trHeight w:val="288"/>
        </w:trPr>
        <w:tc>
          <w:tcPr>
            <w:tcW w:w="2860" w:type="dxa"/>
            <w:tcBorders>
              <w:top w:val="nil"/>
              <w:left w:val="nil"/>
              <w:bottom w:val="nil"/>
              <w:right w:val="nil"/>
            </w:tcBorders>
            <w:shd w:val="clear" w:color="auto" w:fill="auto"/>
            <w:noWrap/>
            <w:vAlign w:val="bottom"/>
            <w:hideMark/>
          </w:tcPr>
          <w:p w14:paraId="34C4A144" w14:textId="77777777" w:rsidR="00B56B58" w:rsidRPr="00DF09FB" w:rsidRDefault="00B56B58" w:rsidP="00DF09FB">
            <w:pPr>
              <w:rPr>
                <w:rFonts w:cs="Arial"/>
                <w:color w:val="000000"/>
                <w:szCs w:val="24"/>
              </w:rPr>
            </w:pPr>
            <w:r w:rsidRPr="00DF09FB">
              <w:rPr>
                <w:rFonts w:cs="Arial"/>
                <w:color w:val="000000"/>
                <w:szCs w:val="24"/>
              </w:rPr>
              <w:t>Total Liabilities</w:t>
            </w:r>
          </w:p>
        </w:tc>
        <w:tc>
          <w:tcPr>
            <w:tcW w:w="1600" w:type="dxa"/>
            <w:tcBorders>
              <w:top w:val="nil"/>
              <w:left w:val="nil"/>
              <w:bottom w:val="nil"/>
              <w:right w:val="nil"/>
            </w:tcBorders>
            <w:shd w:val="clear" w:color="auto" w:fill="auto"/>
            <w:noWrap/>
            <w:vAlign w:val="bottom"/>
            <w:hideMark/>
          </w:tcPr>
          <w:p w14:paraId="766B7029" w14:textId="77777777" w:rsidR="00B56B58" w:rsidRPr="00DF09FB" w:rsidRDefault="00B56B58" w:rsidP="00DF09FB">
            <w:pPr>
              <w:jc w:val="right"/>
              <w:rPr>
                <w:rFonts w:cs="Arial"/>
                <w:color w:val="000000"/>
                <w:szCs w:val="24"/>
              </w:rPr>
            </w:pPr>
            <w:r w:rsidRPr="00DF09FB">
              <w:rPr>
                <w:rFonts w:cs="Arial"/>
                <w:color w:val="000000"/>
                <w:szCs w:val="24"/>
              </w:rPr>
              <w:t>18,241,000</w:t>
            </w:r>
          </w:p>
        </w:tc>
        <w:tc>
          <w:tcPr>
            <w:tcW w:w="1540" w:type="dxa"/>
            <w:tcBorders>
              <w:top w:val="nil"/>
              <w:left w:val="nil"/>
              <w:bottom w:val="nil"/>
              <w:right w:val="nil"/>
            </w:tcBorders>
            <w:shd w:val="clear" w:color="auto" w:fill="auto"/>
            <w:noWrap/>
            <w:vAlign w:val="bottom"/>
            <w:hideMark/>
          </w:tcPr>
          <w:p w14:paraId="12BAD985" w14:textId="77777777" w:rsidR="00B56B58" w:rsidRPr="00DF09FB" w:rsidRDefault="00B56B58" w:rsidP="00DF09FB">
            <w:pPr>
              <w:jc w:val="right"/>
              <w:rPr>
                <w:rFonts w:cs="Arial"/>
                <w:color w:val="000000"/>
                <w:szCs w:val="24"/>
              </w:rPr>
            </w:pPr>
            <w:r w:rsidRPr="00DF09FB">
              <w:rPr>
                <w:rFonts w:cs="Arial"/>
                <w:color w:val="000000"/>
                <w:szCs w:val="24"/>
              </w:rPr>
              <w:t>15,429,000</w:t>
            </w:r>
          </w:p>
        </w:tc>
        <w:tc>
          <w:tcPr>
            <w:tcW w:w="1220" w:type="dxa"/>
            <w:tcBorders>
              <w:top w:val="nil"/>
              <w:left w:val="nil"/>
              <w:bottom w:val="nil"/>
              <w:right w:val="nil"/>
            </w:tcBorders>
            <w:shd w:val="clear" w:color="auto" w:fill="auto"/>
            <w:noWrap/>
            <w:vAlign w:val="bottom"/>
            <w:hideMark/>
          </w:tcPr>
          <w:p w14:paraId="25378A47"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5EC079CB" w14:textId="77777777" w:rsidR="00B56B58" w:rsidRPr="00DF09FB" w:rsidRDefault="00B56B58" w:rsidP="00DF09FB">
            <w:pPr>
              <w:rPr>
                <w:rFonts w:cs="Arial"/>
                <w:szCs w:val="24"/>
              </w:rPr>
            </w:pPr>
          </w:p>
        </w:tc>
      </w:tr>
      <w:tr w:rsidR="00B56B58" w:rsidRPr="00DF09FB" w14:paraId="42142587" w14:textId="77777777" w:rsidTr="00E35D5E">
        <w:trPr>
          <w:trHeight w:val="288"/>
        </w:trPr>
        <w:tc>
          <w:tcPr>
            <w:tcW w:w="2860" w:type="dxa"/>
            <w:tcBorders>
              <w:top w:val="nil"/>
              <w:left w:val="nil"/>
              <w:bottom w:val="nil"/>
              <w:right w:val="nil"/>
            </w:tcBorders>
            <w:shd w:val="clear" w:color="auto" w:fill="auto"/>
            <w:noWrap/>
            <w:vAlign w:val="bottom"/>
            <w:hideMark/>
          </w:tcPr>
          <w:p w14:paraId="2BE39A49" w14:textId="77777777" w:rsidR="00B56B58" w:rsidRPr="00DF09FB" w:rsidRDefault="00B56B58" w:rsidP="00DF09FB">
            <w:pPr>
              <w:rPr>
                <w:rFonts w:cs="Arial"/>
                <w:color w:val="000000"/>
                <w:szCs w:val="24"/>
              </w:rPr>
            </w:pPr>
            <w:r w:rsidRPr="00DF09FB">
              <w:rPr>
                <w:rFonts w:cs="Arial"/>
                <w:color w:val="000000"/>
                <w:szCs w:val="24"/>
              </w:rPr>
              <w:t>Common Stock</w:t>
            </w:r>
          </w:p>
        </w:tc>
        <w:tc>
          <w:tcPr>
            <w:tcW w:w="1600" w:type="dxa"/>
            <w:tcBorders>
              <w:top w:val="nil"/>
              <w:left w:val="nil"/>
              <w:bottom w:val="nil"/>
              <w:right w:val="nil"/>
            </w:tcBorders>
            <w:shd w:val="clear" w:color="auto" w:fill="auto"/>
            <w:noWrap/>
            <w:vAlign w:val="bottom"/>
            <w:hideMark/>
          </w:tcPr>
          <w:p w14:paraId="55A2B35E" w14:textId="77777777" w:rsidR="00B56B58" w:rsidRPr="00DF09FB" w:rsidRDefault="00B56B58" w:rsidP="00DF09FB">
            <w:pPr>
              <w:jc w:val="right"/>
              <w:rPr>
                <w:rFonts w:cs="Arial"/>
                <w:color w:val="000000"/>
                <w:szCs w:val="24"/>
              </w:rPr>
            </w:pPr>
            <w:r w:rsidRPr="00DF09FB">
              <w:rPr>
                <w:rFonts w:cs="Arial"/>
                <w:color w:val="000000"/>
                <w:szCs w:val="24"/>
              </w:rPr>
              <w:t>3,000</w:t>
            </w:r>
          </w:p>
        </w:tc>
        <w:tc>
          <w:tcPr>
            <w:tcW w:w="1540" w:type="dxa"/>
            <w:tcBorders>
              <w:top w:val="nil"/>
              <w:left w:val="nil"/>
              <w:bottom w:val="nil"/>
              <w:right w:val="nil"/>
            </w:tcBorders>
            <w:shd w:val="clear" w:color="auto" w:fill="auto"/>
            <w:noWrap/>
            <w:vAlign w:val="bottom"/>
            <w:hideMark/>
          </w:tcPr>
          <w:p w14:paraId="5DC7F69C" w14:textId="77777777" w:rsidR="00B56B58" w:rsidRPr="00DF09FB" w:rsidRDefault="00B56B58" w:rsidP="00DF09FB">
            <w:pPr>
              <w:jc w:val="right"/>
              <w:rPr>
                <w:rFonts w:cs="Arial"/>
                <w:color w:val="000000"/>
                <w:szCs w:val="24"/>
              </w:rPr>
            </w:pPr>
            <w:r w:rsidRPr="00DF09FB">
              <w:rPr>
                <w:rFonts w:cs="Arial"/>
                <w:color w:val="000000"/>
                <w:szCs w:val="24"/>
              </w:rPr>
              <w:t>3,000</w:t>
            </w:r>
          </w:p>
        </w:tc>
        <w:tc>
          <w:tcPr>
            <w:tcW w:w="1220" w:type="dxa"/>
            <w:tcBorders>
              <w:top w:val="nil"/>
              <w:left w:val="nil"/>
              <w:bottom w:val="nil"/>
              <w:right w:val="nil"/>
            </w:tcBorders>
            <w:shd w:val="clear" w:color="auto" w:fill="auto"/>
            <w:noWrap/>
            <w:vAlign w:val="bottom"/>
            <w:hideMark/>
          </w:tcPr>
          <w:p w14:paraId="5B4CBA3A"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29913111" w14:textId="77777777" w:rsidR="00B56B58" w:rsidRPr="00DF09FB" w:rsidRDefault="00B56B58" w:rsidP="00DF09FB">
            <w:pPr>
              <w:rPr>
                <w:rFonts w:cs="Arial"/>
                <w:szCs w:val="24"/>
              </w:rPr>
            </w:pPr>
          </w:p>
        </w:tc>
      </w:tr>
      <w:tr w:rsidR="00B56B58" w:rsidRPr="00DF09FB" w14:paraId="2FBC27D6" w14:textId="77777777" w:rsidTr="00E35D5E">
        <w:trPr>
          <w:trHeight w:val="288"/>
        </w:trPr>
        <w:tc>
          <w:tcPr>
            <w:tcW w:w="2860" w:type="dxa"/>
            <w:tcBorders>
              <w:top w:val="nil"/>
              <w:left w:val="nil"/>
              <w:bottom w:val="nil"/>
              <w:right w:val="nil"/>
            </w:tcBorders>
            <w:shd w:val="clear" w:color="auto" w:fill="auto"/>
            <w:noWrap/>
            <w:vAlign w:val="bottom"/>
            <w:hideMark/>
          </w:tcPr>
          <w:p w14:paraId="19F08968" w14:textId="77777777" w:rsidR="00B56B58" w:rsidRPr="00DF09FB" w:rsidRDefault="00B56B58" w:rsidP="00DF09FB">
            <w:pPr>
              <w:rPr>
                <w:rFonts w:cs="Arial"/>
                <w:color w:val="000000"/>
                <w:szCs w:val="24"/>
              </w:rPr>
            </w:pPr>
            <w:r w:rsidRPr="00DF09FB">
              <w:rPr>
                <w:rFonts w:cs="Arial"/>
                <w:color w:val="000000"/>
                <w:szCs w:val="24"/>
              </w:rPr>
              <w:t>Retained Earnings</w:t>
            </w:r>
          </w:p>
        </w:tc>
        <w:tc>
          <w:tcPr>
            <w:tcW w:w="1600" w:type="dxa"/>
            <w:tcBorders>
              <w:top w:val="nil"/>
              <w:left w:val="nil"/>
              <w:bottom w:val="nil"/>
              <w:right w:val="nil"/>
            </w:tcBorders>
            <w:shd w:val="clear" w:color="auto" w:fill="auto"/>
            <w:noWrap/>
            <w:vAlign w:val="bottom"/>
            <w:hideMark/>
          </w:tcPr>
          <w:p w14:paraId="3BD41AB2" w14:textId="77777777" w:rsidR="00B56B58" w:rsidRPr="00DF09FB" w:rsidRDefault="00B56B58" w:rsidP="00DF09FB">
            <w:pPr>
              <w:jc w:val="right"/>
              <w:rPr>
                <w:rFonts w:cs="Arial"/>
                <w:color w:val="000000"/>
                <w:szCs w:val="24"/>
              </w:rPr>
            </w:pPr>
            <w:r w:rsidRPr="00DF09FB">
              <w:rPr>
                <w:rFonts w:cs="Arial"/>
                <w:color w:val="000000"/>
                <w:szCs w:val="24"/>
              </w:rPr>
              <w:t>-6,732,000</w:t>
            </w:r>
          </w:p>
        </w:tc>
        <w:tc>
          <w:tcPr>
            <w:tcW w:w="1540" w:type="dxa"/>
            <w:tcBorders>
              <w:top w:val="nil"/>
              <w:left w:val="nil"/>
              <w:bottom w:val="nil"/>
              <w:right w:val="nil"/>
            </w:tcBorders>
            <w:shd w:val="clear" w:color="auto" w:fill="auto"/>
            <w:noWrap/>
            <w:vAlign w:val="bottom"/>
            <w:hideMark/>
          </w:tcPr>
          <w:p w14:paraId="5310F62E" w14:textId="77777777" w:rsidR="00B56B58" w:rsidRPr="00DF09FB" w:rsidRDefault="00B56B58" w:rsidP="00DF09FB">
            <w:pPr>
              <w:jc w:val="right"/>
              <w:rPr>
                <w:rFonts w:cs="Arial"/>
                <w:color w:val="000000"/>
                <w:szCs w:val="24"/>
              </w:rPr>
            </w:pPr>
            <w:r w:rsidRPr="00DF09FB">
              <w:rPr>
                <w:rFonts w:cs="Arial"/>
                <w:color w:val="000000"/>
                <w:szCs w:val="24"/>
              </w:rPr>
              <w:t>-5,965,000</w:t>
            </w:r>
          </w:p>
        </w:tc>
        <w:tc>
          <w:tcPr>
            <w:tcW w:w="1220" w:type="dxa"/>
            <w:tcBorders>
              <w:top w:val="nil"/>
              <w:left w:val="nil"/>
              <w:bottom w:val="nil"/>
              <w:right w:val="nil"/>
            </w:tcBorders>
            <w:shd w:val="clear" w:color="auto" w:fill="auto"/>
            <w:noWrap/>
            <w:vAlign w:val="bottom"/>
            <w:hideMark/>
          </w:tcPr>
          <w:p w14:paraId="4CC1228B"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2857148D" w14:textId="77777777" w:rsidR="00B56B58" w:rsidRPr="00DF09FB" w:rsidRDefault="00B56B58" w:rsidP="00DF09FB">
            <w:pPr>
              <w:rPr>
                <w:rFonts w:cs="Arial"/>
                <w:szCs w:val="24"/>
              </w:rPr>
            </w:pPr>
          </w:p>
        </w:tc>
      </w:tr>
      <w:tr w:rsidR="00B56B58" w:rsidRPr="00DF09FB" w14:paraId="40A180ED" w14:textId="77777777" w:rsidTr="00E35D5E">
        <w:trPr>
          <w:trHeight w:val="288"/>
        </w:trPr>
        <w:tc>
          <w:tcPr>
            <w:tcW w:w="2860" w:type="dxa"/>
            <w:tcBorders>
              <w:top w:val="nil"/>
              <w:left w:val="nil"/>
              <w:bottom w:val="nil"/>
              <w:right w:val="nil"/>
            </w:tcBorders>
            <w:shd w:val="clear" w:color="auto" w:fill="auto"/>
            <w:noWrap/>
            <w:vAlign w:val="bottom"/>
            <w:hideMark/>
          </w:tcPr>
          <w:p w14:paraId="60510293" w14:textId="77777777" w:rsidR="00B56B58" w:rsidRPr="00DF09FB" w:rsidRDefault="00B56B58" w:rsidP="00DF09FB">
            <w:pPr>
              <w:rPr>
                <w:rFonts w:cs="Arial"/>
                <w:color w:val="000000"/>
                <w:szCs w:val="24"/>
              </w:rPr>
            </w:pPr>
            <w:r w:rsidRPr="00DF09FB">
              <w:rPr>
                <w:rFonts w:cs="Arial"/>
                <w:color w:val="000000"/>
                <w:szCs w:val="24"/>
              </w:rPr>
              <w:t>Total Stockholders' Equity</w:t>
            </w:r>
          </w:p>
        </w:tc>
        <w:tc>
          <w:tcPr>
            <w:tcW w:w="1600" w:type="dxa"/>
            <w:tcBorders>
              <w:top w:val="nil"/>
              <w:left w:val="nil"/>
              <w:bottom w:val="nil"/>
              <w:right w:val="nil"/>
            </w:tcBorders>
            <w:shd w:val="clear" w:color="auto" w:fill="auto"/>
            <w:noWrap/>
            <w:vAlign w:val="bottom"/>
            <w:hideMark/>
          </w:tcPr>
          <w:p w14:paraId="1EDCA655" w14:textId="77777777" w:rsidR="00B56B58" w:rsidRPr="00DF09FB" w:rsidRDefault="00B56B58" w:rsidP="00DF09FB">
            <w:pPr>
              <w:jc w:val="right"/>
              <w:rPr>
                <w:rFonts w:cs="Arial"/>
                <w:color w:val="000000"/>
                <w:szCs w:val="24"/>
              </w:rPr>
            </w:pPr>
            <w:r w:rsidRPr="00DF09FB">
              <w:rPr>
                <w:rFonts w:cs="Arial"/>
                <w:color w:val="000000"/>
                <w:szCs w:val="24"/>
              </w:rPr>
              <w:t>-1,490,000</w:t>
            </w:r>
          </w:p>
        </w:tc>
        <w:tc>
          <w:tcPr>
            <w:tcW w:w="1540" w:type="dxa"/>
            <w:tcBorders>
              <w:top w:val="nil"/>
              <w:left w:val="nil"/>
              <w:bottom w:val="nil"/>
              <w:right w:val="nil"/>
            </w:tcBorders>
            <w:shd w:val="clear" w:color="auto" w:fill="auto"/>
            <w:noWrap/>
            <w:vAlign w:val="bottom"/>
            <w:hideMark/>
          </w:tcPr>
          <w:p w14:paraId="11E5D80F" w14:textId="77777777" w:rsidR="00B56B58" w:rsidRPr="00DF09FB" w:rsidRDefault="00B56B58" w:rsidP="00DF09FB">
            <w:pPr>
              <w:jc w:val="right"/>
              <w:rPr>
                <w:rFonts w:cs="Arial"/>
                <w:color w:val="000000"/>
                <w:szCs w:val="24"/>
              </w:rPr>
            </w:pPr>
            <w:r w:rsidRPr="00DF09FB">
              <w:rPr>
                <w:rFonts w:cs="Arial"/>
                <w:color w:val="000000"/>
                <w:szCs w:val="24"/>
              </w:rPr>
              <w:t>-482,000</w:t>
            </w:r>
          </w:p>
        </w:tc>
        <w:tc>
          <w:tcPr>
            <w:tcW w:w="1220" w:type="dxa"/>
            <w:tcBorders>
              <w:top w:val="nil"/>
              <w:left w:val="nil"/>
              <w:bottom w:val="nil"/>
              <w:right w:val="nil"/>
            </w:tcBorders>
            <w:shd w:val="clear" w:color="auto" w:fill="auto"/>
            <w:noWrap/>
            <w:vAlign w:val="bottom"/>
            <w:hideMark/>
          </w:tcPr>
          <w:p w14:paraId="399E6E5F"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0DFD11D3" w14:textId="77777777" w:rsidR="00B56B58" w:rsidRPr="00DF09FB" w:rsidRDefault="00B56B58" w:rsidP="00DF09FB">
            <w:pPr>
              <w:rPr>
                <w:rFonts w:cs="Arial"/>
                <w:szCs w:val="24"/>
              </w:rPr>
            </w:pPr>
          </w:p>
        </w:tc>
      </w:tr>
      <w:tr w:rsidR="00B56B58" w:rsidRPr="00DF09FB" w14:paraId="14FA462E" w14:textId="77777777" w:rsidTr="00E35D5E">
        <w:trPr>
          <w:trHeight w:val="288"/>
        </w:trPr>
        <w:tc>
          <w:tcPr>
            <w:tcW w:w="2860" w:type="dxa"/>
            <w:tcBorders>
              <w:top w:val="nil"/>
              <w:left w:val="nil"/>
              <w:bottom w:val="nil"/>
              <w:right w:val="nil"/>
            </w:tcBorders>
            <w:shd w:val="clear" w:color="auto" w:fill="auto"/>
            <w:noWrap/>
            <w:vAlign w:val="bottom"/>
            <w:hideMark/>
          </w:tcPr>
          <w:p w14:paraId="0EDBE38F" w14:textId="77777777" w:rsidR="00B56B58" w:rsidRPr="00DF09FB" w:rsidRDefault="00B56B58" w:rsidP="00DF09FB">
            <w:pPr>
              <w:rPr>
                <w:rFonts w:cs="Arial"/>
                <w:color w:val="000000"/>
                <w:szCs w:val="24"/>
              </w:rPr>
            </w:pPr>
            <w:r w:rsidRPr="00DF09FB">
              <w:rPr>
                <w:rFonts w:cs="Arial"/>
                <w:color w:val="000000"/>
                <w:szCs w:val="24"/>
              </w:rPr>
              <w:t>Total Liabilities and Stockholder</w:t>
            </w:r>
          </w:p>
        </w:tc>
        <w:tc>
          <w:tcPr>
            <w:tcW w:w="1600" w:type="dxa"/>
            <w:tcBorders>
              <w:top w:val="nil"/>
              <w:left w:val="nil"/>
              <w:bottom w:val="nil"/>
              <w:right w:val="nil"/>
            </w:tcBorders>
            <w:shd w:val="clear" w:color="auto" w:fill="auto"/>
            <w:noWrap/>
            <w:vAlign w:val="bottom"/>
            <w:hideMark/>
          </w:tcPr>
          <w:p w14:paraId="24B5A829" w14:textId="77777777" w:rsidR="00B56B58" w:rsidRPr="00DF09FB" w:rsidRDefault="00B56B58" w:rsidP="00DF09FB">
            <w:pPr>
              <w:jc w:val="right"/>
              <w:rPr>
                <w:rFonts w:cs="Arial"/>
                <w:color w:val="000000"/>
                <w:szCs w:val="24"/>
              </w:rPr>
            </w:pPr>
            <w:r w:rsidRPr="00DF09FB">
              <w:rPr>
                <w:rFonts w:cs="Arial"/>
                <w:color w:val="000000"/>
                <w:szCs w:val="24"/>
              </w:rPr>
              <w:t>16,755,000</w:t>
            </w:r>
          </w:p>
        </w:tc>
        <w:tc>
          <w:tcPr>
            <w:tcW w:w="1540" w:type="dxa"/>
            <w:tcBorders>
              <w:top w:val="nil"/>
              <w:left w:val="nil"/>
              <w:bottom w:val="nil"/>
              <w:right w:val="nil"/>
            </w:tcBorders>
            <w:shd w:val="clear" w:color="auto" w:fill="auto"/>
            <w:noWrap/>
            <w:vAlign w:val="bottom"/>
            <w:hideMark/>
          </w:tcPr>
          <w:p w14:paraId="6801041C" w14:textId="77777777" w:rsidR="00B56B58" w:rsidRPr="00DF09FB" w:rsidRDefault="00B56B58" w:rsidP="00DF09FB">
            <w:pPr>
              <w:jc w:val="right"/>
              <w:rPr>
                <w:rFonts w:cs="Arial"/>
                <w:color w:val="000000"/>
                <w:szCs w:val="24"/>
              </w:rPr>
            </w:pPr>
            <w:r w:rsidRPr="00DF09FB">
              <w:rPr>
                <w:rFonts w:cs="Arial"/>
                <w:color w:val="000000"/>
                <w:szCs w:val="24"/>
              </w:rPr>
              <w:t>14,957,000</w:t>
            </w:r>
          </w:p>
        </w:tc>
        <w:tc>
          <w:tcPr>
            <w:tcW w:w="1220" w:type="dxa"/>
            <w:tcBorders>
              <w:top w:val="nil"/>
              <w:left w:val="nil"/>
              <w:bottom w:val="nil"/>
              <w:right w:val="nil"/>
            </w:tcBorders>
            <w:shd w:val="clear" w:color="auto" w:fill="auto"/>
            <w:noWrap/>
            <w:vAlign w:val="bottom"/>
            <w:hideMark/>
          </w:tcPr>
          <w:p w14:paraId="0A079080" w14:textId="77777777" w:rsidR="00B56B58" w:rsidRPr="00DF09FB" w:rsidRDefault="00B56B58" w:rsidP="00DF09FB">
            <w:pPr>
              <w:jc w:val="right"/>
              <w:rPr>
                <w:rFonts w:cs="Arial"/>
                <w:color w:val="000000"/>
                <w:szCs w:val="24"/>
              </w:rPr>
            </w:pPr>
          </w:p>
        </w:tc>
        <w:tc>
          <w:tcPr>
            <w:tcW w:w="960" w:type="dxa"/>
            <w:tcBorders>
              <w:top w:val="nil"/>
              <w:left w:val="nil"/>
              <w:bottom w:val="nil"/>
              <w:right w:val="nil"/>
            </w:tcBorders>
            <w:shd w:val="clear" w:color="auto" w:fill="auto"/>
            <w:noWrap/>
            <w:vAlign w:val="bottom"/>
            <w:hideMark/>
          </w:tcPr>
          <w:p w14:paraId="5F3F284F" w14:textId="77777777" w:rsidR="00B56B58" w:rsidRPr="00DF09FB" w:rsidRDefault="00B56B58" w:rsidP="00DF09FB">
            <w:pPr>
              <w:rPr>
                <w:rFonts w:cs="Arial"/>
                <w:szCs w:val="24"/>
              </w:rPr>
            </w:pPr>
          </w:p>
        </w:tc>
      </w:tr>
      <w:tr w:rsidR="00B56B58" w:rsidRPr="006424EB" w14:paraId="5EA549D5" w14:textId="77777777" w:rsidTr="00E35D5E">
        <w:trPr>
          <w:trHeight w:val="288"/>
        </w:trPr>
        <w:tc>
          <w:tcPr>
            <w:tcW w:w="2860" w:type="dxa"/>
            <w:tcBorders>
              <w:top w:val="nil"/>
              <w:left w:val="nil"/>
              <w:bottom w:val="nil"/>
              <w:right w:val="nil"/>
            </w:tcBorders>
            <w:shd w:val="clear" w:color="auto" w:fill="auto"/>
            <w:noWrap/>
            <w:vAlign w:val="bottom"/>
            <w:hideMark/>
          </w:tcPr>
          <w:p w14:paraId="60630044" w14:textId="77777777" w:rsidR="00B56B58" w:rsidRPr="006424EB" w:rsidRDefault="00B56B58" w:rsidP="00E35D5E"/>
        </w:tc>
        <w:tc>
          <w:tcPr>
            <w:tcW w:w="1600" w:type="dxa"/>
            <w:tcBorders>
              <w:top w:val="nil"/>
              <w:left w:val="nil"/>
              <w:bottom w:val="nil"/>
              <w:right w:val="nil"/>
            </w:tcBorders>
            <w:shd w:val="clear" w:color="auto" w:fill="auto"/>
            <w:noWrap/>
            <w:vAlign w:val="bottom"/>
            <w:hideMark/>
          </w:tcPr>
          <w:p w14:paraId="510E1B53" w14:textId="77777777" w:rsidR="00B56B58" w:rsidRPr="006424EB" w:rsidRDefault="00B56B58" w:rsidP="00E35D5E"/>
        </w:tc>
        <w:tc>
          <w:tcPr>
            <w:tcW w:w="1540" w:type="dxa"/>
            <w:tcBorders>
              <w:top w:val="nil"/>
              <w:left w:val="nil"/>
              <w:bottom w:val="nil"/>
              <w:right w:val="nil"/>
            </w:tcBorders>
            <w:shd w:val="clear" w:color="auto" w:fill="auto"/>
            <w:noWrap/>
            <w:vAlign w:val="bottom"/>
            <w:hideMark/>
          </w:tcPr>
          <w:p w14:paraId="253B2B33" w14:textId="77777777" w:rsidR="00B56B58" w:rsidRPr="006424EB" w:rsidRDefault="00B56B58" w:rsidP="00E35D5E"/>
        </w:tc>
        <w:tc>
          <w:tcPr>
            <w:tcW w:w="1220" w:type="dxa"/>
            <w:tcBorders>
              <w:top w:val="nil"/>
              <w:left w:val="nil"/>
              <w:bottom w:val="nil"/>
              <w:right w:val="nil"/>
            </w:tcBorders>
            <w:shd w:val="clear" w:color="auto" w:fill="auto"/>
            <w:noWrap/>
            <w:vAlign w:val="bottom"/>
            <w:hideMark/>
          </w:tcPr>
          <w:p w14:paraId="69F51A84" w14:textId="77777777" w:rsidR="00B56B58" w:rsidRPr="006424EB" w:rsidRDefault="00B56B58" w:rsidP="00E35D5E"/>
        </w:tc>
        <w:tc>
          <w:tcPr>
            <w:tcW w:w="960" w:type="dxa"/>
            <w:tcBorders>
              <w:top w:val="nil"/>
              <w:left w:val="nil"/>
              <w:bottom w:val="nil"/>
              <w:right w:val="nil"/>
            </w:tcBorders>
            <w:shd w:val="clear" w:color="auto" w:fill="auto"/>
            <w:noWrap/>
            <w:vAlign w:val="bottom"/>
            <w:hideMark/>
          </w:tcPr>
          <w:p w14:paraId="7B0735BB" w14:textId="77777777" w:rsidR="00B56B58" w:rsidRPr="006424EB" w:rsidRDefault="00B56B58" w:rsidP="00E35D5E"/>
        </w:tc>
      </w:tr>
    </w:tbl>
    <w:p w14:paraId="060E56CF" w14:textId="77777777" w:rsidR="00B56B58" w:rsidRPr="00B56B58" w:rsidRDefault="00B56B58" w:rsidP="00B56B58"/>
    <w:p w14:paraId="6F250249" w14:textId="77777777" w:rsidR="004573D2" w:rsidRDefault="004573D2" w:rsidP="004573D2"/>
    <w:p w14:paraId="79D5A879" w14:textId="77777777" w:rsidR="004573D2" w:rsidRPr="005E5C29" w:rsidRDefault="004573D2" w:rsidP="005E5C29"/>
    <w:p w14:paraId="14AD10D6" w14:textId="77777777" w:rsidR="00777A06" w:rsidRPr="00777A06" w:rsidRDefault="00777A06" w:rsidP="00777A06"/>
    <w:p w14:paraId="4E6BA45A" w14:textId="77777777" w:rsidR="001F3A24" w:rsidRDefault="001F3A24" w:rsidP="001F3A24"/>
    <w:p w14:paraId="128CFCE5" w14:textId="77777777" w:rsidR="001F3A24" w:rsidRDefault="001F3A24" w:rsidP="001F3A24"/>
    <w:p w14:paraId="45CE9BC2" w14:textId="77777777" w:rsidR="00120E79" w:rsidRPr="00120E79" w:rsidRDefault="00120E79" w:rsidP="00120E79"/>
    <w:p w14:paraId="223A2EA8" w14:textId="77777777" w:rsidR="000A000B" w:rsidRPr="000A000B" w:rsidRDefault="000A000B" w:rsidP="000A000B"/>
    <w:p w14:paraId="2D1C99F5" w14:textId="77777777" w:rsidR="000951B0" w:rsidRDefault="000951B0" w:rsidP="00F6616E"/>
    <w:p w14:paraId="3D4B04F3" w14:textId="77777777" w:rsidR="000158F6" w:rsidRPr="000158F6" w:rsidRDefault="000158F6" w:rsidP="000158F6"/>
    <w:sectPr w:rsidR="000158F6" w:rsidRPr="000158F6" w:rsidSect="009066C7">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A3A16" w14:textId="77777777" w:rsidR="00A23EB8" w:rsidRDefault="00A23EB8" w:rsidP="009066C7">
      <w:pPr>
        <w:spacing w:after="0" w:line="240" w:lineRule="auto"/>
      </w:pPr>
      <w:r>
        <w:separator/>
      </w:r>
    </w:p>
  </w:endnote>
  <w:endnote w:type="continuationSeparator" w:id="0">
    <w:p w14:paraId="6A46C9D3" w14:textId="77777777" w:rsidR="00A23EB8" w:rsidRDefault="00A23EB8" w:rsidP="00906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218536"/>
      <w:docPartObj>
        <w:docPartGallery w:val="Page Numbers (Bottom of Page)"/>
        <w:docPartUnique/>
      </w:docPartObj>
    </w:sdtPr>
    <w:sdtEndPr>
      <w:rPr>
        <w:noProof/>
      </w:rPr>
    </w:sdtEndPr>
    <w:sdtContent>
      <w:p w14:paraId="122E4572" w14:textId="77777777" w:rsidR="009066C7" w:rsidRDefault="009066C7">
        <w:pPr>
          <w:pStyle w:val="Footer"/>
          <w:jc w:val="center"/>
        </w:pPr>
        <w:r>
          <w:fldChar w:fldCharType="begin"/>
        </w:r>
        <w:r>
          <w:instrText xml:space="preserve"> PAGE   \* MERGEFORMAT </w:instrText>
        </w:r>
        <w:r>
          <w:fldChar w:fldCharType="separate"/>
        </w:r>
        <w:r w:rsidR="00355942">
          <w:rPr>
            <w:noProof/>
          </w:rPr>
          <w:t>14</w:t>
        </w:r>
        <w:r>
          <w:rPr>
            <w:noProof/>
          </w:rPr>
          <w:fldChar w:fldCharType="end"/>
        </w:r>
      </w:p>
    </w:sdtContent>
  </w:sdt>
  <w:p w14:paraId="142ADBEA" w14:textId="77777777" w:rsidR="009066C7" w:rsidRDefault="00906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8658E" w14:textId="77777777" w:rsidR="00A23EB8" w:rsidRDefault="00A23EB8" w:rsidP="009066C7">
      <w:pPr>
        <w:spacing w:after="0" w:line="240" w:lineRule="auto"/>
      </w:pPr>
      <w:r>
        <w:separator/>
      </w:r>
    </w:p>
  </w:footnote>
  <w:footnote w:type="continuationSeparator" w:id="0">
    <w:p w14:paraId="0FE72076" w14:textId="77777777" w:rsidR="00A23EB8" w:rsidRDefault="00A23EB8" w:rsidP="00906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F2AC1"/>
    <w:multiLevelType w:val="multilevel"/>
    <w:tmpl w:val="CC5A1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106BB"/>
    <w:multiLevelType w:val="hybridMultilevel"/>
    <w:tmpl w:val="D8E0A3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95963082">
    <w:abstractNumId w:val="0"/>
  </w:num>
  <w:num w:numId="2" w16cid:durableId="1748574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zMrUwt7A0tzQ1tLRU0lEKTi0uzszPAykwrAUAP1js8iwAAAA="/>
  </w:docVars>
  <w:rsids>
    <w:rsidRoot w:val="009066C7"/>
    <w:rsid w:val="00011CB5"/>
    <w:rsid w:val="000135DA"/>
    <w:rsid w:val="000158F6"/>
    <w:rsid w:val="00017E5C"/>
    <w:rsid w:val="000227D3"/>
    <w:rsid w:val="00036F28"/>
    <w:rsid w:val="000414ED"/>
    <w:rsid w:val="000619C7"/>
    <w:rsid w:val="00077BC9"/>
    <w:rsid w:val="00080CFE"/>
    <w:rsid w:val="000859F1"/>
    <w:rsid w:val="00090381"/>
    <w:rsid w:val="000951B0"/>
    <w:rsid w:val="000A000B"/>
    <w:rsid w:val="000A71D4"/>
    <w:rsid w:val="000C70AF"/>
    <w:rsid w:val="000D28C0"/>
    <w:rsid w:val="000E4315"/>
    <w:rsid w:val="0011620E"/>
    <w:rsid w:val="00120E79"/>
    <w:rsid w:val="00134557"/>
    <w:rsid w:val="0013459F"/>
    <w:rsid w:val="00143B0B"/>
    <w:rsid w:val="00144B75"/>
    <w:rsid w:val="00147301"/>
    <w:rsid w:val="00176BF0"/>
    <w:rsid w:val="001930D4"/>
    <w:rsid w:val="001A035A"/>
    <w:rsid w:val="001B1B7D"/>
    <w:rsid w:val="001F3A24"/>
    <w:rsid w:val="002322C1"/>
    <w:rsid w:val="00236DCF"/>
    <w:rsid w:val="0024514D"/>
    <w:rsid w:val="00253F85"/>
    <w:rsid w:val="0025711B"/>
    <w:rsid w:val="0026459B"/>
    <w:rsid w:val="002E6B71"/>
    <w:rsid w:val="00306C2F"/>
    <w:rsid w:val="003108C5"/>
    <w:rsid w:val="00310E6C"/>
    <w:rsid w:val="003160ED"/>
    <w:rsid w:val="00332B22"/>
    <w:rsid w:val="00351E4F"/>
    <w:rsid w:val="00354A3E"/>
    <w:rsid w:val="00355942"/>
    <w:rsid w:val="00357BBE"/>
    <w:rsid w:val="003677BF"/>
    <w:rsid w:val="003A1696"/>
    <w:rsid w:val="003B18FC"/>
    <w:rsid w:val="003B3ECE"/>
    <w:rsid w:val="003B622B"/>
    <w:rsid w:val="003E2F78"/>
    <w:rsid w:val="003F65CD"/>
    <w:rsid w:val="00435829"/>
    <w:rsid w:val="00445438"/>
    <w:rsid w:val="00445B5D"/>
    <w:rsid w:val="004573D2"/>
    <w:rsid w:val="00465D05"/>
    <w:rsid w:val="004B1251"/>
    <w:rsid w:val="004C4E21"/>
    <w:rsid w:val="00504907"/>
    <w:rsid w:val="0051631A"/>
    <w:rsid w:val="00525158"/>
    <w:rsid w:val="005506DF"/>
    <w:rsid w:val="0056663D"/>
    <w:rsid w:val="005668BD"/>
    <w:rsid w:val="00570CA1"/>
    <w:rsid w:val="005815AF"/>
    <w:rsid w:val="005A5CA6"/>
    <w:rsid w:val="005C5ABE"/>
    <w:rsid w:val="005E5C29"/>
    <w:rsid w:val="00625DF0"/>
    <w:rsid w:val="00644DA5"/>
    <w:rsid w:val="00645C58"/>
    <w:rsid w:val="00663AEE"/>
    <w:rsid w:val="0067046D"/>
    <w:rsid w:val="006728CF"/>
    <w:rsid w:val="006969B4"/>
    <w:rsid w:val="006A7887"/>
    <w:rsid w:val="006B4C1C"/>
    <w:rsid w:val="006C5062"/>
    <w:rsid w:val="006D5891"/>
    <w:rsid w:val="006D7BE7"/>
    <w:rsid w:val="006F1047"/>
    <w:rsid w:val="00701588"/>
    <w:rsid w:val="00703345"/>
    <w:rsid w:val="007044F8"/>
    <w:rsid w:val="00707107"/>
    <w:rsid w:val="00727D9F"/>
    <w:rsid w:val="00767E11"/>
    <w:rsid w:val="00771927"/>
    <w:rsid w:val="0077538F"/>
    <w:rsid w:val="00777A06"/>
    <w:rsid w:val="00780F2B"/>
    <w:rsid w:val="007A5F5E"/>
    <w:rsid w:val="007B2CDB"/>
    <w:rsid w:val="007C5325"/>
    <w:rsid w:val="007E40B8"/>
    <w:rsid w:val="007F2269"/>
    <w:rsid w:val="008062BA"/>
    <w:rsid w:val="008175C3"/>
    <w:rsid w:val="008227B6"/>
    <w:rsid w:val="00831D4E"/>
    <w:rsid w:val="00834E91"/>
    <w:rsid w:val="00835E8C"/>
    <w:rsid w:val="008530B8"/>
    <w:rsid w:val="0088314E"/>
    <w:rsid w:val="00892FCB"/>
    <w:rsid w:val="0089532D"/>
    <w:rsid w:val="008B334D"/>
    <w:rsid w:val="008B3843"/>
    <w:rsid w:val="008C4874"/>
    <w:rsid w:val="008D612A"/>
    <w:rsid w:val="008E57EF"/>
    <w:rsid w:val="008F2443"/>
    <w:rsid w:val="008F5C2E"/>
    <w:rsid w:val="008F7558"/>
    <w:rsid w:val="00900260"/>
    <w:rsid w:val="009066C7"/>
    <w:rsid w:val="00906F2A"/>
    <w:rsid w:val="00917B06"/>
    <w:rsid w:val="009246B3"/>
    <w:rsid w:val="0093203A"/>
    <w:rsid w:val="00932BF9"/>
    <w:rsid w:val="00932CB0"/>
    <w:rsid w:val="0093686A"/>
    <w:rsid w:val="00942CE5"/>
    <w:rsid w:val="00961709"/>
    <w:rsid w:val="009746F8"/>
    <w:rsid w:val="00982518"/>
    <w:rsid w:val="00996D32"/>
    <w:rsid w:val="00997CA2"/>
    <w:rsid w:val="009C2E46"/>
    <w:rsid w:val="009D2199"/>
    <w:rsid w:val="009F1B88"/>
    <w:rsid w:val="00A03203"/>
    <w:rsid w:val="00A23EB8"/>
    <w:rsid w:val="00A33110"/>
    <w:rsid w:val="00A60AF3"/>
    <w:rsid w:val="00A61072"/>
    <w:rsid w:val="00A67EEE"/>
    <w:rsid w:val="00A757B0"/>
    <w:rsid w:val="00A76B80"/>
    <w:rsid w:val="00A777A0"/>
    <w:rsid w:val="00AA53DE"/>
    <w:rsid w:val="00AB4E16"/>
    <w:rsid w:val="00AC2397"/>
    <w:rsid w:val="00AE0DBF"/>
    <w:rsid w:val="00B13DD4"/>
    <w:rsid w:val="00B20EAC"/>
    <w:rsid w:val="00B2606C"/>
    <w:rsid w:val="00B41BAE"/>
    <w:rsid w:val="00B53EF6"/>
    <w:rsid w:val="00B56B58"/>
    <w:rsid w:val="00B57789"/>
    <w:rsid w:val="00B62B22"/>
    <w:rsid w:val="00B76769"/>
    <w:rsid w:val="00B80108"/>
    <w:rsid w:val="00B9363F"/>
    <w:rsid w:val="00B95B27"/>
    <w:rsid w:val="00BA3B66"/>
    <w:rsid w:val="00BB309E"/>
    <w:rsid w:val="00BF49BE"/>
    <w:rsid w:val="00BF569E"/>
    <w:rsid w:val="00C736CF"/>
    <w:rsid w:val="00C86E0E"/>
    <w:rsid w:val="00CA1204"/>
    <w:rsid w:val="00CA3114"/>
    <w:rsid w:val="00CD11DD"/>
    <w:rsid w:val="00CF31A5"/>
    <w:rsid w:val="00D04D9D"/>
    <w:rsid w:val="00D06169"/>
    <w:rsid w:val="00D2745C"/>
    <w:rsid w:val="00D303C4"/>
    <w:rsid w:val="00D82076"/>
    <w:rsid w:val="00D82AE4"/>
    <w:rsid w:val="00D914ED"/>
    <w:rsid w:val="00D921D3"/>
    <w:rsid w:val="00D933A6"/>
    <w:rsid w:val="00D95AE4"/>
    <w:rsid w:val="00DB58DC"/>
    <w:rsid w:val="00DD0905"/>
    <w:rsid w:val="00DF09FB"/>
    <w:rsid w:val="00DF5562"/>
    <w:rsid w:val="00E01366"/>
    <w:rsid w:val="00E1008A"/>
    <w:rsid w:val="00E23A27"/>
    <w:rsid w:val="00E42582"/>
    <w:rsid w:val="00E875F5"/>
    <w:rsid w:val="00E92013"/>
    <w:rsid w:val="00EA420D"/>
    <w:rsid w:val="00EB233C"/>
    <w:rsid w:val="00EB7581"/>
    <w:rsid w:val="00ED44D4"/>
    <w:rsid w:val="00EE62FE"/>
    <w:rsid w:val="00F02337"/>
    <w:rsid w:val="00F33858"/>
    <w:rsid w:val="00F35DA7"/>
    <w:rsid w:val="00F5220D"/>
    <w:rsid w:val="00F611B4"/>
    <w:rsid w:val="00F6616E"/>
    <w:rsid w:val="00FD68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ECC0"/>
  <w15:chartTrackingRefBased/>
  <w15:docId w15:val="{647E7BF6-9396-424F-89FF-A5EBD58E6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B58"/>
    <w:pPr>
      <w:spacing w:line="360" w:lineRule="auto"/>
      <w:jc w:val="both"/>
    </w:pPr>
    <w:rPr>
      <w:rFonts w:ascii="Arial" w:hAnsi="Arial"/>
      <w:sz w:val="24"/>
    </w:rPr>
  </w:style>
  <w:style w:type="paragraph" w:styleId="Heading1">
    <w:name w:val="heading 1"/>
    <w:basedOn w:val="Normal"/>
    <w:next w:val="Normal"/>
    <w:link w:val="Heading1Char"/>
    <w:uiPriority w:val="9"/>
    <w:qFormat/>
    <w:rsid w:val="006A7887"/>
    <w:pPr>
      <w:spacing w:line="240" w:lineRule="auto"/>
      <w:outlineLvl w:val="0"/>
    </w:pPr>
    <w:rPr>
      <w:b/>
      <w:sz w:val="26"/>
    </w:rPr>
  </w:style>
  <w:style w:type="paragraph" w:styleId="Heading2">
    <w:name w:val="heading 2"/>
    <w:basedOn w:val="Heading3"/>
    <w:next w:val="Normal"/>
    <w:link w:val="Heading2Char"/>
    <w:uiPriority w:val="9"/>
    <w:unhideWhenUsed/>
    <w:qFormat/>
    <w:rsid w:val="006A7887"/>
    <w:pPr>
      <w:outlineLvl w:val="1"/>
    </w:pPr>
    <w:rPr>
      <w:sz w:val="24"/>
    </w:rPr>
  </w:style>
  <w:style w:type="paragraph" w:styleId="Heading3">
    <w:name w:val="heading 3"/>
    <w:basedOn w:val="Heading1"/>
    <w:next w:val="Normal"/>
    <w:link w:val="Heading3Char"/>
    <w:uiPriority w:val="9"/>
    <w:unhideWhenUsed/>
    <w:qFormat/>
    <w:rsid w:val="006A7887"/>
    <w:pPr>
      <w:outlineLvl w:val="2"/>
    </w:pPr>
    <w:rPr>
      <w:sz w:val="22"/>
    </w:rPr>
  </w:style>
  <w:style w:type="paragraph" w:styleId="Heading4">
    <w:name w:val="heading 4"/>
    <w:basedOn w:val="Normal"/>
    <w:next w:val="Normal"/>
    <w:link w:val="Heading4Char"/>
    <w:uiPriority w:val="9"/>
    <w:unhideWhenUsed/>
    <w:qFormat/>
    <w:rsid w:val="00D914ED"/>
    <w:pPr>
      <w:keepNext/>
      <w:keepLines/>
      <w:spacing w:before="40" w:after="0"/>
      <w:outlineLvl w:val="3"/>
    </w:pPr>
    <w:rPr>
      <w:rFonts w:eastAsiaTheme="majorEastAsia" w:cstheme="majorBidi"/>
      <w:i/>
      <w:iCs/>
      <w:color w:val="2E74B5" w:themeColor="accent1" w:themeShade="BF"/>
    </w:rPr>
  </w:style>
  <w:style w:type="paragraph" w:styleId="Heading6">
    <w:name w:val="heading 6"/>
    <w:basedOn w:val="Normal"/>
    <w:next w:val="Normal"/>
    <w:link w:val="Heading6Char"/>
    <w:uiPriority w:val="9"/>
    <w:semiHidden/>
    <w:unhideWhenUsed/>
    <w:qFormat/>
    <w:rsid w:val="008175C3"/>
    <w:pPr>
      <w:keepNext/>
      <w:keepLines/>
      <w:spacing w:before="40" w:after="0"/>
      <w:outlineLvl w:val="5"/>
    </w:pPr>
    <w:rPr>
      <w:rFonts w:eastAsiaTheme="majorEastAsia"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887"/>
    <w:rPr>
      <w:rFonts w:asciiTheme="majorHAnsi" w:hAnsiTheme="majorHAnsi"/>
      <w:b/>
      <w:sz w:val="26"/>
    </w:rPr>
  </w:style>
  <w:style w:type="character" w:customStyle="1" w:styleId="Heading2Char">
    <w:name w:val="Heading 2 Char"/>
    <w:basedOn w:val="DefaultParagraphFont"/>
    <w:link w:val="Heading2"/>
    <w:uiPriority w:val="9"/>
    <w:rsid w:val="006A7887"/>
    <w:rPr>
      <w:rFonts w:asciiTheme="majorHAnsi" w:hAnsiTheme="majorHAnsi"/>
      <w:b/>
      <w:sz w:val="24"/>
    </w:rPr>
  </w:style>
  <w:style w:type="paragraph" w:styleId="Header">
    <w:name w:val="header"/>
    <w:basedOn w:val="Normal"/>
    <w:link w:val="HeaderChar"/>
    <w:uiPriority w:val="99"/>
    <w:unhideWhenUsed/>
    <w:rsid w:val="009066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6C7"/>
    <w:rPr>
      <w:rFonts w:ascii="Arial" w:hAnsi="Arial"/>
      <w:sz w:val="24"/>
    </w:rPr>
  </w:style>
  <w:style w:type="paragraph" w:styleId="Footer">
    <w:name w:val="footer"/>
    <w:basedOn w:val="Normal"/>
    <w:link w:val="FooterChar"/>
    <w:uiPriority w:val="99"/>
    <w:unhideWhenUsed/>
    <w:rsid w:val="00906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66C7"/>
    <w:rPr>
      <w:rFonts w:ascii="Arial" w:hAnsi="Arial"/>
      <w:sz w:val="24"/>
    </w:rPr>
  </w:style>
  <w:style w:type="paragraph" w:styleId="NoSpacing">
    <w:name w:val="No Spacing"/>
    <w:link w:val="NoSpacingChar"/>
    <w:uiPriority w:val="1"/>
    <w:qFormat/>
    <w:rsid w:val="009066C7"/>
    <w:pPr>
      <w:spacing w:after="0" w:line="240" w:lineRule="auto"/>
    </w:pPr>
    <w:rPr>
      <w:rFonts w:eastAsiaTheme="minorEastAsia"/>
    </w:rPr>
  </w:style>
  <w:style w:type="character" w:customStyle="1" w:styleId="NoSpacingChar">
    <w:name w:val="No Spacing Char"/>
    <w:basedOn w:val="DefaultParagraphFont"/>
    <w:link w:val="NoSpacing"/>
    <w:uiPriority w:val="1"/>
    <w:rsid w:val="009066C7"/>
    <w:rPr>
      <w:rFonts w:eastAsiaTheme="minorEastAsia"/>
    </w:rPr>
  </w:style>
  <w:style w:type="paragraph" w:styleId="TOCHeading">
    <w:name w:val="TOC Heading"/>
    <w:basedOn w:val="Heading1"/>
    <w:next w:val="Normal"/>
    <w:uiPriority w:val="39"/>
    <w:unhideWhenUsed/>
    <w:qFormat/>
    <w:rsid w:val="007C5325"/>
    <w:pPr>
      <w:keepNext/>
      <w:keepLines/>
      <w:spacing w:before="240" w:after="0" w:line="259" w:lineRule="auto"/>
      <w:jc w:val="left"/>
      <w:outlineLvl w:val="9"/>
    </w:pPr>
    <w:rPr>
      <w:rFonts w:eastAsiaTheme="majorEastAsia" w:cstheme="majorBidi"/>
      <w:b w:val="0"/>
      <w:color w:val="2E74B5" w:themeColor="accent1" w:themeShade="BF"/>
      <w:sz w:val="32"/>
      <w:szCs w:val="32"/>
    </w:rPr>
  </w:style>
  <w:style w:type="paragraph" w:styleId="Title">
    <w:name w:val="Title"/>
    <w:basedOn w:val="Normal"/>
    <w:next w:val="Normal"/>
    <w:link w:val="TitleChar"/>
    <w:uiPriority w:val="10"/>
    <w:qFormat/>
    <w:rsid w:val="008175C3"/>
    <w:pPr>
      <w:spacing w:after="0"/>
      <w:contextualSpacing/>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8175C3"/>
    <w:rPr>
      <w:rFonts w:asciiTheme="majorHAnsi" w:eastAsiaTheme="majorEastAsia" w:hAnsiTheme="majorHAnsi" w:cstheme="majorBidi"/>
      <w:b/>
      <w:spacing w:val="-10"/>
      <w:kern w:val="28"/>
      <w:sz w:val="44"/>
      <w:szCs w:val="56"/>
    </w:rPr>
  </w:style>
  <w:style w:type="character" w:customStyle="1" w:styleId="Heading6Char">
    <w:name w:val="Heading 6 Char"/>
    <w:basedOn w:val="DefaultParagraphFont"/>
    <w:link w:val="Heading6"/>
    <w:rsid w:val="008175C3"/>
    <w:rPr>
      <w:rFonts w:asciiTheme="majorHAnsi" w:eastAsiaTheme="majorEastAsia" w:hAnsiTheme="majorHAnsi" w:cstheme="majorBidi"/>
      <w:color w:val="1F4D78" w:themeColor="accent1" w:themeShade="7F"/>
      <w:sz w:val="24"/>
    </w:rPr>
  </w:style>
  <w:style w:type="paragraph" w:styleId="NormalWeb">
    <w:name w:val="Normal (Web)"/>
    <w:basedOn w:val="Normal"/>
    <w:uiPriority w:val="99"/>
    <w:semiHidden/>
    <w:unhideWhenUsed/>
    <w:rsid w:val="00D82AE4"/>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wsm-tooltip">
    <w:name w:val="wsm-tooltip"/>
    <w:basedOn w:val="DefaultParagraphFont"/>
    <w:rsid w:val="00B80108"/>
  </w:style>
  <w:style w:type="character" w:styleId="Hyperlink">
    <w:name w:val="Hyperlink"/>
    <w:basedOn w:val="DefaultParagraphFont"/>
    <w:uiPriority w:val="99"/>
    <w:unhideWhenUsed/>
    <w:rsid w:val="00B80108"/>
    <w:rPr>
      <w:color w:val="0000FF"/>
      <w:u w:val="single"/>
    </w:rPr>
  </w:style>
  <w:style w:type="character" w:customStyle="1" w:styleId="Heading3Char">
    <w:name w:val="Heading 3 Char"/>
    <w:basedOn w:val="DefaultParagraphFont"/>
    <w:link w:val="Heading3"/>
    <w:uiPriority w:val="9"/>
    <w:rsid w:val="006A7887"/>
    <w:rPr>
      <w:rFonts w:asciiTheme="majorHAnsi" w:hAnsiTheme="majorHAnsi"/>
      <w:b/>
    </w:rPr>
  </w:style>
  <w:style w:type="character" w:customStyle="1" w:styleId="Heading4Char">
    <w:name w:val="Heading 4 Char"/>
    <w:basedOn w:val="DefaultParagraphFont"/>
    <w:link w:val="Heading4"/>
    <w:uiPriority w:val="9"/>
    <w:rsid w:val="00D914ED"/>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B20EAC"/>
    <w:pPr>
      <w:spacing w:after="200" w:line="240" w:lineRule="auto"/>
    </w:pPr>
    <w:rPr>
      <w:i/>
      <w:iCs/>
      <w:color w:val="44546A" w:themeColor="text2"/>
      <w:sz w:val="18"/>
      <w:szCs w:val="18"/>
    </w:rPr>
  </w:style>
  <w:style w:type="character" w:styleId="Strong">
    <w:name w:val="Strong"/>
    <w:basedOn w:val="DefaultParagraphFont"/>
    <w:uiPriority w:val="22"/>
    <w:qFormat/>
    <w:rsid w:val="009F1B88"/>
    <w:rPr>
      <w:b/>
      <w:bCs/>
    </w:rPr>
  </w:style>
  <w:style w:type="paragraph" w:customStyle="1" w:styleId="comp">
    <w:name w:val="comp"/>
    <w:basedOn w:val="Normal"/>
    <w:rsid w:val="001F3A24"/>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AE0DBF"/>
    <w:pPr>
      <w:spacing w:after="100"/>
    </w:pPr>
  </w:style>
  <w:style w:type="paragraph" w:styleId="TOC2">
    <w:name w:val="toc 2"/>
    <w:basedOn w:val="Normal"/>
    <w:next w:val="Normal"/>
    <w:autoRedefine/>
    <w:uiPriority w:val="39"/>
    <w:unhideWhenUsed/>
    <w:rsid w:val="00AE0DBF"/>
    <w:pPr>
      <w:spacing w:after="100"/>
      <w:ind w:left="240"/>
    </w:pPr>
  </w:style>
  <w:style w:type="paragraph" w:styleId="TOC3">
    <w:name w:val="toc 3"/>
    <w:basedOn w:val="Normal"/>
    <w:next w:val="Normal"/>
    <w:autoRedefine/>
    <w:uiPriority w:val="39"/>
    <w:unhideWhenUsed/>
    <w:rsid w:val="00AE0DBF"/>
    <w:pPr>
      <w:spacing w:after="100"/>
      <w:ind w:left="480"/>
    </w:pPr>
  </w:style>
  <w:style w:type="paragraph" w:styleId="ListParagraph">
    <w:name w:val="List Paragraph"/>
    <w:basedOn w:val="Normal"/>
    <w:uiPriority w:val="34"/>
    <w:qFormat/>
    <w:rsid w:val="00BF49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2512">
      <w:bodyDiv w:val="1"/>
      <w:marLeft w:val="0"/>
      <w:marRight w:val="0"/>
      <w:marTop w:val="0"/>
      <w:marBottom w:val="0"/>
      <w:divBdr>
        <w:top w:val="none" w:sz="0" w:space="0" w:color="auto"/>
        <w:left w:val="none" w:sz="0" w:space="0" w:color="auto"/>
        <w:bottom w:val="none" w:sz="0" w:space="0" w:color="auto"/>
        <w:right w:val="none" w:sz="0" w:space="0" w:color="auto"/>
      </w:divBdr>
    </w:div>
    <w:div w:id="99882230">
      <w:bodyDiv w:val="1"/>
      <w:marLeft w:val="0"/>
      <w:marRight w:val="0"/>
      <w:marTop w:val="0"/>
      <w:marBottom w:val="0"/>
      <w:divBdr>
        <w:top w:val="none" w:sz="0" w:space="0" w:color="auto"/>
        <w:left w:val="none" w:sz="0" w:space="0" w:color="auto"/>
        <w:bottom w:val="none" w:sz="0" w:space="0" w:color="auto"/>
        <w:right w:val="none" w:sz="0" w:space="0" w:color="auto"/>
      </w:divBdr>
    </w:div>
    <w:div w:id="182675985">
      <w:bodyDiv w:val="1"/>
      <w:marLeft w:val="0"/>
      <w:marRight w:val="0"/>
      <w:marTop w:val="0"/>
      <w:marBottom w:val="0"/>
      <w:divBdr>
        <w:top w:val="none" w:sz="0" w:space="0" w:color="auto"/>
        <w:left w:val="none" w:sz="0" w:space="0" w:color="auto"/>
        <w:bottom w:val="none" w:sz="0" w:space="0" w:color="auto"/>
        <w:right w:val="none" w:sz="0" w:space="0" w:color="auto"/>
      </w:divBdr>
    </w:div>
    <w:div w:id="487284415">
      <w:bodyDiv w:val="1"/>
      <w:marLeft w:val="0"/>
      <w:marRight w:val="0"/>
      <w:marTop w:val="0"/>
      <w:marBottom w:val="0"/>
      <w:divBdr>
        <w:top w:val="none" w:sz="0" w:space="0" w:color="auto"/>
        <w:left w:val="none" w:sz="0" w:space="0" w:color="auto"/>
        <w:bottom w:val="none" w:sz="0" w:space="0" w:color="auto"/>
        <w:right w:val="none" w:sz="0" w:space="0" w:color="auto"/>
      </w:divBdr>
      <w:divsChild>
        <w:div w:id="1885633167">
          <w:marLeft w:val="0"/>
          <w:marRight w:val="0"/>
          <w:marTop w:val="0"/>
          <w:marBottom w:val="0"/>
          <w:divBdr>
            <w:top w:val="none" w:sz="0" w:space="0" w:color="auto"/>
            <w:left w:val="none" w:sz="0" w:space="0" w:color="auto"/>
            <w:bottom w:val="none" w:sz="0" w:space="0" w:color="auto"/>
            <w:right w:val="none" w:sz="0" w:space="0" w:color="auto"/>
          </w:divBdr>
        </w:div>
      </w:divsChild>
    </w:div>
    <w:div w:id="569122214">
      <w:bodyDiv w:val="1"/>
      <w:marLeft w:val="0"/>
      <w:marRight w:val="0"/>
      <w:marTop w:val="0"/>
      <w:marBottom w:val="0"/>
      <w:divBdr>
        <w:top w:val="none" w:sz="0" w:space="0" w:color="auto"/>
        <w:left w:val="none" w:sz="0" w:space="0" w:color="auto"/>
        <w:bottom w:val="none" w:sz="0" w:space="0" w:color="auto"/>
        <w:right w:val="none" w:sz="0" w:space="0" w:color="auto"/>
      </w:divBdr>
    </w:div>
    <w:div w:id="687102908">
      <w:bodyDiv w:val="1"/>
      <w:marLeft w:val="0"/>
      <w:marRight w:val="0"/>
      <w:marTop w:val="0"/>
      <w:marBottom w:val="0"/>
      <w:divBdr>
        <w:top w:val="none" w:sz="0" w:space="0" w:color="auto"/>
        <w:left w:val="none" w:sz="0" w:space="0" w:color="auto"/>
        <w:bottom w:val="none" w:sz="0" w:space="0" w:color="auto"/>
        <w:right w:val="none" w:sz="0" w:space="0" w:color="auto"/>
      </w:divBdr>
    </w:div>
    <w:div w:id="817305389">
      <w:bodyDiv w:val="1"/>
      <w:marLeft w:val="0"/>
      <w:marRight w:val="0"/>
      <w:marTop w:val="0"/>
      <w:marBottom w:val="0"/>
      <w:divBdr>
        <w:top w:val="none" w:sz="0" w:space="0" w:color="auto"/>
        <w:left w:val="none" w:sz="0" w:space="0" w:color="auto"/>
        <w:bottom w:val="none" w:sz="0" w:space="0" w:color="auto"/>
        <w:right w:val="none" w:sz="0" w:space="0" w:color="auto"/>
      </w:divBdr>
    </w:div>
    <w:div w:id="1219435219">
      <w:bodyDiv w:val="1"/>
      <w:marLeft w:val="0"/>
      <w:marRight w:val="0"/>
      <w:marTop w:val="0"/>
      <w:marBottom w:val="0"/>
      <w:divBdr>
        <w:top w:val="none" w:sz="0" w:space="0" w:color="auto"/>
        <w:left w:val="none" w:sz="0" w:space="0" w:color="auto"/>
        <w:bottom w:val="none" w:sz="0" w:space="0" w:color="auto"/>
        <w:right w:val="none" w:sz="0" w:space="0" w:color="auto"/>
      </w:divBdr>
    </w:div>
    <w:div w:id="1272006882">
      <w:bodyDiv w:val="1"/>
      <w:marLeft w:val="0"/>
      <w:marRight w:val="0"/>
      <w:marTop w:val="0"/>
      <w:marBottom w:val="0"/>
      <w:divBdr>
        <w:top w:val="none" w:sz="0" w:space="0" w:color="auto"/>
        <w:left w:val="none" w:sz="0" w:space="0" w:color="auto"/>
        <w:bottom w:val="none" w:sz="0" w:space="0" w:color="auto"/>
        <w:right w:val="none" w:sz="0" w:space="0" w:color="auto"/>
      </w:divBdr>
      <w:divsChild>
        <w:div w:id="2099060076">
          <w:blockQuote w:val="1"/>
          <w:marLeft w:val="0"/>
          <w:marRight w:val="0"/>
          <w:marTop w:val="0"/>
          <w:marBottom w:val="375"/>
          <w:divBdr>
            <w:top w:val="single" w:sz="2" w:space="0" w:color="1A1A1A"/>
            <w:left w:val="single" w:sz="24" w:space="26" w:color="1A1A1A"/>
            <w:bottom w:val="single" w:sz="2" w:space="0" w:color="1A1A1A"/>
            <w:right w:val="single" w:sz="2" w:space="0" w:color="1A1A1A"/>
          </w:divBdr>
        </w:div>
      </w:divsChild>
    </w:div>
    <w:div w:id="1436753735">
      <w:bodyDiv w:val="1"/>
      <w:marLeft w:val="0"/>
      <w:marRight w:val="0"/>
      <w:marTop w:val="0"/>
      <w:marBottom w:val="0"/>
      <w:divBdr>
        <w:top w:val="none" w:sz="0" w:space="0" w:color="auto"/>
        <w:left w:val="none" w:sz="0" w:space="0" w:color="auto"/>
        <w:bottom w:val="none" w:sz="0" w:space="0" w:color="auto"/>
        <w:right w:val="none" w:sz="0" w:space="0" w:color="auto"/>
      </w:divBdr>
    </w:div>
    <w:div w:id="1731733278">
      <w:bodyDiv w:val="1"/>
      <w:marLeft w:val="0"/>
      <w:marRight w:val="0"/>
      <w:marTop w:val="0"/>
      <w:marBottom w:val="0"/>
      <w:divBdr>
        <w:top w:val="none" w:sz="0" w:space="0" w:color="auto"/>
        <w:left w:val="none" w:sz="0" w:space="0" w:color="auto"/>
        <w:bottom w:val="none" w:sz="0" w:space="0" w:color="auto"/>
        <w:right w:val="none" w:sz="0" w:space="0" w:color="auto"/>
      </w:divBdr>
    </w:div>
    <w:div w:id="1866824422">
      <w:bodyDiv w:val="1"/>
      <w:marLeft w:val="0"/>
      <w:marRight w:val="0"/>
      <w:marTop w:val="0"/>
      <w:marBottom w:val="0"/>
      <w:divBdr>
        <w:top w:val="none" w:sz="0" w:space="0" w:color="auto"/>
        <w:left w:val="none" w:sz="0" w:space="0" w:color="auto"/>
        <w:bottom w:val="none" w:sz="0" w:space="0" w:color="auto"/>
        <w:right w:val="none" w:sz="0" w:space="0" w:color="auto"/>
      </w:divBdr>
    </w:div>
    <w:div w:id="1903522230">
      <w:bodyDiv w:val="1"/>
      <w:marLeft w:val="0"/>
      <w:marRight w:val="0"/>
      <w:marTop w:val="0"/>
      <w:marBottom w:val="0"/>
      <w:divBdr>
        <w:top w:val="none" w:sz="0" w:space="0" w:color="auto"/>
        <w:left w:val="none" w:sz="0" w:space="0" w:color="auto"/>
        <w:bottom w:val="none" w:sz="0" w:space="0" w:color="auto"/>
        <w:right w:val="none" w:sz="0" w:space="0" w:color="auto"/>
      </w:divBdr>
    </w:div>
    <w:div w:id="2021617197">
      <w:bodyDiv w:val="1"/>
      <w:marLeft w:val="0"/>
      <w:marRight w:val="0"/>
      <w:marTop w:val="0"/>
      <w:marBottom w:val="0"/>
      <w:divBdr>
        <w:top w:val="none" w:sz="0" w:space="0" w:color="auto"/>
        <w:left w:val="none" w:sz="0" w:space="0" w:color="auto"/>
        <w:bottom w:val="none" w:sz="0" w:space="0" w:color="auto"/>
        <w:right w:val="none" w:sz="0" w:space="0" w:color="auto"/>
      </w:divBdr>
    </w:div>
    <w:div w:id="2027055398">
      <w:bodyDiv w:val="1"/>
      <w:marLeft w:val="0"/>
      <w:marRight w:val="0"/>
      <w:marTop w:val="0"/>
      <w:marBottom w:val="0"/>
      <w:divBdr>
        <w:top w:val="none" w:sz="0" w:space="0" w:color="auto"/>
        <w:left w:val="none" w:sz="0" w:space="0" w:color="auto"/>
        <w:bottom w:val="none" w:sz="0" w:space="0" w:color="auto"/>
        <w:right w:val="none" w:sz="0" w:space="0" w:color="auto"/>
      </w:divBdr>
    </w:div>
    <w:div w:id="2099868407">
      <w:bodyDiv w:val="1"/>
      <w:marLeft w:val="0"/>
      <w:marRight w:val="0"/>
      <w:marTop w:val="0"/>
      <w:marBottom w:val="0"/>
      <w:divBdr>
        <w:top w:val="none" w:sz="0" w:space="0" w:color="auto"/>
        <w:left w:val="none" w:sz="0" w:space="0" w:color="auto"/>
        <w:bottom w:val="none" w:sz="0" w:space="0" w:color="auto"/>
        <w:right w:val="none" w:sz="0" w:space="0" w:color="auto"/>
      </w:divBdr>
    </w:div>
    <w:div w:id="211852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dx.doi.org/10.3390/economies6040066" TargetMode="External"/><Relationship Id="rId18" Type="http://schemas.openxmlformats.org/officeDocument/2006/relationships/hyperlink" Target="https://mpra.ub.uni-muenchen.de/108620/1/MPRA_paper_108620.pdf" TargetMode="External"/><Relationship Id="rId3" Type="http://schemas.openxmlformats.org/officeDocument/2006/relationships/numbering" Target="numbering.xml"/><Relationship Id="rId21" Type="http://schemas.openxmlformats.org/officeDocument/2006/relationships/hyperlink" Target="http://repository.uwl.ac.uk/id/eprint/5493/1/Manuscript%20R1.docx" TargetMode="External"/><Relationship Id="rId7" Type="http://schemas.openxmlformats.org/officeDocument/2006/relationships/footnotes" Target="footnotes.xml"/><Relationship Id="rId12" Type="http://schemas.openxmlformats.org/officeDocument/2006/relationships/hyperlink" Target="https://www.elibrary.imf.org/view/journals/001/2021/056/article-A001-en.xml" TargetMode="External"/><Relationship Id="rId17" Type="http://schemas.openxmlformats.org/officeDocument/2006/relationships/hyperlink" Target="https://essuir.sumdu.edu.ua/bitstream-download/123456789/75675/1/Meresa_The_Effect_of_Strategic.pdf;jsessionid=D335714EAAA1774D82B52E8665F7C499"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dfs.semanticscholar.org/01c7/2a037ac46709f1520cb35cff129a5f7d1022.pdf" TargetMode="External"/><Relationship Id="rId20" Type="http://schemas.openxmlformats.org/officeDocument/2006/relationships/hyperlink" Target="https://www.futuremedicine.com/doi/full/10.2217/bmm-2019-021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esearchgate.net/profile/Morteza-Yazdani-3/publication/323294917_An_extended_Stepwise_Weight_Assessment_Ratio_Analysis_SWARA_method_for_improving_criteria_prioritization_process/links/5ab6351ca6fdcc46d3b41d6f/An-extended-Stepwise-Weight-Assessment-Ratio-Analysis-SWARA-method-for-improving-criteria-prioritization-process.pdf" TargetMode="External"/><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biopen.bi.no/bi-xmlui/bitstream/handle/11250/2602833/Internet+Research+Revision+final+post+acceptance.pdf?sequence=4"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anderson.ucla.edu/documents/areas/fac/marketing/Hershfield/Greenberg_et_al-2019-Consumer_Psychology_Review.pdf" TargetMode="External"/><Relationship Id="rId22" Type="http://schemas.openxmlformats.org/officeDocument/2006/relationships/hyperlink" Target="https://doi.org/10.1016/j.aebj.2018.09.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STUDENT’S NAME:</PublishDate>
  <Abstract/>
  <CompanyAddress>TUTOR’S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7BB927-F1A4-4C8D-A924-97A888D53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STUDENT’S ID:</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HotelIndustry</dc:title>
  <dc:subject/>
  <dc:creator>Aditya Sethi</dc:creator>
  <cp:keywords/>
  <dc:description/>
  <cp:lastModifiedBy>eduard slavu</cp:lastModifiedBy>
  <cp:revision>2</cp:revision>
  <dcterms:created xsi:type="dcterms:W3CDTF">2022-06-01T11:45:00Z</dcterms:created>
  <dcterms:modified xsi:type="dcterms:W3CDTF">2022-06-01T11:45:00Z</dcterms:modified>
</cp:coreProperties>
</file>