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 (Web)"/>
        <w:spacing w:before="0" w:after="0"/>
      </w:pPr>
    </w:p>
    <w:p>
      <w:pPr>
        <w:pStyle w:val="Normal (Web)"/>
        <w:spacing w:before="0" w:after="0"/>
        <w:jc w:val="center"/>
      </w:pPr>
    </w:p>
    <w:p>
      <w:pPr>
        <w:pStyle w:val="Normal (Web)"/>
        <w:spacing w:before="0" w:after="0"/>
        <w:jc w:val="center"/>
      </w:pPr>
    </w:p>
    <w:p>
      <w:pPr>
        <w:pStyle w:val="Normal (Web)"/>
        <w:spacing w:before="0" w:after="0"/>
        <w:jc w:val="center"/>
      </w:pPr>
      <w:r>
        <w:rPr>
          <w:rFonts w:ascii="Arial" w:hAnsi="Arial"/>
          <w:b w:val="1"/>
          <w:bCs w:val="1"/>
          <w:sz w:val="28"/>
          <w:szCs w:val="28"/>
          <w:rtl w:val="0"/>
          <w:lang w:val="en-US"/>
        </w:rPr>
        <w:t xml:space="preserve">Postgraduate/Distance Learning </w:t>
      </w:r>
    </w:p>
    <w:p>
      <w:pPr>
        <w:pStyle w:val="Normal (Web)"/>
        <w:spacing w:before="0" w:after="0"/>
        <w:jc w:val="center"/>
        <w:rPr>
          <w:rFonts w:ascii="Arial" w:cs="Arial" w:hAnsi="Arial" w:eastAsia="Arial"/>
          <w:b w:val="1"/>
          <w:bCs w:val="1"/>
          <w:sz w:val="28"/>
          <w:szCs w:val="28"/>
        </w:rPr>
      </w:pPr>
      <w:r>
        <w:rPr>
          <w:rFonts w:ascii="Arial" w:hAnsi="Arial"/>
          <w:b w:val="1"/>
          <w:bCs w:val="1"/>
          <w:sz w:val="28"/>
          <w:szCs w:val="28"/>
          <w:rtl w:val="0"/>
          <w:lang w:val="en-US"/>
        </w:rPr>
        <w:t>Assignment coversheet &amp; feedback form</w:t>
      </w:r>
    </w:p>
    <w:p>
      <w:pPr>
        <w:pStyle w:val="Normal (Web)"/>
        <w:spacing w:before="0" w:after="0"/>
        <w:jc w:val="center"/>
        <w:rPr>
          <w:rFonts w:ascii="Arial" w:cs="Arial" w:hAnsi="Arial" w:eastAsia="Arial"/>
        </w:rPr>
      </w:pPr>
    </w:p>
    <w:p>
      <w:pPr>
        <w:pStyle w:val="Heading 3"/>
        <w:keepNext w:val="0"/>
        <w:jc w:val="left"/>
        <w:rPr>
          <w:sz w:val="14"/>
          <w:szCs w:val="14"/>
        </w:rPr>
      </w:pPr>
      <w:r>
        <w:rPr>
          <w:sz w:val="14"/>
          <w:szCs w:val="14"/>
          <w:rtl w:val="0"/>
          <w:lang w:val="en-US"/>
        </w:rPr>
        <w:t>THIS SHEET MUST BE</w:t>
      </w:r>
      <w:r>
        <w:drawing xmlns:a="http://schemas.openxmlformats.org/drawingml/2006/main">
          <wp:anchor distT="0" distB="0" distL="0" distR="0" simplePos="0" relativeHeight="251659264" behindDoc="0" locked="0" layoutInCell="1" allowOverlap="1">
            <wp:simplePos x="0" y="0"/>
            <wp:positionH relativeFrom="page">
              <wp:posOffset>460875</wp:posOffset>
            </wp:positionH>
            <wp:positionV relativeFrom="page">
              <wp:posOffset>402182</wp:posOffset>
            </wp:positionV>
            <wp:extent cx="1907540" cy="635635"/>
            <wp:effectExtent l="0" t="0" r="0" b="0"/>
            <wp:wrapNone/>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907540" cy="635635"/>
                    </a:xfrm>
                    <a:prstGeom prst="rect">
                      <a:avLst/>
                    </a:prstGeom>
                    <a:ln w="12700" cap="flat">
                      <a:noFill/>
                      <a:miter lim="400000"/>
                    </a:ln>
                    <a:effectLst/>
                  </pic:spPr>
                </pic:pic>
              </a:graphicData>
            </a:graphic>
          </wp:anchor>
        </w:drawing>
      </w:r>
      <w:r>
        <w:rPr>
          <w:sz w:val="14"/>
          <w:szCs w:val="14"/>
          <w:rtl w:val="0"/>
          <w:lang w:val="en-US"/>
        </w:rPr>
        <w:t xml:space="preserve"> THE FIRST PAGE OF THE ASSIGNMENT YOU ARE SUBMITTING  (DO NOT SEND AS A SEPARATE FILE)</w:t>
      </w:r>
    </w:p>
    <w:p>
      <w:pPr>
        <w:pStyle w:val="Heading 3"/>
        <w:keepNext w:val="0"/>
        <w:jc w:val="left"/>
        <w:rPr>
          <w:rFonts w:ascii="Trebuchet MS" w:cs="Trebuchet MS" w:hAnsi="Trebuchet MS" w:eastAsia="Trebuchet MS"/>
          <w:sz w:val="14"/>
          <w:szCs w:val="14"/>
        </w:rPr>
      </w:pPr>
    </w:p>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2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pPr>
            <w:r>
              <w:rPr>
                <w:rFonts w:ascii="Arial" w:hAnsi="Arial"/>
                <w:b w:val="1"/>
                <w:bCs w:val="1"/>
                <w:sz w:val="22"/>
                <w:szCs w:val="22"/>
                <w:shd w:val="nil" w:color="auto" w:fill="auto"/>
                <w:rtl w:val="0"/>
                <w:lang w:val="en-US"/>
              </w:rPr>
              <w:t>For completion by the student</w:t>
            </w:r>
            <w:r>
              <w:rPr>
                <w:rFonts w:ascii="Arial" w:hAnsi="Arial"/>
                <w:sz w:val="22"/>
                <w:szCs w:val="22"/>
                <w:shd w:val="nil" w:color="auto" w:fill="auto"/>
                <w:rtl w:val="0"/>
              </w:rPr>
              <w:t>:</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de-DE"/>
              </w:rPr>
              <w:t>Student Name:</w:t>
            </w:r>
            <w:r>
              <w:rPr>
                <w:rFonts w:ascii="Arial" w:hAnsi="Arial"/>
                <w:sz w:val="22"/>
                <w:szCs w:val="22"/>
                <w:shd w:val="nil" w:color="auto" w:fill="auto"/>
                <w:rtl w:val="0"/>
                <w:lang w:val="en-US"/>
              </w:rPr>
              <w:t xml:space="preserve">  Tina Jensen Friis Auster</w:t>
            </w:r>
          </w:p>
          <w:p>
            <w:pPr>
              <w:pStyle w:val="Normal (Web)"/>
              <w:spacing w:before="0" w:after="0"/>
              <w:ind w:right="34"/>
              <w:rPr>
                <w:rFonts w:ascii="Arial" w:cs="Arial" w:hAnsi="Arial" w:eastAsia="Arial"/>
                <w:sz w:val="22"/>
                <w:szCs w:val="22"/>
                <w:shd w:val="nil" w:color="auto" w:fill="auto"/>
              </w:rPr>
            </w:pPr>
          </w:p>
          <w:p>
            <w:pPr>
              <w:pStyle w:val="Normal (Web)"/>
              <w:bidi w:val="0"/>
              <w:spacing w:before="0" w:after="0"/>
              <w:ind w:left="0" w:right="34" w:firstLine="0"/>
              <w:jc w:val="left"/>
              <w:rPr>
                <w:rtl w:val="0"/>
              </w:rPr>
            </w:pPr>
            <w:r>
              <w:rPr>
                <w:rFonts w:ascii="Arial" w:hAnsi="Arial"/>
                <w:sz w:val="22"/>
                <w:szCs w:val="22"/>
                <w:shd w:val="nil" w:color="auto" w:fill="auto"/>
                <w:rtl w:val="0"/>
                <w:lang w:val="de-DE"/>
              </w:rPr>
              <w:t xml:space="preserve">Student </w:t>
            </w:r>
            <w:r>
              <w:rPr>
                <w:rFonts w:ascii="Arial" w:hAnsi="Arial"/>
                <w:b w:val="1"/>
                <w:bCs w:val="1"/>
                <w:sz w:val="22"/>
                <w:szCs w:val="22"/>
                <w:u w:val="single"/>
                <w:shd w:val="nil" w:color="auto" w:fill="auto"/>
                <w:rtl w:val="0"/>
                <w:lang w:val="en-US"/>
              </w:rPr>
              <w:t>University</w:t>
            </w:r>
            <w:r>
              <w:rPr>
                <w:rFonts w:ascii="Arial" w:hAnsi="Arial"/>
                <w:sz w:val="22"/>
                <w:szCs w:val="22"/>
                <w:u w:val="single"/>
                <w:shd w:val="nil" w:color="auto" w:fill="auto"/>
                <w:rtl w:val="0"/>
              </w:rPr>
              <w:t xml:space="preserve"> </w:t>
            </w:r>
            <w:r>
              <w:rPr>
                <w:rFonts w:ascii="Arial" w:hAnsi="Arial"/>
                <w:sz w:val="22"/>
                <w:szCs w:val="22"/>
                <w:shd w:val="nil" w:color="auto" w:fill="auto"/>
                <w:rtl w:val="0"/>
              </w:rPr>
              <w:t xml:space="preserve">Email: </w:t>
            </w:r>
            <w:r>
              <w:rPr>
                <w:rFonts w:ascii="Arial" w:hAnsi="Arial"/>
                <w:sz w:val="22"/>
                <w:szCs w:val="22"/>
                <w:shd w:val="nil" w:color="auto" w:fill="auto"/>
                <w:rtl w:val="0"/>
                <w:lang w:val="en-US"/>
              </w:rPr>
              <w:t xml:space="preserve">  </w:t>
            </w:r>
            <w:r>
              <w:rPr>
                <w:rFonts w:ascii="Arial" w:hAnsi="Arial"/>
                <w:sz w:val="22"/>
                <w:szCs w:val="22"/>
                <w:shd w:val="nil" w:color="auto" w:fill="auto"/>
                <w:rtl w:val="0"/>
                <w:lang w:val="nl-NL"/>
              </w:rPr>
              <w:t>2024510@student.uwtsd.ac.uk</w:t>
            </w:r>
          </w:p>
        </w:tc>
      </w:tr>
      <w:tr>
        <w:tblPrEx>
          <w:shd w:val="clear" w:color="auto" w:fill="ced7e7"/>
        </w:tblPrEx>
        <w:trPr>
          <w:trHeight w:val="72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outline w:val="0"/>
                <w:color w:val="37393b"/>
                <w:sz w:val="22"/>
                <w:szCs w:val="22"/>
                <w:shd w:val="clear" w:color="auto" w:fill="ffffff"/>
                <w14:textFill>
                  <w14:solidFill>
                    <w14:srgbClr w14:val="373A3C"/>
                  </w14:solidFill>
                </w14:textFill>
              </w:rPr>
            </w:pPr>
            <w:r>
              <w:rPr>
                <w:rFonts w:ascii="Arial" w:hAnsi="Arial"/>
                <w:sz w:val="22"/>
                <w:szCs w:val="22"/>
                <w:shd w:val="nil" w:color="auto" w:fill="auto"/>
                <w:rtl w:val="0"/>
                <w:lang w:val="en-US"/>
              </w:rPr>
              <w:t>Module code:</w:t>
            </w:r>
            <w:r>
              <w:rPr>
                <w:rFonts w:ascii="Arial" w:hAnsi="Arial"/>
                <w:sz w:val="22"/>
                <w:szCs w:val="22"/>
                <w:shd w:val="nil" w:color="auto" w:fill="auto"/>
                <w:rtl w:val="0"/>
                <w:lang w:val="en-US"/>
              </w:rPr>
              <w:t xml:space="preserve">  </w:t>
            </w:r>
            <w:r>
              <w:rPr>
                <w:rFonts w:ascii="Arial" w:hAnsi="Arial"/>
                <w:sz w:val="22"/>
                <w:szCs w:val="22"/>
                <w:rtl w:val="0"/>
              </w:rPr>
              <w:t>HPCA701</w:t>
            </w:r>
            <w:r>
              <w:rPr>
                <w:rFonts w:ascii="Arial" w:hAnsi="Arial"/>
                <w:sz w:val="22"/>
                <w:szCs w:val="22"/>
                <w:rtl w:val="0"/>
                <w:lang w:val="da-DK"/>
              </w:rPr>
              <w:t>4</w:t>
            </w:r>
          </w:p>
          <w:p>
            <w:pPr>
              <w:pStyle w:val="Normal (Web)"/>
              <w:spacing w:before="0" w:after="0"/>
              <w:ind w:right="34"/>
              <w:rPr>
                <w:rFonts w:ascii="Arial" w:cs="Arial" w:hAnsi="Arial" w:eastAsia="Arial"/>
                <w:sz w:val="22"/>
                <w:szCs w:val="22"/>
              </w:rPr>
            </w:pPr>
          </w:p>
          <w:p>
            <w:pPr>
              <w:pStyle w:val="Normal (Web)"/>
              <w:bidi w:val="0"/>
              <w:spacing w:before="0" w:after="0"/>
              <w:ind w:left="0" w:right="34" w:firstLine="0"/>
              <w:jc w:val="left"/>
              <w:rPr>
                <w:rtl w:val="0"/>
              </w:rPr>
            </w:pPr>
            <w:r>
              <w:rPr>
                <w:rFonts w:ascii="Arial" w:hAnsi="Arial"/>
                <w:sz w:val="22"/>
                <w:szCs w:val="22"/>
                <w:shd w:val="nil" w:color="auto" w:fill="auto"/>
                <w:rtl w:val="0"/>
                <w:lang w:val="en-US"/>
              </w:rPr>
              <w:t>Module title:</w:t>
            </w:r>
            <w:r>
              <w:rPr>
                <w:rFonts w:ascii="Arial" w:hAnsi="Arial"/>
                <w:sz w:val="22"/>
                <w:szCs w:val="22"/>
                <w:shd w:val="nil" w:color="auto" w:fill="auto"/>
                <w:rtl w:val="0"/>
                <w:lang w:val="en-US"/>
              </w:rPr>
              <w:t xml:space="preserve"> </w:t>
            </w:r>
            <w:r>
              <w:rPr>
                <w:rFonts w:ascii="Arial" w:hAnsi="Arial"/>
                <w:sz w:val="22"/>
                <w:szCs w:val="22"/>
                <w:shd w:val="nil" w:color="auto" w:fill="auto"/>
                <w:rtl w:val="0"/>
                <w:lang w:val="da-DK"/>
              </w:rPr>
              <w:t>Sacred Geography</w:t>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sz w:val="22"/>
                <w:szCs w:val="22"/>
                <w:shd w:val="nil" w:color="auto" w:fill="auto"/>
              </w:rPr>
            </w:pPr>
            <w:r>
              <w:rPr>
                <w:rFonts w:ascii="Arial" w:hAnsi="Arial"/>
                <w:sz w:val="22"/>
                <w:szCs w:val="22"/>
                <w:shd w:val="nil" w:color="auto" w:fill="auto"/>
                <w:rtl w:val="0"/>
                <w:lang w:val="en-US"/>
              </w:rPr>
              <w:t>Student ID number:</w:t>
            </w:r>
          </w:p>
          <w:p>
            <w:pPr>
              <w:pStyle w:val="Normal (Web)"/>
              <w:spacing w:before="0" w:after="0"/>
              <w:ind w:right="34"/>
              <w:rPr>
                <w:rFonts w:ascii="Arial" w:cs="Arial" w:hAnsi="Arial" w:eastAsia="Arial"/>
                <w:sz w:val="22"/>
                <w:szCs w:val="22"/>
                <w:shd w:val="nil" w:color="auto" w:fill="auto"/>
              </w:rPr>
            </w:pPr>
          </w:p>
          <w:p>
            <w:pPr>
              <w:pStyle w:val="Normal (Web)"/>
              <w:spacing w:before="0" w:after="0"/>
              <w:ind w:right="34"/>
            </w:pPr>
            <w:r>
              <w:rPr>
                <w:rFonts w:ascii="Arial" w:hAnsi="Arial"/>
                <w:sz w:val="22"/>
                <w:szCs w:val="22"/>
                <w:shd w:val="nil" w:color="auto" w:fill="auto"/>
                <w:rtl w:val="0"/>
                <w:lang w:val="en-US"/>
              </w:rPr>
              <w:t>2024510</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shd w:val="nil" w:color="auto" w:fill="auto"/>
              </w:rPr>
            </w:pPr>
            <w:r>
              <w:rPr>
                <w:rFonts w:ascii="Arial" w:hAnsi="Arial"/>
                <w:sz w:val="22"/>
                <w:szCs w:val="22"/>
                <w:shd w:val="nil" w:color="auto" w:fill="auto"/>
                <w:rtl w:val="0"/>
                <w:lang w:val="en-US"/>
              </w:rPr>
              <w:t>Educational support needs:</w:t>
            </w:r>
          </w:p>
          <w:p>
            <w:pPr>
              <w:pStyle w:val="Normal (Web)"/>
              <w:bidi w:val="0"/>
              <w:spacing w:before="0" w:after="0"/>
              <w:ind w:left="0" w:right="34" w:firstLine="0"/>
              <w:jc w:val="left"/>
              <w:rPr>
                <w:rtl w:val="0"/>
              </w:rPr>
            </w:pPr>
            <w:r>
              <w:rPr>
                <w:rFonts w:ascii="Arial" w:hAnsi="Arial"/>
                <w:sz w:val="22"/>
                <w:szCs w:val="22"/>
                <w:shd w:val="nil" w:color="auto" w:fill="auto"/>
                <w:rtl w:val="0"/>
              </w:rPr>
              <w:t>No</w:t>
            </w:r>
          </w:p>
        </w:tc>
      </w:tr>
      <w:tr>
        <w:tblPrEx>
          <w:shd w:val="clear" w:color="auto" w:fill="ced7e7"/>
        </w:tblPrEx>
        <w:trPr>
          <w:trHeight w:val="725"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pStyle w:val="Normal (Web)"/>
              <w:spacing w:before="0" w:after="0"/>
              <w:ind w:right="34"/>
              <w:rPr>
                <w:rFonts w:ascii="Arial" w:cs="Arial" w:hAnsi="Arial" w:eastAsia="Arial"/>
              </w:rPr>
            </w:pPr>
            <w:r>
              <w:rPr>
                <w:rFonts w:ascii="Arial" w:hAnsi="Arial"/>
                <w:sz w:val="22"/>
                <w:szCs w:val="22"/>
                <w:shd w:val="nil" w:color="auto" w:fill="auto"/>
                <w:rtl w:val="0"/>
                <w:lang w:val="en-US"/>
              </w:rPr>
              <w:t>Assignmen</w:t>
            </w:r>
            <w:r>
              <w:rPr>
                <w:rFonts w:ascii="Arial" w:hAnsi="Arial"/>
                <w:sz w:val="22"/>
                <w:szCs w:val="22"/>
                <w:rtl w:val="0"/>
                <w:lang w:val="en-US"/>
              </w:rPr>
              <w:t>t title:</w:t>
            </w:r>
            <w:r>
              <w:rPr>
                <w:rFonts w:ascii="Arial" w:hAnsi="Arial"/>
                <w:sz w:val="22"/>
                <w:szCs w:val="22"/>
                <w:rtl w:val="0"/>
                <w:lang w:val="en-US"/>
              </w:rPr>
              <w:t xml:space="preserve">  </w:t>
            </w:r>
            <w:r>
              <w:rPr>
                <w:rFonts w:ascii="Arial" w:hAnsi="Arial"/>
                <w:rtl w:val="0"/>
                <w:lang w:val="en-US"/>
              </w:rPr>
              <w:t xml:space="preserve">A Critical Comparison of Two Secondary Sources </w:t>
            </w:r>
          </w:p>
          <w:p>
            <w:pPr>
              <w:pStyle w:val="Normal (Web)"/>
              <w:spacing w:before="0" w:after="0"/>
              <w:ind w:right="34"/>
              <w:rPr>
                <w:rFonts w:ascii="Arial" w:cs="Arial" w:hAnsi="Arial" w:eastAsia="Arial"/>
                <w:sz w:val="22"/>
                <w:szCs w:val="22"/>
              </w:rPr>
            </w:pPr>
          </w:p>
          <w:p>
            <w:pPr>
              <w:pStyle w:val="Normal (Web)"/>
              <w:bidi w:val="0"/>
              <w:spacing w:before="0" w:after="0"/>
              <w:ind w:left="0" w:right="34" w:firstLine="0"/>
              <w:jc w:val="left"/>
              <w:rPr>
                <w:rtl w:val="0"/>
              </w:rPr>
            </w:pPr>
            <w:r>
              <w:rPr>
                <w:rFonts w:ascii="Arial" w:hAnsi="Arial"/>
                <w:sz w:val="22"/>
                <w:szCs w:val="22"/>
                <w:rtl w:val="0"/>
                <w:lang w:val="en-US"/>
              </w:rPr>
              <w:t>Assignment due date:</w:t>
            </w:r>
            <w:r>
              <w:rPr>
                <w:rFonts w:ascii="Arial" w:hAnsi="Arial"/>
                <w:sz w:val="22"/>
                <w:szCs w:val="22"/>
                <w:rtl w:val="0"/>
                <w:lang w:val="en-US"/>
              </w:rPr>
              <w:t xml:space="preserve">  </w:t>
            </w:r>
            <w:r>
              <w:rPr>
                <w:rFonts w:ascii="Arial" w:hAnsi="Arial"/>
                <w:sz w:val="22"/>
                <w:szCs w:val="22"/>
                <w:rtl w:val="0"/>
                <w:lang w:val="da-DK"/>
              </w:rPr>
              <w:t>11</w:t>
            </w:r>
            <w:r>
              <w:rPr>
                <w:rFonts w:ascii="Arial" w:hAnsi="Arial"/>
                <w:sz w:val="22"/>
                <w:szCs w:val="22"/>
                <w:rtl w:val="0"/>
                <w:lang w:val="en-US"/>
              </w:rPr>
              <w:t>th November 2</w:t>
            </w:r>
            <w:r>
              <w:rPr>
                <w:rFonts w:ascii="Arial" w:hAnsi="Arial"/>
                <w:sz w:val="22"/>
                <w:szCs w:val="22"/>
                <w:shd w:val="nil" w:color="auto" w:fill="auto"/>
                <w:rtl w:val="0"/>
                <w:lang w:val="en-US"/>
              </w:rPr>
              <w:t>021</w:t>
            </w:r>
          </w:p>
        </w:tc>
      </w:tr>
      <w:tr>
        <w:tblPrEx>
          <w:shd w:val="clear" w:color="auto" w:fill="ced7e7"/>
        </w:tblPrEx>
        <w:trPr>
          <w:trHeight w:val="2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sz w:val="22"/>
                <w:szCs w:val="22"/>
                <w:u w:color="000000"/>
                <w:shd w:val="nil" w:color="auto" w:fill="auto"/>
                <w:rtl w:val="0"/>
                <w:lang w:val="en-US"/>
              </w:rPr>
              <w:t xml:space="preserve">This assignment is for the       </w:t>
            </w:r>
            <w:r>
              <w:rPr>
                <w:rFonts w:ascii="Arial" w:hAnsi="Arial"/>
                <w:sz w:val="22"/>
                <w:szCs w:val="22"/>
                <w:u w:color="000000"/>
                <w:shd w:val="nil" w:color="auto" w:fill="auto"/>
                <w:rtl w:val="0"/>
                <w:lang w:val="en-US"/>
              </w:rPr>
              <w:t>3rd</w:t>
            </w:r>
            <w:r>
              <w:rPr>
                <w:rFonts w:ascii="Arial" w:hAnsi="Arial"/>
                <w:sz w:val="22"/>
                <w:szCs w:val="22"/>
                <w:u w:color="000000"/>
                <w:shd w:val="nil" w:color="auto" w:fill="auto"/>
                <w:vertAlign w:val="superscript"/>
                <w:rtl w:val="0"/>
              </w:rPr>
              <w:t xml:space="preserve"> </w:t>
            </w:r>
            <w:r>
              <w:rPr>
                <w:rFonts w:ascii="Arial" w:hAnsi="Arial"/>
                <w:sz w:val="22"/>
                <w:szCs w:val="22"/>
                <w:u w:color="000000"/>
                <w:shd w:val="nil" w:color="auto" w:fill="auto"/>
                <w:rtl w:val="0"/>
              </w:rPr>
              <w:t xml:space="preserve">  </w:t>
            </w:r>
            <w:r>
              <w:rPr>
                <w:rFonts w:ascii="Arial" w:hAnsi="Arial"/>
                <w:b w:val="1"/>
                <w:bCs w:val="1"/>
                <w:sz w:val="22"/>
                <w:szCs w:val="22"/>
                <w:u w:color="000000"/>
                <w:shd w:val="nil" w:color="auto" w:fill="auto"/>
                <w:rtl w:val="0"/>
              </w:rPr>
              <w:t xml:space="preserve">   </w:t>
            </w:r>
            <w:r>
              <w:rPr>
                <w:rFonts w:ascii="Arial" w:hAnsi="Arial"/>
                <w:sz w:val="22"/>
                <w:szCs w:val="22"/>
                <w:u w:color="000000"/>
                <w:shd w:val="nil" w:color="auto" w:fill="auto"/>
                <w:rtl w:val="0"/>
                <w:lang w:val="en-US"/>
              </w:rPr>
              <w:t>module of the degree</w:t>
            </w:r>
          </w:p>
        </w:tc>
      </w:tr>
      <w:tr>
        <w:tblPrEx>
          <w:shd w:val="clear" w:color="auto" w:fill="ced7e7"/>
        </w:tblPrEx>
        <w:trPr>
          <w:trHeight w:val="16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pStyle w:val="Normal (Web)"/>
              <w:spacing w:before="0" w:after="0"/>
              <w:ind w:right="34"/>
              <w:rPr>
                <w:shd w:val="nil" w:color="auto" w:fill="auto"/>
              </w:rPr>
            </w:pPr>
            <w:r>
              <w:rPr>
                <w:rFonts w:ascii="Arial" w:hAnsi="Arial"/>
                <w:sz w:val="22"/>
                <w:szCs w:val="22"/>
                <w:shd w:val="nil" w:color="auto" w:fill="auto"/>
                <w:rtl w:val="0"/>
                <w:lang w:val="en-US"/>
              </w:rPr>
              <w:t>I confirm that this is my original work and that I have adhered to the University policy on plagiarism.</w:t>
            </w:r>
          </w:p>
          <w:p>
            <w:pPr>
              <w:pStyle w:val="Normal (Web)"/>
              <w:bidi w:val="0"/>
              <w:spacing w:before="0" w:after="0"/>
              <w:ind w:left="0" w:right="34" w:firstLine="0"/>
              <w:jc w:val="left"/>
              <w:rPr>
                <w:rFonts w:ascii="Georgia" w:cs="Georgia" w:hAnsi="Georgia" w:eastAsia="Georgia"/>
                <w:sz w:val="22"/>
                <w:szCs w:val="22"/>
                <w:shd w:val="nil" w:color="auto" w:fill="auto"/>
                <w:rtl w:val="0"/>
              </w:rPr>
            </w:pPr>
          </w:p>
          <w:p>
            <w:pPr>
              <w:pStyle w:val="Normal (Web)"/>
              <w:bidi w:val="0"/>
              <w:spacing w:before="0" w:after="0"/>
              <w:ind w:left="0" w:right="34"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 xml:space="preserve">Signed </w:t>
            </w:r>
            <w:r>
              <w:rPr>
                <w:rFonts w:ascii="Arial" w:hAnsi="Arial" w:hint="default"/>
                <w:sz w:val="22"/>
                <w:szCs w:val="22"/>
                <w:shd w:val="nil" w:color="auto" w:fill="auto"/>
                <w:rtl w:val="0"/>
              </w:rPr>
              <w:t>……</w:t>
            </w:r>
            <w:r>
              <w:rPr>
                <w:rFonts w:ascii="Arial" w:hAnsi="Arial"/>
                <w:sz w:val="22"/>
                <w:szCs w:val="22"/>
                <w:shd w:val="nil" w:color="auto" w:fill="auto"/>
                <w:rtl w:val="0"/>
                <w:lang w:val="en-US"/>
              </w:rPr>
              <w:t>Tina Jensen Friis Auster</w:t>
            </w:r>
            <w:r>
              <w:rPr>
                <w:rFonts w:ascii="Arial" w:hAnsi="Arial" w:hint="default"/>
                <w:sz w:val="22"/>
                <w:szCs w:val="22"/>
                <w:shd w:val="nil" w:color="auto" w:fill="auto"/>
                <w:rtl w:val="0"/>
              </w:rPr>
              <w:t>………………………………………………………</w:t>
            </w:r>
          </w:p>
          <w:p>
            <w:pPr>
              <w:pStyle w:val="Normal (Web)"/>
              <w:bidi w:val="0"/>
              <w:spacing w:before="0" w:after="0"/>
              <w:ind w:left="0" w:right="34" w:firstLine="0"/>
              <w:jc w:val="left"/>
              <w:rPr>
                <w:rFonts w:ascii="Arial" w:cs="Arial" w:hAnsi="Arial" w:eastAsia="Arial"/>
                <w:sz w:val="22"/>
                <w:szCs w:val="22"/>
                <w:shd w:val="nil" w:color="auto" w:fill="auto"/>
                <w:rtl w:val="0"/>
              </w:rPr>
            </w:pPr>
          </w:p>
          <w:p>
            <w:pPr>
              <w:pStyle w:val="Normal (Web)"/>
              <w:bidi w:val="0"/>
              <w:spacing w:before="0" w:after="0" w:line="168" w:lineRule="auto"/>
              <w:ind w:left="0" w:right="34" w:firstLine="0"/>
              <w:jc w:val="left"/>
              <w:rPr>
                <w:rFonts w:ascii="Calibri" w:cs="Calibri" w:hAnsi="Calibri" w:eastAsia="Calibri"/>
                <w:b w:val="1"/>
                <w:bCs w:val="1"/>
                <w:sz w:val="44"/>
                <w:szCs w:val="44"/>
                <w:shd w:val="nil" w:color="auto" w:fill="auto"/>
                <w:rtl w:val="0"/>
              </w:rPr>
            </w:pPr>
            <w:r>
              <w:rPr>
                <w:rFonts w:ascii="Calibri" w:hAnsi="Calibri"/>
                <w:b w:val="1"/>
                <w:bCs w:val="1"/>
                <w:sz w:val="24"/>
                <w:szCs w:val="24"/>
                <w:shd w:val="nil" w:color="auto" w:fill="auto"/>
                <w:rtl w:val="0"/>
                <w:lang w:val="en-US"/>
              </w:rPr>
              <w:t xml:space="preserve">Email submission:if you are submitting this form via email, please tick this box </w:t>
            </w:r>
          </w:p>
          <w:p>
            <w:pPr>
              <w:pStyle w:val="Normal (Web)"/>
              <w:bidi w:val="0"/>
              <w:spacing w:before="0" w:after="0" w:line="168" w:lineRule="auto"/>
              <w:ind w:left="0" w:right="34" w:firstLine="0"/>
              <w:jc w:val="left"/>
              <w:rPr>
                <w:rtl w:val="0"/>
              </w:rPr>
            </w:pPr>
            <w:r>
              <w:rPr>
                <w:rFonts w:ascii="Calibri" w:hAnsi="Calibri"/>
                <w:b w:val="1"/>
                <w:bCs w:val="1"/>
                <w:sz w:val="24"/>
                <w:szCs w:val="24"/>
                <w:shd w:val="nil" w:color="auto" w:fill="auto"/>
                <w:rtl w:val="0"/>
                <w:lang w:val="en-US"/>
              </w:rPr>
              <w:t>(as a substitute for your signature) to confirm that you agree to the above declaration.</w:t>
            </w:r>
          </w:p>
        </w:tc>
      </w:tr>
      <w:tr>
        <w:tblPrEx>
          <w:shd w:val="clear" w:color="auto" w:fill="ced7e7"/>
        </w:tblPrEx>
        <w:trPr>
          <w:trHeight w:val="443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before="0"/>
              <w:jc w:val="left"/>
              <w:rPr>
                <w:rFonts w:ascii="Arial" w:cs="Arial" w:hAnsi="Arial" w:eastAsia="Arial"/>
                <w:u w:color="000000"/>
                <w:shd w:val="nil" w:color="auto" w:fill="auto"/>
              </w:rPr>
            </w:pPr>
            <w:r>
              <w:rPr>
                <w:rFonts w:ascii="Arial" w:hAnsi="Arial"/>
                <w:b w:val="1"/>
                <w:bCs w:val="1"/>
                <w:u w:color="000000"/>
                <w:shd w:val="nil" w:color="auto" w:fill="auto"/>
                <w:rtl w:val="0"/>
                <w:lang w:val="en-US"/>
              </w:rPr>
              <w:t>Assignment Mark</w:t>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Arial" w:hAnsi="Arial"/>
                <w:sz w:val="20"/>
                <w:szCs w:val="20"/>
                <w:u w:color="000000"/>
                <w:shd w:val="nil" w:color="auto" w:fill="auto"/>
                <w:rtl w:val="0"/>
              </w:rPr>
              <w:t>1</w:t>
            </w:r>
            <w:r>
              <w:rPr>
                <w:rFonts w:ascii="Arial" w:hAnsi="Arial"/>
                <w:sz w:val="20"/>
                <w:szCs w:val="20"/>
                <w:u w:color="000000"/>
                <w:shd w:val="nil" w:color="auto" w:fill="auto"/>
                <w:vertAlign w:val="superscript"/>
                <w:rtl w:val="0"/>
              </w:rPr>
              <w:t>st</w:t>
            </w:r>
            <w:r>
              <w:rPr>
                <w:rFonts w:ascii="Arial" w:hAnsi="Arial"/>
                <w:sz w:val="20"/>
                <w:szCs w:val="20"/>
                <w:u w:color="000000"/>
                <w:shd w:val="nil" w:color="auto" w:fill="auto"/>
                <w:rtl w:val="0"/>
              </w:rPr>
              <w:t xml:space="preserve"> Marker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en-US"/>
              </w:rPr>
              <w:t>s Provisional mark</w:t>
              <w:tab/>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Arial" w:hAnsi="Arial"/>
                <w:sz w:val="20"/>
                <w:szCs w:val="20"/>
                <w:u w:color="000000"/>
                <w:shd w:val="nil" w:color="auto" w:fill="auto"/>
                <w:rtl w:val="0"/>
              </w:rPr>
              <w:t>2</w:t>
            </w:r>
            <w:r>
              <w:rPr>
                <w:rFonts w:ascii="Arial" w:hAnsi="Arial"/>
                <w:sz w:val="20"/>
                <w:szCs w:val="20"/>
                <w:u w:color="000000"/>
                <w:shd w:val="nil" w:color="auto" w:fill="auto"/>
                <w:vertAlign w:val="superscript"/>
                <w:rtl w:val="0"/>
              </w:rPr>
              <w:t>nd</w:t>
            </w:r>
            <w:r>
              <w:rPr>
                <w:rFonts w:ascii="Arial" w:hAnsi="Arial"/>
                <w:sz w:val="20"/>
                <w:szCs w:val="20"/>
                <w:u w:color="000000"/>
                <w:shd w:val="nil" w:color="auto" w:fill="auto"/>
                <w:rtl w:val="0"/>
              </w:rPr>
              <w:t xml:space="preserve"> Marker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it-IT"/>
              </w:rPr>
              <w:t>s/Moderator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en-US"/>
              </w:rPr>
              <w:t>s provisional mark</w:t>
              <w:tab/>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Arial" w:hAnsi="Arial"/>
                <w:sz w:val="20"/>
                <w:szCs w:val="20"/>
                <w:u w:color="000000"/>
                <w:shd w:val="nil" w:color="auto" w:fill="auto"/>
                <w:rtl w:val="0"/>
                <w:lang w:val="pt-PT"/>
              </w:rPr>
              <w:t>External Examiner</w:t>
            </w:r>
            <w:r>
              <w:rPr>
                <w:rFonts w:ascii="Arial" w:hAnsi="Arial" w:hint="default"/>
                <w:sz w:val="20"/>
                <w:szCs w:val="20"/>
                <w:u w:color="000000"/>
                <w:shd w:val="nil" w:color="auto" w:fill="auto"/>
                <w:rtl w:val="1"/>
              </w:rPr>
              <w:t>’</w:t>
            </w:r>
            <w:r>
              <w:rPr>
                <w:rFonts w:ascii="Arial" w:hAnsi="Arial"/>
                <w:sz w:val="20"/>
                <w:szCs w:val="20"/>
                <w:u w:color="000000"/>
                <w:shd w:val="nil" w:color="auto" w:fill="auto"/>
                <w:rtl w:val="0"/>
                <w:lang w:val="en-US"/>
              </w:rPr>
              <w:t>s mark (if relevant)</w:t>
              <w:tab/>
            </w:r>
          </w:p>
          <w:p>
            <w:pPr>
              <w:pStyle w:val="Body"/>
              <w:bidi w:val="0"/>
              <w:spacing w:before="0"/>
              <w:ind w:left="0" w:right="0" w:firstLine="0"/>
              <w:jc w:val="left"/>
              <w:rPr>
                <w:rFonts w:ascii="Arial" w:cs="Arial" w:hAnsi="Arial" w:eastAsia="Arial"/>
                <w:sz w:val="20"/>
                <w:szCs w:val="20"/>
                <w:u w:color="000000"/>
                <w:shd w:val="nil" w:color="auto" w:fill="auto"/>
                <w:rtl w:val="0"/>
              </w:rPr>
            </w:pPr>
          </w:p>
          <w:p>
            <w:pPr>
              <w:pStyle w:val="Body"/>
              <w:bidi w:val="0"/>
              <w:spacing w:before="0"/>
              <w:ind w:left="0" w:right="0" w:firstLine="0"/>
              <w:jc w:val="left"/>
              <w:rPr>
                <w:rFonts w:ascii="Times New Roman" w:cs="Times New Roman" w:hAnsi="Times New Roman" w:eastAsia="Times New Roman"/>
                <w:u w:color="000000"/>
                <w:shd w:val="nil" w:color="auto" w:fill="auto"/>
                <w:rtl w:val="0"/>
              </w:rPr>
            </w:pPr>
            <w:r>
              <w:rPr>
                <w:rFonts w:ascii="Arial" w:hAnsi="Arial"/>
                <w:b w:val="1"/>
                <w:bCs w:val="1"/>
                <w:sz w:val="20"/>
                <w:szCs w:val="20"/>
                <w:u w:color="000000"/>
                <w:shd w:val="nil" w:color="auto" w:fill="auto"/>
                <w:rtl w:val="0"/>
                <w:lang w:val="pt-PT"/>
              </w:rPr>
              <w:t>Final Mark</w:t>
            </w:r>
          </w:p>
          <w:p>
            <w:pPr>
              <w:pStyle w:val="Body"/>
              <w:bidi w:val="0"/>
              <w:spacing w:before="0"/>
              <w:ind w:left="0" w:right="0" w:firstLine="0"/>
              <w:jc w:val="left"/>
              <w:rPr>
                <w:rFonts w:ascii="Arial" w:cs="Arial" w:hAnsi="Arial" w:eastAsia="Arial"/>
                <w:sz w:val="20"/>
                <w:szCs w:val="20"/>
                <w:u w:color="000000"/>
                <w:shd w:val="nil" w:color="auto" w:fill="auto"/>
                <w:rtl w:val="0"/>
              </w:rPr>
            </w:pPr>
            <w:r>
              <w:rPr>
                <w:rFonts w:ascii="Times New Roman" w:cs="Times New Roman" w:hAnsi="Times New Roman" w:eastAsia="Times New Roman"/>
                <w:sz w:val="20"/>
                <w:szCs w:val="20"/>
                <w:u w:color="000000"/>
                <w:shd w:val="nil" w:color="auto" w:fill="auto"/>
                <w:rtl w:val="0"/>
              </w:rPr>
              <w:tab/>
            </w:r>
          </w:p>
          <w:p>
            <w:pPr>
              <w:pStyle w:val="Normal (Web)"/>
              <w:bidi w:val="0"/>
              <w:spacing w:before="0" w:after="0"/>
              <w:ind w:left="142" w:right="0" w:firstLine="0"/>
              <w:jc w:val="left"/>
              <w:rPr>
                <w:rFonts w:ascii="Arial" w:cs="Arial" w:hAnsi="Arial" w:eastAsia="Arial"/>
                <w:sz w:val="22"/>
                <w:szCs w:val="22"/>
                <w:shd w:val="nil" w:color="auto" w:fill="auto"/>
                <w:rtl w:val="0"/>
              </w:rPr>
            </w:pPr>
            <w:r>
              <w:rPr>
                <w:rFonts w:ascii="Arial" w:hAnsi="Arial"/>
                <w:b w:val="1"/>
                <w:bCs w:val="1"/>
                <w:sz w:val="22"/>
                <w:szCs w:val="22"/>
                <w:shd w:val="nil" w:color="auto" w:fill="auto"/>
                <w:rtl w:val="0"/>
                <w:lang w:val="en-US"/>
              </w:rPr>
              <w:t>NB.</w:t>
            </w:r>
            <w:r>
              <w:rPr>
                <w:rFonts w:ascii="Arial" w:hAnsi="Arial"/>
                <w:sz w:val="22"/>
                <w:szCs w:val="22"/>
                <w:shd w:val="nil" w:color="auto" w:fill="auto"/>
                <w:rtl w:val="0"/>
                <w:lang w:val="en-US"/>
              </w:rPr>
              <w:t xml:space="preserve">  All marks are provisional until confirmed by the Final Examination Board.</w:t>
            </w:r>
          </w:p>
          <w:p>
            <w:pPr>
              <w:pStyle w:val="Normal (Web)"/>
              <w:spacing w:before="0" w:after="0"/>
              <w:rPr>
                <w:rFonts w:ascii="Arial" w:cs="Arial" w:hAnsi="Arial" w:eastAsia="Arial"/>
                <w:b w:val="1"/>
                <w:bCs w:val="1"/>
                <w:sz w:val="22"/>
                <w:szCs w:val="22"/>
                <w:shd w:val="nil" w:color="auto" w:fill="auto"/>
              </w:rPr>
            </w:pPr>
          </w:p>
          <w:p>
            <w:pPr>
              <w:pStyle w:val="Normal (Web)"/>
              <w:bidi w:val="0"/>
              <w:spacing w:before="0" w:after="0"/>
              <w:ind w:left="0" w:right="0" w:firstLine="0"/>
              <w:jc w:val="left"/>
              <w:rPr>
                <w:rFonts w:ascii="Arial" w:cs="Arial" w:hAnsi="Arial" w:eastAsia="Arial"/>
                <w:b w:val="1"/>
                <w:bCs w:val="1"/>
                <w:sz w:val="22"/>
                <w:szCs w:val="22"/>
                <w:shd w:val="nil" w:color="auto" w:fill="auto"/>
                <w:rtl w:val="0"/>
              </w:rPr>
            </w:pPr>
            <w:r>
              <w:rPr>
                <w:rFonts w:ascii="Arial" w:hAnsi="Arial"/>
                <w:b w:val="1"/>
                <w:bCs w:val="1"/>
                <w:sz w:val="22"/>
                <w:szCs w:val="22"/>
                <w:shd w:val="nil" w:color="auto" w:fill="auto"/>
                <w:rtl w:val="0"/>
                <w:lang w:val="en-US"/>
              </w:rPr>
              <w:t xml:space="preserve">            ALL COMMENTS ARE  ON THE PDF OF YOUR PAPER IN TURNITIN </w:t>
            </w:r>
          </w:p>
          <w:p>
            <w:pPr>
              <w:pStyle w:val="Normal (Web)"/>
              <w:spacing w:before="0" w:after="0"/>
              <w:rPr>
                <w:rFonts w:ascii="Arial" w:cs="Arial" w:hAnsi="Arial" w:eastAsia="Arial"/>
                <w:b w:val="1"/>
                <w:bCs w:val="1"/>
                <w:sz w:val="22"/>
                <w:szCs w:val="22"/>
                <w:shd w:val="nil" w:color="auto" w:fill="auto"/>
              </w:rPr>
            </w:pPr>
          </w:p>
          <w:p>
            <w:pPr>
              <w:pStyle w:val="Normal (Web)"/>
              <w:bidi w:val="0"/>
              <w:spacing w:before="0" w:after="0"/>
              <w:ind w:left="0" w:right="0" w:firstLine="0"/>
              <w:jc w:val="left"/>
              <w:rPr>
                <w:shd w:val="nil" w:color="auto" w:fill="auto"/>
                <w:rtl w:val="0"/>
              </w:rPr>
            </w:pPr>
            <w:r>
              <w:rPr>
                <w:rFonts w:ascii="Arial" w:hAnsi="Arial"/>
                <w:b w:val="1"/>
                <w:bCs w:val="1"/>
                <w:sz w:val="22"/>
                <w:szCs w:val="22"/>
                <w:shd w:val="nil" w:color="auto" w:fill="auto"/>
                <w:rtl w:val="0"/>
                <w:lang w:val="en-US"/>
              </w:rPr>
              <w:t>For completion by Marker 1 :</w:t>
            </w:r>
          </w:p>
          <w:p>
            <w:pPr>
              <w:pStyle w:val="Normal (Web)"/>
              <w:bidi w:val="0"/>
              <w:spacing w:before="0" w:after="0"/>
              <w:ind w:left="0" w:right="0" w:firstLine="0"/>
              <w:jc w:val="left"/>
              <w:rPr>
                <w:rFonts w:ascii="Georgia" w:cs="Georgia" w:hAnsi="Georgia" w:eastAsia="Georgia"/>
                <w:sz w:val="22"/>
                <w:szCs w:val="22"/>
                <w:shd w:val="nil" w:color="auto" w:fill="auto"/>
                <w:rtl w:val="0"/>
              </w:rPr>
            </w:pPr>
          </w:p>
          <w:p>
            <w:pPr>
              <w:pStyle w:val="Normal (Web)"/>
              <w:bidi w:val="0"/>
              <w:spacing w:before="0" w:after="0"/>
              <w:ind w:left="0" w:right="0" w:firstLine="0"/>
              <w:jc w:val="left"/>
              <w:rPr>
                <w:rFonts w:ascii="Arial" w:cs="Arial" w:hAnsi="Arial" w:eastAsia="Arial"/>
                <w:sz w:val="22"/>
                <w:szCs w:val="22"/>
                <w:shd w:val="nil" w:color="auto" w:fill="auto"/>
                <w:rtl w:val="0"/>
              </w:rPr>
            </w:pPr>
            <w:r>
              <w:rPr>
                <w:rFonts w:ascii="Arial" w:hAnsi="Arial"/>
                <w:sz w:val="22"/>
                <w:szCs w:val="22"/>
                <w:shd w:val="nil" w:color="auto" w:fill="auto"/>
                <w:rtl w:val="0"/>
                <w:lang w:val="en-US"/>
              </w:rPr>
              <w:t>Comments:</w:t>
            </w:r>
          </w:p>
          <w:p>
            <w:pPr>
              <w:pStyle w:val="Normal (Web)"/>
              <w:spacing w:before="0" w:after="0"/>
            </w:pPr>
            <w:r>
              <w:rPr>
                <w:shd w:val="nil" w:color="auto" w:fill="auto"/>
              </w:rPr>
            </w:r>
          </w:p>
        </w:tc>
      </w:tr>
      <w:tr>
        <w:tblPrEx>
          <w:shd w:val="clear" w:color="auto" w:fill="ced7e7"/>
        </w:tblPrEx>
        <w:trPr>
          <w:trHeight w:val="243"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80"/>
            </w:tcMar>
            <w:vAlign w:val="top"/>
          </w:tcPr>
          <w:p>
            <w:pPr>
              <w:pStyle w:val="Normal (Web)"/>
              <w:spacing w:before="0" w:after="0"/>
            </w:pPr>
            <w:r>
              <w:rPr>
                <w:rFonts w:ascii="Arial" w:hAnsi="Arial"/>
                <w:sz w:val="22"/>
                <w:szCs w:val="22"/>
                <w:shd w:val="nil" w:color="auto" w:fill="auto"/>
                <w:rtl w:val="0"/>
              </w:rPr>
              <w:t>Marker</w:t>
            </w:r>
            <w:r>
              <w:rPr>
                <w:rFonts w:ascii="Arial" w:hAnsi="Arial" w:hint="default"/>
                <w:sz w:val="22"/>
                <w:szCs w:val="22"/>
                <w:shd w:val="nil" w:color="auto" w:fill="auto"/>
                <w:rtl w:val="1"/>
              </w:rPr>
              <w:t>’</w:t>
            </w:r>
            <w:r>
              <w:rPr>
                <w:rFonts w:ascii="Arial" w:hAnsi="Arial"/>
                <w:sz w:val="22"/>
                <w:szCs w:val="22"/>
                <w:shd w:val="nil" w:color="auto" w:fill="auto"/>
                <w:rtl w:val="0"/>
                <w:lang w:val="en-US"/>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80"/>
            </w:tcMar>
            <w:vAlign w:val="top"/>
          </w:tcPr>
          <w:p>
            <w:pPr>
              <w:pStyle w:val="Normal (Web)"/>
              <w:spacing w:before="0" w:after="0"/>
              <w:ind w:left="142" w:firstLine="0"/>
            </w:pPr>
            <w:r>
              <w:rPr>
                <w:rFonts w:ascii="Arial" w:hAnsi="Arial"/>
                <w:sz w:val="22"/>
                <w:szCs w:val="22"/>
                <w:shd w:val="nil" w:color="auto" w:fill="auto"/>
                <w:rtl w:val="0"/>
                <w:lang w:val="de-DE"/>
              </w:rPr>
              <w:t>Date:</w:t>
            </w:r>
          </w:p>
        </w:tc>
      </w:tr>
      <w:tr>
        <w:tblPrEx>
          <w:shd w:val="clear" w:color="auto" w:fill="ced7e7"/>
        </w:tblPrEx>
        <w:trPr>
          <w:trHeight w:val="120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bidi w:val="0"/>
              <w:spacing w:before="0" w:after="0"/>
              <w:ind w:left="0" w:right="0" w:firstLine="0"/>
              <w:jc w:val="left"/>
              <w:rPr>
                <w:shd w:val="nil" w:color="auto" w:fill="auto"/>
                <w:rtl w:val="0"/>
              </w:rPr>
            </w:pPr>
            <w:r>
              <w:rPr>
                <w:rFonts w:ascii="Arial" w:hAnsi="Arial"/>
                <w:b w:val="1"/>
                <w:bCs w:val="1"/>
                <w:sz w:val="22"/>
                <w:szCs w:val="22"/>
                <w:shd w:val="nil" w:color="auto" w:fill="auto"/>
                <w:rtl w:val="0"/>
                <w:lang w:val="en-US"/>
              </w:rPr>
              <w:t>For completion by Marker 2/Moderator:</w:t>
            </w:r>
          </w:p>
          <w:p>
            <w:pPr>
              <w:pStyle w:val="Normal (Web)"/>
              <w:spacing w:before="0" w:after="0"/>
              <w:rPr>
                <w:rFonts w:ascii="Arial" w:cs="Arial" w:hAnsi="Arial" w:eastAsia="Arial"/>
                <w:b w:val="1"/>
                <w:bCs w:val="1"/>
                <w:sz w:val="22"/>
                <w:szCs w:val="22"/>
                <w:shd w:val="nil" w:color="auto" w:fill="auto"/>
              </w:rPr>
            </w:pPr>
          </w:p>
          <w:p>
            <w:pPr>
              <w:pStyle w:val="Normal (Web)"/>
              <w:bidi w:val="0"/>
              <w:spacing w:before="0" w:after="0"/>
              <w:ind w:left="0" w:right="0" w:firstLine="0"/>
              <w:jc w:val="left"/>
              <w:rPr>
                <w:shd w:val="nil" w:color="auto" w:fill="auto"/>
                <w:rtl w:val="0"/>
              </w:rPr>
            </w:pPr>
            <w:r>
              <w:rPr>
                <w:rFonts w:ascii="Arial" w:hAnsi="Arial"/>
                <w:sz w:val="22"/>
                <w:szCs w:val="22"/>
                <w:shd w:val="nil" w:color="auto" w:fill="auto"/>
                <w:rtl w:val="0"/>
                <w:lang w:val="en-US"/>
              </w:rPr>
              <w:t>Comments:</w:t>
            </w:r>
          </w:p>
          <w:p>
            <w:pPr>
              <w:pStyle w:val="Normal (Web)"/>
              <w:spacing w:before="0" w:after="0"/>
            </w:pPr>
            <w:r>
              <w:rPr>
                <w:rFonts w:ascii="Arial" w:cs="Arial" w:hAnsi="Arial" w:eastAsia="Arial"/>
                <w:sz w:val="22"/>
                <w:szCs w:val="22"/>
                <w:shd w:val="nil" w:color="auto" w:fill="auto"/>
              </w:rPr>
            </w:r>
          </w:p>
        </w:tc>
      </w:tr>
      <w:tr>
        <w:tblPrEx>
          <w:shd w:val="clear" w:color="auto" w:fill="ced7e7"/>
        </w:tblPrEx>
        <w:trPr>
          <w:trHeight w:val="243"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pPr>
            <w:r>
              <w:rPr>
                <w:rFonts w:ascii="Arial" w:hAnsi="Arial"/>
                <w:sz w:val="22"/>
                <w:szCs w:val="22"/>
                <w:shd w:val="nil" w:color="auto" w:fill="auto"/>
                <w:rtl w:val="0"/>
              </w:rPr>
              <w:t>Marker</w:t>
            </w:r>
            <w:r>
              <w:rPr>
                <w:rFonts w:ascii="Arial" w:hAnsi="Arial" w:hint="default"/>
                <w:sz w:val="22"/>
                <w:szCs w:val="22"/>
                <w:shd w:val="nil" w:color="auto" w:fill="auto"/>
                <w:rtl w:val="1"/>
              </w:rPr>
              <w:t>’</w:t>
            </w:r>
            <w:r>
              <w:rPr>
                <w:rFonts w:ascii="Arial" w:hAnsi="Arial"/>
                <w:sz w:val="22"/>
                <w:szCs w:val="22"/>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Normal (Web)"/>
              <w:spacing w:before="0" w:after="0"/>
            </w:pPr>
            <w:r>
              <w:rPr>
                <w:rFonts w:ascii="Arial" w:hAnsi="Arial"/>
                <w:sz w:val="22"/>
                <w:szCs w:val="22"/>
                <w:shd w:val="nil" w:color="auto" w:fill="auto"/>
                <w:rtl w:val="0"/>
                <w:lang w:val="de-DE"/>
              </w:rPr>
              <w:t>Date:</w:t>
            </w:r>
          </w:p>
        </w:tc>
      </w:tr>
      <w:tr>
        <w:tblPrEx>
          <w:shd w:val="clear" w:color="auto" w:fill="ced7e7"/>
        </w:tblPrEx>
        <w:trPr>
          <w:trHeight w:val="56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b w:val="1"/>
                <w:bCs w:val="1"/>
                <w:sz w:val="22"/>
                <w:szCs w:val="22"/>
                <w:u w:color="000000"/>
                <w:shd w:val="nil" w:color="auto" w:fill="auto"/>
                <w:rtl w:val="0"/>
                <w:lang w:val="pt-PT"/>
              </w:rPr>
              <w:t>External Examiner</w:t>
            </w:r>
            <w:r>
              <w:rPr>
                <w:rFonts w:ascii="Arial" w:hAnsi="Arial" w:hint="default"/>
                <w:b w:val="1"/>
                <w:bCs w:val="1"/>
                <w:sz w:val="22"/>
                <w:szCs w:val="22"/>
                <w:u w:color="000000"/>
                <w:shd w:val="nil" w:color="auto" w:fill="auto"/>
                <w:rtl w:val="1"/>
              </w:rPr>
              <w:t>’</w:t>
            </w:r>
            <w:r>
              <w:rPr>
                <w:rFonts w:ascii="Arial" w:hAnsi="Arial"/>
                <w:b w:val="1"/>
                <w:bCs w:val="1"/>
                <w:sz w:val="22"/>
                <w:szCs w:val="22"/>
                <w:u w:color="000000"/>
                <w:shd w:val="nil" w:color="auto" w:fill="auto"/>
                <w:rtl w:val="0"/>
                <w:lang w:val="en-US"/>
              </w:rPr>
              <w:t>s comments (if relevant)</w:t>
            </w:r>
            <w:r>
              <w:rPr>
                <w:rFonts w:ascii="Times New Roman" w:cs="Times New Roman" w:hAnsi="Times New Roman" w:eastAsia="Times New Roman"/>
                <w:u w:color="000000"/>
                <w:shd w:val="nil" w:color="auto" w:fill="auto"/>
                <w:rtl w:val="0"/>
              </w:rPr>
            </w:r>
          </w:p>
        </w:tc>
      </w:tr>
      <w:tr>
        <w:tblPrEx>
          <w:shd w:val="clear" w:color="auto" w:fill="ced7e7"/>
        </w:tblPrEx>
        <w:trPr>
          <w:trHeight w:val="243"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sz w:val="22"/>
                <w:szCs w:val="22"/>
                <w:u w:color="000000"/>
                <w:shd w:val="nil" w:color="auto" w:fill="auto"/>
                <w:rtl w:val="0"/>
                <w:lang w:val="pt-PT"/>
              </w:rPr>
              <w:t>External Examiner</w:t>
            </w:r>
            <w:r>
              <w:rPr>
                <w:rFonts w:ascii="Arial" w:hAnsi="Arial" w:hint="default"/>
                <w:sz w:val="22"/>
                <w:szCs w:val="22"/>
                <w:u w:color="000000"/>
                <w:shd w:val="nil" w:color="auto" w:fill="auto"/>
                <w:rtl w:val="1"/>
              </w:rPr>
              <w:t>’</w:t>
            </w:r>
            <w:r>
              <w:rPr>
                <w:rFonts w:ascii="Arial" w:hAnsi="Arial"/>
                <w:sz w:val="22"/>
                <w:szCs w:val="22"/>
                <w:u w:color="000000"/>
                <w:shd w:val="nil" w:color="auto" w:fill="auto"/>
                <w:rtl w:val="0"/>
                <w:lang w:val="en-US"/>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bidi w:val="0"/>
              <w:spacing w:before="0"/>
              <w:ind w:left="0" w:right="0" w:firstLine="0"/>
              <w:jc w:val="left"/>
              <w:rPr>
                <w:rtl w:val="0"/>
              </w:rPr>
            </w:pPr>
            <w:r>
              <w:rPr>
                <w:rFonts w:ascii="Arial" w:hAnsi="Arial"/>
                <w:sz w:val="22"/>
                <w:szCs w:val="22"/>
                <w:u w:color="000000"/>
                <w:shd w:val="nil" w:color="auto" w:fill="auto"/>
                <w:rtl w:val="0"/>
                <w:lang w:val="de-DE"/>
              </w:rPr>
              <w:t>Date:</w:t>
            </w:r>
          </w:p>
        </w:tc>
      </w:tr>
    </w:tbl>
    <w:p>
      <w:pPr>
        <w:pStyle w:val="Heading 3"/>
        <w:keepNext w:val="0"/>
        <w:widowControl w:val="0"/>
        <w:ind w:left="0" w:firstLine="0"/>
        <w:jc w:val="center"/>
        <w:rPr>
          <w:rFonts w:ascii="Trebuchet MS" w:cs="Trebuchet MS" w:hAnsi="Trebuchet MS" w:eastAsia="Trebuchet MS"/>
        </w:rPr>
      </w:pPr>
    </w:p>
    <w:p>
      <w:pPr>
        <w:pStyle w:val="Heading 3"/>
        <w:keepNext w:val="0"/>
        <w:widowControl w:val="0"/>
        <w:ind w:left="0" w:firstLine="0"/>
        <w:jc w:val="center"/>
        <w:rPr>
          <w:rFonts w:ascii="Trebuchet MS" w:cs="Trebuchet MS" w:hAnsi="Trebuchet MS" w:eastAsia="Trebuchet MS"/>
        </w:rPr>
      </w:pPr>
    </w:p>
    <w:p>
      <w:pPr>
        <w:pStyle w:val="Heading 3"/>
        <w:keepNext w:val="0"/>
        <w:widowControl w:val="0"/>
        <w:ind w:left="0" w:firstLine="0"/>
        <w:jc w:val="center"/>
        <w:rPr>
          <w:rFonts w:ascii="Trebuchet MS" w:cs="Trebuchet MS" w:hAnsi="Trebuchet MS" w:eastAsia="Trebuchet MS"/>
        </w:rPr>
      </w:pPr>
    </w:p>
    <w:p>
      <w:pPr>
        <w:pStyle w:val="Heading 3"/>
        <w:widowControl w:val="0"/>
        <w:ind w:left="0" w:firstLine="0"/>
        <w:jc w:val="center"/>
        <w:rPr>
          <w:rFonts w:ascii="Trebuchet MS" w:cs="Trebuchet MS" w:hAnsi="Trebuchet MS" w:eastAsia="Trebuchet MS"/>
        </w:rPr>
      </w:pPr>
    </w:p>
    <w:p>
      <w:pPr>
        <w:pStyle w:val="Heading 3"/>
        <w:widowControl w:val="0"/>
        <w:ind w:left="0" w:firstLine="0"/>
        <w:jc w:val="center"/>
        <w:sectPr>
          <w:headerReference w:type="default" r:id="rId5"/>
          <w:footerReference w:type="default" r:id="rId6"/>
          <w:pgSz w:w="12240" w:h="15840" w:orient="portrait"/>
          <w:pgMar w:top="1134" w:right="1134" w:bottom="1134" w:left="1134" w:header="567" w:footer="720"/>
          <w:pgNumType w:start="1"/>
          <w:bidi w:val="0"/>
        </w:sectPr>
      </w:pP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32"/>
          <w:szCs w:val="32"/>
        </w:rPr>
      </w:pPr>
      <w:r>
        <w:rPr>
          <w:rFonts w:ascii="Palatino" w:hAnsi="Palatino"/>
          <w:sz w:val="32"/>
          <w:szCs w:val="32"/>
          <w:rtl w:val="0"/>
          <w:lang w:val="en-US"/>
        </w:rPr>
        <w:t>A Critical Comparison of Two Secondary Sources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(2250 words)</w:t>
      </w: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6"/>
          <w:szCs w:val="26"/>
        </w:rPr>
      </w:pPr>
      <w:r>
        <w:rPr>
          <w:rFonts w:ascii="Palatino" w:hAnsi="Palatino"/>
          <w:sz w:val="26"/>
          <w:szCs w:val="26"/>
          <w:rtl w:val="0"/>
          <w:lang w:val="en-US"/>
        </w:rPr>
        <w:t>Tina Jensen Friis Auster</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Sophia Centre for the Study of Cosmology in Culture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University of Wales Trinity Saint David, Institute of Education and Humanities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32"/>
          <w:szCs w:val="3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32"/>
          <w:szCs w:val="3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32"/>
          <w:szCs w:val="3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Introduction</w:t>
      </w:r>
    </w:p>
    <w:p>
      <w:pPr>
        <w:pStyle w:val="Body"/>
        <w:spacing w:before="0"/>
        <w:rPr>
          <w:rFonts w:ascii="Palatino" w:cs="Palatino" w:hAnsi="Palatino" w:eastAsia="Palatino"/>
          <w:sz w:val="22"/>
          <w:szCs w:val="22"/>
        </w:rPr>
      </w:pPr>
      <w:r>
        <w:rPr>
          <w:rFonts w:ascii="Palatino" w:hAnsi="Palatino"/>
          <w:sz w:val="22"/>
          <w:szCs w:val="22"/>
          <w:rtl w:val="0"/>
          <w:lang w:val="en-US"/>
        </w:rPr>
        <w:t>This essay will c</w:t>
      </w:r>
      <w:r>
        <w:rPr>
          <w:rFonts w:ascii="Palatino" w:hAnsi="Palatino"/>
          <w:sz w:val="22"/>
          <w:szCs w:val="22"/>
          <w:rtl w:val="0"/>
        </w:rPr>
        <w:t>ompare and contrast Mircea Eliade</w:t>
      </w:r>
      <w:r>
        <w:rPr>
          <w:rFonts w:ascii="Palatino" w:hAnsi="Palatino" w:hint="default"/>
          <w:sz w:val="22"/>
          <w:szCs w:val="22"/>
          <w:rtl w:val="0"/>
          <w:lang w:val="en-US"/>
        </w:rPr>
        <w:t>’</w:t>
      </w:r>
      <w:r>
        <w:rPr>
          <w:rFonts w:ascii="Palatino" w:hAnsi="Palatino"/>
          <w:sz w:val="22"/>
          <w:szCs w:val="22"/>
          <w:rtl w:val="0"/>
          <w:lang w:val="en-US"/>
        </w:rPr>
        <w:t>s</w:t>
      </w:r>
      <w:r>
        <w:rPr>
          <w:rFonts w:ascii="Palatino" w:hAnsi="Palatino"/>
          <w:sz w:val="22"/>
          <w:szCs w:val="22"/>
          <w:rtl w:val="0"/>
          <w:lang w:val="de-DE"/>
        </w:rPr>
        <w:t xml:space="preserve"> and Emile Durkheim</w:t>
      </w:r>
      <w:r>
        <w:rPr>
          <w:rFonts w:ascii="Palatino" w:hAnsi="Palatino" w:hint="default"/>
          <w:sz w:val="22"/>
          <w:szCs w:val="22"/>
          <w:rtl w:val="1"/>
        </w:rPr>
        <w:t>’</w:t>
      </w:r>
      <w:r>
        <w:rPr>
          <w:rFonts w:ascii="Palatino" w:hAnsi="Palatino"/>
          <w:sz w:val="22"/>
          <w:szCs w:val="22"/>
          <w:rtl w:val="0"/>
          <w:lang w:val="en-US"/>
        </w:rPr>
        <w:t>s views of sacred space</w:t>
      </w:r>
      <w:r>
        <w:rPr>
          <w:rFonts w:ascii="Palatino" w:hAnsi="Palatino"/>
          <w:sz w:val="22"/>
          <w:szCs w:val="22"/>
          <w:rtl w:val="0"/>
          <w:lang w:val="en-US"/>
        </w:rPr>
        <w:t xml:space="preserve">. For this purpose the essay has compared </w:t>
      </w:r>
      <w:r>
        <w:rPr>
          <w:rFonts w:ascii="Palatino" w:hAnsi="Palatino"/>
          <w:sz w:val="22"/>
          <w:szCs w:val="22"/>
          <w:rtl w:val="0"/>
          <w:lang w:val="da-DK"/>
        </w:rPr>
        <w:t>the two secondary sources</w:t>
      </w:r>
      <w:r>
        <w:rPr>
          <w:rFonts w:ascii="Palatino" w:hAnsi="Palatino"/>
          <w:sz w:val="22"/>
          <w:szCs w:val="22"/>
          <w:rtl w:val="0"/>
          <w:lang w:val="en-US"/>
        </w:rPr>
        <w:t xml:space="preserve"> by Eliade </w:t>
      </w:r>
      <w:r>
        <w:rPr>
          <w:rFonts w:ascii="Palatino" w:cs="Palatino" w:hAnsi="Palatino" w:eastAsia="Palatino"/>
          <w:sz w:val="22"/>
          <w:szCs w:val="22"/>
          <w:vertAlign w:val="superscript"/>
        </w:rPr>
        <w:footnoteReference w:id="1"/>
      </w:r>
      <w:r>
        <w:rPr>
          <w:rFonts w:ascii="Palatino" w:hAnsi="Palatino"/>
          <w:sz w:val="22"/>
          <w:szCs w:val="22"/>
          <w:rtl w:val="0"/>
          <w:lang w:val="en-US"/>
        </w:rPr>
        <w:t xml:space="preserve"> and by Durkheim. </w:t>
      </w:r>
      <w:r>
        <w:rPr>
          <w:rFonts w:ascii="Palatino" w:cs="Palatino" w:hAnsi="Palatino" w:eastAsia="Palatino"/>
          <w:sz w:val="22"/>
          <w:szCs w:val="22"/>
          <w:vertAlign w:val="superscript"/>
        </w:rPr>
        <w:footnoteReference w:id="2"/>
      </w:r>
      <w:r>
        <w:rPr>
          <w:rFonts w:ascii="Palatino" w:hAnsi="Palatino"/>
          <w:sz w:val="22"/>
          <w:szCs w:val="22"/>
          <w:rtl w:val="0"/>
          <w:lang w:val="en-US"/>
        </w:rPr>
        <w:t xml:space="preserve"> These sources have further been compared and contrasted with other scholarly papers on sacred space.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Pr>
        <w:tab/>
      </w:r>
      <w:r>
        <w:rPr>
          <w:rFonts w:ascii="Palatino" w:hAnsi="Palatino"/>
          <w:sz w:val="22"/>
          <w:szCs w:val="22"/>
          <w:rtl w:val="0"/>
          <w:lang w:val="en-US"/>
        </w:rPr>
        <w:t>Eliade</w:t>
      </w:r>
      <w:r>
        <w:rPr>
          <w:rFonts w:ascii="Palatino" w:hAnsi="Palatino" w:hint="default"/>
          <w:sz w:val="22"/>
          <w:szCs w:val="22"/>
          <w:rtl w:val="0"/>
          <w:lang w:val="en-US"/>
        </w:rPr>
        <w:t>’</w:t>
      </w:r>
      <w:r>
        <w:rPr>
          <w:rFonts w:ascii="Palatino" w:hAnsi="Palatino"/>
          <w:sz w:val="22"/>
          <w:szCs w:val="22"/>
          <w:rtl w:val="0"/>
          <w:lang w:val="en-US"/>
        </w:rPr>
        <w:t>s and Durkheim</w:t>
      </w:r>
      <w:r>
        <w:rPr>
          <w:rFonts w:ascii="Palatino" w:hAnsi="Palatino" w:hint="default"/>
          <w:sz w:val="22"/>
          <w:szCs w:val="22"/>
          <w:rtl w:val="0"/>
          <w:lang w:val="en-US"/>
        </w:rPr>
        <w:t>’</w:t>
      </w:r>
      <w:r>
        <w:rPr>
          <w:rFonts w:ascii="Palatino" w:hAnsi="Palatino"/>
          <w:sz w:val="22"/>
          <w:szCs w:val="22"/>
          <w:rtl w:val="0"/>
          <w:lang w:val="en-US"/>
        </w:rPr>
        <w:t xml:space="preserve">s view of sacred space, and of the sacred, is broad and complex. A full discussion requires an analysis of </w:t>
      </w:r>
      <w:r>
        <w:rPr>
          <w:rFonts w:ascii="Palatino" w:hAnsi="Palatino"/>
          <w:sz w:val="22"/>
          <w:szCs w:val="22"/>
          <w:rtl w:val="0"/>
        </w:rPr>
        <w:t>psycholog</w:t>
      </w:r>
      <w:r>
        <w:rPr>
          <w:rFonts w:ascii="Palatino" w:hAnsi="Palatino"/>
          <w:sz w:val="22"/>
          <w:szCs w:val="22"/>
          <w:rtl w:val="0"/>
          <w:lang w:val="en-US"/>
        </w:rPr>
        <w:t>ical, theological</w:t>
      </w:r>
      <w:r>
        <w:rPr>
          <w:rFonts w:ascii="Palatino" w:hAnsi="Palatino"/>
          <w:sz w:val="22"/>
          <w:szCs w:val="22"/>
          <w:rtl w:val="0"/>
          <w:lang w:val="fr-FR"/>
        </w:rPr>
        <w:t>, philosophical</w:t>
      </w:r>
      <w:r>
        <w:rPr>
          <w:rFonts w:ascii="Palatino" w:hAnsi="Palatino"/>
          <w:sz w:val="22"/>
          <w:szCs w:val="22"/>
          <w:rtl w:val="0"/>
          <w:lang w:val="en-US"/>
        </w:rPr>
        <w:t>,</w:t>
      </w:r>
      <w:r>
        <w:rPr>
          <w:rFonts w:ascii="Palatino" w:hAnsi="Palatino"/>
          <w:sz w:val="22"/>
          <w:szCs w:val="22"/>
          <w:rtl w:val="0"/>
          <w:lang w:val="en-US"/>
        </w:rPr>
        <w:t xml:space="preserve"> anthropolog</w:t>
      </w:r>
      <w:r>
        <w:rPr>
          <w:rFonts w:ascii="Palatino" w:hAnsi="Palatino"/>
          <w:sz w:val="22"/>
          <w:szCs w:val="22"/>
          <w:rtl w:val="0"/>
          <w:lang w:val="en-US"/>
        </w:rPr>
        <w:t>ical</w:t>
      </w:r>
      <w:r>
        <w:rPr>
          <w:rFonts w:ascii="Palatino" w:hAnsi="Palatino"/>
          <w:sz w:val="22"/>
          <w:szCs w:val="22"/>
          <w:rtl w:val="0"/>
        </w:rPr>
        <w:t xml:space="preserve">, </w:t>
      </w:r>
      <w:r>
        <w:rPr>
          <w:rFonts w:ascii="Palatino" w:hAnsi="Palatino"/>
          <w:sz w:val="22"/>
          <w:szCs w:val="22"/>
          <w:rtl w:val="0"/>
          <w:lang w:val="en-US"/>
        </w:rPr>
        <w:t xml:space="preserve">and </w:t>
      </w:r>
      <w:r>
        <w:rPr>
          <w:rFonts w:ascii="Palatino" w:hAnsi="Palatino"/>
          <w:sz w:val="22"/>
          <w:szCs w:val="22"/>
          <w:rtl w:val="0"/>
          <w:lang w:val="it-IT"/>
        </w:rPr>
        <w:t>phenomenolog</w:t>
      </w:r>
      <w:r>
        <w:rPr>
          <w:rFonts w:ascii="Palatino" w:hAnsi="Palatino"/>
          <w:sz w:val="22"/>
          <w:szCs w:val="22"/>
          <w:rtl w:val="0"/>
          <w:lang w:val="en-US"/>
        </w:rPr>
        <w:t>ical</w:t>
      </w:r>
      <w:r>
        <w:rPr>
          <w:rFonts w:ascii="Palatino" w:hAnsi="Palatino"/>
          <w:sz w:val="22"/>
          <w:szCs w:val="22"/>
          <w:rtl w:val="0"/>
        </w:rPr>
        <w:t xml:space="preserve"> </w:t>
      </w:r>
      <w:r>
        <w:rPr>
          <w:rFonts w:ascii="Palatino" w:hAnsi="Palatino"/>
          <w:sz w:val="22"/>
          <w:szCs w:val="22"/>
          <w:rtl w:val="0"/>
          <w:lang w:val="en-US"/>
        </w:rPr>
        <w:t xml:space="preserve">aspects, for example, </w:t>
      </w:r>
      <w:r>
        <w:rPr>
          <w:rFonts w:ascii="Palatino" w:hAnsi="Palatino"/>
          <w:sz w:val="22"/>
          <w:szCs w:val="22"/>
          <w:rtl w:val="0"/>
          <w:lang w:val="en-US"/>
        </w:rPr>
        <w:t xml:space="preserve">beliefs, values, rituals, traditions, the sacred, the profane, magic, myths, divine being, </w:t>
      </w:r>
      <w:r>
        <w:rPr>
          <w:rFonts w:ascii="Palatino" w:hAnsi="Palatino"/>
          <w:sz w:val="22"/>
          <w:szCs w:val="22"/>
          <w:rtl w:val="0"/>
          <w:lang w:val="en-US"/>
        </w:rPr>
        <w:t xml:space="preserve">space/spaces, time, </w:t>
      </w:r>
      <w:r>
        <w:rPr>
          <w:rFonts w:ascii="Palatino" w:hAnsi="Palatino"/>
          <w:sz w:val="22"/>
          <w:szCs w:val="22"/>
          <w:rtl w:val="0"/>
          <w:lang w:val="en-US"/>
        </w:rPr>
        <w:t>nature, symbolism</w:t>
      </w:r>
      <w:r>
        <w:rPr>
          <w:rFonts w:ascii="Palatino" w:hAnsi="Palatino"/>
          <w:sz w:val="22"/>
          <w:szCs w:val="22"/>
          <w:rtl w:val="0"/>
          <w:lang w:val="en-US"/>
        </w:rPr>
        <w:t xml:space="preserve">, and sense of self, to mention a few. The aspect of the sacred in itself is complex, as mentioned by R.L. Stirrat. </w:t>
      </w:r>
      <w:r>
        <w:rPr>
          <w:rFonts w:ascii="Palatino" w:cs="Palatino" w:hAnsi="Palatino" w:eastAsia="Palatino"/>
          <w:sz w:val="22"/>
          <w:szCs w:val="22"/>
          <w:vertAlign w:val="superscript"/>
        </w:rPr>
        <w:footnoteReference w:id="3"/>
      </w:r>
      <w:r>
        <w:rPr>
          <w:rFonts w:ascii="Palatino" w:hAnsi="Palatino"/>
          <w:sz w:val="22"/>
          <w:szCs w:val="22"/>
          <w:rtl w:val="0"/>
          <w:lang w:val="en-US"/>
        </w:rPr>
        <w:t xml:space="preserve"> Thus, the nature of this essay has its limitation to explore the author</w:t>
      </w:r>
      <w:r>
        <w:rPr>
          <w:rFonts w:ascii="Palatino" w:hAnsi="Palatino" w:hint="default"/>
          <w:sz w:val="22"/>
          <w:szCs w:val="22"/>
          <w:rtl w:val="0"/>
          <w:lang w:val="en-US"/>
        </w:rPr>
        <w:t>’</w:t>
      </w:r>
      <w:r>
        <w:rPr>
          <w:rFonts w:ascii="Palatino" w:hAnsi="Palatino"/>
          <w:sz w:val="22"/>
          <w:szCs w:val="22"/>
          <w:rtl w:val="0"/>
          <w:lang w:val="en-US"/>
        </w:rPr>
        <w:t>s full views of sacred space. The essay will therefore be limited to comparing and contrasting three aspects of the Eliade and Durkheim views of sacred space, the: 1) sacred space and profane space, 2) nature and sacred space, and 3) creation of sacred space. The essay will also very briefly discuss the author</w:t>
      </w:r>
      <w:r>
        <w:rPr>
          <w:rFonts w:ascii="Palatino" w:hAnsi="Palatino" w:hint="default"/>
          <w:sz w:val="22"/>
          <w:szCs w:val="22"/>
          <w:rtl w:val="0"/>
          <w:lang w:val="en-US"/>
        </w:rPr>
        <w:t>’</w:t>
      </w:r>
      <w:r>
        <w:rPr>
          <w:rFonts w:ascii="Palatino" w:hAnsi="Palatino"/>
          <w:sz w:val="22"/>
          <w:szCs w:val="22"/>
          <w:rtl w:val="0"/>
          <w:lang w:val="en-US"/>
        </w:rPr>
        <w:t xml:space="preserve">s </w:t>
      </w:r>
      <w:r>
        <w:rPr>
          <w:rFonts w:ascii="Palatino" w:hAnsi="Palatino"/>
          <w:sz w:val="22"/>
          <w:szCs w:val="22"/>
          <w:rtl w:val="0"/>
          <w:lang w:val="en-US"/>
        </w:rPr>
        <w:t xml:space="preserve">approach/analysis plan </w:t>
      </w:r>
      <w:r>
        <w:rPr>
          <w:rFonts w:ascii="Palatino" w:cs="Palatino" w:hAnsi="Palatino" w:eastAsia="Palatino"/>
          <w:sz w:val="22"/>
          <w:szCs w:val="22"/>
          <w:vertAlign w:val="superscript"/>
        </w:rPr>
        <w:footnoteReference w:id="4"/>
      </w:r>
      <w:r>
        <w:rPr>
          <w:rFonts w:ascii="Palatino" w:hAnsi="Palatino"/>
          <w:sz w:val="22"/>
          <w:szCs w:val="22"/>
          <w:rtl w:val="0"/>
          <w:lang w:val="en-US"/>
        </w:rPr>
        <w:t xml:space="preserve"> </w:t>
      </w:r>
      <w:r>
        <w:rPr>
          <w:rFonts w:ascii="Palatino" w:hAnsi="Palatino"/>
          <w:sz w:val="22"/>
          <w:szCs w:val="22"/>
          <w:rtl w:val="0"/>
          <w:lang w:val="en-US"/>
        </w:rPr>
        <w:t xml:space="preserve">as well as a </w:t>
      </w:r>
      <w:r>
        <w:rPr>
          <w:rFonts w:ascii="Palatino" w:hAnsi="Palatino"/>
          <w:sz w:val="22"/>
          <w:szCs w:val="22"/>
          <w:rtl w:val="0"/>
          <w:lang w:val="en-US"/>
        </w:rPr>
        <w:t>literature review</w:t>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7"/>
          <w:footerReference w:type="default" r:id="rId8"/>
          <w:pgSz w:w="12240" w:h="15840" w:orient="portrait"/>
          <w:pgMar w:top="1134" w:right="1134" w:bottom="1134" w:left="1134" w:header="567" w:footer="720"/>
          <w:pgNumType w:start="1"/>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Context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The two chosen sources by Eliade and Durkheim resepctively are books written by the authors. Eliade wrote </w:t>
      </w:r>
      <w:r>
        <w:rPr>
          <w:rFonts w:ascii="Palatino" w:hAnsi="Palatino" w:hint="default"/>
          <w:sz w:val="22"/>
          <w:szCs w:val="22"/>
          <w:rtl w:val="0"/>
          <w:lang w:val="en-US"/>
        </w:rPr>
        <w:t>‘</w:t>
      </w:r>
      <w:r>
        <w:rPr>
          <w:rFonts w:ascii="Palatino" w:hAnsi="Palatino"/>
          <w:sz w:val="22"/>
          <w:szCs w:val="22"/>
          <w:rtl w:val="0"/>
          <w:lang w:val="de-DE"/>
        </w:rPr>
        <w:t>Le Sacr</w:t>
      </w:r>
      <w:r>
        <w:rPr>
          <w:rFonts w:ascii="Palatino" w:hAnsi="Palatino" w:hint="default"/>
          <w:sz w:val="22"/>
          <w:szCs w:val="22"/>
          <w:rtl w:val="0"/>
          <w:lang w:val="fr-FR"/>
        </w:rPr>
        <w:t xml:space="preserve">é </w:t>
      </w:r>
      <w:r>
        <w:rPr>
          <w:rFonts w:ascii="Palatino" w:hAnsi="Palatino"/>
          <w:sz w:val="22"/>
          <w:szCs w:val="22"/>
          <w:rtl w:val="0"/>
          <w:lang w:val="fr-FR"/>
        </w:rPr>
        <w:t>et le Profane</w:t>
      </w:r>
      <w:r>
        <w:rPr>
          <w:rFonts w:ascii="Palatino" w:hAnsi="Palatino" w:hint="default"/>
          <w:sz w:val="22"/>
          <w:szCs w:val="22"/>
          <w:rtl w:val="0"/>
          <w:lang w:val="en-US"/>
        </w:rPr>
        <w:t xml:space="preserve">’ </w:t>
      </w:r>
      <w:r>
        <w:rPr>
          <w:rFonts w:ascii="Palatino" w:hAnsi="Palatino"/>
          <w:sz w:val="22"/>
          <w:szCs w:val="22"/>
          <w:rtl w:val="0"/>
          <w:lang w:val="en-US"/>
        </w:rPr>
        <w:t xml:space="preserve">in 1956 which was translated from French to English in 1959 by Willard R. Trask and published as: </w:t>
      </w:r>
      <w:r>
        <w:rPr>
          <w:rFonts w:ascii="Palatino" w:hAnsi="Palatino" w:hint="default"/>
          <w:sz w:val="22"/>
          <w:szCs w:val="22"/>
          <w:rtl w:val="0"/>
          <w:lang w:val="en-US"/>
        </w:rPr>
        <w:t>‘</w:t>
      </w:r>
      <w:r>
        <w:rPr>
          <w:rFonts w:ascii="Palatino" w:hAnsi="Palatino"/>
          <w:sz w:val="22"/>
          <w:szCs w:val="22"/>
          <w:rtl w:val="0"/>
          <w:lang w:val="en-US"/>
        </w:rPr>
        <w:t>The Sacred And The Profane: The Nature Of Religion</w:t>
      </w:r>
      <w:r>
        <w:rPr>
          <w:rFonts w:ascii="Palatino" w:hAnsi="Palatino" w:hint="default"/>
          <w:sz w:val="22"/>
          <w:szCs w:val="22"/>
          <w:rtl w:val="0"/>
          <w:lang w:val="en-US"/>
        </w:rPr>
        <w:t>’</w:t>
      </w:r>
      <w:r>
        <w:rPr>
          <w:rFonts w:ascii="Palatino" w:hAnsi="Palatino"/>
          <w:sz w:val="22"/>
          <w:szCs w:val="22"/>
          <w:rtl w:val="0"/>
          <w:lang w:val="en-US"/>
        </w:rPr>
        <w:t xml:space="preserve">, which is the Eliade source of this essay. </w:t>
      </w:r>
      <w:r>
        <w:rPr>
          <w:rFonts w:ascii="Palatino" w:cs="Palatino" w:hAnsi="Palatino" w:eastAsia="Palatino"/>
          <w:sz w:val="22"/>
          <w:szCs w:val="22"/>
          <w:vertAlign w:val="superscript"/>
        </w:rPr>
        <w:footnoteReference w:id="5"/>
      </w:r>
      <w:r>
        <w:rPr>
          <w:rFonts w:ascii="Palatino" w:hAnsi="Palatino"/>
          <w:sz w:val="22"/>
          <w:szCs w:val="22"/>
          <w:rtl w:val="0"/>
          <w:lang w:val="en-US"/>
        </w:rPr>
        <w:t xml:space="preserve"> Eliade</w:t>
      </w:r>
      <w:r>
        <w:rPr>
          <w:rFonts w:ascii="Palatino" w:hAnsi="Palatino"/>
          <w:sz w:val="22"/>
          <w:szCs w:val="22"/>
          <w:rtl w:val="0"/>
          <w:lang w:val="en-US"/>
        </w:rPr>
        <w:t xml:space="preserve"> wrote the book when he was 51. </w:t>
      </w:r>
      <w:r>
        <w:rPr>
          <w:rFonts w:ascii="Palatino" w:hAnsi="Palatino"/>
          <w:sz w:val="22"/>
          <w:szCs w:val="22"/>
          <w:rtl w:val="0"/>
          <w:lang w:val="en-US"/>
        </w:rPr>
        <w:t xml:space="preserve">Durkheim wrote </w:t>
      </w:r>
      <w:r>
        <w:rPr>
          <w:rFonts w:ascii="Palatino" w:hAnsi="Palatino" w:hint="default"/>
          <w:sz w:val="22"/>
          <w:szCs w:val="22"/>
          <w:rtl w:val="0"/>
          <w:lang w:val="en-US"/>
        </w:rPr>
        <w:t>‘</w:t>
      </w:r>
      <w:r>
        <w:rPr>
          <w:rFonts w:ascii="Palatino" w:hAnsi="Palatino"/>
          <w:sz w:val="22"/>
          <w:szCs w:val="22"/>
          <w:rtl w:val="0"/>
          <w:lang w:val="en-US"/>
        </w:rPr>
        <w:t>Formes Elementaires De La Vie</w:t>
      </w:r>
      <w:r>
        <w:rPr>
          <w:rFonts w:ascii="Palatino" w:hAnsi="Palatino" w:hint="default"/>
          <w:sz w:val="22"/>
          <w:szCs w:val="22"/>
          <w:rtl w:val="0"/>
          <w:lang w:val="en-US"/>
        </w:rPr>
        <w:t xml:space="preserve">’ </w:t>
      </w:r>
      <w:r>
        <w:rPr>
          <w:rFonts w:ascii="Palatino" w:hAnsi="Palatino"/>
          <w:sz w:val="22"/>
          <w:szCs w:val="22"/>
          <w:rtl w:val="0"/>
          <w:lang w:val="en-US"/>
        </w:rPr>
        <w:t xml:space="preserve">in 1912 which was translated from French to English in 1915 and published as: </w:t>
      </w:r>
      <w:r>
        <w:rPr>
          <w:rFonts w:ascii="Palatino" w:hAnsi="Palatino" w:hint="default"/>
          <w:sz w:val="22"/>
          <w:szCs w:val="22"/>
          <w:rtl w:val="0"/>
          <w:lang w:val="en-US"/>
        </w:rPr>
        <w:t>‘</w:t>
      </w:r>
      <w:r>
        <w:rPr>
          <w:rFonts w:ascii="Palatino" w:hAnsi="Palatino"/>
          <w:sz w:val="22"/>
          <w:szCs w:val="22"/>
          <w:rtl w:val="0"/>
          <w:lang w:val="en-US"/>
        </w:rPr>
        <w:t>The Elementary Forms Of Life</w:t>
      </w:r>
      <w:r>
        <w:rPr>
          <w:rFonts w:ascii="Palatino" w:hAnsi="Palatino" w:hint="default"/>
          <w:sz w:val="22"/>
          <w:szCs w:val="22"/>
          <w:rtl w:val="0"/>
          <w:lang w:val="en-US"/>
        </w:rPr>
        <w:t>’</w:t>
      </w:r>
      <w:r>
        <w:rPr>
          <w:rFonts w:ascii="Palatino" w:hAnsi="Palatino"/>
          <w:sz w:val="22"/>
          <w:szCs w:val="22"/>
          <w:rtl w:val="0"/>
          <w:lang w:val="en-US"/>
        </w:rPr>
        <w:t xml:space="preserve">, which is the Durkheim source of this essay. </w:t>
      </w:r>
      <w:r>
        <w:rPr>
          <w:rFonts w:ascii="Palatino" w:cs="Palatino" w:hAnsi="Palatino" w:eastAsia="Palatino"/>
          <w:sz w:val="22"/>
          <w:szCs w:val="22"/>
          <w:vertAlign w:val="superscript"/>
        </w:rPr>
        <w:footnoteReference w:id="6"/>
      </w:r>
      <w:r>
        <w:rPr>
          <w:rFonts w:ascii="Palatino" w:hAnsi="Palatino"/>
          <w:sz w:val="22"/>
          <w:szCs w:val="22"/>
          <w:rtl w:val="0"/>
          <w:lang w:val="en-US"/>
        </w:rPr>
        <w:t xml:space="preserve"> Durkheim wrote the book when he was 54. The books were written with a 44 year gap.</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Style w:val="None"/>
          <w:rFonts w:ascii="Palatino" w:cs="Palatino" w:hAnsi="Palatino" w:eastAsia="Palatino"/>
          <w:sz w:val="22"/>
          <w:szCs w:val="22"/>
        </w:rPr>
      </w:pPr>
      <w:r>
        <w:rPr>
          <w:rFonts w:ascii="Palatino" w:cs="Palatino" w:hAnsi="Palatino" w:eastAsia="Palatino"/>
          <w:sz w:val="22"/>
          <w:szCs w:val="22"/>
          <w:rtl w:val="0"/>
        </w:rPr>
        <w:tab/>
        <w:t xml:space="preserve">Eliade lived from 1907-1986 and became a </w:t>
      </w:r>
      <w:r>
        <w:rPr>
          <w:rFonts w:ascii="Palatino" w:hAnsi="Palatino"/>
          <w:sz w:val="22"/>
          <w:szCs w:val="22"/>
          <w:rtl w:val="0"/>
          <w:lang w:val="en-US"/>
        </w:rPr>
        <w:t>professor and chairman of the history of religions department at the University of Chicago, where he taught until his retirement in 1983</w:t>
      </w:r>
      <w:r>
        <w:rPr>
          <w:rFonts w:ascii="Palatino" w:hAnsi="Palatino"/>
          <w:sz w:val="22"/>
          <w:szCs w:val="22"/>
          <w:rtl w:val="0"/>
          <w:lang w:val="en-US"/>
        </w:rPr>
        <w:t xml:space="preserve">. </w:t>
      </w:r>
      <w:r>
        <w:rPr>
          <w:rFonts w:ascii="Palatino" w:cs="Palatino" w:hAnsi="Palatino" w:eastAsia="Palatino"/>
          <w:sz w:val="22"/>
          <w:szCs w:val="22"/>
          <w:vertAlign w:val="superscript"/>
        </w:rPr>
        <w:footnoteReference w:id="7"/>
      </w:r>
      <w:r>
        <w:rPr>
          <w:rFonts w:ascii="Palatino" w:hAnsi="Palatino"/>
          <w:sz w:val="22"/>
          <w:szCs w:val="22"/>
          <w:rtl w:val="0"/>
          <w:lang w:val="en-US"/>
        </w:rPr>
        <w:t xml:space="preserve"> Eliade was a Romanian scholar of religion, he was published and read widely, and described as influential </w:t>
      </w:r>
      <w:r>
        <w:rPr>
          <w:rFonts w:ascii="Palatino" w:cs="Palatino" w:hAnsi="Palatino" w:eastAsia="Palatino"/>
          <w:sz w:val="22"/>
          <w:szCs w:val="22"/>
          <w:vertAlign w:val="superscript"/>
        </w:rPr>
        <w:footnoteReference w:id="8"/>
      </w:r>
      <w:r>
        <w:rPr>
          <w:rFonts w:ascii="Palatino" w:hAnsi="Palatino"/>
          <w:sz w:val="22"/>
          <w:szCs w:val="22"/>
          <w:rtl w:val="0"/>
          <w:lang w:val="en-US"/>
        </w:rPr>
        <w:t xml:space="preserve"> and controversial </w:t>
      </w:r>
      <w:r>
        <w:rPr>
          <w:rFonts w:ascii="Palatino" w:cs="Palatino" w:hAnsi="Palatino" w:eastAsia="Palatino"/>
          <w:sz w:val="22"/>
          <w:szCs w:val="22"/>
          <w:vertAlign w:val="superscript"/>
        </w:rPr>
        <w:footnoteReference w:id="9"/>
      </w:r>
      <w:r>
        <w:rPr>
          <w:rStyle w:val="None"/>
          <w:rFonts w:ascii="Palatino" w:hAnsi="Palatino"/>
          <w:sz w:val="22"/>
          <w:szCs w:val="22"/>
          <w:rtl w:val="0"/>
          <w:lang w:val="en-US"/>
        </w:rPr>
        <w:t xml:space="preserve">. Durkheim lived from 1858-1917 and became a professor and </w:t>
      </w:r>
      <w:r>
        <w:rPr>
          <w:rStyle w:val="None"/>
          <w:rFonts w:ascii="Palatino" w:hAnsi="Palatino"/>
          <w:sz w:val="22"/>
          <w:szCs w:val="22"/>
          <w:rtl w:val="0"/>
          <w:lang w:val="en-US"/>
        </w:rPr>
        <w:t>chair of the Science of Education and Sociology</w:t>
      </w:r>
      <w:r>
        <w:rPr>
          <w:rStyle w:val="None"/>
          <w:rFonts w:ascii="Palatino" w:hAnsi="Palatino"/>
          <w:sz w:val="22"/>
          <w:szCs w:val="22"/>
          <w:rtl w:val="0"/>
          <w:lang w:val="en-US"/>
        </w:rPr>
        <w:t xml:space="preserve">, and he died having only started </w:t>
      </w:r>
      <w:r>
        <w:rPr>
          <w:rFonts w:ascii="Palatino" w:hAnsi="Palatino"/>
          <w:sz w:val="22"/>
          <w:szCs w:val="22"/>
          <w:rtl w:val="0"/>
          <w:lang w:val="en-US"/>
        </w:rPr>
        <w:t xml:space="preserve">his last work, </w:t>
      </w:r>
      <w:r>
        <w:rPr>
          <w:rStyle w:val="None"/>
          <w:rFonts w:ascii="Palatino" w:hAnsi="Palatino"/>
          <w:i w:val="1"/>
          <w:iCs w:val="1"/>
          <w:sz w:val="22"/>
          <w:szCs w:val="22"/>
          <w:rtl w:val="0"/>
          <w:lang w:val="fr-FR"/>
        </w:rPr>
        <w:t>La Morale</w:t>
      </w:r>
      <w:r>
        <w:rPr>
          <w:rFonts w:ascii="Palatino" w:hAnsi="Palatino"/>
          <w:sz w:val="22"/>
          <w:szCs w:val="22"/>
          <w:rtl w:val="0"/>
          <w:lang w:val="en-US"/>
        </w:rPr>
        <w:t xml:space="preserve"> (Morality)</w:t>
      </w:r>
      <w:r>
        <w:rPr>
          <w:rStyle w:val="None"/>
          <w:rFonts w:ascii="Palatino" w:hAnsi="Palatino"/>
          <w:sz w:val="22"/>
          <w:szCs w:val="22"/>
          <w:rtl w:val="0"/>
          <w:lang w:val="en-US"/>
        </w:rPr>
        <w:t xml:space="preserve">. Durkheim was a French sociologist, and he lectured and published prominent works throughout his life, including works on the philosophy of religion. </w:t>
      </w:r>
      <w:r>
        <w:rPr>
          <w:rStyle w:val="None"/>
          <w:rFonts w:ascii="Palatino" w:cs="Palatino" w:hAnsi="Palatino" w:eastAsia="Palatino"/>
          <w:sz w:val="22"/>
          <w:szCs w:val="22"/>
          <w:vertAlign w:val="superscript"/>
        </w:rPr>
        <w:footnoteReference w:id="10"/>
      </w:r>
      <w:r>
        <w:rPr>
          <w:rStyle w:val="None"/>
          <w:rFonts w:ascii="Palatino" w:hAnsi="Palatino"/>
          <w:sz w:val="22"/>
          <w:szCs w:val="22"/>
          <w:rtl w:val="0"/>
          <w:lang w:val="en-US"/>
        </w:rPr>
        <w:t xml:space="preserve"> </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Style w:val="None"/>
          <w:rFonts w:ascii="Palatino" w:cs="Palatino" w:hAnsi="Palatino" w:eastAsia="Palatino"/>
          <w:b w:val="0"/>
          <w:bCs w:val="0"/>
          <w:sz w:val="22"/>
          <w:szCs w:val="22"/>
        </w:rPr>
      </w:pPr>
      <w:r>
        <w:rPr>
          <w:rFonts w:ascii="Palatino" w:hAnsi="Palatino"/>
          <w:b w:val="1"/>
          <w:bCs w:val="1"/>
          <w:sz w:val="22"/>
          <w:szCs w:val="22"/>
          <w:rtl w:val="0"/>
          <w:lang w:val="en-US"/>
        </w:rPr>
        <w:t>Summary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Style w:val="None"/>
          <w:rFonts w:ascii="Palatino" w:cs="Palatino" w:hAnsi="Palatino" w:eastAsia="Palatino"/>
          <w:sz w:val="22"/>
          <w:szCs w:val="22"/>
        </w:rPr>
      </w:pPr>
      <w:r>
        <w:rPr>
          <w:rStyle w:val="None"/>
          <w:rFonts w:ascii="Palatino" w:hAnsi="Palatino"/>
          <w:sz w:val="22"/>
          <w:szCs w:val="22"/>
          <w:rtl w:val="0"/>
          <w:lang w:val="en-US"/>
        </w:rPr>
        <w:t>Both Eliade and Durkheim discussed aspects of theology in their books. Durkheim</w:t>
      </w:r>
      <w:r>
        <w:rPr>
          <w:rStyle w:val="None"/>
          <w:rFonts w:ascii="Palatino" w:hAnsi="Palatino" w:hint="default"/>
          <w:sz w:val="22"/>
          <w:szCs w:val="22"/>
          <w:rtl w:val="0"/>
          <w:lang w:val="en-US"/>
        </w:rPr>
        <w:t>’</w:t>
      </w:r>
      <w:r>
        <w:rPr>
          <w:rStyle w:val="None"/>
          <w:rFonts w:ascii="Palatino" w:hAnsi="Palatino"/>
          <w:sz w:val="22"/>
          <w:szCs w:val="22"/>
          <w:rtl w:val="0"/>
          <w:lang w:val="en-US"/>
        </w:rPr>
        <w:t>s title is descriptive of this as relating to the religious life, similar to Eliade</w:t>
      </w:r>
      <w:r>
        <w:rPr>
          <w:rStyle w:val="None"/>
          <w:rFonts w:ascii="Palatino" w:hAnsi="Palatino" w:hint="default"/>
          <w:sz w:val="22"/>
          <w:szCs w:val="22"/>
          <w:rtl w:val="0"/>
          <w:lang w:val="en-US"/>
        </w:rPr>
        <w:t>’</w:t>
      </w:r>
      <w:r>
        <w:rPr>
          <w:rStyle w:val="None"/>
          <w:rFonts w:ascii="Palatino" w:hAnsi="Palatino"/>
          <w:sz w:val="22"/>
          <w:szCs w:val="22"/>
          <w:rtl w:val="0"/>
          <w:lang w:val="en-US"/>
        </w:rPr>
        <w:t xml:space="preserve">s title extension as relating to the phenomena of religion. The books cover extensive analysis and discussions on religious foundation, phenomena, </w:t>
      </w:r>
      <w:r>
        <w:rPr>
          <w:rFonts w:ascii="Palatino" w:hAnsi="Palatino"/>
          <w:sz w:val="22"/>
          <w:szCs w:val="22"/>
          <w:rtl w:val="0"/>
          <w:lang w:val="en-US"/>
        </w:rPr>
        <w:t xml:space="preserve">perception, </w:t>
      </w:r>
      <w:r>
        <w:rPr>
          <w:rStyle w:val="None"/>
          <w:rFonts w:ascii="Palatino" w:hAnsi="Palatino"/>
          <w:sz w:val="22"/>
          <w:szCs w:val="22"/>
          <w:rtl w:val="0"/>
          <w:lang w:val="en-US"/>
        </w:rPr>
        <w:t>value, ritual, practice, and their correlation with the human being. This essay is limited to focus a on the aspect of sacred space, which will be undertaken from the three aspects mentioned in the introduction.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Style w:val="None"/>
          <w:rFonts w:ascii="Palatino" w:cs="Palatino" w:hAnsi="Palatino" w:eastAsia="Palatino"/>
          <w:sz w:val="22"/>
          <w:szCs w:val="22"/>
        </w:rPr>
      </w:pPr>
      <w:r>
        <w:rPr>
          <w:rStyle w:val="None"/>
          <w:rFonts w:ascii="Palatino" w:cs="Palatino" w:hAnsi="Palatino" w:eastAsia="Palatino"/>
          <w:sz w:val="22"/>
          <w:szCs w:val="22"/>
          <w:rtl w:val="0"/>
        </w:rPr>
        <w:tab/>
        <w:t xml:space="preserve">Both authors cover the aspects of the sacred and the profane in the early chapters of their books, as the main aspects in order to discuss and analyse the foundations of religion. </w:t>
      </w:r>
      <w:r>
        <w:rPr>
          <w:rStyle w:val="None"/>
          <w:rFonts w:ascii="Palatino" w:cs="Palatino" w:hAnsi="Palatino" w:eastAsia="Palatino"/>
          <w:sz w:val="22"/>
          <w:szCs w:val="22"/>
          <w:vertAlign w:val="superscript"/>
        </w:rPr>
        <w:footnoteReference w:id="11"/>
      </w:r>
      <w:r>
        <w:rPr>
          <w:rStyle w:val="None"/>
          <w:rFonts w:ascii="Palatino" w:hAnsi="Palatino"/>
          <w:sz w:val="22"/>
          <w:szCs w:val="22"/>
          <w:rtl w:val="0"/>
          <w:lang w:val="en-US"/>
        </w:rPr>
        <w:t xml:space="preserve"> In comparison, both Eliade and Durkheim described a clear division between the sacred and the profane, with the sacred transcending the profane: in a sacred space, the profane can no longer exists, which will be discussed.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9"/>
          <w:footerReference w:type="default" r:id="rId10"/>
          <w:pgSz w:w="12240" w:h="15840" w:orient="portrait"/>
          <w:pgMar w:top="1134" w:right="1134" w:bottom="1134"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Style w:val="None"/>
          <w:rFonts w:ascii="Palatino" w:cs="Palatino" w:hAnsi="Palatino" w:eastAsia="Palatino"/>
          <w:sz w:val="22"/>
          <w:szCs w:val="22"/>
        </w:rPr>
      </w:pPr>
      <w:r>
        <w:rPr>
          <w:rStyle w:val="None"/>
          <w:rFonts w:ascii="Palatino" w:cs="Palatino" w:hAnsi="Palatino" w:eastAsia="Palatino"/>
          <w:sz w:val="22"/>
          <w:szCs w:val="22"/>
          <w:rtl w:val="0"/>
        </w:rPr>
        <w:tab/>
        <w:t xml:space="preserve">Sacred space and nature was discussed differently by Eliade and Durkheim. Eliade discussed that a stone is no longer a stone when it becomes adored by humans </w:t>
      </w:r>
      <w:r>
        <w:rPr>
          <w:rStyle w:val="None"/>
          <w:rFonts w:ascii="Palatino" w:cs="Palatino" w:hAnsi="Palatino" w:eastAsia="Palatino"/>
          <w:sz w:val="22"/>
          <w:szCs w:val="22"/>
          <w:vertAlign w:val="superscript"/>
        </w:rPr>
        <w:footnoteReference w:id="12"/>
      </w:r>
      <w:r>
        <w:rPr>
          <w:rStyle w:val="None"/>
          <w:rFonts w:ascii="Palatino" w:hAnsi="Palatino"/>
          <w:sz w:val="22"/>
          <w:szCs w:val="22"/>
          <w:rtl w:val="0"/>
          <w:lang w:val="en-US"/>
        </w:rPr>
        <w:t xml:space="preserve">, whereas Durkheim discussed that anything, including a stone or sand, can be sacred </w:t>
      </w:r>
      <w:r>
        <w:rPr>
          <w:rStyle w:val="None"/>
          <w:rFonts w:ascii="Palatino" w:cs="Palatino" w:hAnsi="Palatino" w:eastAsia="Palatino"/>
          <w:sz w:val="22"/>
          <w:szCs w:val="22"/>
          <w:vertAlign w:val="superscript"/>
        </w:rPr>
        <w:footnoteReference w:id="13"/>
      </w:r>
      <w:r>
        <w:rPr>
          <w:rStyle w:val="None"/>
          <w:rFonts w:ascii="Palatino" w:hAnsi="Palatino"/>
          <w:sz w:val="22"/>
          <w:szCs w:val="22"/>
          <w:rtl w:val="0"/>
          <w:lang w:val="en-US"/>
        </w:rPr>
        <w:t>, and the author</w:t>
      </w:r>
      <w:r>
        <w:rPr>
          <w:rStyle w:val="None"/>
          <w:rFonts w:ascii="Palatino" w:hAnsi="Palatino" w:hint="default"/>
          <w:sz w:val="22"/>
          <w:szCs w:val="22"/>
          <w:rtl w:val="0"/>
          <w:lang w:val="en-US"/>
        </w:rPr>
        <w:t>’</w:t>
      </w:r>
      <w:r>
        <w:rPr>
          <w:rStyle w:val="None"/>
          <w:rFonts w:ascii="Palatino" w:hAnsi="Palatino"/>
          <w:sz w:val="22"/>
          <w:szCs w:val="22"/>
          <w:rtl w:val="0"/>
          <w:lang w:val="en-US"/>
        </w:rPr>
        <w:t>s view of the influence of the human will be discussed. Both authors views on sacred space in relation to nature, the sky, and animals will also be discussed.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Style w:val="None"/>
          <w:rFonts w:ascii="Palatino" w:cs="Palatino" w:hAnsi="Palatino" w:eastAsia="Palatino"/>
          <w:sz w:val="22"/>
          <w:szCs w:val="22"/>
        </w:rPr>
      </w:pPr>
      <w:r>
        <w:rPr>
          <w:rStyle w:val="None"/>
          <w:rFonts w:ascii="Palatino" w:cs="Palatino" w:hAnsi="Palatino" w:eastAsia="Palatino"/>
          <w:sz w:val="22"/>
          <w:szCs w:val="22"/>
          <w:rtl w:val="0"/>
        </w:rPr>
        <w:tab/>
        <w:t xml:space="preserve">The creation of sacred space differs in the views of Eliade and Durkheim, which is the third aspect of discussion in this essay. Eliade extensively described the creation of sacred spaces </w:t>
      </w:r>
      <w:r>
        <w:rPr>
          <w:rFonts w:ascii="Palatino" w:hAnsi="Palatino"/>
          <w:sz w:val="22"/>
          <w:szCs w:val="22"/>
          <w:rtl w:val="0"/>
          <w:lang w:val="en-US"/>
        </w:rPr>
        <w:t>by human beings</w:t>
      </w:r>
      <w:r>
        <w:rPr>
          <w:rStyle w:val="None"/>
          <w:rFonts w:ascii="Palatino" w:hAnsi="Palatino"/>
          <w:sz w:val="22"/>
          <w:szCs w:val="22"/>
          <w:rtl w:val="0"/>
          <w:lang w:val="en-US"/>
        </w:rPr>
        <w:t xml:space="preserve"> as a physical place in order to cope in a chaotic profane world, as opposed to a cosmos sacred world. </w:t>
      </w:r>
      <w:r>
        <w:rPr>
          <w:rStyle w:val="None"/>
          <w:rFonts w:ascii="Palatino" w:cs="Palatino" w:hAnsi="Palatino" w:eastAsia="Palatino"/>
          <w:sz w:val="22"/>
          <w:szCs w:val="22"/>
          <w:vertAlign w:val="superscript"/>
        </w:rPr>
        <w:footnoteReference w:id="14"/>
      </w:r>
      <w:r>
        <w:rPr>
          <w:rStyle w:val="None"/>
          <w:rFonts w:ascii="Palatino" w:hAnsi="Palatino"/>
          <w:sz w:val="22"/>
          <w:szCs w:val="22"/>
          <w:rtl w:val="0"/>
          <w:lang w:val="en-US"/>
        </w:rPr>
        <w:t xml:space="preserve"> Durkheim as a contrast does not define sacred space, but discussed</w:t>
      </w:r>
      <w:r>
        <w:rPr>
          <w:rFonts w:ascii="Palatino" w:hAnsi="Palatino"/>
          <w:sz w:val="22"/>
          <w:szCs w:val="22"/>
          <w:rtl w:val="0"/>
          <w:lang w:val="en-US"/>
        </w:rPr>
        <w:t xml:space="preserve"> that sacred exists everywhere, but that humans given them a social importance </w:t>
      </w:r>
      <w:r>
        <w:rPr>
          <w:rStyle w:val="None"/>
          <w:rFonts w:ascii="Palatino" w:cs="Palatino" w:hAnsi="Palatino" w:eastAsia="Palatino"/>
          <w:sz w:val="22"/>
          <w:szCs w:val="22"/>
          <w:vertAlign w:val="superscript"/>
        </w:rPr>
        <w:footnoteReference w:id="15"/>
      </w:r>
      <w:r>
        <w:rPr>
          <w:rFonts w:ascii="Palatino" w:hAnsi="Palatino"/>
          <w:sz w:val="22"/>
          <w:szCs w:val="22"/>
          <w:rtl w:val="0"/>
          <w:lang w:val="en-US"/>
        </w:rPr>
        <w:t xml:space="preserve">, and further discussed </w:t>
      </w:r>
      <w:r>
        <w:rPr>
          <w:rStyle w:val="None"/>
          <w:rFonts w:ascii="Palatino" w:hAnsi="Palatino"/>
          <w:sz w:val="22"/>
          <w:szCs w:val="22"/>
          <w:rtl w:val="0"/>
          <w:lang w:val="en-US"/>
        </w:rPr>
        <w:t>space as something different from what humans generally perceive: that space is without</w:t>
      </w:r>
      <w:r>
        <w:rPr>
          <w:rStyle w:val="None"/>
          <w:rFonts w:ascii="Palatino" w:hAnsi="Palatino"/>
          <w:sz w:val="22"/>
          <w:szCs w:val="22"/>
          <w:rtl w:val="0"/>
          <w:lang w:val="en-US"/>
        </w:rPr>
        <w:t xml:space="preserve"> a physical or concrete </w:t>
      </w:r>
      <w:r>
        <w:rPr>
          <w:rStyle w:val="None"/>
          <w:rFonts w:ascii="Palatino" w:hAnsi="Palatino"/>
          <w:sz w:val="22"/>
          <w:szCs w:val="22"/>
          <w:rtl w:val="0"/>
          <w:lang w:val="en-US"/>
        </w:rPr>
        <w:t xml:space="preserve">form </w:t>
      </w:r>
      <w:r>
        <w:rPr>
          <w:rStyle w:val="None"/>
          <w:rFonts w:ascii="Palatino" w:cs="Palatino" w:hAnsi="Palatino" w:eastAsia="Palatino"/>
          <w:sz w:val="22"/>
          <w:szCs w:val="22"/>
          <w:vertAlign w:val="superscript"/>
        </w:rPr>
        <w:footnoteReference w:id="16"/>
      </w:r>
      <w:r>
        <w:rPr>
          <w:rStyle w:val="None"/>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Style w:val="None"/>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1"/>
          <w:bCs w:val="1"/>
          <w:sz w:val="22"/>
          <w:szCs w:val="22"/>
        </w:rPr>
      </w:pPr>
      <w:r>
        <w:rPr>
          <w:rFonts w:ascii="Palatino" w:hAnsi="Palatino"/>
          <w:b w:val="1"/>
          <w:bCs w:val="1"/>
          <w:sz w:val="22"/>
          <w:szCs w:val="22"/>
          <w:rtl w:val="0"/>
          <w:lang w:val="en-US"/>
        </w:rPr>
        <w:t>Analysis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The Sacred Space and The Profane Space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In order to understand the concepts of the sacred space and the profane space, and to compare and contrast Eliade</w:t>
      </w:r>
      <w:r>
        <w:rPr>
          <w:rFonts w:ascii="Palatino" w:hAnsi="Palatino" w:hint="default"/>
          <w:sz w:val="22"/>
          <w:szCs w:val="22"/>
          <w:rtl w:val="0"/>
          <w:lang w:val="en-US"/>
        </w:rPr>
        <w:t>’</w:t>
      </w:r>
      <w:r>
        <w:rPr>
          <w:rFonts w:ascii="Palatino" w:hAnsi="Palatino"/>
          <w:sz w:val="22"/>
          <w:szCs w:val="22"/>
          <w:rtl w:val="0"/>
          <w:lang w:val="en-US"/>
        </w:rPr>
        <w:t>s and Durkheim</w:t>
      </w:r>
      <w:r>
        <w:rPr>
          <w:rFonts w:ascii="Palatino" w:hAnsi="Palatino" w:hint="default"/>
          <w:sz w:val="22"/>
          <w:szCs w:val="22"/>
          <w:rtl w:val="0"/>
          <w:lang w:val="en-US"/>
        </w:rPr>
        <w:t>’</w:t>
      </w:r>
      <w:r>
        <w:rPr>
          <w:rFonts w:ascii="Palatino" w:hAnsi="Palatino"/>
          <w:sz w:val="22"/>
          <w:szCs w:val="22"/>
          <w:rtl w:val="0"/>
          <w:lang w:val="en-US"/>
        </w:rPr>
        <w:t xml:space="preserve">s views of those concepts, it is essential to initially examine their views on the sacred and the profane. Eliade clearly defined a range of contrasts between, in brief, the profane as non-religious and the sacred and religious, referring to the experience of non-religious man and religious man. </w:t>
      </w:r>
      <w:r>
        <w:rPr>
          <w:rStyle w:val="None"/>
          <w:rFonts w:ascii="Palatino" w:cs="Palatino" w:hAnsi="Palatino" w:eastAsia="Palatino"/>
          <w:sz w:val="22"/>
          <w:szCs w:val="22"/>
          <w:vertAlign w:val="superscript"/>
        </w:rPr>
        <w:footnoteReference w:id="17"/>
      </w:r>
      <w:r>
        <w:rPr>
          <w:rFonts w:ascii="Palatino" w:hAnsi="Palatino"/>
          <w:sz w:val="22"/>
          <w:szCs w:val="22"/>
          <w:rtl w:val="0"/>
          <w:lang w:val="en-US"/>
        </w:rPr>
        <w:t xml:space="preserve"> Furthermore, where Eliade described sacred as created by human beings, Durkheim had a broader view of the sacred existing everywhere, however acknowledged a human relation with the sacred </w:t>
      </w:r>
      <w:r>
        <w:rPr>
          <w:rStyle w:val="None"/>
          <w:rFonts w:ascii="Palatino" w:cs="Palatino" w:hAnsi="Palatino" w:eastAsia="Palatino"/>
          <w:sz w:val="22"/>
          <w:szCs w:val="22"/>
          <w:vertAlign w:val="superscript"/>
        </w:rPr>
        <w:footnoteReference w:id="18"/>
      </w:r>
      <w:r>
        <w:rPr>
          <w:rFonts w:ascii="Palatino" w:hAnsi="Palatino"/>
          <w:sz w:val="22"/>
          <w:szCs w:val="22"/>
          <w:rtl w:val="0"/>
          <w:lang w:val="en-US"/>
        </w:rPr>
        <w:t xml:space="preserve">. Durkheim did also discuss a similar divide in everything into real and ideal, and in other words profane and sacred </w:t>
      </w:r>
      <w:r>
        <w:rPr>
          <w:rStyle w:val="None"/>
          <w:rFonts w:ascii="Palatino" w:cs="Palatino" w:hAnsi="Palatino" w:eastAsia="Palatino"/>
          <w:sz w:val="22"/>
          <w:szCs w:val="22"/>
          <w:vertAlign w:val="superscript"/>
        </w:rPr>
        <w:footnoteReference w:id="19"/>
      </w:r>
      <w:r>
        <w:rPr>
          <w:rFonts w:ascii="Palatino" w:hAnsi="Palatino"/>
          <w:sz w:val="22"/>
          <w:szCs w:val="22"/>
          <w:rtl w:val="0"/>
          <w:lang w:val="en-US"/>
        </w:rPr>
        <w:t>, thus seeing a clear distinction between profane and sacred, though also connected: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center"/>
        <w:rPr>
          <w:rFonts w:ascii="Palatino" w:cs="Palatino" w:hAnsi="Palatino" w:eastAsia="Palatino"/>
          <w:sz w:val="22"/>
          <w:szCs w:val="22"/>
        </w:rPr>
      </w:pPr>
      <w:r>
        <w:rPr>
          <w:rFonts w:ascii="Palatino" w:hAnsi="Palatino"/>
          <w:sz w:val="22"/>
          <w:szCs w:val="22"/>
          <w:rtl w:val="0"/>
          <w:lang w:val="en-US"/>
        </w:rPr>
        <w:t>For our definition of the sacred is that it is something added to and above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center"/>
        <w:rPr>
          <w:rFonts w:ascii="Palatino" w:cs="Palatino" w:hAnsi="Palatino" w:eastAsia="Palatino"/>
          <w:sz w:val="22"/>
          <w:szCs w:val="22"/>
        </w:rPr>
      </w:pPr>
      <w:r>
        <w:rPr>
          <w:rFonts w:ascii="Palatino" w:hAnsi="Palatino"/>
          <w:sz w:val="22"/>
          <w:szCs w:val="22"/>
          <w:rtl w:val="0"/>
          <w:lang w:val="en-US"/>
        </w:rPr>
        <w:t>the real: now the ideal answers to this same definition; we cannot explain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center"/>
        <w:rPr>
          <w:rFonts w:ascii="Palatino" w:cs="Palatino" w:hAnsi="Palatino" w:eastAsia="Palatino"/>
          <w:sz w:val="22"/>
          <w:szCs w:val="22"/>
        </w:rPr>
      </w:pPr>
      <w:r>
        <w:rPr>
          <w:rFonts w:ascii="Palatino" w:hAnsi="Palatino"/>
          <w:sz w:val="22"/>
          <w:szCs w:val="22"/>
          <w:rtl w:val="0"/>
          <w:lang w:val="en-US"/>
        </w:rPr>
        <w:t xml:space="preserve">one without explaining the other. </w:t>
      </w:r>
      <w:r>
        <w:rPr>
          <w:rStyle w:val="None"/>
          <w:rFonts w:ascii="Palatino" w:cs="Palatino" w:hAnsi="Palatino" w:eastAsia="Palatino"/>
          <w:sz w:val="22"/>
          <w:szCs w:val="22"/>
          <w:vertAlign w:val="superscript"/>
        </w:rPr>
        <w:footnoteReference w:id="20"/>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left"/>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left"/>
        <w:sectPr>
          <w:headerReference w:type="default" r:id="rId11"/>
          <w:footerReference w:type="default" r:id="rId12"/>
          <w:pgSz w:w="12240" w:h="15840" w:orient="portrait"/>
          <w:pgMar w:top="1134" w:right="1134" w:bottom="1134"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center"/>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As above quote signifies, Durkheim found sacred and profane to relate. This is supported by Shelley Ashdown who in her paper discussed how sacred and profane existed in the same space. </w:t>
      </w:r>
      <w:r>
        <w:rPr>
          <w:rStyle w:val="None"/>
          <w:rFonts w:ascii="Palatino" w:cs="Palatino" w:hAnsi="Palatino" w:eastAsia="Palatino"/>
          <w:sz w:val="22"/>
          <w:szCs w:val="22"/>
          <w:vertAlign w:val="superscript"/>
        </w:rPr>
        <w:footnoteReference w:id="21"/>
      </w:r>
      <w:r>
        <w:rPr>
          <w:rFonts w:ascii="Palatino" w:hAnsi="Palatino"/>
          <w:sz w:val="22"/>
          <w:szCs w:val="22"/>
          <w:rtl w:val="0"/>
          <w:lang w:val="en-US"/>
        </w:rPr>
        <w:t xml:space="preserve"> Durkheim further defined sacred as supernatural, not only by observation but also by perception. </w:t>
      </w:r>
      <w:r>
        <w:rPr>
          <w:rStyle w:val="None"/>
          <w:rFonts w:ascii="Palatino" w:cs="Palatino" w:hAnsi="Palatino" w:eastAsia="Palatino"/>
          <w:sz w:val="22"/>
          <w:szCs w:val="22"/>
          <w:vertAlign w:val="superscript"/>
        </w:rPr>
        <w:footnoteReference w:id="22"/>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As Eliade perceived sacred space as something religious, its divide from the profane space is distinct and opposite from the profane space: </w:t>
      </w:r>
      <w:r>
        <w:rPr>
          <w:rFonts w:ascii="Palatino" w:hAnsi="Palatino" w:hint="default"/>
          <w:sz w:val="22"/>
          <w:szCs w:val="22"/>
          <w:rtl w:val="0"/>
          <w:lang w:val="en-US"/>
        </w:rPr>
        <w:t>‘</w:t>
      </w:r>
      <w:r>
        <w:rPr>
          <w:rFonts w:ascii="Palatino" w:hAnsi="Palatino"/>
          <w:sz w:val="22"/>
          <w:szCs w:val="22"/>
          <w:rtl w:val="0"/>
          <w:lang w:val="en-US"/>
        </w:rPr>
        <w:t>For profane experience, on the contrary, space is homogeneous and neutral</w:t>
      </w:r>
      <w:r>
        <w:rPr>
          <w:rFonts w:ascii="Palatino" w:hAnsi="Palatino" w:hint="default"/>
          <w:sz w:val="22"/>
          <w:szCs w:val="22"/>
          <w:rtl w:val="0"/>
          <w:lang w:val="en-US"/>
        </w:rPr>
        <w:t>’</w:t>
      </w:r>
      <w:r>
        <w:rPr>
          <w:rFonts w:ascii="Palatino" w:hAnsi="Palatino"/>
          <w:sz w:val="22"/>
          <w:szCs w:val="22"/>
          <w:rtl w:val="0"/>
          <w:lang w:val="en-US"/>
        </w:rPr>
        <w:t>.</w:t>
      </w:r>
      <w:r>
        <w:rPr>
          <w:rStyle w:val="None"/>
          <w:rFonts w:ascii="Palatino" w:cs="Palatino" w:hAnsi="Palatino" w:eastAsia="Palatino"/>
          <w:sz w:val="22"/>
          <w:szCs w:val="22"/>
          <w:vertAlign w:val="superscript"/>
        </w:rPr>
        <w:footnoteReference w:id="23"/>
      </w:r>
      <w:r>
        <w:rPr>
          <w:rFonts w:ascii="Palatino" w:hAnsi="Palatino"/>
          <w:sz w:val="22"/>
          <w:szCs w:val="22"/>
          <w:rtl w:val="0"/>
          <w:lang w:val="en-US"/>
        </w:rPr>
        <w:t xml:space="preserve"> A sacred space is a physical space with an entrance, for example, by entering a defined space, such as a church, the profane space is left behind as the sacred space transcends, offering an opening to the heavens: </w:t>
      </w:r>
      <w:r>
        <w:rPr>
          <w:rFonts w:ascii="Palatino" w:hAnsi="Palatino" w:hint="default"/>
          <w:sz w:val="22"/>
          <w:szCs w:val="22"/>
          <w:rtl w:val="0"/>
          <w:lang w:val="en-US"/>
        </w:rPr>
        <w:t>‘</w:t>
      </w:r>
      <w:r>
        <w:rPr>
          <w:rFonts w:ascii="Palatino" w:hAnsi="Palatino"/>
          <w:sz w:val="22"/>
          <w:szCs w:val="22"/>
          <w:rtl w:val="0"/>
          <w:lang w:val="en-US"/>
        </w:rPr>
        <w:t>here, in the sacred enclosure, communication with the gods is made possible</w:t>
      </w:r>
      <w:r>
        <w:rPr>
          <w:rFonts w:ascii="Palatino" w:hAnsi="Palatino" w:hint="default"/>
          <w:sz w:val="22"/>
          <w:szCs w:val="22"/>
          <w:rtl w:val="0"/>
          <w:lang w:val="en-US"/>
        </w:rPr>
        <w:t xml:space="preserve">’ </w:t>
      </w:r>
      <w:r>
        <w:rPr>
          <w:rStyle w:val="None"/>
          <w:rFonts w:ascii="Palatino" w:cs="Palatino" w:hAnsi="Palatino" w:eastAsia="Palatino"/>
          <w:sz w:val="22"/>
          <w:szCs w:val="22"/>
          <w:vertAlign w:val="superscript"/>
        </w:rPr>
        <w:footnoteReference w:id="24"/>
      </w:r>
      <w:r>
        <w:rPr>
          <w:rFonts w:ascii="Palatino" w:hAnsi="Palatino"/>
          <w:sz w:val="22"/>
          <w:szCs w:val="22"/>
          <w:rtl w:val="0"/>
          <w:lang w:val="en-US"/>
        </w:rPr>
        <w:t xml:space="preserve">  Eliade further described that a sacred place had a manifestation and movement of a sudden force of the scared, or that which is holy, which separates the space from the overall other environment. This force is what differentiates the sacred space. </w:t>
      </w:r>
      <w:r>
        <w:rPr>
          <w:rStyle w:val="None"/>
          <w:rFonts w:ascii="Palatino" w:cs="Palatino" w:hAnsi="Palatino" w:eastAsia="Palatino"/>
          <w:sz w:val="22"/>
          <w:szCs w:val="22"/>
          <w:vertAlign w:val="superscript"/>
        </w:rPr>
        <w:footnoteReference w:id="25"/>
      </w:r>
      <w:r>
        <w:rPr>
          <w:rFonts w:ascii="Palatino" w:hAnsi="Palatino"/>
          <w:sz w:val="22"/>
          <w:szCs w:val="22"/>
          <w:rtl w:val="0"/>
          <w:lang w:val="en-US"/>
        </w:rPr>
        <w:t xml:space="preserve"> As a contrast, Durkheim discussed </w:t>
      </w:r>
      <w:r>
        <w:rPr>
          <w:rFonts w:ascii="Palatino" w:hAnsi="Palatino" w:hint="default"/>
          <w:sz w:val="22"/>
          <w:szCs w:val="22"/>
          <w:rtl w:val="0"/>
          <w:lang w:val="en-US"/>
        </w:rPr>
        <w:t>‘</w:t>
      </w:r>
      <w:r>
        <w:rPr>
          <w:rFonts w:ascii="Palatino" w:hAnsi="Palatino"/>
          <w:sz w:val="22"/>
          <w:szCs w:val="22"/>
          <w:rtl w:val="0"/>
          <w:lang w:val="en-US"/>
        </w:rPr>
        <w:t>sacred things</w:t>
      </w:r>
      <w:r>
        <w:rPr>
          <w:rFonts w:ascii="Palatino" w:hAnsi="Palatino" w:hint="default"/>
          <w:sz w:val="22"/>
          <w:szCs w:val="22"/>
          <w:rtl w:val="0"/>
          <w:lang w:val="en-US"/>
        </w:rPr>
        <w:t xml:space="preserve">’ </w:t>
      </w:r>
      <w:r>
        <w:rPr>
          <w:rFonts w:ascii="Palatino" w:hAnsi="Palatino"/>
          <w:sz w:val="22"/>
          <w:szCs w:val="22"/>
          <w:rtl w:val="0"/>
          <w:lang w:val="en-US"/>
        </w:rPr>
        <w:t xml:space="preserve">as things which have a certain characteristic with a division of everything into two realms: the profane and the sacred </w:t>
      </w:r>
      <w:r>
        <w:rPr>
          <w:rStyle w:val="None"/>
          <w:rFonts w:ascii="Palatino" w:cs="Palatino" w:hAnsi="Palatino" w:eastAsia="Palatino"/>
          <w:sz w:val="22"/>
          <w:szCs w:val="22"/>
          <w:vertAlign w:val="superscript"/>
        </w:rPr>
        <w:footnoteReference w:id="26"/>
      </w:r>
      <w:r>
        <w:rPr>
          <w:rFonts w:ascii="Palatino" w:hAnsi="Palatino"/>
          <w:sz w:val="22"/>
          <w:szCs w:val="22"/>
          <w:rtl w:val="0"/>
          <w:lang w:val="en-US"/>
        </w:rPr>
        <w:t xml:space="preserve">, and defined </w:t>
      </w:r>
      <w:r>
        <w:rPr>
          <w:rFonts w:ascii="Palatino" w:hAnsi="Palatino" w:hint="default"/>
          <w:sz w:val="22"/>
          <w:szCs w:val="22"/>
          <w:rtl w:val="0"/>
          <w:lang w:val="en-US"/>
        </w:rPr>
        <w:t>“</w:t>
      </w:r>
      <w:r>
        <w:rPr>
          <w:rFonts w:ascii="Palatino" w:hAnsi="Palatino"/>
          <w:sz w:val="22"/>
          <w:szCs w:val="22"/>
          <w:rtl w:val="0"/>
          <w:lang w:val="en-US"/>
        </w:rPr>
        <w:t>things" as: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center"/>
        <w:rPr>
          <w:rFonts w:ascii="Palatino" w:cs="Palatino" w:hAnsi="Palatino" w:eastAsia="Palatino"/>
          <w:sz w:val="22"/>
          <w:szCs w:val="22"/>
        </w:rPr>
      </w:pPr>
      <w:r>
        <w:rPr>
          <w:rFonts w:ascii="Palatino" w:hAnsi="Palatino"/>
          <w:sz w:val="22"/>
          <w:szCs w:val="22"/>
          <w:rtl w:val="0"/>
          <w:lang w:val="en-US"/>
        </w:rPr>
        <w:t>But by sacred things one must not understand simply those personal</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center"/>
        <w:rPr>
          <w:rFonts w:ascii="Palatino" w:cs="Palatino" w:hAnsi="Palatino" w:eastAsia="Palatino"/>
          <w:sz w:val="22"/>
          <w:szCs w:val="22"/>
        </w:rPr>
      </w:pPr>
      <w:r>
        <w:rPr>
          <w:rFonts w:ascii="Palatino" w:hAnsi="Palatino"/>
          <w:sz w:val="22"/>
          <w:szCs w:val="22"/>
          <w:rtl w:val="0"/>
          <w:lang w:val="en-US"/>
        </w:rPr>
        <w:t>beings which are called gods or spirits; a rock, a tree, a spring,</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center"/>
        <w:rPr>
          <w:rFonts w:ascii="Palatino" w:cs="Palatino" w:hAnsi="Palatino" w:eastAsia="Palatino"/>
          <w:sz w:val="22"/>
          <w:szCs w:val="22"/>
        </w:rPr>
      </w:pPr>
      <w:r>
        <w:rPr>
          <w:rFonts w:ascii="Palatino" w:hAnsi="Palatino"/>
          <w:sz w:val="22"/>
          <w:szCs w:val="22"/>
          <w:rtl w:val="0"/>
          <w:lang w:val="en-US"/>
        </w:rPr>
        <w:t>a pebble, a piece of wood, a house, in a word, anything can be sacred.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As mentioned previously, Durkheim described space as fluid and without physical form, and above described sacred as </w:t>
      </w:r>
      <w:r>
        <w:rPr>
          <w:rFonts w:ascii="Palatino" w:hAnsi="Palatino" w:hint="default"/>
          <w:sz w:val="22"/>
          <w:szCs w:val="22"/>
          <w:rtl w:val="0"/>
          <w:lang w:val="en-US"/>
        </w:rPr>
        <w:t>‘</w:t>
      </w:r>
      <w:r>
        <w:rPr>
          <w:rFonts w:ascii="Palatino" w:hAnsi="Palatino"/>
          <w:sz w:val="22"/>
          <w:szCs w:val="22"/>
          <w:rtl w:val="0"/>
          <w:lang w:val="en-US"/>
        </w:rPr>
        <w:t>anything</w:t>
      </w:r>
      <w:r>
        <w:rPr>
          <w:rFonts w:ascii="Palatino" w:hAnsi="Palatino" w:hint="default"/>
          <w:sz w:val="22"/>
          <w:szCs w:val="22"/>
          <w:rtl w:val="0"/>
          <w:lang w:val="en-US"/>
        </w:rPr>
        <w:t>’</w:t>
      </w:r>
      <w:r>
        <w:rPr>
          <w:rFonts w:ascii="Palatino" w:hAnsi="Palatino"/>
          <w:sz w:val="22"/>
          <w:szCs w:val="22"/>
          <w:rtl w:val="0"/>
          <w:lang w:val="en-US"/>
        </w:rPr>
        <w:t xml:space="preserve">; furthermore, Durkheim described the human soul to be in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the homeland of sacred things [</w:t>
      </w:r>
      <w:r>
        <w:rPr>
          <w:rFonts w:ascii="Palatino" w:hAnsi="Palatino" w:hint="default"/>
          <w:sz w:val="22"/>
          <w:szCs w:val="22"/>
          <w:rtl w:val="0"/>
          <w:lang w:val="en-US"/>
        </w:rPr>
        <w:t>…</w:t>
      </w:r>
      <w:r>
        <w:rPr>
          <w:rFonts w:ascii="Palatino" w:hAnsi="Palatino"/>
          <w:sz w:val="22"/>
          <w:szCs w:val="22"/>
          <w:rtl w:val="0"/>
          <w:lang w:val="en-US"/>
        </w:rPr>
        <w:t>] It is made of the same substance as sacred beings</w:t>
      </w:r>
      <w:r>
        <w:rPr>
          <w:rFonts w:ascii="Palatino" w:hAnsi="Palatino" w:hint="default"/>
          <w:sz w:val="22"/>
          <w:szCs w:val="22"/>
          <w:rtl w:val="0"/>
          <w:lang w:val="en-US"/>
        </w:rPr>
        <w:t>’</w:t>
      </w:r>
      <w:r>
        <w:rPr>
          <w:rFonts w:ascii="Palatino" w:hAnsi="Palatino"/>
          <w:sz w:val="22"/>
          <w:szCs w:val="22"/>
          <w:rtl w:val="0"/>
          <w:lang w:val="en-US"/>
        </w:rPr>
        <w:t xml:space="preserve">. </w:t>
      </w:r>
      <w:r>
        <w:rPr>
          <w:rStyle w:val="None"/>
          <w:rFonts w:ascii="Palatino" w:cs="Palatino" w:hAnsi="Palatino" w:eastAsia="Palatino"/>
          <w:sz w:val="22"/>
          <w:szCs w:val="22"/>
          <w:vertAlign w:val="superscript"/>
        </w:rPr>
        <w:footnoteReference w:id="27"/>
      </w:r>
      <w:r>
        <w:rPr>
          <w:rFonts w:ascii="Palatino" w:hAnsi="Palatino"/>
          <w:sz w:val="22"/>
          <w:szCs w:val="22"/>
          <w:rtl w:val="0"/>
          <w:lang w:val="en-US"/>
        </w:rPr>
        <w:t xml:space="preserve"> The non-physical aspect of space is discussed by Larry E. Shiner as an environment that humans inhabit, not: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a kind of container in which we find ourselves along with a collection of objects</w:t>
      </w:r>
      <w:r>
        <w:rPr>
          <w:rFonts w:ascii="Palatino" w:hAnsi="Palatino" w:hint="default"/>
          <w:sz w:val="22"/>
          <w:szCs w:val="22"/>
          <w:rtl w:val="0"/>
          <w:lang w:val="en-US"/>
        </w:rPr>
        <w:t>’</w:t>
      </w:r>
      <w:r>
        <w:rPr>
          <w:rFonts w:ascii="Palatino" w:hAnsi="Palatino"/>
          <w:sz w:val="22"/>
          <w:szCs w:val="22"/>
          <w:rtl w:val="0"/>
          <w:lang w:val="en-US"/>
        </w:rPr>
        <w:t>. Thus, a sacred space in Durkheim</w:t>
      </w:r>
      <w:r>
        <w:rPr>
          <w:rFonts w:ascii="Palatino" w:hAnsi="Palatino" w:hint="default"/>
          <w:sz w:val="22"/>
          <w:szCs w:val="22"/>
          <w:rtl w:val="0"/>
          <w:lang w:val="en-US"/>
        </w:rPr>
        <w:t>’</w:t>
      </w:r>
      <w:r>
        <w:rPr>
          <w:rFonts w:ascii="Palatino" w:hAnsi="Palatino"/>
          <w:sz w:val="22"/>
          <w:szCs w:val="22"/>
          <w:rtl w:val="0"/>
          <w:lang w:val="en-US"/>
        </w:rPr>
        <w:t xml:space="preserve">s view is a phenomenological space which exist everywhere even as a part of the human dualism </w:t>
      </w:r>
      <w:r>
        <w:rPr>
          <w:rStyle w:val="None"/>
          <w:rFonts w:ascii="Palatino" w:cs="Palatino" w:hAnsi="Palatino" w:eastAsia="Palatino"/>
          <w:sz w:val="22"/>
          <w:szCs w:val="22"/>
          <w:vertAlign w:val="superscript"/>
        </w:rPr>
        <w:footnoteReference w:id="28"/>
      </w:r>
      <w:r>
        <w:rPr>
          <w:rFonts w:ascii="Palatino" w:hAnsi="Palatino"/>
          <w:sz w:val="22"/>
          <w:szCs w:val="22"/>
          <w:rtl w:val="0"/>
          <w:lang w:val="en-US"/>
        </w:rPr>
        <w:t xml:space="preserve">, and existing through the attributes of the human senses and consciousness. </w:t>
      </w:r>
      <w:r>
        <w:rPr>
          <w:rStyle w:val="None"/>
          <w:rFonts w:ascii="Palatino" w:cs="Palatino" w:hAnsi="Palatino" w:eastAsia="Palatino"/>
          <w:sz w:val="22"/>
          <w:szCs w:val="22"/>
          <w:vertAlign w:val="superscript"/>
        </w:rPr>
        <w:footnoteReference w:id="29"/>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13"/>
          <w:footerReference w:type="default" r:id="rId14"/>
          <w:pgSz w:w="12240" w:h="15840" w:orient="portrait"/>
          <w:pgMar w:top="1134" w:right="1134" w:bottom="1134" w:left="1134" w:header="567" w:footer="720"/>
          <w:bidi w:val="0"/>
        </w:sect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Nature and Sacred Space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Style w:val="None"/>
          <w:rFonts w:ascii="Palatino" w:cs="Palatino" w:hAnsi="Palatino" w:eastAsia="Palatino"/>
          <w:sz w:val="22"/>
          <w:szCs w:val="22"/>
        </w:rPr>
      </w:pPr>
      <w:r>
        <w:rPr>
          <w:rFonts w:ascii="Palatino" w:hAnsi="Palatino"/>
          <w:sz w:val="22"/>
          <w:szCs w:val="22"/>
          <w:rtl w:val="0"/>
          <w:lang w:val="en-US"/>
        </w:rPr>
        <w:t xml:space="preserve">As quoted previously in the essay, Durkheim discussed the appearance of sacred in anything, including a rock, a tree, a spring or a pebble </w:t>
      </w:r>
      <w:r>
        <w:rPr>
          <w:rStyle w:val="None"/>
          <w:rFonts w:ascii="Palatino" w:cs="Palatino" w:hAnsi="Palatino" w:eastAsia="Palatino"/>
          <w:sz w:val="22"/>
          <w:szCs w:val="22"/>
          <w:vertAlign w:val="superscript"/>
        </w:rPr>
        <w:footnoteReference w:id="30"/>
      </w:r>
      <w:r>
        <w:rPr>
          <w:rFonts w:ascii="Palatino" w:hAnsi="Palatino"/>
          <w:sz w:val="22"/>
          <w:szCs w:val="22"/>
          <w:rtl w:val="0"/>
          <w:lang w:val="en-US"/>
        </w:rPr>
        <w:t>, however Durkheim later in his book proceeded to define that nature</w:t>
      </w:r>
      <w:r>
        <w:rPr>
          <w:rStyle w:val="None"/>
          <w:rFonts w:ascii="Palatino" w:hAnsi="Palatino"/>
          <w:sz w:val="22"/>
          <w:szCs w:val="22"/>
          <w:rtl w:val="0"/>
          <w:lang w:val="en-US"/>
        </w:rPr>
        <w:t xml:space="preserve"> itself cannot account for the origin of sacredness. Durkheim acknowledged the fascination of nature, that nature represents force and infinity, but that nature was repetitive and remained the same, and therefore unable to be defined as a sacred space. </w:t>
      </w:r>
      <w:r>
        <w:rPr>
          <w:rStyle w:val="None"/>
          <w:rFonts w:ascii="Palatino" w:cs="Palatino" w:hAnsi="Palatino" w:eastAsia="Palatino"/>
          <w:sz w:val="22"/>
          <w:szCs w:val="22"/>
          <w:vertAlign w:val="superscript"/>
        </w:rPr>
        <w:footnoteReference w:id="31"/>
      </w:r>
      <w:r>
        <w:rPr>
          <w:rStyle w:val="None"/>
          <w:rFonts w:ascii="Palatino" w:hAnsi="Palatino"/>
          <w:sz w:val="22"/>
          <w:szCs w:val="22"/>
          <w:rtl w:val="0"/>
          <w:lang w:val="en-US"/>
        </w:rPr>
        <w:t xml:space="preserve">  </w:t>
      </w:r>
      <w:r>
        <w:rPr>
          <w:rFonts w:ascii="Palatino" w:hAnsi="Palatino"/>
          <w:sz w:val="22"/>
          <w:szCs w:val="22"/>
          <w:rtl w:val="0"/>
          <w:lang w:val="en-US"/>
        </w:rPr>
        <w:t xml:space="preserve">Furthermore, Durkheim discussed how aspects of the sky became divined as opposed to sacred, but that the vegetables and animals were the first to become sacred through totemism. </w:t>
      </w:r>
      <w:r>
        <w:rPr>
          <w:rStyle w:val="None"/>
          <w:rFonts w:ascii="Palatino" w:cs="Palatino" w:hAnsi="Palatino" w:eastAsia="Palatino"/>
          <w:sz w:val="22"/>
          <w:szCs w:val="22"/>
          <w:vertAlign w:val="superscript"/>
        </w:rPr>
        <w:footnoteReference w:id="32"/>
      </w:r>
      <w:r>
        <w:rPr>
          <w:rFonts w:ascii="Palatino" w:hAnsi="Palatino"/>
          <w:sz w:val="22"/>
          <w:szCs w:val="22"/>
          <w:rtl w:val="0"/>
          <w:lang w:val="en-US"/>
        </w:rPr>
        <w:t xml:space="preserve"> </w:t>
      </w:r>
      <w:r>
        <w:rPr>
          <w:rStyle w:val="None"/>
          <w:rFonts w:ascii="Palatino" w:hAnsi="Palatino"/>
          <w:sz w:val="22"/>
          <w:szCs w:val="22"/>
          <w:rtl w:val="0"/>
          <w:lang w:val="en-US"/>
        </w:rPr>
        <w:t>In contrast, Eliade discussed: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center"/>
        <w:rPr>
          <w:rFonts w:ascii="Palatino" w:cs="Palatino" w:hAnsi="Palatino" w:eastAsia="Palatino"/>
          <w:sz w:val="22"/>
          <w:szCs w:val="22"/>
        </w:rPr>
      </w:pPr>
      <w:r>
        <w:rPr>
          <w:rFonts w:ascii="Palatino" w:hAnsi="Palatino"/>
          <w:sz w:val="22"/>
          <w:szCs w:val="22"/>
          <w:rtl w:val="0"/>
          <w:lang w:val="en-US"/>
        </w:rPr>
        <w:t xml:space="preserve">For religious man, nature is never only </w:t>
      </w:r>
      <w:r>
        <w:rPr>
          <w:rFonts w:ascii="Palatino" w:hAnsi="Palatino" w:hint="default"/>
          <w:sz w:val="22"/>
          <w:szCs w:val="22"/>
          <w:rtl w:val="0"/>
          <w:lang w:val="en-US"/>
        </w:rPr>
        <w:t>“</w:t>
      </w:r>
      <w:r>
        <w:rPr>
          <w:rFonts w:ascii="Palatino" w:hAnsi="Palatino"/>
          <w:sz w:val="22"/>
          <w:szCs w:val="22"/>
          <w:rtl w:val="0"/>
          <w:lang w:val="it-IT"/>
        </w:rPr>
        <w:t>natural</w:t>
      </w:r>
      <w:r>
        <w:rPr>
          <w:rFonts w:ascii="Palatino" w:hAnsi="Palatino" w:hint="default"/>
          <w:sz w:val="22"/>
          <w:szCs w:val="22"/>
          <w:rtl w:val="0"/>
        </w:rPr>
        <w:t>”</w:t>
      </w:r>
      <w:r>
        <w:rPr>
          <w:rFonts w:ascii="Palatino" w:hAnsi="Palatino"/>
          <w:sz w:val="22"/>
          <w:szCs w:val="22"/>
          <w:rtl w:val="0"/>
          <w:lang w:val="en-US"/>
        </w:rPr>
        <w:t>; it is always fraught</w:t>
      </w:r>
      <w:r>
        <w:rPr>
          <w:rFonts w:ascii="Palatino" w:hAnsi="Palatino"/>
          <w:sz w:val="22"/>
          <w:szCs w:val="22"/>
          <w:rtl w:val="0"/>
          <w:lang w:val="en-US"/>
        </w:rPr>
        <w:t xml:space="preserve"> with a</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center"/>
        <w:rPr>
          <w:rFonts w:ascii="Palatino" w:cs="Palatino" w:hAnsi="Palatino" w:eastAsia="Palatino"/>
          <w:sz w:val="22"/>
          <w:szCs w:val="22"/>
        </w:rPr>
      </w:pPr>
      <w:r>
        <w:rPr>
          <w:rFonts w:ascii="Palatino" w:hAnsi="Palatino"/>
          <w:sz w:val="22"/>
          <w:szCs w:val="22"/>
          <w:rtl w:val="0"/>
          <w:lang w:val="en-US"/>
        </w:rPr>
        <w:t>religious value. This is easy to understand, for the cosmos is a</w:t>
      </w:r>
      <w:r>
        <w:rPr>
          <w:rFonts w:ascii="Palatino" w:hAnsi="Palatino"/>
          <w:sz w:val="22"/>
          <w:szCs w:val="22"/>
          <w:rtl w:val="0"/>
          <w:lang w:val="en-US"/>
        </w:rPr>
        <w:t xml:space="preserve"> </w:t>
      </w:r>
      <w:r>
        <w:rPr>
          <w:rFonts w:ascii="Palatino" w:hAnsi="Palatino"/>
          <w:sz w:val="22"/>
          <w:szCs w:val="22"/>
          <w:rtl w:val="0"/>
          <w:lang w:val="en-US"/>
        </w:rPr>
        <w:t>divine creation;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center"/>
        <w:rPr>
          <w:rFonts w:ascii="Palatino" w:cs="Palatino" w:hAnsi="Palatino" w:eastAsia="Palatino"/>
          <w:sz w:val="22"/>
          <w:szCs w:val="22"/>
        </w:rPr>
      </w:pPr>
      <w:r>
        <w:rPr>
          <w:rFonts w:ascii="Palatino" w:hAnsi="Palatino"/>
          <w:sz w:val="22"/>
          <w:szCs w:val="22"/>
          <w:rtl w:val="0"/>
          <w:lang w:val="en-US"/>
        </w:rPr>
        <w:t>coming from the hands of the gods, the world is</w:t>
      </w:r>
      <w:r>
        <w:rPr>
          <w:rFonts w:ascii="Palatino" w:hAnsi="Palatino"/>
          <w:sz w:val="22"/>
          <w:szCs w:val="22"/>
          <w:rtl w:val="0"/>
          <w:lang w:val="en-US"/>
        </w:rPr>
        <w:t xml:space="preserve"> </w:t>
      </w:r>
      <w:r>
        <w:rPr>
          <w:rFonts w:ascii="Palatino" w:hAnsi="Palatino"/>
          <w:sz w:val="22"/>
          <w:szCs w:val="22"/>
          <w:rtl w:val="0"/>
          <w:lang w:val="en-US"/>
        </w:rPr>
        <w:t>impregnated with</w:t>
      </w:r>
      <w:r>
        <w:rPr>
          <w:rFonts w:ascii="Palatino" w:hAnsi="Palatino"/>
          <w:sz w:val="22"/>
          <w:szCs w:val="22"/>
          <w:rtl w:val="0"/>
          <w:lang w:val="en-US"/>
        </w:rPr>
        <w:t xml:space="preserve"> sacredness,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center"/>
        <w:rPr>
          <w:rFonts w:ascii="Palatino" w:cs="Palatino" w:hAnsi="Palatino" w:eastAsia="Palatino"/>
          <w:sz w:val="22"/>
          <w:szCs w:val="22"/>
        </w:rPr>
      </w:pPr>
      <w:r>
        <w:rPr>
          <w:rFonts w:ascii="Palatino" w:hAnsi="Palatino"/>
          <w:sz w:val="22"/>
          <w:szCs w:val="22"/>
          <w:rtl w:val="0"/>
          <w:lang w:val="en-US"/>
        </w:rPr>
        <w:t>It is not simply a sacrality communicated by</w:t>
      </w:r>
      <w:r>
        <w:rPr>
          <w:rFonts w:ascii="Palatino" w:hAnsi="Palatino"/>
          <w:sz w:val="22"/>
          <w:szCs w:val="22"/>
          <w:rtl w:val="0"/>
          <w:lang w:val="en-US"/>
        </w:rPr>
        <w:t xml:space="preserve"> </w:t>
      </w:r>
      <w:r>
        <w:rPr>
          <w:rFonts w:ascii="Palatino" w:hAnsi="Palatino"/>
          <w:sz w:val="22"/>
          <w:szCs w:val="22"/>
          <w:rtl w:val="0"/>
          <w:lang w:val="en-US"/>
        </w:rPr>
        <w:t>the gods, as is the case, for</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center"/>
        <w:rPr>
          <w:rFonts w:ascii="Palatino" w:cs="Palatino" w:hAnsi="Palatino" w:eastAsia="Palatino"/>
          <w:sz w:val="22"/>
          <w:szCs w:val="22"/>
        </w:rPr>
      </w:pPr>
      <w:r>
        <w:rPr>
          <w:rFonts w:ascii="Palatino" w:hAnsi="Palatino"/>
          <w:sz w:val="22"/>
          <w:szCs w:val="22"/>
          <w:rtl w:val="0"/>
          <w:lang w:val="en-US"/>
        </w:rPr>
        <w:t>example, with a place or an</w:t>
      </w:r>
      <w:r>
        <w:rPr>
          <w:rFonts w:ascii="Palatino" w:hAnsi="Palatino"/>
          <w:sz w:val="22"/>
          <w:szCs w:val="22"/>
          <w:rtl w:val="0"/>
          <w:lang w:val="en-US"/>
        </w:rPr>
        <w:t xml:space="preserve"> object </w:t>
      </w:r>
      <w:r>
        <w:rPr>
          <w:rFonts w:ascii="Palatino" w:hAnsi="Palatino"/>
          <w:sz w:val="22"/>
          <w:szCs w:val="22"/>
          <w:rtl w:val="0"/>
          <w:lang w:val="en-US"/>
        </w:rPr>
        <w:t>consecrated by the divine presence.</w:t>
      </w:r>
      <w:r>
        <w:rPr>
          <w:rFonts w:ascii="Palatino" w:hAnsi="Palatino"/>
          <w:sz w:val="22"/>
          <w:szCs w:val="22"/>
          <w:rtl w:val="0"/>
          <w:lang w:val="en-US"/>
        </w:rPr>
        <w:t xml:space="preserve"> </w:t>
      </w:r>
      <w:r>
        <w:rPr>
          <w:rStyle w:val="None"/>
          <w:rFonts w:ascii="Palatino" w:cs="Palatino" w:hAnsi="Palatino" w:eastAsia="Palatino"/>
          <w:sz w:val="22"/>
          <w:szCs w:val="22"/>
          <w:vertAlign w:val="superscript"/>
        </w:rPr>
        <w:footnoteReference w:id="33"/>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Among other aspects of nature, both Eliade and Durkheim mention stone/rock/sand when discussing nature as sacred. Where Durkheim discussed that everything can be sacred, including a rock and the sand </w:t>
      </w:r>
      <w:r>
        <w:rPr>
          <w:rStyle w:val="None"/>
          <w:rFonts w:ascii="Palatino" w:cs="Palatino" w:hAnsi="Palatino" w:eastAsia="Palatino"/>
          <w:sz w:val="22"/>
          <w:szCs w:val="22"/>
          <w:vertAlign w:val="superscript"/>
        </w:rPr>
        <w:footnoteReference w:id="34"/>
      </w:r>
      <w:r>
        <w:rPr>
          <w:rFonts w:ascii="Palatino" w:hAnsi="Palatino"/>
          <w:sz w:val="22"/>
          <w:szCs w:val="22"/>
          <w:rtl w:val="0"/>
          <w:lang w:val="en-US"/>
        </w:rPr>
        <w:t xml:space="preserve">, Eliade in contrast specifically discussed that as soon as the human has admired a stone as sacred, it is no longer a stone </w:t>
      </w:r>
      <w:r>
        <w:rPr>
          <w:rStyle w:val="None"/>
          <w:rFonts w:ascii="Palatino" w:cs="Palatino" w:hAnsi="Palatino" w:eastAsia="Palatino"/>
          <w:sz w:val="22"/>
          <w:szCs w:val="22"/>
          <w:vertAlign w:val="superscript"/>
        </w:rPr>
        <w:footnoteReference w:id="35"/>
      </w:r>
      <w:r>
        <w:rPr>
          <w:rFonts w:ascii="Palatino" w:hAnsi="Palatino"/>
          <w:sz w:val="22"/>
          <w:szCs w:val="22"/>
          <w:rtl w:val="0"/>
          <w:lang w:val="en-US"/>
        </w:rPr>
        <w:t xml:space="preserve">. As opposed to Durkheim who discussed that an admiration alone of a natural object does not create sacredness. </w:t>
      </w:r>
      <w:r>
        <w:rPr>
          <w:rStyle w:val="None"/>
          <w:rFonts w:ascii="Palatino" w:cs="Palatino" w:hAnsi="Palatino" w:eastAsia="Palatino"/>
          <w:sz w:val="22"/>
          <w:szCs w:val="22"/>
          <w:vertAlign w:val="superscript"/>
        </w:rPr>
        <w:footnoteReference w:id="36"/>
      </w:r>
      <w:r>
        <w:rPr>
          <w:rFonts w:ascii="Palatino" w:hAnsi="Palatino"/>
          <w:sz w:val="22"/>
          <w:szCs w:val="22"/>
          <w:rtl w:val="0"/>
          <w:lang w:val="en-US"/>
        </w:rPr>
        <w:t xml:space="preserve"> Today, there is a widespread belief that nature itself, and all of nature, is sacred, as described by J. Donald Hughes and Jim Swan: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all of nature is sacred, but in certain spots the spirit power manifests itself more clearly, more readily</w:t>
      </w:r>
      <w:r>
        <w:rPr>
          <w:rFonts w:ascii="Palatino" w:hAnsi="Palatino" w:hint="default"/>
          <w:sz w:val="22"/>
          <w:szCs w:val="22"/>
          <w:rtl w:val="0"/>
          <w:lang w:val="en-US"/>
        </w:rPr>
        <w:t>’</w:t>
      </w:r>
      <w:r>
        <w:rPr>
          <w:rFonts w:ascii="Palatino" w:hAnsi="Palatino"/>
          <w:sz w:val="22"/>
          <w:szCs w:val="22"/>
          <w:rtl w:val="0"/>
          <w:lang w:val="en-US"/>
        </w:rPr>
        <w:t xml:space="preserve">. </w:t>
      </w:r>
      <w:r>
        <w:rPr>
          <w:rStyle w:val="None"/>
          <w:rFonts w:ascii="Palatino" w:cs="Palatino" w:hAnsi="Palatino" w:eastAsia="Palatino"/>
          <w:sz w:val="22"/>
          <w:szCs w:val="22"/>
          <w:vertAlign w:val="superscript"/>
        </w:rPr>
        <w:footnoteReference w:id="37"/>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15"/>
          <w:footerReference w:type="default" r:id="rId16"/>
          <w:pgSz w:w="12240" w:h="15840" w:orient="portrait"/>
          <w:pgMar w:top="1134" w:right="1134" w:bottom="1134" w:left="1134" w:header="567" w:footer="720"/>
          <w:bidi w:val="0"/>
        </w:sectPr>
      </w:pPr>
      <w:r>
        <w:rPr>
          <w:rFonts w:ascii="Palatino" w:cs="Palatino" w:hAnsi="Palatino" w:eastAsia="Palatino"/>
          <w:sz w:val="22"/>
          <w:szCs w:val="22"/>
          <w:rtl w:val="0"/>
        </w:rPr>
        <w:tab/>
        <w:t xml:space="preserve">If certain areas seem more powerful this could account for how animals, as described by Durkheim and Eliade, are connected to the sacred. Durkheim described this connection mainly through the concept of totemism in relation to beliefs and power of vegetables and animals, and less in relation to sacred place. Durkheim briefly described the shared animal and human sense of sacred space </w:t>
      </w:r>
      <w:r>
        <w:rPr>
          <w:rStyle w:val="None"/>
          <w:rFonts w:ascii="Palatino" w:cs="Palatino" w:hAnsi="Palatino" w:eastAsia="Palatino"/>
          <w:sz w:val="22"/>
          <w:szCs w:val="22"/>
          <w:vertAlign w:val="superscript"/>
        </w:rPr>
        <w:footnoteReference w:id="38"/>
      </w:r>
      <w:r>
        <w:rPr>
          <w:rFonts w:ascii="Palatino" w:hAnsi="Palatino"/>
          <w:sz w:val="22"/>
          <w:szCs w:val="22"/>
          <w:rtl w:val="0"/>
          <w:lang w:val="en-US"/>
        </w:rPr>
        <w: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however, in contrast, Eliade discussed how signs can lead to a sacred place, and that one of these signs could be an animal locating a sacred place. The animals indication of a sacred space can be a place that the animal chooses to rest or have died. </w:t>
      </w:r>
      <w:r>
        <w:rPr>
          <w:rStyle w:val="None"/>
          <w:rFonts w:ascii="Palatino" w:cs="Palatino" w:hAnsi="Palatino" w:eastAsia="Palatino"/>
          <w:sz w:val="22"/>
          <w:szCs w:val="22"/>
          <w:vertAlign w:val="superscript"/>
        </w:rPr>
        <w:footnoteReference w:id="39"/>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 xml:space="preserve">Not only animal, but also humans as above discussed by Durkheim have a sense of place, and Belden C. Lane described: </w:t>
      </w:r>
      <w:r>
        <w:rPr>
          <w:rFonts w:ascii="Palatino" w:hAnsi="Palatino" w:hint="default"/>
          <w:sz w:val="22"/>
          <w:szCs w:val="22"/>
          <w:rtl w:val="0"/>
          <w:lang w:val="en-US"/>
        </w:rPr>
        <w:t>‘</w:t>
      </w:r>
      <w:r>
        <w:rPr>
          <w:rFonts w:ascii="Palatino" w:hAnsi="Palatino"/>
          <w:sz w:val="22"/>
          <w:szCs w:val="22"/>
          <w:rtl w:val="0"/>
          <w:lang w:val="en-US"/>
        </w:rPr>
        <w:t>[</w:t>
      </w:r>
      <w:r>
        <w:rPr>
          <w:rFonts w:ascii="Palatino" w:hAnsi="Palatino" w:hint="default"/>
          <w:sz w:val="22"/>
          <w:szCs w:val="22"/>
          <w:rtl w:val="0"/>
          <w:lang w:val="en-US"/>
        </w:rPr>
        <w:t>…</w:t>
      </w:r>
      <w:r>
        <w:rPr>
          <w:rFonts w:ascii="Palatino" w:hAnsi="Palatino"/>
          <w:sz w:val="22"/>
          <w:szCs w:val="22"/>
          <w:rtl w:val="0"/>
          <w:lang w:val="en-US"/>
        </w:rPr>
        <w:t>] the natural environment participates with us in the creation of meaning and the mystery of experience.</w:t>
      </w:r>
      <w:r>
        <w:rPr>
          <w:rFonts w:ascii="Palatino" w:hAnsi="Palatino" w:hint="default"/>
          <w:sz w:val="22"/>
          <w:szCs w:val="22"/>
          <w:rtl w:val="0"/>
          <w:lang w:val="en-US"/>
        </w:rPr>
        <w:t xml:space="preserve">’ </w:t>
      </w:r>
      <w:r>
        <w:rPr>
          <w:rStyle w:val="None"/>
          <w:rFonts w:ascii="Palatino" w:cs="Palatino" w:hAnsi="Palatino" w:eastAsia="Palatino"/>
          <w:sz w:val="22"/>
          <w:szCs w:val="22"/>
          <w:vertAlign w:val="superscript"/>
        </w:rPr>
        <w:footnoteReference w:id="40"/>
      </w:r>
      <w:r>
        <w:rPr>
          <w:rFonts w:ascii="Palatino" w:hAnsi="Palatino"/>
          <w:sz w:val="22"/>
          <w:szCs w:val="22"/>
          <w:rtl w:val="0"/>
          <w:lang w:val="en-US"/>
        </w:rPr>
        <w:t xml:space="preserve"> Durkheim mainly discuss sacred space through the concept of society, civilisations and </w:t>
      </w:r>
      <w:r>
        <w:rPr>
          <w:rFonts w:ascii="Palatino" w:hAnsi="Palatino" w:hint="default"/>
          <w:sz w:val="22"/>
          <w:szCs w:val="22"/>
          <w:rtl w:val="0"/>
          <w:lang w:val="en-US"/>
        </w:rPr>
        <w:t>“</w:t>
      </w:r>
      <w:r>
        <w:rPr>
          <w:rFonts w:ascii="Palatino" w:hAnsi="Palatino"/>
          <w:sz w:val="22"/>
          <w:szCs w:val="22"/>
          <w:rtl w:val="0"/>
          <w:lang w:val="en-US"/>
        </w:rPr>
        <w:t>cult</w:t>
      </w:r>
      <w:r>
        <w:rPr>
          <w:rFonts w:ascii="Palatino" w:hAnsi="Palatino" w:hint="default"/>
          <w:sz w:val="22"/>
          <w:szCs w:val="22"/>
          <w:rtl w:val="0"/>
          <w:lang w:val="en-US"/>
        </w:rPr>
        <w:t>”</w:t>
      </w:r>
      <w:r>
        <w:rPr>
          <w:rFonts w:ascii="Palatino" w:hAnsi="Palatino"/>
          <w:sz w:val="22"/>
          <w:szCs w:val="22"/>
          <w:rtl w:val="0"/>
          <w:lang w:val="en-US"/>
        </w:rPr>
        <w:t>, Durkheim said:</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center"/>
        <w:rPr>
          <w:rFonts w:ascii="Palatino" w:cs="Palatino" w:hAnsi="Palatino" w:eastAsia="Palatino"/>
          <w:sz w:val="22"/>
          <w:szCs w:val="22"/>
        </w:rPr>
      </w:pPr>
      <w:r>
        <w:rPr>
          <w:rFonts w:ascii="Palatino" w:hAnsi="Palatino"/>
          <w:sz w:val="22"/>
          <w:szCs w:val="22"/>
          <w:rtl w:val="0"/>
          <w:lang w:val="en-US"/>
        </w:rPr>
        <w:t>For the same reasons, the space which I know by my senses, of which I am the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center"/>
        <w:rPr>
          <w:rFonts w:ascii="Palatino" w:cs="Palatino" w:hAnsi="Palatino" w:eastAsia="Palatino"/>
          <w:sz w:val="22"/>
          <w:szCs w:val="22"/>
        </w:rPr>
      </w:pPr>
      <w:r>
        <w:rPr>
          <w:rFonts w:ascii="Palatino" w:hAnsi="Palatino"/>
          <w:sz w:val="22"/>
          <w:szCs w:val="22"/>
          <w:rtl w:val="0"/>
          <w:lang w:val="en-US"/>
        </w:rPr>
        <w:t>centre and where everything is disposed in relation to me, could not be space in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center"/>
        <w:rPr>
          <w:rFonts w:ascii="Palatino" w:cs="Palatino" w:hAnsi="Palatino" w:eastAsia="Palatino"/>
          <w:sz w:val="22"/>
          <w:szCs w:val="22"/>
        </w:rPr>
      </w:pPr>
      <w:r>
        <w:rPr>
          <w:rFonts w:ascii="Palatino" w:hAnsi="Palatino"/>
          <w:sz w:val="22"/>
          <w:szCs w:val="22"/>
          <w:rtl w:val="0"/>
          <w:lang w:val="en-US"/>
        </w:rPr>
        <w:t>general, which contains all extensions and where these are co-ordinated by</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jc w:val="center"/>
        <w:rPr>
          <w:rStyle w:val="None"/>
          <w:rFonts w:ascii="Palatino" w:cs="Palatino" w:hAnsi="Palatino" w:eastAsia="Palatino"/>
          <w:sz w:val="22"/>
          <w:szCs w:val="22"/>
        </w:rPr>
      </w:pPr>
      <w:r>
        <w:rPr>
          <w:rFonts w:ascii="Palatino" w:hAnsi="Palatino"/>
          <w:sz w:val="22"/>
          <w:szCs w:val="22"/>
          <w:rtl w:val="0"/>
          <w:lang w:val="en-US"/>
        </w:rPr>
        <w:t xml:space="preserve">personal guidelines which are common to everybody. </w:t>
      </w:r>
      <w:r>
        <w:rPr>
          <w:rStyle w:val="None"/>
          <w:rFonts w:ascii="Palatino" w:cs="Palatino" w:hAnsi="Palatino" w:eastAsia="Palatino"/>
          <w:sz w:val="22"/>
          <w:szCs w:val="22"/>
          <w:vertAlign w:val="superscript"/>
        </w:rPr>
        <w:footnoteReference w:id="41"/>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Style w:val="None"/>
          <w:rFonts w:ascii="Palatino" w:cs="Palatino" w:hAnsi="Palatino" w:eastAsia="Palatino"/>
          <w:b w:val="0"/>
          <w:bCs w:val="0"/>
          <w:sz w:val="22"/>
          <w:szCs w:val="22"/>
        </w:rPr>
      </w:pPr>
      <w:r>
        <w:rPr>
          <w:rStyle w:val="None"/>
          <w:rFonts w:ascii="Palatino" w:hAnsi="Palatino"/>
          <w:b w:val="0"/>
          <w:bCs w:val="0"/>
          <w:sz w:val="22"/>
          <w:szCs w:val="22"/>
          <w:rtl w:val="0"/>
          <w:lang w:val="en-US"/>
        </w:rPr>
        <w:t>In comparison, both authors described nature helping the human creating a sacred space.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Style w:val="None"/>
          <w:rFonts w:ascii="Palatino" w:cs="Palatino" w:hAnsi="Palatino" w:eastAsia="Palatino"/>
          <w:b w:val="0"/>
          <w:bCs w:val="0"/>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Creation of sacred space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As mentioned above, Durkheim described sacred space as creations of civilisation, society and </w:t>
      </w:r>
      <w:r>
        <w:rPr>
          <w:rFonts w:ascii="Palatino" w:hAnsi="Palatino" w:hint="default"/>
          <w:sz w:val="22"/>
          <w:szCs w:val="22"/>
          <w:rtl w:val="0"/>
          <w:lang w:val="en-US"/>
        </w:rPr>
        <w:t>‘</w:t>
      </w:r>
      <w:r>
        <w:rPr>
          <w:rFonts w:ascii="Palatino" w:hAnsi="Palatino"/>
          <w:sz w:val="22"/>
          <w:szCs w:val="22"/>
          <w:rtl w:val="0"/>
          <w:lang w:val="en-US"/>
        </w:rPr>
        <w:t>cult</w:t>
      </w:r>
      <w:r>
        <w:rPr>
          <w:rFonts w:ascii="Palatino" w:hAnsi="Palatino" w:hint="default"/>
          <w:sz w:val="22"/>
          <w:szCs w:val="22"/>
          <w:rtl w:val="0"/>
          <w:lang w:val="en-US"/>
        </w:rPr>
        <w:t>’</w:t>
      </w:r>
      <w:r>
        <w:rPr>
          <w:rFonts w:ascii="Palatino" w:hAnsi="Palatino"/>
          <w:sz w:val="22"/>
          <w:szCs w:val="22"/>
          <w:rtl w:val="0"/>
          <w:lang w:val="en-US"/>
        </w:rPr>
        <w:t>. Durkheim</w:t>
      </w:r>
      <w:r>
        <w:rPr>
          <w:rFonts w:ascii="Palatino" w:hAnsi="Palatino" w:hint="default"/>
          <w:sz w:val="22"/>
          <w:szCs w:val="22"/>
          <w:rtl w:val="0"/>
          <w:lang w:val="en-US"/>
        </w:rPr>
        <w:t>’</w:t>
      </w:r>
      <w:r>
        <w:rPr>
          <w:rFonts w:ascii="Palatino" w:hAnsi="Palatino"/>
          <w:sz w:val="22"/>
          <w:szCs w:val="22"/>
          <w:rtl w:val="0"/>
          <w:lang w:val="en-US"/>
        </w:rPr>
        <w:t xml:space="preserve">s concept of </w:t>
      </w:r>
      <w:r>
        <w:rPr>
          <w:rFonts w:ascii="Palatino" w:hAnsi="Palatino" w:hint="default"/>
          <w:sz w:val="22"/>
          <w:szCs w:val="22"/>
          <w:rtl w:val="0"/>
          <w:lang w:val="en-US"/>
        </w:rPr>
        <w:t>“</w:t>
      </w:r>
      <w:r>
        <w:rPr>
          <w:rFonts w:ascii="Palatino" w:hAnsi="Palatino"/>
          <w:sz w:val="22"/>
          <w:szCs w:val="22"/>
          <w:rtl w:val="0"/>
          <w:lang w:val="en-US"/>
        </w:rPr>
        <w:t xml:space="preserve">cult", was the practices, rituals and ceremonies defined the sacred space. </w:t>
      </w:r>
      <w:r>
        <w:rPr>
          <w:rStyle w:val="None"/>
          <w:rFonts w:ascii="Palatino" w:cs="Palatino" w:hAnsi="Palatino" w:eastAsia="Palatino"/>
          <w:sz w:val="22"/>
          <w:szCs w:val="22"/>
          <w:vertAlign w:val="superscript"/>
        </w:rPr>
        <w:footnoteReference w:id="42"/>
      </w:r>
      <w:r>
        <w:rPr>
          <w:rFonts w:ascii="Palatino" w:hAnsi="Palatino"/>
          <w:sz w:val="22"/>
          <w:szCs w:val="22"/>
          <w:rtl w:val="0"/>
          <w:lang w:val="en-US"/>
        </w:rPr>
        <w:t xml:space="preserve"> On contrast Eliade was more elaborate and described the creation of the sacred space as the centre, the naval, an opening. </w:t>
      </w:r>
      <w:r>
        <w:rPr>
          <w:rStyle w:val="None"/>
          <w:rFonts w:ascii="Palatino" w:cs="Palatino" w:hAnsi="Palatino" w:eastAsia="Palatino"/>
          <w:sz w:val="22"/>
          <w:szCs w:val="22"/>
          <w:vertAlign w:val="superscript"/>
        </w:rPr>
        <w:footnoteReference w:id="43"/>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17"/>
          <w:footerReference w:type="default" r:id="rId18"/>
          <w:pgSz w:w="12240" w:h="15840" w:orient="portrait"/>
          <w:pgMar w:top="1134" w:right="1134" w:bottom="1134" w:left="1134" w:header="567" w:footer="720"/>
          <w:bidi w:val="0"/>
        </w:sectPr>
      </w:pPr>
      <w:r>
        <w:rPr>
          <w:rFonts w:ascii="Palatino" w:hAnsi="Palatino"/>
          <w:sz w:val="22"/>
          <w:szCs w:val="22"/>
          <w:rtl w:val="0"/>
          <w:lang w:val="en-US"/>
        </w:rPr>
        <w:t xml:space="preserve">As Belden C. Lane wrote: </w:t>
      </w:r>
      <w:r>
        <w:rPr>
          <w:rFonts w:ascii="Palatino" w:hAnsi="Palatino" w:hint="default"/>
          <w:sz w:val="22"/>
          <w:szCs w:val="22"/>
          <w:rtl w:val="0"/>
          <w:lang w:val="en-US"/>
        </w:rPr>
        <w:t>’</w:t>
      </w:r>
      <w:r>
        <w:rPr>
          <w:rFonts w:ascii="Palatino" w:hAnsi="Palatino"/>
          <w:sz w:val="22"/>
          <w:szCs w:val="22"/>
          <w:rtl w:val="0"/>
          <w:lang w:val="en-US"/>
        </w:rPr>
        <w:t xml:space="preserve">The Geographical site where a manifestation occurs becomes an </w:t>
      </w:r>
      <w:r>
        <w:rPr>
          <w:rFonts w:ascii="Palatino" w:hAnsi="Palatino" w:hint="default"/>
          <w:sz w:val="22"/>
          <w:szCs w:val="22"/>
          <w:rtl w:val="0"/>
          <w:lang w:val="en-US"/>
        </w:rPr>
        <w:t>‘</w:t>
      </w:r>
      <w:r>
        <w:rPr>
          <w:rFonts w:ascii="Palatino" w:hAnsi="Palatino"/>
          <w:sz w:val="22"/>
          <w:szCs w:val="22"/>
          <w:rtl w:val="0"/>
          <w:lang w:val="en-US"/>
        </w:rPr>
        <w:t>intersection</w:t>
      </w:r>
      <w:r>
        <w:rPr>
          <w:rFonts w:ascii="Palatino" w:hAnsi="Palatino" w:hint="default"/>
          <w:sz w:val="22"/>
          <w:szCs w:val="22"/>
          <w:rtl w:val="0"/>
          <w:lang w:val="en-US"/>
        </w:rPr>
        <w:t xml:space="preserve">’ </w:t>
      </w:r>
      <w:r>
        <w:rPr>
          <w:rFonts w:ascii="Palatino" w:hAnsi="Palatino"/>
          <w:sz w:val="22"/>
          <w:szCs w:val="22"/>
          <w:rtl w:val="0"/>
          <w:lang w:val="en-US"/>
        </w:rPr>
        <w:t>of sacred space (templum) and sacred time (tempus)</w:t>
      </w:r>
      <w:r>
        <w:rPr>
          <w:rFonts w:ascii="Palatino" w:hAnsi="Palatino" w:hint="default"/>
          <w:sz w:val="22"/>
          <w:szCs w:val="22"/>
          <w:rtl w:val="0"/>
          <w:lang w:val="en-US"/>
        </w:rPr>
        <w:t>’</w:t>
      </w:r>
      <w:r>
        <w:rPr>
          <w:rFonts w:ascii="Palatino" w:hAnsi="Palatino"/>
          <w:sz w:val="22"/>
          <w:szCs w:val="22"/>
          <w:rtl w:val="0"/>
          <w:lang w:val="en-US"/>
        </w:rPr>
        <w:t xml:space="preserve">. </w:t>
      </w:r>
      <w:r>
        <w:rPr>
          <w:rStyle w:val="None"/>
          <w:rFonts w:ascii="Palatino" w:cs="Palatino" w:hAnsi="Palatino" w:eastAsia="Palatino"/>
          <w:sz w:val="22"/>
          <w:szCs w:val="22"/>
          <w:vertAlign w:val="superscript"/>
        </w:rPr>
        <w:footnoteReference w:id="44"/>
      </w:r>
      <w:r>
        <w:rPr>
          <w:rFonts w:ascii="Palatino" w:hAnsi="Palatino"/>
          <w:sz w:val="22"/>
          <w:szCs w:val="22"/>
          <w:rtl w:val="0"/>
          <w:lang w:val="en-US"/>
        </w:rPr>
        <w:t xml:space="preserve"> The created space is separate </w:t>
      </w:r>
      <w:r>
        <w:rPr>
          <w:rFonts w:ascii="Palatino" w:hAnsi="Palatino"/>
          <w:sz w:val="22"/>
          <w:szCs w:val="22"/>
          <w:rtl w:val="0"/>
          <w:lang w:val="en-US"/>
        </w:rPr>
        <w:t xml:space="preserve">and time is </w:t>
      </w:r>
      <w:r>
        <w:rPr>
          <w:rFonts w:ascii="Palatino" w:hAnsi="Palatino"/>
          <w:sz w:val="22"/>
          <w:szCs w:val="22"/>
          <w:rtl w:val="0"/>
          <w:lang w:val="en-US"/>
        </w:rPr>
        <w:t xml:space="preserve">eternal. Eliade discussed that when a sacred space has been identified, for example by a sign from an animal as previously discussed, a fixed place can be created to transcend chaos and: </w:t>
      </w:r>
      <w:r>
        <w:rPr>
          <w:rFonts w:ascii="Palatino" w:hAnsi="Palatino" w:hint="default"/>
          <w:sz w:val="22"/>
          <w:szCs w:val="22"/>
          <w:rtl w:val="0"/>
          <w:lang w:val="en-US"/>
        </w:rPr>
        <w:t>‘</w:t>
      </w:r>
      <w:r>
        <w:rPr>
          <w:rFonts w:ascii="Palatino" w:hAnsi="Palatino"/>
          <w:sz w:val="22"/>
          <w:szCs w:val="22"/>
          <w:rtl w:val="0"/>
          <w:lang w:val="en-US"/>
        </w:rPr>
        <w:t>to live in a real sense</w:t>
      </w:r>
      <w:r>
        <w:rPr>
          <w:rFonts w:ascii="Palatino" w:hAnsi="Palatino" w:hint="default"/>
          <w:sz w:val="22"/>
          <w:szCs w:val="22"/>
          <w:rtl w:val="0"/>
          <w:lang w:val="en-US"/>
        </w:rPr>
        <w:t>’</w:t>
      </w:r>
      <w:r>
        <w:rPr>
          <w:rFonts w:ascii="Palatino" w:hAnsi="Palatino"/>
          <w:sz w:val="22"/>
          <w:szCs w:val="22"/>
          <w:rtl w:val="0"/>
          <w:lang w:val="en-US"/>
        </w:rPr>
        <w:t xml:space="preserve">. </w:t>
      </w:r>
      <w:r>
        <w:rPr>
          <w:rStyle w:val="None"/>
          <w:rFonts w:ascii="Palatino" w:cs="Palatino" w:hAnsi="Palatino" w:eastAsia="Palatino"/>
          <w:sz w:val="22"/>
          <w:szCs w:val="22"/>
          <w:vertAlign w:val="superscript"/>
        </w:rPr>
        <w:footnoteReference w:id="45"/>
      </w:r>
      <w:r>
        <w:rPr>
          <w:rFonts w:ascii="Palatino" w:hAnsi="Palatino"/>
          <w:sz w:val="22"/>
          <w:szCs w:val="22"/>
          <w:rtl w:val="0"/>
          <w:lang w:val="en-US"/>
        </w:rPr>
        <w:t xml:space="preserve"> Further, that human create the ideal/the sacred space, as humans cannot live in a world of chaos. In chaos humans get lost and feel empty, </w:t>
      </w:r>
      <w:r>
        <w:rPr>
          <w:rStyle w:val="None"/>
          <w:rFonts w:ascii="Palatino" w:cs="Palatino" w:hAnsi="Palatino" w:eastAsia="Palatino"/>
          <w:sz w:val="22"/>
          <w:szCs w:val="22"/>
          <w:vertAlign w:val="superscript"/>
        </w:rPr>
        <w:footnoteReference w:id="46"/>
      </w:r>
      <w:r>
        <w:rPr>
          <w:rFonts w:ascii="Palatino" w:hAnsi="Palatino"/>
          <w:sz w:val="22"/>
          <w:szCs w:val="22"/>
          <w:rtl w:val="0"/>
          <w:lang w:val="en-US"/>
        </w:rPr>
        <w:t xml:space="preserve"> and the creation of the sacred space is done by god in order to create cosmos to oppose chaos. </w:t>
      </w:r>
      <w:r>
        <w:rPr>
          <w:rStyle w:val="None"/>
          <w:rFonts w:ascii="Palatino" w:cs="Palatino" w:hAnsi="Palatino" w:eastAsia="Palatino"/>
          <w:sz w:val="22"/>
          <w:szCs w:val="22"/>
          <w:vertAlign w:val="superscript"/>
        </w:rPr>
        <w:footnoteReference w:id="47"/>
      </w:r>
      <w:r>
        <w:rPr>
          <w:rFonts w:ascii="Palatino" w:hAnsi="Palatino"/>
          <w:sz w:val="22"/>
          <w:szCs w:val="22"/>
          <w:rtl w:val="0"/>
          <w:lang w:val="en-US"/>
        </w:rPr>
        <w:t xml:space="preserve"> By such, humans have no other option than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to repeat the ritual build of sacred spaces from which the world came to birth, </w:t>
      </w:r>
      <w:r>
        <w:rPr>
          <w:rStyle w:val="None"/>
          <w:rFonts w:ascii="Palatino" w:cs="Palatino" w:hAnsi="Palatino" w:eastAsia="Palatino"/>
          <w:sz w:val="22"/>
          <w:szCs w:val="22"/>
          <w:vertAlign w:val="superscript"/>
        </w:rPr>
        <w:footnoteReference w:id="48"/>
      </w:r>
      <w:r>
        <w:rPr>
          <w:rFonts w:ascii="Palatino" w:hAnsi="Palatino"/>
          <w:sz w:val="22"/>
          <w:szCs w:val="22"/>
          <w:rtl w:val="0"/>
          <w:lang w:val="en-US"/>
        </w:rPr>
        <w:t xml:space="preserve"> and by the repeats, humans continually transcends the profane by the sacred: </w:t>
      </w:r>
      <w:r>
        <w:rPr>
          <w:rFonts w:ascii="Palatino" w:hAnsi="Palatino" w:hint="default"/>
          <w:sz w:val="22"/>
          <w:szCs w:val="22"/>
          <w:rtl w:val="0"/>
          <w:lang w:val="en-US"/>
        </w:rPr>
        <w:t>’</w:t>
      </w:r>
      <w:r>
        <w:rPr>
          <w:rFonts w:ascii="Palatino" w:hAnsi="Palatino"/>
          <w:sz w:val="22"/>
          <w:szCs w:val="22"/>
          <w:rtl w:val="0"/>
          <w:lang w:val="en-US"/>
        </w:rPr>
        <w:t>However impure it may have become, the world is continually purified by the sanctity of sanctuaries</w:t>
      </w:r>
      <w:r>
        <w:rPr>
          <w:rFonts w:ascii="Palatino" w:hAnsi="Palatino" w:hint="default"/>
          <w:sz w:val="22"/>
          <w:szCs w:val="22"/>
          <w:rtl w:val="0"/>
          <w:lang w:val="en-US"/>
        </w:rPr>
        <w:t>’</w:t>
      </w:r>
      <w:r>
        <w:rPr>
          <w:rFonts w:ascii="Palatino" w:hAnsi="Palatino"/>
          <w:sz w:val="22"/>
          <w:szCs w:val="22"/>
          <w:rtl w:val="0"/>
          <w:lang w:val="en-US"/>
        </w:rPr>
        <w:t xml:space="preserve">. </w:t>
      </w:r>
      <w:r>
        <w:rPr>
          <w:rStyle w:val="None"/>
          <w:rFonts w:ascii="Palatino" w:cs="Palatino" w:hAnsi="Palatino" w:eastAsia="Palatino"/>
          <w:sz w:val="22"/>
          <w:szCs w:val="22"/>
          <w:vertAlign w:val="superscript"/>
        </w:rPr>
        <w:footnoteReference w:id="49"/>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i w:val="1"/>
          <w:iCs w:val="1"/>
          <w:sz w:val="22"/>
          <w:szCs w:val="22"/>
        </w:rPr>
      </w:pPr>
      <w:r>
        <w:rPr>
          <w:rFonts w:ascii="Palatino" w:hAnsi="Palatino"/>
          <w:i w:val="1"/>
          <w:iCs w:val="1"/>
          <w:sz w:val="22"/>
          <w:szCs w:val="22"/>
          <w:rtl w:val="0"/>
          <w:lang w:val="en-US"/>
        </w:rPr>
        <w:t>Literature Review</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Both authors approach was to analyse religion, the aspects of the sacred and the profane, through the analysis of existing sources. Durkheim</w:t>
      </w:r>
      <w:r>
        <w:rPr>
          <w:rFonts w:ascii="Palatino" w:hAnsi="Palatino" w:hint="default"/>
          <w:sz w:val="22"/>
          <w:szCs w:val="22"/>
          <w:rtl w:val="0"/>
          <w:lang w:val="en-US"/>
        </w:rPr>
        <w:t>’</w:t>
      </w:r>
      <w:r>
        <w:rPr>
          <w:rFonts w:ascii="Palatino" w:hAnsi="Palatino"/>
          <w:sz w:val="22"/>
          <w:szCs w:val="22"/>
          <w:rtl w:val="0"/>
          <w:lang w:val="en-US"/>
        </w:rPr>
        <w:t>s book has no bibliography, however extensive referencing throughout the book in the footnotes, with a broad use of sources. Eliade</w:t>
      </w:r>
      <w:r>
        <w:rPr>
          <w:rFonts w:ascii="Palatino" w:hAnsi="Palatino" w:hint="default"/>
          <w:sz w:val="22"/>
          <w:szCs w:val="22"/>
          <w:rtl w:val="0"/>
          <w:lang w:val="en-US"/>
        </w:rPr>
        <w:t>’</w:t>
      </w:r>
      <w:r>
        <w:rPr>
          <w:rFonts w:ascii="Palatino" w:hAnsi="Palatino"/>
          <w:sz w:val="22"/>
          <w:szCs w:val="22"/>
          <w:rtl w:val="0"/>
          <w:lang w:val="en-US"/>
        </w:rPr>
        <w:t xml:space="preserve">s book has a </w:t>
      </w:r>
      <w:r>
        <w:rPr>
          <w:rFonts w:ascii="Palatino" w:hAnsi="Palatino" w:hint="default"/>
          <w:sz w:val="22"/>
          <w:szCs w:val="22"/>
          <w:rtl w:val="0"/>
          <w:lang w:val="en-US"/>
        </w:rPr>
        <w:t>‘</w:t>
      </w:r>
      <w:r>
        <w:rPr>
          <w:rFonts w:ascii="Palatino" w:hAnsi="Palatino"/>
          <w:sz w:val="22"/>
          <w:szCs w:val="22"/>
          <w:rtl w:val="0"/>
          <w:lang w:val="en-US"/>
        </w:rPr>
        <w:t>selected bibliography</w:t>
      </w:r>
      <w:r>
        <w:rPr>
          <w:rFonts w:ascii="Palatino" w:hAnsi="Palatino" w:hint="default"/>
          <w:sz w:val="22"/>
          <w:szCs w:val="22"/>
          <w:rtl w:val="0"/>
          <w:lang w:val="en-US"/>
        </w:rPr>
        <w:t xml:space="preserve">’ </w:t>
      </w:r>
      <w:r>
        <w:rPr>
          <w:rFonts w:ascii="Palatino" w:hAnsi="Palatino"/>
          <w:sz w:val="22"/>
          <w:szCs w:val="22"/>
          <w:rtl w:val="0"/>
          <w:lang w:val="en-US"/>
        </w:rPr>
        <w:t>with over 60 sources, which includes Eliade himself along with Durkheim.</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Style w:val="None"/>
          <w:rFonts w:ascii="Palatino" w:cs="Palatino" w:hAnsi="Palatino" w:eastAsia="Palatino"/>
          <w:sz w:val="22"/>
          <w:szCs w:val="22"/>
          <w:rtl w:val="0"/>
        </w:rPr>
        <w:tab/>
        <w:t xml:space="preserve">Neither Eliade or Durkheim discussed sacred space through for instance pilgrimage, as discussed by Anna Davidsson Bremberg </w:t>
      </w:r>
      <w:r>
        <w:rPr>
          <w:rStyle w:val="None"/>
          <w:rFonts w:ascii="Palatino" w:cs="Palatino" w:hAnsi="Palatino" w:eastAsia="Palatino"/>
          <w:sz w:val="22"/>
          <w:szCs w:val="22"/>
          <w:vertAlign w:val="superscript"/>
        </w:rPr>
        <w:footnoteReference w:id="50"/>
      </w:r>
      <w:r>
        <w:rPr>
          <w:rStyle w:val="None"/>
          <w:rFonts w:ascii="Palatino" w:hAnsi="Palatino"/>
          <w:sz w:val="22"/>
          <w:szCs w:val="22"/>
          <w:rtl w:val="0"/>
          <w:lang w:val="en-US"/>
        </w:rPr>
        <w:t xml:space="preserve">, interestingly as a rite, and rites were extensively discussed by Durkheim. Sacred spaces was also not discussed as an aspect of healing, as discussed by Geraldine Perriam as a potential place of sacred help in times of illness. </w:t>
      </w:r>
      <w:r>
        <w:rPr>
          <w:rStyle w:val="None"/>
          <w:rFonts w:ascii="Palatino" w:cs="Palatino" w:hAnsi="Palatino" w:eastAsia="Palatino"/>
          <w:sz w:val="22"/>
          <w:szCs w:val="22"/>
          <w:vertAlign w:val="superscript"/>
        </w:rPr>
        <w:footnoteReference w:id="51"/>
      </w:r>
      <w:r>
        <w:rPr>
          <w:rStyle w:val="None"/>
          <w:rFonts w:ascii="Palatino" w:hAnsi="Palatino"/>
          <w:sz w:val="22"/>
          <w:szCs w:val="22"/>
          <w:rtl w:val="0"/>
          <w:lang w:val="en-US"/>
        </w:rPr>
        <w:t xml:space="preserve"> Today, sacred space have developed and sacred spaces exist even in virtual form, however does allowing a full experience of the sacred space. </w:t>
      </w:r>
      <w:r>
        <w:rPr>
          <w:rStyle w:val="None"/>
          <w:rFonts w:ascii="Palatino" w:cs="Palatino" w:hAnsi="Palatino" w:eastAsia="Palatino"/>
          <w:sz w:val="22"/>
          <w:szCs w:val="22"/>
          <w:vertAlign w:val="superscript"/>
        </w:rPr>
        <w:footnoteReference w:id="52"/>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Style w:val="None"/>
          <w:rFonts w:ascii="Palatino" w:cs="Palatino" w:hAnsi="Palatino" w:eastAsia="Palatino"/>
          <w:b w:val="0"/>
          <w:bCs w:val="0"/>
          <w:sz w:val="22"/>
          <w:szCs w:val="22"/>
        </w:rPr>
      </w:pPr>
      <w:r>
        <w:rPr>
          <w:rFonts w:ascii="Palatino" w:hAnsi="Palatino"/>
          <w:b w:val="1"/>
          <w:bCs w:val="1"/>
          <w:sz w:val="22"/>
          <w:szCs w:val="22"/>
          <w:rtl w:val="0"/>
          <w:lang w:val="en-US"/>
        </w:rPr>
        <w:t>Conclusion</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Style w:val="None"/>
          <w:rFonts w:ascii="Palatino" w:hAnsi="Palatino"/>
          <w:sz w:val="22"/>
          <w:szCs w:val="22"/>
          <w:rtl w:val="0"/>
          <w:lang w:val="en-US"/>
        </w:rPr>
        <w:t xml:space="preserve">This essay has </w:t>
      </w:r>
      <w:r>
        <w:rPr>
          <w:rStyle w:val="None"/>
          <w:rFonts w:ascii="Palatino" w:hAnsi="Palatino"/>
          <w:sz w:val="22"/>
          <w:szCs w:val="22"/>
          <w:rtl w:val="0"/>
          <w:lang w:val="en-US"/>
        </w:rPr>
        <w:t>critically compared and contrasted two sources by Eliade and Durkheim</w:t>
      </w:r>
      <w:r>
        <w:rPr>
          <w:rFonts w:ascii="Palatino" w:hAnsi="Palatino"/>
          <w:sz w:val="22"/>
          <w:szCs w:val="22"/>
          <w:rtl w:val="0"/>
          <w:lang w:val="en-US"/>
        </w:rPr>
        <w:t xml:space="preserve"> respectively</w:t>
      </w:r>
      <w:r>
        <w:rPr>
          <w:rStyle w:val="None"/>
          <w:rFonts w:ascii="Palatino" w:hAnsi="Palatino"/>
          <w:sz w:val="22"/>
          <w:szCs w:val="22"/>
          <w:rtl w:val="0"/>
          <w:lang w:val="en-US"/>
        </w:rPr>
        <w:t>.</w:t>
      </w:r>
      <w:r>
        <w:rPr>
          <w:rFonts w:ascii="Palatino" w:hAnsi="Palatino"/>
          <w:sz w:val="22"/>
          <w:szCs w:val="22"/>
          <w:rtl w:val="0"/>
          <w:lang w:val="en-US"/>
        </w:rPr>
        <w:t xml:space="preserve"> </w:t>
      </w:r>
      <w:r>
        <w:rPr>
          <w:rStyle w:val="None"/>
          <w:rFonts w:ascii="Palatino" w:cs="Palatino" w:hAnsi="Palatino" w:eastAsia="Palatino"/>
          <w:sz w:val="22"/>
          <w:szCs w:val="22"/>
          <w:vertAlign w:val="superscript"/>
        </w:rPr>
        <w:footnoteReference w:id="53"/>
      </w:r>
      <w:r>
        <w:rPr>
          <w:rFonts w:ascii="Palatino" w:hAnsi="Palatino"/>
          <w:sz w:val="22"/>
          <w:szCs w:val="22"/>
          <w:rtl w:val="0"/>
          <w:lang w:val="en-US"/>
        </w:rPr>
        <w:t xml:space="preserve">  Both sources were books written by the authors on the subject of religion. Eliade</w:t>
      </w:r>
      <w:r>
        <w:rPr>
          <w:rFonts w:ascii="Palatino" w:hAnsi="Palatino" w:hint="default"/>
          <w:sz w:val="22"/>
          <w:szCs w:val="22"/>
          <w:rtl w:val="0"/>
          <w:lang w:val="en-US"/>
        </w:rPr>
        <w:t>’</w:t>
      </w:r>
      <w:r>
        <w:rPr>
          <w:rFonts w:ascii="Palatino" w:hAnsi="Palatino"/>
          <w:sz w:val="22"/>
          <w:szCs w:val="22"/>
          <w:rtl w:val="0"/>
          <w:lang w:val="en-US"/>
        </w:rPr>
        <w:t>s book was written in 1956 when he was 51 and Durkheim wrote his book in 1915 when he was 54. Both authors are widely published and became professors. The books were written with a 44 year gap, and Eliade used Durkheim</w:t>
      </w:r>
      <w:r>
        <w:rPr>
          <w:rFonts w:ascii="Palatino" w:hAnsi="Palatino" w:hint="default"/>
          <w:sz w:val="22"/>
          <w:szCs w:val="22"/>
          <w:rtl w:val="0"/>
          <w:lang w:val="en-US"/>
        </w:rPr>
        <w:t>’</w:t>
      </w:r>
      <w:r>
        <w:rPr>
          <w:rFonts w:ascii="Palatino" w:hAnsi="Palatino"/>
          <w:sz w:val="22"/>
          <w:szCs w:val="22"/>
          <w:rtl w:val="0"/>
          <w:lang w:val="en-US"/>
        </w:rPr>
        <w:t>s work as a source.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Style w:val="None"/>
          <w:rFonts w:ascii="Palatino" w:cs="Palatino" w:hAnsi="Palatino" w:eastAsia="Palatino"/>
          <w:sz w:val="22"/>
          <w:szCs w:val="22"/>
        </w:rPr>
      </w:pPr>
      <w:r>
        <w:rPr>
          <w:rStyle w:val="None"/>
          <w:rFonts w:ascii="Palatino" w:cs="Palatino" w:hAnsi="Palatino" w:eastAsia="Palatino"/>
          <w:sz w:val="22"/>
          <w:szCs w:val="22"/>
          <w:rtl w:val="0"/>
        </w:rPr>
        <w:tab/>
        <w:t>It was found that both Eliade and Durkheim perceived a clear distinction between the sacred and the profane, as religion/non-religious or as real/ideal, and the opposites were defined in their views of sacred space. However, Eliade</w:t>
      </w:r>
      <w:r>
        <w:rPr>
          <w:rStyle w:val="None"/>
          <w:rFonts w:ascii="Palatino" w:hAnsi="Palatino" w:hint="default"/>
          <w:sz w:val="22"/>
          <w:szCs w:val="22"/>
          <w:rtl w:val="0"/>
          <w:lang w:val="en-US"/>
        </w:rPr>
        <w:t>’</w:t>
      </w:r>
      <w:r>
        <w:rPr>
          <w:rStyle w:val="None"/>
          <w:rFonts w:ascii="Palatino" w:hAnsi="Palatino"/>
          <w:sz w:val="22"/>
          <w:szCs w:val="22"/>
          <w:rtl w:val="0"/>
          <w:lang w:val="en-US"/>
        </w:rPr>
        <w:t>s view of sacred space was discussed as a physical place with an entrance whereas Durkheim</w:t>
      </w:r>
      <w:r>
        <w:rPr>
          <w:rStyle w:val="None"/>
          <w:rFonts w:ascii="Palatino" w:hAnsi="Palatino" w:hint="default"/>
          <w:sz w:val="22"/>
          <w:szCs w:val="22"/>
          <w:rtl w:val="0"/>
          <w:lang w:val="en-US"/>
        </w:rPr>
        <w:t>’</w:t>
      </w:r>
      <w:r>
        <w:rPr>
          <w:rStyle w:val="None"/>
          <w:rFonts w:ascii="Palatino" w:hAnsi="Palatino"/>
          <w:sz w:val="22"/>
          <w:szCs w:val="22"/>
          <w:rtl w:val="0"/>
          <w:lang w:val="en-US"/>
        </w:rPr>
        <w:t>s view also covered the aspect of a place without form, and thus more phenomenological in his view.</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19"/>
          <w:footerReference w:type="default" r:id="rId20"/>
          <w:pgSz w:w="12240" w:h="15840" w:orient="portrait"/>
          <w:pgMar w:top="1134" w:right="1134" w:bottom="1134" w:left="1134" w:header="567" w:footer="720"/>
          <w:bidi w:val="0"/>
        </w:sectPr>
      </w:pPr>
      <w:r>
        <w:rPr>
          <w:rStyle w:val="None"/>
          <w:rFonts w:ascii="Palatino" w:cs="Palatino" w:hAnsi="Palatino" w:eastAsia="Palatino"/>
          <w:sz w:val="22"/>
          <w:szCs w:val="22"/>
          <w:rtl w:val="0"/>
        </w:rPr>
        <w:tab/>
        <w:t>The analysis of the author</w:t>
      </w:r>
      <w:r>
        <w:rPr>
          <w:rStyle w:val="None"/>
          <w:rFonts w:ascii="Palatino" w:hAnsi="Palatino" w:hint="default"/>
          <w:sz w:val="22"/>
          <w:szCs w:val="22"/>
          <w:rtl w:val="0"/>
          <w:lang w:val="en-US"/>
        </w:rPr>
        <w:t>’</w:t>
      </w:r>
      <w:r>
        <w:rPr>
          <w:rStyle w:val="None"/>
          <w:rFonts w:ascii="Palatino" w:hAnsi="Palatino"/>
          <w:sz w:val="22"/>
          <w:szCs w:val="22"/>
          <w:rtl w:val="0"/>
          <w:lang w:val="en-US"/>
        </w:rPr>
        <w:t>s view of nature and sacred space revealed Durkheim</w:t>
      </w:r>
      <w:r>
        <w:rPr>
          <w:rStyle w:val="None"/>
          <w:rFonts w:ascii="Palatino" w:hAnsi="Palatino" w:hint="default"/>
          <w:sz w:val="22"/>
          <w:szCs w:val="22"/>
          <w:rtl w:val="0"/>
          <w:lang w:val="en-US"/>
        </w:rPr>
        <w:t>’</w:t>
      </w:r>
      <w:r>
        <w:rPr>
          <w:rStyle w:val="None"/>
          <w:rFonts w:ascii="Palatino" w:hAnsi="Palatino"/>
          <w:sz w:val="22"/>
          <w:szCs w:val="22"/>
          <w:rtl w:val="0"/>
          <w:lang w:val="en-US"/>
        </w:rPr>
        <w:t xml:space="preserve">s extensive discussion of </w:t>
      </w:r>
      <w:r>
        <w:rPr>
          <w:rStyle w:val="None"/>
          <w:rFonts w:ascii="Palatino" w:hAnsi="Palatino" w:hint="default"/>
          <w:sz w:val="22"/>
          <w:szCs w:val="22"/>
          <w:rtl w:val="0"/>
          <w:lang w:val="en-US"/>
        </w:rPr>
        <w:t>“</w:t>
      </w:r>
      <w:r>
        <w:rPr>
          <w:rStyle w:val="None"/>
          <w:rFonts w:ascii="Palatino" w:hAnsi="Palatino"/>
          <w:sz w:val="22"/>
          <w:szCs w:val="22"/>
          <w:rtl w:val="0"/>
          <w:lang w:val="en-US"/>
        </w:rPr>
        <w:t>cult</w:t>
      </w:r>
      <w:r>
        <w:rPr>
          <w:rStyle w:val="None"/>
          <w:rFonts w:ascii="Palatino" w:hAnsi="Palatino" w:hint="default"/>
          <w:sz w:val="22"/>
          <w:szCs w:val="22"/>
          <w:rtl w:val="0"/>
          <w:lang w:val="en-US"/>
        </w:rPr>
        <w:t>”</w:t>
      </w:r>
      <w:r>
        <w:rPr>
          <w:rStyle w:val="None"/>
          <w:rFonts w:ascii="Palatino" w:hAnsi="Palatino"/>
          <w:sz w:val="22"/>
          <w:szCs w:val="22"/>
          <w:rtl w:val="0"/>
          <w:lang w:val="en-US"/>
        </w:rPr>
        <w:t>, where vegetables and animals were sacred, along with anything being sacred, including natural things and natural places. Eliade described how animals can be signs and help</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hAnsi="Palatino"/>
          <w:sz w:val="22"/>
          <w:szCs w:val="22"/>
          <w:rtl w:val="0"/>
          <w:lang w:val="en-US"/>
        </w:rPr>
        <w:t xml:space="preserve">humans in locating a sacred space. </w:t>
      </w:r>
      <w:r>
        <w:rPr>
          <w:rStyle w:val="None"/>
          <w:rFonts w:ascii="Palatino" w:hAnsi="Palatino"/>
          <w:sz w:val="22"/>
          <w:szCs w:val="22"/>
          <w:rtl w:val="0"/>
          <w:lang w:val="en-US"/>
        </w:rPr>
        <w:t xml:space="preserve">Durkheim perceived the sky as divine and not sacred, </w:t>
      </w:r>
      <w:r>
        <w:rPr>
          <w:rFonts w:ascii="Palatino" w:hAnsi="Palatino"/>
          <w:sz w:val="22"/>
          <w:szCs w:val="22"/>
          <w:rtl w:val="0"/>
          <w:lang w:val="en-US"/>
        </w:rPr>
        <w:t>whereas Eliade described the sacred space to be an opening to the heavens. Both authors views was that nature was helping humans creating a sacred space.</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Fonts w:ascii="Palatino" w:cs="Palatino" w:hAnsi="Palatino" w:eastAsia="Palatino"/>
          <w:sz w:val="22"/>
          <w:szCs w:val="22"/>
          <w:rtl w:val="0"/>
        </w:rPr>
        <w:tab/>
        <w:t>Where Durkheim</w:t>
      </w:r>
      <w:r>
        <w:rPr>
          <w:rFonts w:ascii="Palatino" w:hAnsi="Palatino" w:hint="default"/>
          <w:sz w:val="22"/>
          <w:szCs w:val="22"/>
          <w:rtl w:val="0"/>
          <w:lang w:val="en-US"/>
        </w:rPr>
        <w:t>’</w:t>
      </w:r>
      <w:r>
        <w:rPr>
          <w:rFonts w:ascii="Palatino" w:hAnsi="Palatino"/>
          <w:sz w:val="22"/>
          <w:szCs w:val="22"/>
          <w:rtl w:val="0"/>
          <w:lang w:val="en-US"/>
        </w:rPr>
        <w:t>s view of the creation of sacred space occurred as a part of civilisation through the practices, rituals and ceremonies, Eliade was more specific in his description. The creation of the sacred space was in Eliade</w:t>
      </w:r>
      <w:r>
        <w:rPr>
          <w:rFonts w:ascii="Palatino" w:hAnsi="Palatino" w:hint="default"/>
          <w:sz w:val="22"/>
          <w:szCs w:val="22"/>
          <w:rtl w:val="0"/>
          <w:lang w:val="en-US"/>
        </w:rPr>
        <w:t>’</w:t>
      </w:r>
      <w:r>
        <w:rPr>
          <w:rFonts w:ascii="Palatino" w:hAnsi="Palatino"/>
          <w:sz w:val="22"/>
          <w:szCs w:val="22"/>
          <w:rtl w:val="0"/>
          <w:lang w:val="en-US"/>
        </w:rPr>
        <w:t>s view a physical space in a moment of time. A central space created to change chaos, the profane, into cosmos, the sacred, with direct communication with the heavens.</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sz w:val="22"/>
          <w:szCs w:val="22"/>
        </w:rPr>
      </w:pPr>
      <w:r>
        <w:rPr>
          <w:rStyle w:val="None"/>
          <w:rFonts w:ascii="Palatino" w:cs="Palatino" w:hAnsi="Palatino" w:eastAsia="Palatino"/>
          <w:sz w:val="22"/>
          <w:szCs w:val="22"/>
        </w:rPr>
        <w:tab/>
      </w:r>
      <w:r>
        <w:rPr>
          <w:rStyle w:val="None"/>
          <w:rFonts w:ascii="Palatino" w:hAnsi="Palatino"/>
          <w:sz w:val="22"/>
          <w:szCs w:val="22"/>
          <w:rtl w:val="0"/>
          <w:lang w:val="en-US"/>
        </w:rPr>
        <w:t>Th</w:t>
      </w:r>
      <w:r>
        <w:rPr>
          <w:rStyle w:val="None"/>
          <w:rFonts w:ascii="Palatino" w:hAnsi="Palatino"/>
          <w:sz w:val="22"/>
          <w:szCs w:val="22"/>
          <w:rtl w:val="0"/>
          <w:lang w:val="en-US"/>
        </w:rPr>
        <w:t>is essay</w:t>
      </w:r>
      <w:r>
        <w:rPr>
          <w:rStyle w:val="None"/>
          <w:rFonts w:ascii="Palatino" w:hAnsi="Palatino" w:hint="default"/>
          <w:sz w:val="22"/>
          <w:szCs w:val="22"/>
          <w:rtl w:val="0"/>
          <w:lang w:val="en-US"/>
        </w:rPr>
        <w:t>’</w:t>
      </w:r>
      <w:r>
        <w:rPr>
          <w:rStyle w:val="None"/>
          <w:rFonts w:ascii="Palatino" w:hAnsi="Palatino"/>
          <w:sz w:val="22"/>
          <w:szCs w:val="22"/>
          <w:rtl w:val="0"/>
          <w:lang w:val="en-US"/>
        </w:rPr>
        <w:t xml:space="preserve">s study of the sacred space, and the profane space, from the views of Eliade and Durkheim was a tremendous journey through space and time. As mentioned in the introduction, the subject is complex, thus, the nature of essay had to be limited and a deeper analysis would be interesting. Both authors discussed the sacred and the profane as a human experience with a distinct division. </w:t>
      </w:r>
      <w:r>
        <w:rPr>
          <w:rFonts w:ascii="Palatino" w:hAnsi="Palatino"/>
          <w:sz w:val="22"/>
          <w:szCs w:val="22"/>
          <w:rtl w:val="0"/>
          <w:lang w:val="en-US"/>
        </w:rPr>
        <w:t>If the concepts of profane and sacred are human experiences, and sacred as shown in this essay can be unconsciously chosen by animals, maybe all is sacred, and profane is a heritage of human thought.</w:t>
      </w: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1"/>
          <w:bCs w:val="1"/>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rPr>
          <w:rFonts w:ascii="Palatino" w:cs="Palatino" w:hAnsi="Palatino" w:eastAsia="Palatino"/>
          <w:b w:val="1"/>
          <w:bCs w:val="1"/>
          <w:sz w:val="22"/>
          <w:szCs w:val="22"/>
        </w:rPr>
      </w:pPr>
    </w:p>
    <w:p>
      <w:pPr>
        <w:pStyle w:val="Body"/>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 w:val="left" w:pos="4245"/>
          <w:tab w:val="left" w:pos="4528"/>
          <w:tab w:val="left" w:pos="4811"/>
          <w:tab w:val="left" w:pos="5094"/>
          <w:tab w:val="left" w:pos="5377"/>
          <w:tab w:val="left" w:pos="5660"/>
          <w:tab w:val="left" w:pos="5943"/>
          <w:tab w:val="left" w:pos="6226"/>
          <w:tab w:val="left" w:pos="6509"/>
          <w:tab w:val="left" w:pos="6792"/>
          <w:tab w:val="left" w:pos="7075"/>
          <w:tab w:val="left" w:pos="7358"/>
          <w:tab w:val="left" w:pos="7641"/>
          <w:tab w:val="left" w:pos="7924"/>
          <w:tab w:val="left" w:pos="8207"/>
          <w:tab w:val="left" w:pos="8490"/>
          <w:tab w:val="left" w:pos="8773"/>
          <w:tab w:val="left" w:pos="9056"/>
          <w:tab w:val="left" w:pos="9339"/>
          <w:tab w:val="left" w:pos="9622"/>
          <w:tab w:val="left" w:pos="9905"/>
        </w:tabs>
        <w:spacing w:before="0" w:line="264" w:lineRule="auto"/>
        <w:sectPr>
          <w:headerReference w:type="default" r:id="rId21"/>
          <w:footerReference w:type="default" r:id="rId22"/>
          <w:pgSz w:w="12240" w:h="15840" w:orient="portrait"/>
          <w:pgMar w:top="1134" w:right="1134" w:bottom="1134" w:left="1134" w:header="567" w:footer="720"/>
          <w:bidi w:val="0"/>
        </w:sectPr>
      </w:pPr>
    </w:p>
    <w:p>
      <w:pPr>
        <w:pStyle w:val="Body"/>
        <w:spacing w:before="0"/>
        <w:rPr>
          <w:rFonts w:ascii="Palatino" w:cs="Palatino" w:hAnsi="Palatino" w:eastAsia="Palatino"/>
          <w:b w:val="1"/>
          <w:bCs w:val="1"/>
          <w:sz w:val="22"/>
          <w:szCs w:val="22"/>
        </w:rPr>
      </w:pPr>
      <w:r>
        <w:rPr>
          <w:rFonts w:ascii="Palatino" w:hAnsi="Palatino"/>
          <w:b w:val="1"/>
          <w:bCs w:val="1"/>
          <w:sz w:val="22"/>
          <w:szCs w:val="22"/>
          <w:rtl w:val="0"/>
          <w:lang w:val="en-US"/>
        </w:rPr>
        <w:t>Bibliography</w:t>
      </w:r>
    </w:p>
    <w:p>
      <w:pPr>
        <w:pStyle w:val="Body"/>
        <w:spacing w:before="0"/>
        <w:rPr>
          <w:rFonts w:ascii="Palatino" w:cs="Palatino" w:hAnsi="Palatino" w:eastAsia="Palatino"/>
          <w:sz w:val="22"/>
          <w:szCs w:val="22"/>
        </w:rPr>
      </w:pPr>
    </w:p>
    <w:p>
      <w:pPr>
        <w:pStyle w:val="Body"/>
        <w:spacing w:before="0"/>
        <w:rPr>
          <w:rFonts w:ascii="Palatino" w:cs="Palatino" w:hAnsi="Palatino" w:eastAsia="Palatino"/>
          <w:sz w:val="22"/>
          <w:szCs w:val="22"/>
        </w:rPr>
      </w:pPr>
    </w:p>
    <w:p>
      <w:pPr>
        <w:pStyle w:val="Footnote"/>
      </w:pPr>
      <w:r>
        <w:rPr>
          <w:sz w:val="22"/>
          <w:szCs w:val="22"/>
        </w:rPr>
      </w:r>
    </w:p>
    <w:sectPr>
      <w:headerReference w:type="default" r:id="rId23"/>
      <w:footerReference w:type="default" r:id="rId24"/>
      <w:pgSz w:w="12240" w:h="15840" w:orient="portrait"/>
      <w:pgMar w:top="1134" w:right="1134" w:bottom="1134" w:left="1134" w:header="567"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 w:name="Tahoma">
    <w:charset w:val="00"/>
    <w:family w:val="roman"/>
    <w:pitch w:val="default"/>
  </w:font>
  <w:font w:name="Trebuchet MS">
    <w:charset w:val="00"/>
    <w:family w:val="roman"/>
    <w:pitch w:val="default"/>
  </w:font>
  <w:font w:name="Cambria">
    <w:charset w:val="00"/>
    <w:family w:val="roman"/>
    <w:pitch w:val="default"/>
  </w:font>
  <w:font w:name="Calibri">
    <w:charset w:val="00"/>
    <w:family w:val="roman"/>
    <w:pitch w:val="default"/>
  </w:font>
  <w:font w:name="Palatin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4.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5.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6.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7.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8.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9.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10.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lang w:val="en-US"/>
        </w:rPr>
        <w:t xml:space="preserve"> Eliade, Mircea, </w:t>
      </w:r>
      <w:r>
        <w:rPr>
          <w:rFonts w:cs="Arial Unicode MS" w:eastAsia="Arial Unicode MS"/>
          <w:i w:val="1"/>
          <w:iCs w:val="1"/>
          <w:rtl w:val="0"/>
          <w:lang w:val="en-US"/>
        </w:rPr>
        <w:t>The Sacred And The Profane: The Nature Of Religion</w:t>
      </w:r>
      <w:r>
        <w:rPr>
          <w:rFonts w:cs="Arial Unicode MS" w:eastAsia="Arial Unicode MS"/>
          <w:rtl w:val="0"/>
          <w:lang w:val="en-US"/>
        </w:rPr>
        <w:t>, translated from the French by Willard R. Trask (Orlando, Austin, New York, San Diego, Toronto, London: Harcourt Inc., 1959).</w:t>
      </w:r>
    </w:p>
  </w:footnote>
  <w:footnote w:id="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Durkheim, Emile, </w:t>
      </w:r>
      <w:r>
        <w:rPr>
          <w:rFonts w:cs="Arial Unicode MS" w:eastAsia="Arial Unicode MS"/>
          <w:i w:val="1"/>
          <w:iCs w:val="1"/>
          <w:rtl w:val="0"/>
          <w:lang w:val="en-US"/>
        </w:rPr>
        <w:t>The Elementary Forms Of The Religious Life</w:t>
      </w:r>
      <w:r>
        <w:rPr>
          <w:rFonts w:cs="Arial Unicode MS" w:eastAsia="Arial Unicode MS"/>
          <w:rtl w:val="0"/>
          <w:lang w:val="en-US"/>
        </w:rPr>
        <w:t>, Dover edn. (Mineola, New York: Dover Publications Inc.).</w:t>
      </w:r>
    </w:p>
  </w:footnote>
  <w:footnote w:id="3">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Stirrat, R.L., Sacred Models, </w:t>
      </w:r>
      <w:r>
        <w:rPr>
          <w:rFonts w:cs="Arial Unicode MS" w:eastAsia="Arial Unicode MS"/>
          <w:i w:val="1"/>
          <w:iCs w:val="1"/>
          <w:rtl w:val="0"/>
          <w:lang w:val="en-US"/>
        </w:rPr>
        <w:t xml:space="preserve">Man, </w:t>
      </w:r>
      <w:r>
        <w:rPr>
          <w:rFonts w:cs="Arial Unicode MS" w:eastAsia="Arial Unicode MS"/>
          <w:rtl w:val="0"/>
          <w:lang w:val="en-US"/>
        </w:rPr>
        <w:t>19, 2 (1984), pp.199-215, p. 199 &lt;</w:t>
      </w:r>
      <w:r>
        <w:rPr>
          <w:rFonts w:cs="Arial Unicode MS" w:eastAsia="Arial Unicode MS"/>
          <w:rtl w:val="0"/>
          <w:lang w:val="en-US"/>
        </w:rPr>
        <w:t>https://doi.org/10.2307/2802277</w:t>
      </w:r>
      <w:r>
        <w:rPr>
          <w:rFonts w:cs="Arial Unicode MS" w:eastAsia="Arial Unicode MS"/>
          <w:rtl w:val="0"/>
          <w:lang w:val="en-US"/>
        </w:rPr>
        <w:t>&gt; [assessed 7th November 2021].</w:t>
      </w:r>
    </w:p>
  </w:footnote>
  <w:footnote w:id="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Monique Hennick, Inge Hutter and Ajay Bailey, </w:t>
      </w:r>
      <w:r>
        <w:rPr>
          <w:rFonts w:cs="Arial Unicode MS" w:eastAsia="Arial Unicode MS"/>
          <w:i w:val="1"/>
          <w:iCs w:val="1"/>
          <w:rtl w:val="0"/>
          <w:lang w:val="en-US"/>
        </w:rPr>
        <w:t>Qualitative Research Methods</w:t>
      </w:r>
      <w:r>
        <w:rPr>
          <w:rFonts w:cs="Arial Unicode MS" w:eastAsia="Arial Unicode MS"/>
          <w:rtl w:val="0"/>
          <w:lang w:val="en-US"/>
        </w:rPr>
        <w:t>, 2</w:t>
      </w:r>
      <w:r>
        <w:rPr>
          <w:rFonts w:cs="Arial Unicode MS" w:eastAsia="Arial Unicode MS"/>
          <w:vertAlign w:val="superscript"/>
          <w:rtl w:val="0"/>
          <w:lang w:val="en-US"/>
        </w:rPr>
        <w:t>nd</w:t>
      </w:r>
      <w:r>
        <w:rPr>
          <w:rFonts w:cs="Arial Unicode MS" w:eastAsia="Arial Unicode MS"/>
          <w:rtl w:val="0"/>
          <w:lang w:val="en-US"/>
        </w:rPr>
        <w:t xml:space="preserve"> edn. (London: Sage, 2020), p. 236-237.</w:t>
      </w:r>
    </w:p>
  </w:footnote>
  <w:footnote w:id="5">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Mircea Eliade, </w:t>
      </w:r>
      <w:r>
        <w:rPr>
          <w:rFonts w:cs="Arial Unicode MS" w:eastAsia="Arial Unicode MS"/>
          <w:i w:val="1"/>
          <w:iCs w:val="1"/>
          <w:rtl w:val="0"/>
          <w:lang w:val="en-US"/>
        </w:rPr>
        <w:t>The Sacred And The Profane</w:t>
      </w:r>
      <w:r>
        <w:rPr>
          <w:rFonts w:cs="Arial Unicode MS" w:eastAsia="Arial Unicode MS"/>
          <w:rtl w:val="0"/>
          <w:lang w:val="en-US"/>
        </w:rPr>
        <w:t>.</w:t>
      </w:r>
    </w:p>
  </w:footnote>
  <w:footnote w:id="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Emile Durkheim, </w:t>
      </w:r>
      <w:r>
        <w:rPr>
          <w:rFonts w:cs="Arial Unicode MS" w:eastAsia="Arial Unicode MS"/>
          <w:i w:val="1"/>
          <w:iCs w:val="1"/>
          <w:rtl w:val="0"/>
          <w:lang w:val="en-US"/>
        </w:rPr>
        <w:t>The Elementary Forms</w:t>
      </w:r>
      <w:r>
        <w:rPr>
          <w:rFonts w:cs="Arial Unicode MS" w:eastAsia="Arial Unicode MS"/>
          <w:rtl w:val="0"/>
          <w:lang w:val="en-US"/>
        </w:rPr>
        <w:t>.</w:t>
      </w:r>
    </w:p>
  </w:footnote>
  <w:footnote w:id="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Allen, Douglas, </w:t>
      </w:r>
      <w:r>
        <w:rPr>
          <w:rFonts w:cs="Arial Unicode MS" w:eastAsia="Arial Unicode MS"/>
          <w:i w:val="1"/>
          <w:iCs w:val="1"/>
          <w:rtl w:val="0"/>
        </w:rPr>
        <w:t>Mircea Eliade</w:t>
      </w:r>
      <w:r>
        <w:rPr>
          <w:rFonts w:cs="Arial Unicode MS" w:eastAsia="Arial Unicode MS"/>
          <w:i w:val="1"/>
          <w:iCs w:val="1"/>
          <w:rtl w:val="0"/>
          <w:lang w:val="en-US"/>
        </w:rPr>
        <w:t xml:space="preserve">, </w:t>
      </w:r>
      <w:r>
        <w:rPr>
          <w:rFonts w:cs="Arial Unicode MS" w:eastAsia="Arial Unicode MS"/>
          <w:i w:val="1"/>
          <w:iCs w:val="1"/>
          <w:rtl w:val="0"/>
          <w:lang w:val="en-US"/>
        </w:rPr>
        <w:t>Romanian religious historian and author</w:t>
      </w:r>
      <w:r>
        <w:rPr>
          <w:rFonts w:cs="Arial Unicode MS" w:eastAsia="Arial Unicode MS"/>
          <w:rtl w:val="0"/>
          <w:lang w:val="en-US"/>
        </w:rPr>
        <w:t xml:space="preserve">, </w:t>
      </w:r>
      <w:r>
        <w:rPr>
          <w:rFonts w:cs="Arial Unicode MS" w:eastAsia="Arial Unicode MS"/>
          <w:rtl w:val="0"/>
          <w:lang w:val="it-IT"/>
        </w:rPr>
        <w:t>Encyclopedia Britannica, 18 Apr. 2021</w:t>
      </w:r>
      <w:r>
        <w:rPr>
          <w:rFonts w:cs="Arial Unicode MS" w:eastAsia="Arial Unicode MS"/>
          <w:rtl w:val="0"/>
          <w:lang w:val="en-US"/>
        </w:rPr>
        <w:t xml:space="preserve"> &lt;</w:t>
      </w:r>
      <w:r>
        <w:rPr>
          <w:rFonts w:cs="Arial Unicode MS" w:eastAsia="Arial Unicode MS"/>
          <w:rtl w:val="0"/>
          <w:lang w:val="it-IT"/>
        </w:rPr>
        <w:t>https://www.britannica.com/biography/Mircea-Eliade</w:t>
      </w:r>
      <w:r>
        <w:rPr>
          <w:rFonts w:cs="Arial Unicode MS" w:eastAsia="Arial Unicode MS"/>
          <w:rtl w:val="0"/>
          <w:lang w:val="en-US"/>
        </w:rPr>
        <w:t>&gt; [assessed 7th November 2021].</w:t>
      </w:r>
    </w:p>
  </w:footnote>
  <w:footnote w:id="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 norse-mythology.org, </w:t>
      </w:r>
      <w:r>
        <w:rPr>
          <w:rFonts w:cs="Arial Unicode MS" w:eastAsia="Arial Unicode MS"/>
          <w:rtl w:val="0"/>
        </w:rPr>
        <w:t>A</w:t>
      </w:r>
      <w:r>
        <w:rPr>
          <w:rFonts w:cs="Arial Unicode MS" w:eastAsia="Arial Unicode MS"/>
          <w:rtl w:val="0"/>
          <w:lang w:val="en-US"/>
        </w:rPr>
        <w:t>n</w:t>
      </w:r>
      <w:r>
        <w:rPr>
          <w:rFonts w:cs="Arial Unicode MS" w:eastAsia="Arial Unicode MS"/>
          <w:rtl w:val="0"/>
        </w:rPr>
        <w:t xml:space="preserve"> I</w:t>
      </w:r>
      <w:r>
        <w:rPr>
          <w:rFonts w:cs="Arial Unicode MS" w:eastAsia="Arial Unicode MS"/>
          <w:rtl w:val="0"/>
          <w:lang w:val="en-US"/>
        </w:rPr>
        <w:t>ntroduction</w:t>
      </w:r>
      <w:r>
        <w:rPr>
          <w:rFonts w:cs="Arial Unicode MS" w:eastAsia="Arial Unicode MS"/>
          <w:rtl w:val="0"/>
        </w:rPr>
        <w:t xml:space="preserve"> T</w:t>
      </w:r>
      <w:r>
        <w:rPr>
          <w:rFonts w:cs="Arial Unicode MS" w:eastAsia="Arial Unicode MS"/>
          <w:rtl w:val="0"/>
          <w:lang w:val="en-US"/>
        </w:rPr>
        <w:t>o</w:t>
      </w:r>
      <w:r>
        <w:rPr>
          <w:rFonts w:cs="Arial Unicode MS" w:eastAsia="Arial Unicode MS"/>
          <w:rtl w:val="0"/>
        </w:rPr>
        <w:t xml:space="preserve"> M</w:t>
      </w:r>
      <w:r>
        <w:rPr>
          <w:rFonts w:cs="Arial Unicode MS" w:eastAsia="Arial Unicode MS"/>
          <w:rtl w:val="0"/>
          <w:lang w:val="en-US"/>
        </w:rPr>
        <w:t>ircea</w:t>
      </w:r>
      <w:r>
        <w:rPr>
          <w:rFonts w:cs="Arial Unicode MS" w:eastAsia="Arial Unicode MS"/>
          <w:rtl w:val="0"/>
        </w:rPr>
        <w:t xml:space="preserve"> E</w:t>
      </w:r>
      <w:r>
        <w:rPr>
          <w:rFonts w:cs="Arial Unicode MS" w:eastAsia="Arial Unicode MS"/>
          <w:rtl w:val="0"/>
          <w:lang w:val="en-US"/>
        </w:rPr>
        <w:t>liade &lt;</w:t>
      </w:r>
      <w:r>
        <w:rPr>
          <w:rFonts w:cs="Arial Unicode MS" w:eastAsia="Arial Unicode MS"/>
          <w:rtl w:val="0"/>
          <w:lang w:val="en-US"/>
        </w:rPr>
        <w:t>https://norse-mythology.org/introduction-mircea-eliade/</w:t>
      </w:r>
      <w:r>
        <w:rPr>
          <w:rFonts w:cs="Arial Unicode MS" w:eastAsia="Arial Unicode MS"/>
          <w:rtl w:val="0"/>
          <w:lang w:val="en-US"/>
        </w:rPr>
        <w:t>&gt; [assessed 7th November 2021].</w:t>
      </w:r>
    </w:p>
  </w:footnote>
  <w:footnote w:id="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 </w:t>
      </w:r>
      <w:r>
        <w:rPr>
          <w:rFonts w:cs="Arial Unicode MS" w:eastAsia="Arial Unicode MS"/>
          <w:rtl w:val="0"/>
          <w:lang w:val="en-US"/>
        </w:rPr>
        <w:t>Douglas</w:t>
      </w:r>
      <w:r>
        <w:rPr>
          <w:rFonts w:cs="Arial Unicode MS" w:eastAsia="Arial Unicode MS"/>
          <w:rtl w:val="0"/>
          <w:lang w:val="en-US"/>
        </w:rPr>
        <w:t>,</w:t>
      </w:r>
      <w:r>
        <w:rPr>
          <w:rFonts w:cs="Arial Unicode MS" w:eastAsia="Arial Unicode MS"/>
          <w:rtl w:val="0"/>
          <w:lang w:val="de-DE"/>
        </w:rPr>
        <w:t xml:space="preserve"> Allen</w:t>
      </w:r>
      <w:r>
        <w:rPr>
          <w:rFonts w:cs="Arial Unicode MS" w:eastAsia="Arial Unicode MS"/>
          <w:rtl w:val="0"/>
          <w:lang w:val="en-US"/>
        </w:rPr>
        <w:t xml:space="preserve">, </w:t>
      </w:r>
      <w:r>
        <w:rPr>
          <w:rFonts w:cs="Arial Unicode MS" w:eastAsia="Arial Unicode MS"/>
          <w:rtl w:val="0"/>
          <w:lang w:val="en-US"/>
        </w:rPr>
        <w:t xml:space="preserve">Recent defenders of Eliade: A critical evaluation, </w:t>
      </w:r>
      <w:r>
        <w:rPr>
          <w:rFonts w:cs="Arial Unicode MS" w:eastAsia="Arial Unicode MS"/>
          <w:i w:val="1"/>
          <w:iCs w:val="1"/>
          <w:rtl w:val="0"/>
          <w:lang w:val="it-IT"/>
        </w:rPr>
        <w:t>Religion</w:t>
      </w:r>
      <w:r>
        <w:rPr>
          <w:rFonts w:cs="Arial Unicode MS" w:eastAsia="Arial Unicode MS"/>
          <w:rtl w:val="0"/>
        </w:rPr>
        <w:t xml:space="preserve">, 24:4 </w:t>
      </w:r>
      <w:r>
        <w:rPr>
          <w:rFonts w:cs="Arial Unicode MS" w:eastAsia="Arial Unicode MS"/>
          <w:rtl w:val="0"/>
          <w:lang w:val="en-US"/>
        </w:rPr>
        <w:t xml:space="preserve">(1994), </w:t>
      </w:r>
      <w:r>
        <w:rPr>
          <w:rFonts w:cs="Arial Unicode MS" w:eastAsia="Arial Unicode MS"/>
          <w:rtl w:val="0"/>
        </w:rPr>
        <w:t>333-351,</w:t>
      </w:r>
      <w:r>
        <w:rPr>
          <w:rFonts w:cs="Arial Unicode MS" w:eastAsia="Arial Unicode MS"/>
          <w:rtl w:val="0"/>
          <w:lang w:val="en-US"/>
        </w:rPr>
        <w:t xml:space="preserve"> p. 333. &lt;</w:t>
      </w:r>
      <w:r>
        <w:rPr>
          <w:rFonts w:cs="Arial Unicode MS" w:eastAsia="Arial Unicode MS"/>
          <w:rtl w:val="0"/>
          <w:lang w:val="fr-FR"/>
        </w:rPr>
        <w:t xml:space="preserve">DOI: </w:t>
      </w:r>
      <w:r>
        <w:rPr>
          <w:rStyle w:val="Hyperlink.0"/>
        </w:rPr>
        <w:fldChar w:fldCharType="begin" w:fldLock="0"/>
      </w:r>
      <w:r>
        <w:rPr>
          <w:rStyle w:val="Hyperlink.0"/>
        </w:rPr>
        <w:instrText xml:space="preserve"> HYPERLINK "https://doi.org/10.1006/reli.1994.1027"</w:instrText>
      </w:r>
      <w:r>
        <w:rPr>
          <w:rStyle w:val="Hyperlink.0"/>
        </w:rPr>
        <w:fldChar w:fldCharType="separate" w:fldLock="0"/>
      </w:r>
      <w:r>
        <w:rPr>
          <w:rStyle w:val="Hyperlink.0"/>
          <w:rFonts w:cs="Arial Unicode MS" w:eastAsia="Arial Unicode MS"/>
          <w:rtl w:val="0"/>
        </w:rPr>
        <w:t>10.1006/reli.1994.1027</w:t>
      </w:r>
      <w:r>
        <w:rPr/>
        <w:fldChar w:fldCharType="end" w:fldLock="0"/>
      </w:r>
      <w:r>
        <w:rPr>
          <w:rFonts w:cs="Arial Unicode MS" w:eastAsia="Arial Unicode MS"/>
          <w:rtl w:val="0"/>
          <w:lang w:val="en-US"/>
        </w:rPr>
        <w:t>&gt; [assessed 7th November 2021].</w:t>
      </w:r>
    </w:p>
  </w:footnote>
  <w:footnote w:id="10">
    <w:p>
      <w:pPr>
        <w:pStyle w:val="Footnote"/>
        <w:bidi w:val="0"/>
      </w:pPr>
      <w:r>
        <w:rPr>
          <w:rStyle w:val="None"/>
          <w:vertAlign w:val="superscript"/>
        </w:rPr>
        <w:footnoteRef/>
      </w:r>
      <w:r>
        <w:rPr>
          <w:rFonts w:cs="Arial Unicode MS" w:eastAsia="Arial Unicode MS"/>
          <w:rtl w:val="0"/>
        </w:rPr>
        <w:t xml:space="preserve"> Paul Carls</w:t>
      </w:r>
      <w:r>
        <w:rPr>
          <w:rFonts w:cs="Arial Unicode MS" w:eastAsia="Arial Unicode MS"/>
          <w:rtl w:val="0"/>
          <w:lang w:val="en-US"/>
        </w:rPr>
        <w:t xml:space="preserve">, </w:t>
      </w:r>
      <w:r>
        <w:rPr>
          <w:rStyle w:val="None"/>
          <w:rFonts w:cs="Arial Unicode MS" w:eastAsia="Arial Unicode MS" w:hint="default"/>
          <w:i w:val="1"/>
          <w:iCs w:val="1"/>
          <w:rtl w:val="0"/>
          <w:lang w:val="fr-FR"/>
        </w:rPr>
        <w:t>É</w:t>
      </w:r>
      <w:r>
        <w:rPr>
          <w:rStyle w:val="None"/>
          <w:rFonts w:cs="Arial Unicode MS" w:eastAsia="Arial Unicode MS"/>
          <w:i w:val="1"/>
          <w:iCs w:val="1"/>
          <w:rtl w:val="0"/>
          <w:lang w:val="de-DE"/>
        </w:rPr>
        <w:t>mile Durkheim (1858</w:t>
      </w:r>
      <w:r>
        <w:rPr>
          <w:rStyle w:val="None"/>
          <w:rFonts w:cs="Arial Unicode MS" w:eastAsia="Arial Unicode MS" w:hint="default"/>
          <w:i w:val="1"/>
          <w:iCs w:val="1"/>
          <w:rtl w:val="0"/>
          <w:lang w:val="en-US"/>
        </w:rPr>
        <w:t>—</w:t>
      </w:r>
      <w:r>
        <w:rPr>
          <w:rStyle w:val="None"/>
          <w:rFonts w:cs="Arial Unicode MS" w:eastAsia="Arial Unicode MS"/>
          <w:i w:val="1"/>
          <w:iCs w:val="1"/>
          <w:rtl w:val="0"/>
        </w:rPr>
        <w:t>1917)</w:t>
      </w:r>
      <w:r>
        <w:rPr>
          <w:rFonts w:cs="Arial Unicode MS" w:eastAsia="Arial Unicode MS"/>
          <w:rtl w:val="0"/>
          <w:lang w:val="en-US"/>
        </w:rPr>
        <w:t>, Internet Encyclopedia of Philosophy, A Peer-Reviewed Academic Resource &lt;</w:t>
      </w:r>
      <w:r>
        <w:rPr>
          <w:rFonts w:cs="Arial Unicode MS" w:eastAsia="Arial Unicode MS"/>
          <w:rtl w:val="0"/>
          <w:lang w:val="de-DE"/>
        </w:rPr>
        <w:t>https://iep.utm.edu/durkheim/#H4</w:t>
      </w:r>
      <w:r>
        <w:rPr>
          <w:rFonts w:cs="Arial Unicode MS" w:eastAsia="Arial Unicode MS"/>
          <w:rtl w:val="0"/>
          <w:lang w:val="en-US"/>
        </w:rPr>
        <w:t>&gt; [assessed 7th November 2021].</w:t>
      </w:r>
    </w:p>
  </w:footnote>
  <w:footnote w:id="11">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Mircea Eliade, </w:t>
      </w:r>
      <w:r>
        <w:rPr>
          <w:rStyle w:val="None"/>
          <w:rFonts w:cs="Arial Unicode MS" w:eastAsia="Arial Unicode MS"/>
          <w:i w:val="1"/>
          <w:iCs w:val="1"/>
          <w:rtl w:val="0"/>
          <w:lang w:val="en-US"/>
        </w:rPr>
        <w:t>The Sacred And The Profane</w:t>
      </w:r>
      <w:r>
        <w:rPr>
          <w:rFonts w:cs="Arial Unicode MS" w:eastAsia="Arial Unicode MS"/>
          <w:rtl w:val="0"/>
          <w:lang w:val="en-US"/>
        </w:rPr>
        <w:t xml:space="preserve">, p. ?????. Emile Durkheim, </w:t>
      </w:r>
      <w:r>
        <w:rPr>
          <w:rStyle w:val="None"/>
          <w:rFonts w:cs="Arial Unicode MS" w:eastAsia="Arial Unicode MS"/>
          <w:i w:val="1"/>
          <w:iCs w:val="1"/>
          <w:rtl w:val="0"/>
          <w:lang w:val="en-US"/>
        </w:rPr>
        <w:t>The Elementary Forms</w:t>
      </w:r>
      <w:r>
        <w:rPr>
          <w:rFonts w:cs="Arial Unicode MS" w:eastAsia="Arial Unicode MS"/>
          <w:rtl w:val="0"/>
          <w:lang w:val="en-US"/>
        </w:rPr>
        <w:t>, p.?????.</w:t>
      </w:r>
    </w:p>
  </w:footnote>
  <w:footnote w:id="12">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Ibid, p. 11.</w:t>
      </w:r>
    </w:p>
  </w:footnote>
  <w:footnote w:id="13">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Emile Durkheim, </w:t>
      </w:r>
      <w:r>
        <w:rPr>
          <w:rStyle w:val="None"/>
          <w:rFonts w:cs="Arial Unicode MS" w:eastAsia="Arial Unicode MS"/>
          <w:i w:val="1"/>
          <w:iCs w:val="1"/>
          <w:rtl w:val="0"/>
          <w:lang w:val="en-US"/>
        </w:rPr>
        <w:t>The Elementary Forms</w:t>
      </w:r>
      <w:r>
        <w:rPr>
          <w:rFonts w:cs="Arial Unicode MS" w:eastAsia="Arial Unicode MS"/>
          <w:rtl w:val="0"/>
          <w:lang w:val="en-US"/>
        </w:rPr>
        <w:t>, p. 37 and p. 347.</w:t>
      </w:r>
    </w:p>
  </w:footnote>
  <w:footnote w:id="14">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Mircea Eliade, </w:t>
      </w:r>
      <w:r>
        <w:rPr>
          <w:rStyle w:val="None"/>
          <w:rFonts w:cs="Arial Unicode MS" w:eastAsia="Arial Unicode MS"/>
          <w:i w:val="1"/>
          <w:iCs w:val="1"/>
          <w:rtl w:val="0"/>
          <w:lang w:val="en-US"/>
        </w:rPr>
        <w:t>The Sacred and The Profane</w:t>
      </w:r>
      <w:r>
        <w:rPr>
          <w:rFonts w:cs="Arial Unicode MS" w:eastAsia="Arial Unicode MS"/>
          <w:rtl w:val="0"/>
          <w:lang w:val="en-US"/>
        </w:rPr>
        <w:t>, p. 22</w:t>
      </w:r>
    </w:p>
  </w:footnote>
  <w:footnote w:id="15">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Emile Durkheim, </w:t>
      </w:r>
      <w:r>
        <w:rPr>
          <w:rStyle w:val="None"/>
          <w:rFonts w:cs="Arial Unicode MS" w:eastAsia="Arial Unicode MS"/>
          <w:i w:val="1"/>
          <w:iCs w:val="1"/>
          <w:rtl w:val="0"/>
          <w:lang w:val="en-US"/>
        </w:rPr>
        <w:t>The Elementary Forms</w:t>
      </w:r>
      <w:r>
        <w:rPr>
          <w:rFonts w:cs="Arial Unicode MS" w:eastAsia="Arial Unicode MS"/>
          <w:rtl w:val="0"/>
          <w:lang w:val="en-US"/>
        </w:rPr>
        <w:t>, p. 348.</w:t>
      </w:r>
    </w:p>
  </w:footnote>
  <w:footnote w:id="16">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Ibid, p. 441.</w:t>
      </w:r>
    </w:p>
  </w:footnote>
  <w:footnote w:id="17">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Mircea Eliade, </w:t>
      </w:r>
      <w:r>
        <w:rPr>
          <w:rStyle w:val="None"/>
          <w:rFonts w:cs="Arial Unicode MS" w:eastAsia="Arial Unicode MS"/>
          <w:i w:val="1"/>
          <w:iCs w:val="1"/>
          <w:rtl w:val="0"/>
          <w:lang w:val="en-US"/>
        </w:rPr>
        <w:t>The Sacred and The Profane</w:t>
      </w:r>
      <w:r>
        <w:rPr>
          <w:rFonts w:cs="Arial Unicode MS" w:eastAsia="Arial Unicode MS"/>
          <w:rtl w:val="0"/>
          <w:lang w:val="en-US"/>
        </w:rPr>
        <w:t>, p. ???????.</w:t>
      </w:r>
    </w:p>
  </w:footnote>
  <w:footnote w:id="18">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Ibid, p. 38, 301, 326, 347, 419, 441.</w:t>
      </w:r>
    </w:p>
  </w:footnote>
  <w:footnote w:id="19">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Emile Durkheim, </w:t>
      </w:r>
      <w:r>
        <w:rPr>
          <w:rStyle w:val="None"/>
          <w:rFonts w:cs="Arial Unicode MS" w:eastAsia="Arial Unicode MS"/>
          <w:i w:val="1"/>
          <w:iCs w:val="1"/>
          <w:rtl w:val="0"/>
          <w:lang w:val="en-US"/>
        </w:rPr>
        <w:t>The Elementary Forms</w:t>
      </w:r>
      <w:r>
        <w:rPr>
          <w:rFonts w:cs="Arial Unicode MS" w:eastAsia="Arial Unicode MS"/>
          <w:rtl w:val="0"/>
          <w:lang w:val="en-US"/>
        </w:rPr>
        <w:t>, p. 36-37.</w:t>
      </w:r>
    </w:p>
  </w:footnote>
  <w:footnote w:id="20">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Ibid, p. 422.</w:t>
      </w:r>
    </w:p>
  </w:footnote>
  <w:footnote w:id="21">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Ashdown, Shelley, </w:t>
      </w:r>
      <w:r>
        <w:rPr>
          <w:rFonts w:cs="Arial Unicode MS" w:eastAsia="Arial Unicode MS" w:hint="default"/>
          <w:rtl w:val="0"/>
          <w:lang w:val="en-US"/>
        </w:rPr>
        <w:t>‘</w:t>
      </w:r>
      <w:r>
        <w:rPr>
          <w:rFonts w:cs="Arial Unicode MS" w:eastAsia="Arial Unicode MS"/>
          <w:rtl w:val="0"/>
          <w:lang w:val="en-US"/>
        </w:rPr>
        <w:t xml:space="preserve">The Paradox Of Sacred And Profane Shared Space, </w:t>
      </w:r>
      <w:r>
        <w:rPr>
          <w:rStyle w:val="None"/>
          <w:rFonts w:cs="Arial Unicode MS" w:eastAsia="Arial Unicode MS"/>
          <w:i w:val="1"/>
          <w:iCs w:val="1"/>
          <w:rtl w:val="0"/>
          <w:lang w:val="en-US"/>
        </w:rPr>
        <w:t>Journal of Religion And Theology</w:t>
      </w:r>
      <w:r>
        <w:rPr>
          <w:rFonts w:cs="Arial Unicode MS" w:eastAsia="Arial Unicode MS"/>
          <w:rtl w:val="0"/>
          <w:lang w:val="en-US"/>
        </w:rPr>
        <w:t>, 3:4 (2019), 30-36, p. 34 &lt;</w:t>
      </w:r>
      <w:r>
        <w:rPr>
          <w:rFonts w:cs="Arial Unicode MS" w:eastAsia="Arial Unicode MS"/>
          <w:rtl w:val="0"/>
          <w:lang w:val="en-US"/>
        </w:rPr>
        <w:t>https://www.researchgate.net/publication/339078237_The_Paradox_of_Sacred_and_Profane_Shared_Space</w:t>
      </w:r>
      <w:r>
        <w:rPr>
          <w:rFonts w:cs="Arial Unicode MS" w:eastAsia="Arial Unicode MS"/>
          <w:rtl w:val="0"/>
          <w:lang w:val="en-US"/>
        </w:rPr>
        <w:t>&gt;, [assessed 7th November 2021].</w:t>
      </w:r>
    </w:p>
  </w:footnote>
  <w:footnote w:id="22">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Emile Durkheim, </w:t>
      </w:r>
      <w:r>
        <w:rPr>
          <w:rStyle w:val="None"/>
          <w:rFonts w:cs="Arial Unicode MS" w:eastAsia="Arial Unicode MS"/>
          <w:i w:val="1"/>
          <w:iCs w:val="1"/>
          <w:rtl w:val="0"/>
          <w:lang w:val="en-US"/>
        </w:rPr>
        <w:t>Elementary Forms Of Religious Life</w:t>
      </w:r>
      <w:r>
        <w:rPr>
          <w:rFonts w:cs="Arial Unicode MS" w:eastAsia="Arial Unicode MS"/>
          <w:rtl w:val="0"/>
          <w:lang w:val="en-US"/>
        </w:rPr>
        <w:t>, p. 28.</w:t>
      </w:r>
    </w:p>
  </w:footnote>
  <w:footnote w:id="23">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Mircea Eliade, </w:t>
      </w:r>
      <w:r>
        <w:rPr>
          <w:rStyle w:val="None"/>
          <w:rFonts w:cs="Arial Unicode MS" w:eastAsia="Arial Unicode MS"/>
          <w:i w:val="1"/>
          <w:iCs w:val="1"/>
          <w:rtl w:val="0"/>
          <w:lang w:val="en-US"/>
        </w:rPr>
        <w:t>The Sacred Aad The Profane</w:t>
      </w:r>
      <w:r>
        <w:rPr>
          <w:rFonts w:cs="Arial Unicode MS" w:eastAsia="Arial Unicode MS"/>
          <w:rtl w:val="0"/>
          <w:lang w:val="en-US"/>
        </w:rPr>
        <w:t>, p. 22.</w:t>
      </w:r>
    </w:p>
  </w:footnote>
  <w:footnote w:id="24">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Ibid, p. 26.</w:t>
      </w:r>
    </w:p>
  </w:footnote>
  <w:footnote w:id="25">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Ibid.</w:t>
      </w:r>
    </w:p>
  </w:footnote>
  <w:footnote w:id="26">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Emile Durkheim, </w:t>
      </w:r>
      <w:r>
        <w:rPr>
          <w:rStyle w:val="None"/>
          <w:rFonts w:cs="Arial Unicode MS" w:eastAsia="Arial Unicode MS"/>
          <w:i w:val="1"/>
          <w:iCs w:val="1"/>
          <w:rtl w:val="0"/>
          <w:lang w:val="en-US"/>
        </w:rPr>
        <w:t>Elementary Forms Of Religious Life</w:t>
      </w:r>
      <w:r>
        <w:rPr>
          <w:rFonts w:cs="Arial Unicode MS" w:eastAsia="Arial Unicode MS"/>
          <w:rtl w:val="0"/>
          <w:lang w:val="en-US"/>
        </w:rPr>
        <w:t>, p. 37.</w:t>
      </w:r>
    </w:p>
  </w:footnote>
  <w:footnote w:id="27">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Emile Durkheim, </w:t>
      </w:r>
      <w:r>
        <w:rPr>
          <w:rStyle w:val="None"/>
          <w:rFonts w:cs="Arial Unicode MS" w:eastAsia="Arial Unicode MS"/>
          <w:i w:val="1"/>
          <w:iCs w:val="1"/>
          <w:rtl w:val="0"/>
          <w:lang w:val="en-US"/>
        </w:rPr>
        <w:t xml:space="preserve">Emile, </w:t>
      </w:r>
      <w:r>
        <w:rPr>
          <w:rStyle w:val="None"/>
          <w:rFonts w:cs="Arial Unicode MS" w:eastAsia="Arial Unicode MS"/>
          <w:i w:val="1"/>
          <w:iCs w:val="1"/>
          <w:rtl w:val="0"/>
          <w:lang w:val="de-DE"/>
        </w:rPr>
        <w:t>Durkheimian Studies / Etudes Durkheimiennes</w:t>
      </w:r>
      <w:r>
        <w:rPr>
          <w:rFonts w:cs="Arial Unicode MS" w:eastAsia="Arial Unicode MS"/>
          <w:rtl w:val="0"/>
          <w:lang w:val="en-US"/>
        </w:rPr>
        <w:t>, New Series, 11, (Berghan Books: 2005), p. 36.</w:t>
      </w:r>
    </w:p>
  </w:footnote>
  <w:footnote w:id="28">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Ibid.</w:t>
      </w:r>
    </w:p>
  </w:footnote>
  <w:footnote w:id="29">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Emile Durkheim, </w:t>
      </w:r>
      <w:r>
        <w:rPr>
          <w:rStyle w:val="None"/>
          <w:rFonts w:cs="Arial Unicode MS" w:eastAsia="Arial Unicode MS"/>
          <w:i w:val="1"/>
          <w:iCs w:val="1"/>
          <w:rtl w:val="0"/>
          <w:lang w:val="en-US"/>
        </w:rPr>
        <w:t>Elementary Forms Of Religious Life</w:t>
      </w:r>
      <w:r>
        <w:rPr>
          <w:rFonts w:cs="Arial Unicode MS" w:eastAsia="Arial Unicode MS"/>
          <w:rtl w:val="0"/>
          <w:lang w:val="en-US"/>
        </w:rPr>
        <w:t>, p. 347 and p. 441</w:t>
      </w:r>
    </w:p>
  </w:footnote>
  <w:footnote w:id="30">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Emile Durkheim, </w:t>
      </w:r>
      <w:r>
        <w:rPr>
          <w:rStyle w:val="None"/>
          <w:rFonts w:cs="Arial Unicode MS" w:eastAsia="Arial Unicode MS"/>
          <w:i w:val="1"/>
          <w:iCs w:val="1"/>
          <w:rtl w:val="0"/>
          <w:lang w:val="en-US"/>
        </w:rPr>
        <w:t>Elementary Forms Of Religious Life</w:t>
      </w:r>
      <w:r>
        <w:rPr>
          <w:rFonts w:cs="Arial Unicode MS" w:eastAsia="Arial Unicode MS"/>
          <w:rtl w:val="0"/>
          <w:lang w:val="en-US"/>
        </w:rPr>
        <w:t>, p. 37.</w:t>
      </w:r>
    </w:p>
  </w:footnote>
  <w:footnote w:id="31">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Ibid, p. 84-86.</w:t>
      </w:r>
    </w:p>
  </w:footnote>
  <w:footnote w:id="32">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Emile Durkheim, </w:t>
      </w:r>
      <w:r>
        <w:rPr>
          <w:rStyle w:val="None"/>
          <w:rFonts w:cs="Arial Unicode MS" w:eastAsia="Arial Unicode MS"/>
          <w:i w:val="1"/>
          <w:iCs w:val="1"/>
          <w:rtl w:val="0"/>
          <w:lang w:val="en-US"/>
        </w:rPr>
        <w:t>Elementary Forms Of Religious Life</w:t>
      </w:r>
      <w:r>
        <w:rPr>
          <w:rFonts w:cs="Arial Unicode MS" w:eastAsia="Arial Unicode MS"/>
          <w:rtl w:val="0"/>
          <w:lang w:val="en-US"/>
        </w:rPr>
        <w:t>, p. 86</w:t>
      </w:r>
    </w:p>
  </w:footnote>
  <w:footnote w:id="33">
    <w:p>
      <w:pPr>
        <w:pStyle w:val="Footnote"/>
        <w:bidi w:val="0"/>
      </w:pPr>
      <w:r>
        <w:rPr>
          <w:rStyle w:val="None"/>
          <w:vertAlign w:val="superscript"/>
        </w:rPr>
        <w:footnoteRef/>
      </w:r>
      <w:r>
        <w:rPr>
          <w:rFonts w:cs="Arial Unicode MS" w:eastAsia="Arial Unicode MS"/>
          <w:rtl w:val="0"/>
          <w:lang w:val="en-US"/>
        </w:rPr>
        <w:t xml:space="preserve"> Mircea Eliade, </w:t>
      </w:r>
      <w:r>
        <w:rPr>
          <w:rStyle w:val="None"/>
          <w:rFonts w:cs="Arial Unicode MS" w:eastAsia="Arial Unicode MS"/>
          <w:i w:val="1"/>
          <w:iCs w:val="1"/>
          <w:rtl w:val="0"/>
          <w:lang w:val="en-US"/>
        </w:rPr>
        <w:t>The Sacred And The Profane</w:t>
      </w:r>
      <w:r>
        <w:rPr>
          <w:rFonts w:cs="Arial Unicode MS" w:eastAsia="Arial Unicode MS"/>
          <w:rtl w:val="0"/>
          <w:lang w:val="en-US"/>
        </w:rPr>
        <w:t>, p. ?????. (chapter 3)</w:t>
      </w:r>
    </w:p>
  </w:footnote>
  <w:footnote w:id="34">
    <w:p>
      <w:pPr>
        <w:pStyle w:val="Footnote"/>
        <w:bidi w:val="0"/>
      </w:pPr>
      <w:r>
        <w:rPr>
          <w:rStyle w:val="None"/>
          <w:vertAlign w:val="superscript"/>
        </w:rPr>
        <w:footnoteRef/>
      </w:r>
      <w:r>
        <w:rPr>
          <w:rFonts w:cs="Arial Unicode MS" w:eastAsia="Arial Unicode MS"/>
          <w:rtl w:val="0"/>
        </w:rPr>
        <w:t xml:space="preserve"> </w:t>
      </w:r>
    </w:p>
  </w:footnote>
  <w:footnote w:id="35">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Mircea Eliade, </w:t>
      </w:r>
      <w:r>
        <w:rPr>
          <w:rStyle w:val="None"/>
          <w:rFonts w:cs="Arial Unicode MS" w:eastAsia="Arial Unicode MS"/>
          <w:i w:val="1"/>
          <w:iCs w:val="1"/>
          <w:rtl w:val="0"/>
          <w:lang w:val="en-US"/>
        </w:rPr>
        <w:t>The Sacred And The Profane</w:t>
      </w:r>
      <w:r>
        <w:rPr>
          <w:rFonts w:cs="Arial Unicode MS" w:eastAsia="Arial Unicode MS"/>
          <w:rtl w:val="0"/>
          <w:lang w:val="en-US"/>
        </w:rPr>
        <w:t>, p. 12.</w:t>
      </w:r>
    </w:p>
  </w:footnote>
  <w:footnote w:id="36">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Emile Durkheim, </w:t>
      </w:r>
      <w:r>
        <w:rPr>
          <w:rStyle w:val="None"/>
          <w:rFonts w:cs="Arial Unicode MS" w:eastAsia="Arial Unicode MS"/>
          <w:i w:val="1"/>
          <w:iCs w:val="1"/>
          <w:rtl w:val="0"/>
          <w:lang w:val="en-US"/>
        </w:rPr>
        <w:t>Elementary Forms Of Religious Life</w:t>
      </w:r>
      <w:r>
        <w:rPr>
          <w:rFonts w:cs="Arial Unicode MS" w:eastAsia="Arial Unicode MS"/>
          <w:rtl w:val="0"/>
          <w:lang w:val="en-US"/>
        </w:rPr>
        <w:t>, p. 28.</w:t>
      </w:r>
    </w:p>
  </w:footnote>
  <w:footnote w:id="37">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Hughes, J. Donald and Swan, Jim, How Much Of The Earth Is Sacred Space?, </w:t>
      </w:r>
      <w:r>
        <w:rPr>
          <w:rStyle w:val="None"/>
          <w:rFonts w:cs="Arial Unicode MS" w:eastAsia="Arial Unicode MS"/>
          <w:i w:val="1"/>
          <w:iCs w:val="1"/>
          <w:rtl w:val="0"/>
          <w:lang w:val="en-US"/>
        </w:rPr>
        <w:t>Environmental Review: ER</w:t>
      </w:r>
      <w:r>
        <w:rPr>
          <w:rFonts w:cs="Arial Unicode MS" w:eastAsia="Arial Unicode MS"/>
          <w:rtl w:val="0"/>
          <w:lang w:val="en-US"/>
        </w:rPr>
        <w:t>, 10:4 (1986), 247-259, p. 248.</w:t>
      </w:r>
    </w:p>
  </w:footnote>
  <w:footnote w:id="38">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Emile Durkheim, </w:t>
      </w:r>
      <w:r>
        <w:rPr>
          <w:rStyle w:val="None"/>
          <w:rFonts w:cs="Arial Unicode MS" w:eastAsia="Arial Unicode MS"/>
          <w:i w:val="1"/>
          <w:iCs w:val="1"/>
          <w:rtl w:val="0"/>
          <w:lang w:val="en-US"/>
        </w:rPr>
        <w:t>Elementary Forms Of Religious Life</w:t>
      </w:r>
      <w:r>
        <w:rPr>
          <w:rFonts w:cs="Arial Unicode MS" w:eastAsia="Arial Unicode MS"/>
          <w:rtl w:val="0"/>
          <w:lang w:val="en-US"/>
        </w:rPr>
        <w:t>, p. 443.</w:t>
      </w:r>
    </w:p>
  </w:footnote>
  <w:footnote w:id="39">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Mircea Eliade, </w:t>
      </w:r>
      <w:r>
        <w:rPr>
          <w:rStyle w:val="None"/>
          <w:rFonts w:cs="Arial Unicode MS" w:eastAsia="Arial Unicode MS"/>
          <w:i w:val="1"/>
          <w:iCs w:val="1"/>
          <w:rtl w:val="0"/>
          <w:lang w:val="en-US"/>
        </w:rPr>
        <w:t>The Sacred And The Profane</w:t>
      </w:r>
      <w:r>
        <w:rPr>
          <w:rFonts w:cs="Arial Unicode MS" w:eastAsia="Arial Unicode MS"/>
          <w:rtl w:val="0"/>
          <w:lang w:val="en-US"/>
        </w:rPr>
        <w:t>, p. 27-28.</w:t>
      </w:r>
    </w:p>
  </w:footnote>
  <w:footnote w:id="40">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Lane, Belden C., </w:t>
      </w:r>
      <w:r>
        <w:rPr>
          <w:rStyle w:val="None"/>
          <w:rFonts w:cs="Arial Unicode MS" w:eastAsia="Arial Unicode MS"/>
          <w:i w:val="1"/>
          <w:iCs w:val="1"/>
          <w:rtl w:val="0"/>
          <w:lang w:val="en-US"/>
        </w:rPr>
        <w:t>Landscapes Of The Sacred</w:t>
      </w:r>
      <w:r>
        <w:rPr>
          <w:rFonts w:cs="Arial Unicode MS" w:eastAsia="Arial Unicode MS"/>
          <w:rtl w:val="0"/>
          <w:lang w:val="en-US"/>
        </w:rPr>
        <w:t>, Expanded edn. (Baltimore and London: The Johns Hopkins University Press, 2002), p. 42</w:t>
      </w:r>
    </w:p>
  </w:footnote>
  <w:footnote w:id="41">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Emile Durkheim, </w:t>
      </w:r>
      <w:r>
        <w:rPr>
          <w:rStyle w:val="None"/>
          <w:rFonts w:cs="Arial Unicode MS" w:eastAsia="Arial Unicode MS"/>
          <w:i w:val="1"/>
          <w:iCs w:val="1"/>
          <w:rtl w:val="0"/>
          <w:lang w:val="en-US"/>
        </w:rPr>
        <w:t>Elementary Forms Of Religious Life</w:t>
      </w:r>
      <w:r>
        <w:rPr>
          <w:rFonts w:cs="Arial Unicode MS" w:eastAsia="Arial Unicode MS"/>
          <w:rtl w:val="0"/>
          <w:lang w:val="en-US"/>
        </w:rPr>
        <w:t>, p. 441.</w:t>
      </w:r>
    </w:p>
  </w:footnote>
  <w:footnote w:id="42">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Emile Durkheim, </w:t>
      </w:r>
      <w:r>
        <w:rPr>
          <w:rStyle w:val="None"/>
          <w:rFonts w:cs="Arial Unicode MS" w:eastAsia="Arial Unicode MS"/>
          <w:i w:val="1"/>
          <w:iCs w:val="1"/>
          <w:rtl w:val="0"/>
          <w:lang w:val="en-US"/>
        </w:rPr>
        <w:t>Elementary Forms Of Religious Life</w:t>
      </w:r>
      <w:r>
        <w:rPr>
          <w:rFonts w:cs="Arial Unicode MS" w:eastAsia="Arial Unicode MS"/>
          <w:rtl w:val="0"/>
          <w:lang w:val="en-US"/>
        </w:rPr>
        <w:t>, p. 347-350.</w:t>
      </w:r>
    </w:p>
  </w:footnote>
  <w:footnote w:id="43">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Mircea Eliade, </w:t>
      </w:r>
      <w:r>
        <w:rPr>
          <w:rStyle w:val="None"/>
          <w:rFonts w:cs="Arial Unicode MS" w:eastAsia="Arial Unicode MS"/>
          <w:i w:val="1"/>
          <w:iCs w:val="1"/>
          <w:rtl w:val="0"/>
          <w:lang w:val="en-US"/>
        </w:rPr>
        <w:t>The Sacred And The Profane</w:t>
      </w:r>
      <w:r>
        <w:rPr>
          <w:rFonts w:cs="Arial Unicode MS" w:eastAsia="Arial Unicode MS"/>
          <w:rtl w:val="0"/>
          <w:lang w:val="en-US"/>
        </w:rPr>
        <w:t>, p. 22, 35-37, 44-47.</w:t>
      </w:r>
    </w:p>
  </w:footnote>
  <w:footnote w:id="44">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 </w:t>
      </w:r>
      <w:r>
        <w:rPr>
          <w:rFonts w:cs="Arial Unicode MS" w:eastAsia="Arial Unicode MS"/>
          <w:rtl w:val="0"/>
        </w:rPr>
        <w:t>John D. Dadosky</w:t>
      </w:r>
      <w:r>
        <w:rPr>
          <w:rStyle w:val="None"/>
          <w:rFonts w:cs="Arial Unicode MS" w:eastAsia="Arial Unicode MS"/>
          <w:outline w:val="0"/>
          <w:color w:val="0e1111"/>
          <w:rtl w:val="0"/>
          <w:lang w:val="en-US"/>
          <w14:textFill>
            <w14:solidFill>
              <w14:srgbClr w14:val="0F1111"/>
            </w14:solidFill>
          </w14:textFill>
        </w:rPr>
        <w:t xml:space="preserve">, John D., </w:t>
      </w:r>
      <w:r>
        <w:rPr>
          <w:rStyle w:val="None"/>
          <w:rFonts w:cs="Arial Unicode MS" w:eastAsia="Arial Unicode MS"/>
          <w:i w:val="1"/>
          <w:iCs w:val="1"/>
          <w:rtl w:val="0"/>
          <w:lang w:val="en-US"/>
        </w:rPr>
        <w:t>The Structure Of Religious Knowing: Encountering The Sacred In Eliade And Lonergan</w:t>
      </w:r>
      <w:r>
        <w:rPr>
          <w:rFonts w:cs="Arial Unicode MS" w:eastAsia="Arial Unicode MS"/>
          <w:rtl w:val="0"/>
          <w:lang w:val="en-US"/>
        </w:rPr>
        <w:t>, Kindle Edition (</w:t>
      </w:r>
      <w:r>
        <w:rPr>
          <w:rFonts w:cs="Arial Unicode MS" w:eastAsia="Arial Unicode MS"/>
          <w:rtl w:val="0"/>
          <w:lang w:val="en-US"/>
        </w:rPr>
        <w:t>State University of New York Press</w:t>
      </w:r>
      <w:r>
        <w:rPr>
          <w:rFonts w:cs="Arial Unicode MS" w:eastAsia="Arial Unicode MS"/>
          <w:rtl w:val="0"/>
          <w:lang w:val="en-US"/>
        </w:rPr>
        <w:t xml:space="preserve">, </w:t>
      </w:r>
      <w:r>
        <w:rPr>
          <w:rFonts w:cs="Arial Unicode MS" w:eastAsia="Arial Unicode MS"/>
          <w:rtl w:val="0"/>
        </w:rPr>
        <w:t>2004)</w:t>
      </w:r>
      <w:r>
        <w:rPr>
          <w:rFonts w:cs="Arial Unicode MS" w:eastAsia="Arial Unicode MS"/>
          <w:rtl w:val="0"/>
          <w:lang w:val="en-US"/>
        </w:rPr>
        <w:t>, p. 68.</w:t>
      </w:r>
    </w:p>
  </w:footnote>
  <w:footnote w:id="45">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Mircea Eliade, </w:t>
      </w:r>
      <w:r>
        <w:rPr>
          <w:rStyle w:val="None"/>
          <w:rFonts w:cs="Arial Unicode MS" w:eastAsia="Arial Unicode MS"/>
          <w:i w:val="1"/>
          <w:iCs w:val="1"/>
          <w:rtl w:val="0"/>
          <w:lang w:val="en-US"/>
        </w:rPr>
        <w:t>The Sacred And The Profane</w:t>
      </w:r>
      <w:r>
        <w:rPr>
          <w:rFonts w:cs="Arial Unicode MS" w:eastAsia="Arial Unicode MS"/>
          <w:rtl w:val="0"/>
          <w:lang w:val="en-US"/>
        </w:rPr>
        <w:t>, p. 23.</w:t>
      </w:r>
    </w:p>
  </w:footnote>
  <w:footnote w:id="46">
    <w:p>
      <w:pPr>
        <w:pStyle w:val="Footnote"/>
        <w:bidi w:val="0"/>
      </w:pPr>
      <w:r>
        <w:rPr>
          <w:rStyle w:val="None"/>
          <w:vertAlign w:val="superscript"/>
        </w:rPr>
        <w:footnoteRef/>
      </w:r>
      <w:r>
        <w:rPr>
          <w:rFonts w:cs="Arial Unicode MS" w:eastAsia="Arial Unicode MS"/>
          <w:rtl w:val="0"/>
          <w:lang w:val="da-DK"/>
        </w:rPr>
        <w:t xml:space="preserve"> Ibid,</w:t>
      </w:r>
      <w:r>
        <w:rPr>
          <w:rFonts w:cs="Arial Unicode MS" w:eastAsia="Arial Unicode MS"/>
          <w:rtl w:val="0"/>
          <w:lang w:val="en-US"/>
        </w:rPr>
        <w:t xml:space="preserve"> p. 34.</w:t>
      </w:r>
    </w:p>
  </w:footnote>
  <w:footnote w:id="47">
    <w:p>
      <w:pPr>
        <w:pStyle w:val="Footnote"/>
        <w:bidi w:val="0"/>
      </w:pPr>
      <w:r>
        <w:rPr>
          <w:rStyle w:val="None"/>
          <w:vertAlign w:val="superscript"/>
        </w:rPr>
        <w:footnoteRef/>
      </w:r>
      <w:r>
        <w:rPr>
          <w:rFonts w:cs="Arial Unicode MS" w:eastAsia="Arial Unicode MS"/>
          <w:rtl w:val="0"/>
          <w:lang w:val="da-DK"/>
        </w:rPr>
        <w:t xml:space="preserve"> Ibid,</w:t>
      </w:r>
      <w:r>
        <w:rPr>
          <w:rFonts w:cs="Arial Unicode MS" w:eastAsia="Arial Unicode MS"/>
          <w:rtl w:val="0"/>
          <w:lang w:val="en-US"/>
        </w:rPr>
        <w:t xml:space="preserve"> p. 29.</w:t>
      </w:r>
    </w:p>
  </w:footnote>
  <w:footnote w:id="48">
    <w:p>
      <w:pPr>
        <w:pStyle w:val="Footnote"/>
        <w:bidi w:val="0"/>
      </w:pPr>
      <w:r>
        <w:rPr>
          <w:rStyle w:val="None"/>
          <w:vertAlign w:val="superscript"/>
        </w:rPr>
        <w:footnoteRef/>
      </w:r>
      <w:r>
        <w:rPr>
          <w:rFonts w:cs="Arial Unicode MS" w:eastAsia="Arial Unicode MS"/>
          <w:rtl w:val="0"/>
          <w:lang w:val="da-DK"/>
        </w:rPr>
        <w:t xml:space="preserve"> Ibid,</w:t>
      </w:r>
      <w:r>
        <w:rPr>
          <w:rFonts w:cs="Arial Unicode MS" w:eastAsia="Arial Unicode MS"/>
          <w:rtl w:val="0"/>
          <w:lang w:val="en-US"/>
        </w:rPr>
        <w:t xml:space="preserve"> p. 52.</w:t>
      </w:r>
    </w:p>
  </w:footnote>
  <w:footnote w:id="49">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Ibid, p. 59</w:t>
      </w:r>
    </w:p>
  </w:footnote>
  <w:footnote w:id="50">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Davidsson Bremborg, Anna, </w:t>
      </w:r>
      <w:r>
        <w:rPr>
          <w:rFonts w:cs="Arial Unicode MS" w:eastAsia="Arial Unicode MS" w:hint="default"/>
          <w:rtl w:val="0"/>
          <w:lang w:val="en-US"/>
        </w:rPr>
        <w:t>‘</w:t>
      </w:r>
      <w:r>
        <w:rPr>
          <w:rFonts w:cs="Arial Unicode MS" w:eastAsia="Arial Unicode MS"/>
          <w:rtl w:val="0"/>
          <w:lang w:val="en-US"/>
        </w:rPr>
        <w:t>Creating Sacred Space By Walking In Silence: Pilgrimage In A Late Lutheran Context</w:t>
      </w:r>
      <w:r>
        <w:rPr>
          <w:rFonts w:cs="Arial Unicode MS" w:eastAsia="Arial Unicode MS" w:hint="default"/>
          <w:rtl w:val="0"/>
          <w:lang w:val="en-US"/>
        </w:rPr>
        <w:t>’</w:t>
      </w:r>
      <w:r>
        <w:rPr>
          <w:rFonts w:cs="Arial Unicode MS" w:eastAsia="Arial Unicode MS"/>
          <w:rtl w:val="0"/>
          <w:lang w:val="en-US"/>
        </w:rPr>
        <w:t xml:space="preserve">, </w:t>
      </w:r>
      <w:r>
        <w:rPr>
          <w:rStyle w:val="None"/>
          <w:rFonts w:cs="Arial Unicode MS" w:eastAsia="Arial Unicode MS"/>
          <w:i w:val="1"/>
          <w:iCs w:val="1"/>
          <w:rtl w:val="0"/>
          <w:lang w:val="en-US"/>
        </w:rPr>
        <w:t>Social Compass</w:t>
      </w:r>
      <w:r>
        <w:rPr>
          <w:rFonts w:cs="Arial Unicode MS" w:eastAsia="Arial Unicode MS"/>
          <w:rtl w:val="0"/>
          <w:lang w:val="en-US"/>
        </w:rPr>
        <w:t xml:space="preserve">, 60(4), 544-560, p. </w:t>
      </w:r>
    </w:p>
  </w:footnote>
  <w:footnote w:id="51">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Perriam, Geraldine, </w:t>
      </w:r>
      <w:r>
        <w:rPr>
          <w:rFonts w:cs="Arial Unicode MS" w:eastAsia="Arial Unicode MS" w:hint="default"/>
          <w:rtl w:val="0"/>
          <w:lang w:val="en-US"/>
        </w:rPr>
        <w:t>‘</w:t>
      </w:r>
      <w:r>
        <w:rPr>
          <w:rFonts w:cs="Arial Unicode MS" w:eastAsia="Arial Unicode MS"/>
          <w:rtl w:val="0"/>
          <w:lang w:val="en-US"/>
        </w:rPr>
        <w:t>Sacred Spaces, Healing Places: Therapeutic Landscapes of Spiritual Significance</w:t>
      </w:r>
      <w:r>
        <w:rPr>
          <w:rFonts w:cs="Arial Unicode MS" w:eastAsia="Arial Unicode MS" w:hint="default"/>
          <w:rtl w:val="0"/>
          <w:lang w:val="en-US"/>
        </w:rPr>
        <w:t>’</w:t>
      </w:r>
      <w:r>
        <w:rPr>
          <w:rFonts w:cs="Arial Unicode MS" w:eastAsia="Arial Unicode MS"/>
          <w:rtl w:val="0"/>
          <w:lang w:val="en-US"/>
        </w:rPr>
        <w:t xml:space="preserve">, </w:t>
      </w:r>
      <w:r>
        <w:rPr>
          <w:rStyle w:val="None"/>
          <w:rFonts w:cs="Arial Unicode MS" w:eastAsia="Arial Unicode MS"/>
          <w:i w:val="1"/>
          <w:iCs w:val="1"/>
          <w:rtl w:val="0"/>
          <w:lang w:val="en-US"/>
        </w:rPr>
        <w:t>Journal of Medical Humanities</w:t>
      </w:r>
      <w:r>
        <w:rPr>
          <w:rFonts w:cs="Arial Unicode MS" w:eastAsia="Arial Unicode MS"/>
          <w:rtl w:val="0"/>
          <w:lang w:val="en-US"/>
        </w:rPr>
        <w:t>, 36 (2015), 19-33, p. 31.</w:t>
      </w:r>
    </w:p>
  </w:footnote>
  <w:footnote w:id="52">
    <w:p>
      <w:pPr>
        <w:pStyle w:val="Footnote"/>
        <w:bidi w:val="0"/>
      </w:pPr>
      <w:r>
        <w:rPr>
          <w:rStyle w:val="None"/>
          <w:vertAlign w:val="superscript"/>
        </w:rPr>
        <w:footnoteRef/>
      </w:r>
      <w:r>
        <w:rPr>
          <w:rFonts w:cs="Arial Unicode MS" w:eastAsia="Arial Unicode MS"/>
          <w:rtl w:val="0"/>
        </w:rPr>
        <w:t xml:space="preserve"> </w:t>
      </w:r>
      <w:r>
        <w:rPr>
          <w:rFonts w:cs="Arial Unicode MS" w:eastAsia="Arial Unicode MS"/>
          <w:rtl w:val="0"/>
          <w:lang w:val="en-US"/>
        </w:rPr>
        <w:t xml:space="preserve">Jacobs, Stephen, </w:t>
      </w:r>
      <w:r>
        <w:rPr>
          <w:rFonts w:cs="Arial Unicode MS" w:eastAsia="Arial Unicode MS" w:hint="default"/>
          <w:rtl w:val="0"/>
          <w:lang w:val="en-US"/>
        </w:rPr>
        <w:t>‘</w:t>
      </w:r>
      <w:r>
        <w:rPr>
          <w:rFonts w:cs="Arial Unicode MS" w:eastAsia="Arial Unicode MS"/>
          <w:rtl w:val="0"/>
          <w:lang w:val="en-US"/>
        </w:rPr>
        <w:t>Virtually Sacred: The Performance Of Asynchronous Cyber-Rituals In Online Spaces</w:t>
      </w:r>
      <w:r>
        <w:rPr>
          <w:rFonts w:cs="Arial Unicode MS" w:eastAsia="Arial Unicode MS" w:hint="default"/>
          <w:rtl w:val="0"/>
          <w:lang w:val="en-US"/>
        </w:rPr>
        <w:t>’</w:t>
      </w:r>
      <w:r>
        <w:rPr>
          <w:rFonts w:cs="Arial Unicode MS" w:eastAsia="Arial Unicode MS"/>
          <w:rtl w:val="0"/>
          <w:lang w:val="en-US"/>
        </w:rPr>
        <w:t xml:space="preserve">, </w:t>
      </w:r>
      <w:r>
        <w:rPr>
          <w:rStyle w:val="None"/>
          <w:rFonts w:cs="Arial Unicode MS" w:eastAsia="Arial Unicode MS"/>
          <w:i w:val="1"/>
          <w:iCs w:val="1"/>
          <w:rtl w:val="0"/>
          <w:lang w:val="en-US"/>
        </w:rPr>
        <w:t>Journal of Computer-Mediated Communication</w:t>
      </w:r>
      <w:r>
        <w:rPr>
          <w:rFonts w:cs="Arial Unicode MS" w:eastAsia="Arial Unicode MS"/>
          <w:rtl w:val="0"/>
          <w:lang w:val="en-US"/>
        </w:rPr>
        <w:t>, 12 (2007), 1103-1121, p. 1117.</w:t>
      </w:r>
    </w:p>
  </w:footnote>
  <w:footnote w:id="53">
    <w:p>
      <w:pPr>
        <w:pStyle w:val="Footnote"/>
        <w:bidi w:val="0"/>
      </w:pPr>
      <w:r>
        <w:rPr>
          <w:rStyle w:val="None"/>
          <w:vertAlign w:val="superscript"/>
        </w:rPr>
        <w:footnoteRef/>
      </w:r>
      <w:r>
        <w:rPr>
          <w:rFonts w:cs="Arial Unicode MS" w:eastAsia="Arial Unicode MS"/>
          <w:rtl w:val="0"/>
          <w:lang w:val="en-US"/>
        </w:rPr>
        <w:t xml:space="preserve"> Mircea Eliade, </w:t>
      </w:r>
      <w:r>
        <w:rPr>
          <w:rStyle w:val="None"/>
          <w:rFonts w:cs="Arial Unicode MS" w:eastAsia="Arial Unicode MS"/>
          <w:i w:val="1"/>
          <w:iCs w:val="1"/>
          <w:rtl w:val="0"/>
          <w:lang w:val="en-US"/>
        </w:rPr>
        <w:t>The Sacred And The Profane</w:t>
      </w:r>
      <w:r>
        <w:rPr>
          <w:rFonts w:cs="Arial Unicode MS" w:eastAsia="Arial Unicode MS"/>
          <w:rtl w:val="0"/>
          <w:lang w:val="en-US"/>
        </w:rPr>
        <w:t xml:space="preserve">. Emile Durkheim, </w:t>
      </w:r>
      <w:r>
        <w:rPr>
          <w:rStyle w:val="None"/>
          <w:rFonts w:cs="Arial Unicode MS" w:eastAsia="Arial Unicode MS"/>
          <w:i w:val="1"/>
          <w:iCs w:val="1"/>
          <w:rtl w:val="0"/>
          <w:lang w:val="en-US"/>
        </w:rPr>
        <w:t>Elementary Forms Of Religious Life</w:t>
      </w:r>
      <w:r>
        <w:rPr>
          <w:rFonts w:cs="Arial Unicode MS" w:eastAsia="Arial Unicode MS"/>
          <w:rtl w:val="0"/>
          <w:lang w:val="en-US"/>
        </w:rPr>
        <w:t>.</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A Critical Comparison of Two Secondary Sources by Tina Jensen Friis Auster , November 2021</w:t>
    </w:r>
    <w:r>
      <w:rPr>
        <w:rFonts w:ascii="Palatino" w:cs="Palatino" w:hAnsi="Palatino" w:eastAsia="Palatino"/>
        <w:i w:val="1"/>
        <w:iCs w:val="1"/>
        <w:sz w:val="22"/>
        <w:szCs w:val="22"/>
      </w:rPr>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Fonts w:ascii="Palatino" w:hAnsi="Palatino"/>
        <w:i w:val="1"/>
        <w:iCs w:val="1"/>
        <w:sz w:val="18"/>
        <w:szCs w:val="18"/>
        <w:rtl w:val="0"/>
        <w:lang w:val="en-US"/>
      </w:rPr>
      <w:t>A Critical Comparison of two Secondary Sources by Tina Jensen Friis Auster , October 2021</w:t>
    </w:r>
    <w:r>
      <w:rPr>
        <w:rFonts w:ascii="Palatino" w:cs="Palatino" w:hAnsi="Palatino" w:eastAsia="Palatino"/>
        <w:i w:val="1"/>
        <w:iCs w:val="1"/>
        <w:sz w:val="22"/>
        <w:szCs w:val="22"/>
      </w:rPr>
      <w:tab/>
      <w:tab/>
      <w:tab/>
      <w:tab/>
    </w:r>
    <w:r>
      <w:rPr>
        <w:rFonts w:ascii="Palatino" w:cs="Palatino" w:hAnsi="Palatino" w:eastAsia="Palatino"/>
        <w:i w:val="0"/>
        <w:iCs w:val="0"/>
        <w:sz w:val="22"/>
        <w:szCs w:val="22"/>
      </w:rPr>
      <w:fldChar w:fldCharType="begin" w:fldLock="0"/>
    </w:r>
    <w:r>
      <w:rPr>
        <w:rFonts w:ascii="Palatino" w:cs="Palatino" w:hAnsi="Palatino" w:eastAsia="Palatino"/>
        <w:i w:val="0"/>
        <w:iCs w:val="0"/>
        <w:sz w:val="22"/>
        <w:szCs w:val="22"/>
      </w:rPr>
      <w:instrText xml:space="preserve"> PAGE </w:instrText>
    </w:r>
    <w:r>
      <w:rPr>
        <w:rFonts w:ascii="Palatino" w:cs="Palatino" w:hAnsi="Palatino" w:eastAsia="Palatino"/>
        <w:i w:val="0"/>
        <w:iCs w:val="0"/>
        <w:sz w:val="22"/>
        <w:szCs w:val="22"/>
      </w:rPr>
      <w:fldChar w:fldCharType="separate" w:fldLock="0"/>
    </w:r>
    <w:r>
      <w:rPr>
        <w:rFonts w:ascii="Palatino" w:cs="Palatino" w:hAnsi="Palatino" w:eastAsia="Palatino"/>
        <w:i w:val="0"/>
        <w:iCs w:val="0"/>
        <w:sz w:val="22"/>
        <w:szCs w:val="22"/>
      </w:rPr>
    </w:r>
    <w:r>
      <w:rPr>
        <w:rFonts w:ascii="Palatino" w:cs="Palatino" w:hAnsi="Palatino" w:eastAsia="Palatino"/>
        <w:i w:val="0"/>
        <w:iCs w:val="0"/>
        <w:sz w:val="22"/>
        <w:szCs w:val="22"/>
      </w:rPr>
      <w:fldChar w:fldCharType="end" w:fldLock="0"/>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Style w:val="None"/>
        <w:rFonts w:ascii="Palatino" w:hAnsi="Palatino"/>
        <w:i w:val="1"/>
        <w:iCs w:val="1"/>
        <w:sz w:val="18"/>
        <w:szCs w:val="18"/>
        <w:rtl w:val="0"/>
        <w:lang w:val="en-US"/>
      </w:rPr>
      <w:t>A Critical Comparison of two Secondary Sources by Tina Jensen Friis Auster , October 2021</w:t>
    </w:r>
    <w:r>
      <w:rPr>
        <w:rFonts w:ascii="Palatino" w:cs="Palatino" w:hAnsi="Palatino" w:eastAsia="Palatino"/>
        <w:i w:val="1"/>
        <w:iCs w:val="1"/>
        <w:sz w:val="22"/>
        <w:szCs w:val="22"/>
      </w:rPr>
      <w:tab/>
      <w:tab/>
      <w:tab/>
      <w:tab/>
    </w:r>
    <w:r>
      <w:rPr>
        <w:rStyle w:val="None"/>
        <w:rFonts w:ascii="Palatino" w:cs="Palatino" w:hAnsi="Palatino" w:eastAsia="Palatino"/>
        <w:i w:val="0"/>
        <w:iCs w:val="0"/>
        <w:sz w:val="22"/>
        <w:szCs w:val="22"/>
      </w:rPr>
      <w:fldChar w:fldCharType="begin" w:fldLock="0"/>
    </w:r>
    <w:r>
      <w:rPr>
        <w:rStyle w:val="None"/>
        <w:rFonts w:ascii="Palatino" w:cs="Palatino" w:hAnsi="Palatino" w:eastAsia="Palatino"/>
        <w:i w:val="0"/>
        <w:iCs w:val="0"/>
        <w:sz w:val="22"/>
        <w:szCs w:val="22"/>
      </w:rPr>
      <w:instrText xml:space="preserve"> PAGE </w:instrText>
    </w:r>
    <w:r>
      <w:rPr>
        <w:rStyle w:val="None"/>
        <w:rFonts w:ascii="Palatino" w:cs="Palatino" w:hAnsi="Palatino" w:eastAsia="Palatino"/>
        <w:i w:val="0"/>
        <w:iCs w:val="0"/>
        <w:sz w:val="22"/>
        <w:szCs w:val="22"/>
      </w:rPr>
      <w:fldChar w:fldCharType="separate" w:fldLock="0"/>
    </w:r>
    <w:r>
      <w:rPr>
        <w:rStyle w:val="None"/>
        <w:rFonts w:ascii="Palatino" w:cs="Palatino" w:hAnsi="Palatino" w:eastAsia="Palatino"/>
        <w:i w:val="0"/>
        <w:iCs w:val="0"/>
        <w:sz w:val="22"/>
        <w:szCs w:val="22"/>
      </w:rPr>
    </w:r>
    <w:r>
      <w:rPr>
        <w:rStyle w:val="None"/>
        <w:rFonts w:ascii="Palatino" w:cs="Palatino" w:hAnsi="Palatino" w:eastAsia="Palatino"/>
        <w:i w:val="0"/>
        <w:iCs w:val="0"/>
        <w:sz w:val="22"/>
        <w:szCs w:val="22"/>
      </w:rPr>
      <w:fldChar w:fldCharType="end" w:fldLock="0"/>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Style w:val="None"/>
        <w:rFonts w:ascii="Palatino" w:hAnsi="Palatino"/>
        <w:i w:val="1"/>
        <w:iCs w:val="1"/>
        <w:sz w:val="18"/>
        <w:szCs w:val="18"/>
        <w:rtl w:val="0"/>
        <w:lang w:val="en-US"/>
      </w:rPr>
      <w:t>A Critical Comparison of two Secondary Sources by Tina Jensen Friis Auster , October 2021</w:t>
    </w:r>
    <w:r>
      <w:rPr>
        <w:rFonts w:ascii="Palatino" w:cs="Palatino" w:hAnsi="Palatino" w:eastAsia="Palatino"/>
        <w:i w:val="1"/>
        <w:iCs w:val="1"/>
        <w:sz w:val="22"/>
        <w:szCs w:val="22"/>
      </w:rPr>
      <w:tab/>
      <w:tab/>
      <w:tab/>
      <w:tab/>
    </w:r>
    <w:r>
      <w:rPr>
        <w:rStyle w:val="None"/>
        <w:rFonts w:ascii="Palatino" w:cs="Palatino" w:hAnsi="Palatino" w:eastAsia="Palatino"/>
        <w:i w:val="0"/>
        <w:iCs w:val="0"/>
        <w:sz w:val="22"/>
        <w:szCs w:val="22"/>
      </w:rPr>
      <w:fldChar w:fldCharType="begin" w:fldLock="0"/>
    </w:r>
    <w:r>
      <w:rPr>
        <w:rStyle w:val="None"/>
        <w:rFonts w:ascii="Palatino" w:cs="Palatino" w:hAnsi="Palatino" w:eastAsia="Palatino"/>
        <w:i w:val="0"/>
        <w:iCs w:val="0"/>
        <w:sz w:val="22"/>
        <w:szCs w:val="22"/>
      </w:rPr>
      <w:instrText xml:space="preserve"> PAGE </w:instrText>
    </w:r>
    <w:r>
      <w:rPr>
        <w:rStyle w:val="None"/>
        <w:rFonts w:ascii="Palatino" w:cs="Palatino" w:hAnsi="Palatino" w:eastAsia="Palatino"/>
        <w:i w:val="0"/>
        <w:iCs w:val="0"/>
        <w:sz w:val="22"/>
        <w:szCs w:val="22"/>
      </w:rPr>
      <w:fldChar w:fldCharType="separate" w:fldLock="0"/>
    </w:r>
    <w:r>
      <w:rPr>
        <w:rStyle w:val="None"/>
        <w:rFonts w:ascii="Palatino" w:cs="Palatino" w:hAnsi="Palatino" w:eastAsia="Palatino"/>
        <w:i w:val="0"/>
        <w:iCs w:val="0"/>
        <w:sz w:val="22"/>
        <w:szCs w:val="22"/>
      </w:rPr>
    </w:r>
    <w:r>
      <w:rPr>
        <w:rStyle w:val="None"/>
        <w:rFonts w:ascii="Palatino" w:cs="Palatino" w:hAnsi="Palatino" w:eastAsia="Palatino"/>
        <w:i w:val="0"/>
        <w:iCs w:val="0"/>
        <w:sz w:val="22"/>
        <w:szCs w:val="22"/>
      </w:rPr>
      <w:fldChar w:fldCharType="end" w:fldLock="0"/>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Style w:val="None"/>
        <w:rFonts w:ascii="Palatino" w:hAnsi="Palatino"/>
        <w:i w:val="1"/>
        <w:iCs w:val="1"/>
        <w:sz w:val="18"/>
        <w:szCs w:val="18"/>
        <w:rtl w:val="0"/>
        <w:lang w:val="en-US"/>
      </w:rPr>
      <w:t>A Critical Comparison of two Secondary Sources by Tina Jensen Friis Auster , October 2021</w:t>
    </w:r>
    <w:r>
      <w:rPr>
        <w:rFonts w:ascii="Palatino" w:cs="Palatino" w:hAnsi="Palatino" w:eastAsia="Palatino"/>
        <w:i w:val="1"/>
        <w:iCs w:val="1"/>
        <w:sz w:val="22"/>
        <w:szCs w:val="22"/>
      </w:rPr>
      <w:tab/>
      <w:tab/>
      <w:tab/>
      <w:tab/>
    </w:r>
    <w:r>
      <w:rPr>
        <w:rStyle w:val="None"/>
        <w:rFonts w:ascii="Palatino" w:cs="Palatino" w:hAnsi="Palatino" w:eastAsia="Palatino"/>
        <w:i w:val="0"/>
        <w:iCs w:val="0"/>
        <w:sz w:val="22"/>
        <w:szCs w:val="22"/>
      </w:rPr>
      <w:fldChar w:fldCharType="begin" w:fldLock="0"/>
    </w:r>
    <w:r>
      <w:rPr>
        <w:rStyle w:val="None"/>
        <w:rFonts w:ascii="Palatino" w:cs="Palatino" w:hAnsi="Palatino" w:eastAsia="Palatino"/>
        <w:i w:val="0"/>
        <w:iCs w:val="0"/>
        <w:sz w:val="22"/>
        <w:szCs w:val="22"/>
      </w:rPr>
      <w:instrText xml:space="preserve"> PAGE </w:instrText>
    </w:r>
    <w:r>
      <w:rPr>
        <w:rStyle w:val="None"/>
        <w:rFonts w:ascii="Palatino" w:cs="Palatino" w:hAnsi="Palatino" w:eastAsia="Palatino"/>
        <w:i w:val="0"/>
        <w:iCs w:val="0"/>
        <w:sz w:val="22"/>
        <w:szCs w:val="22"/>
      </w:rPr>
      <w:fldChar w:fldCharType="separate" w:fldLock="0"/>
    </w:r>
    <w:r>
      <w:rPr>
        <w:rStyle w:val="None"/>
        <w:rFonts w:ascii="Palatino" w:cs="Palatino" w:hAnsi="Palatino" w:eastAsia="Palatino"/>
        <w:i w:val="0"/>
        <w:iCs w:val="0"/>
        <w:sz w:val="22"/>
        <w:szCs w:val="22"/>
      </w:rPr>
    </w:r>
    <w:r>
      <w:rPr>
        <w:rStyle w:val="None"/>
        <w:rFonts w:ascii="Palatino" w:cs="Palatino" w:hAnsi="Palatino" w:eastAsia="Palatino"/>
        <w:i w:val="0"/>
        <w:iCs w:val="0"/>
        <w:sz w:val="22"/>
        <w:szCs w:val="22"/>
      </w:rPr>
      <w:fldChar w:fldCharType="end" w:fldLock="0"/>
    </w:r>
  </w:p>
</w:hdr>
</file>

<file path=word/header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Style w:val="None"/>
        <w:rFonts w:ascii="Palatino" w:hAnsi="Palatino"/>
        <w:i w:val="1"/>
        <w:iCs w:val="1"/>
        <w:sz w:val="18"/>
        <w:szCs w:val="18"/>
        <w:rtl w:val="0"/>
        <w:lang w:val="en-US"/>
      </w:rPr>
      <w:t>A Critical Comparison of two Secondary Sources by Tina Jensen Friis Auster , October 2021</w:t>
    </w:r>
    <w:r>
      <w:rPr>
        <w:rFonts w:ascii="Palatino" w:cs="Palatino" w:hAnsi="Palatino" w:eastAsia="Palatino"/>
        <w:i w:val="1"/>
        <w:iCs w:val="1"/>
        <w:sz w:val="22"/>
        <w:szCs w:val="22"/>
      </w:rPr>
      <w:tab/>
      <w:tab/>
      <w:tab/>
      <w:tab/>
    </w:r>
    <w:r>
      <w:rPr>
        <w:rStyle w:val="None"/>
        <w:rFonts w:ascii="Palatino" w:cs="Palatino" w:hAnsi="Palatino" w:eastAsia="Palatino"/>
        <w:i w:val="0"/>
        <w:iCs w:val="0"/>
        <w:sz w:val="22"/>
        <w:szCs w:val="22"/>
      </w:rPr>
      <w:fldChar w:fldCharType="begin" w:fldLock="0"/>
    </w:r>
    <w:r>
      <w:rPr>
        <w:rStyle w:val="None"/>
        <w:rFonts w:ascii="Palatino" w:cs="Palatino" w:hAnsi="Palatino" w:eastAsia="Palatino"/>
        <w:i w:val="0"/>
        <w:iCs w:val="0"/>
        <w:sz w:val="22"/>
        <w:szCs w:val="22"/>
      </w:rPr>
      <w:instrText xml:space="preserve"> PAGE </w:instrText>
    </w:r>
    <w:r>
      <w:rPr>
        <w:rStyle w:val="None"/>
        <w:rFonts w:ascii="Palatino" w:cs="Palatino" w:hAnsi="Palatino" w:eastAsia="Palatino"/>
        <w:i w:val="0"/>
        <w:iCs w:val="0"/>
        <w:sz w:val="22"/>
        <w:szCs w:val="22"/>
      </w:rPr>
      <w:fldChar w:fldCharType="separate" w:fldLock="0"/>
    </w:r>
    <w:r>
      <w:rPr>
        <w:rStyle w:val="None"/>
        <w:rFonts w:ascii="Palatino" w:cs="Palatino" w:hAnsi="Palatino" w:eastAsia="Palatino"/>
        <w:i w:val="0"/>
        <w:iCs w:val="0"/>
        <w:sz w:val="22"/>
        <w:szCs w:val="22"/>
      </w:rPr>
    </w:r>
    <w:r>
      <w:rPr>
        <w:rStyle w:val="None"/>
        <w:rFonts w:ascii="Palatino" w:cs="Palatino" w:hAnsi="Palatino" w:eastAsia="Palatino"/>
        <w:i w:val="0"/>
        <w:iCs w:val="0"/>
        <w:sz w:val="22"/>
        <w:szCs w:val="22"/>
      </w:rPr>
      <w:fldChar w:fldCharType="end" w:fldLock="0"/>
    </w:r>
  </w:p>
</w:hdr>
</file>

<file path=word/header8.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Style w:val="None"/>
        <w:rFonts w:ascii="Palatino" w:hAnsi="Palatino"/>
        <w:i w:val="1"/>
        <w:iCs w:val="1"/>
        <w:sz w:val="18"/>
        <w:szCs w:val="18"/>
        <w:rtl w:val="0"/>
        <w:lang w:val="en-US"/>
      </w:rPr>
      <w:t>A Critical Comparison of two Secondary Sources by Tina Jensen Friis Auster , October 2021</w:t>
    </w:r>
    <w:r>
      <w:rPr>
        <w:rFonts w:ascii="Palatino" w:cs="Palatino" w:hAnsi="Palatino" w:eastAsia="Palatino"/>
        <w:i w:val="1"/>
        <w:iCs w:val="1"/>
        <w:sz w:val="22"/>
        <w:szCs w:val="22"/>
      </w:rPr>
      <w:tab/>
      <w:tab/>
      <w:tab/>
      <w:tab/>
    </w:r>
    <w:r>
      <w:rPr>
        <w:rStyle w:val="None"/>
        <w:rFonts w:ascii="Palatino" w:cs="Palatino" w:hAnsi="Palatino" w:eastAsia="Palatino"/>
        <w:i w:val="0"/>
        <w:iCs w:val="0"/>
        <w:sz w:val="22"/>
        <w:szCs w:val="22"/>
      </w:rPr>
      <w:fldChar w:fldCharType="begin" w:fldLock="0"/>
    </w:r>
    <w:r>
      <w:rPr>
        <w:rStyle w:val="None"/>
        <w:rFonts w:ascii="Palatino" w:cs="Palatino" w:hAnsi="Palatino" w:eastAsia="Palatino"/>
        <w:i w:val="0"/>
        <w:iCs w:val="0"/>
        <w:sz w:val="22"/>
        <w:szCs w:val="22"/>
      </w:rPr>
      <w:instrText xml:space="preserve"> PAGE </w:instrText>
    </w:r>
    <w:r>
      <w:rPr>
        <w:rStyle w:val="None"/>
        <w:rFonts w:ascii="Palatino" w:cs="Palatino" w:hAnsi="Palatino" w:eastAsia="Palatino"/>
        <w:i w:val="0"/>
        <w:iCs w:val="0"/>
        <w:sz w:val="22"/>
        <w:szCs w:val="22"/>
      </w:rPr>
      <w:fldChar w:fldCharType="separate" w:fldLock="0"/>
    </w:r>
    <w:r>
      <w:rPr>
        <w:rStyle w:val="None"/>
        <w:rFonts w:ascii="Palatino" w:cs="Palatino" w:hAnsi="Palatino" w:eastAsia="Palatino"/>
        <w:i w:val="0"/>
        <w:iCs w:val="0"/>
        <w:sz w:val="22"/>
        <w:szCs w:val="22"/>
      </w:rPr>
    </w:r>
    <w:r>
      <w:rPr>
        <w:rStyle w:val="None"/>
        <w:rFonts w:ascii="Palatino" w:cs="Palatino" w:hAnsi="Palatino" w:eastAsia="Palatino"/>
        <w:i w:val="0"/>
        <w:iCs w:val="0"/>
        <w:sz w:val="22"/>
        <w:szCs w:val="22"/>
      </w:rPr>
      <w:fldChar w:fldCharType="end" w:fldLock="0"/>
    </w:r>
  </w:p>
</w:hdr>
</file>

<file path=word/header9.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Style w:val="None"/>
        <w:rFonts w:ascii="Palatino" w:hAnsi="Palatino"/>
        <w:i w:val="1"/>
        <w:iCs w:val="1"/>
        <w:sz w:val="18"/>
        <w:szCs w:val="18"/>
        <w:rtl w:val="0"/>
        <w:lang w:val="en-US"/>
      </w:rPr>
      <w:t>A Critical Comparison of two Secondary Sources by Tina Jensen Friis Auster , October 2021</w:t>
    </w:r>
    <w:r>
      <w:rPr>
        <w:rFonts w:ascii="Palatino" w:cs="Palatino" w:hAnsi="Palatino" w:eastAsia="Palatino"/>
        <w:i w:val="1"/>
        <w:iCs w:val="1"/>
        <w:sz w:val="22"/>
        <w:szCs w:val="22"/>
      </w:rPr>
      <w:tab/>
      <w:tab/>
      <w:tab/>
      <w:tab/>
    </w:r>
    <w:r>
      <w:rPr>
        <w:rStyle w:val="None"/>
        <w:rFonts w:ascii="Palatino" w:cs="Palatino" w:hAnsi="Palatino" w:eastAsia="Palatino"/>
        <w:i w:val="0"/>
        <w:iCs w:val="0"/>
        <w:sz w:val="22"/>
        <w:szCs w:val="22"/>
      </w:rPr>
      <w:fldChar w:fldCharType="begin" w:fldLock="0"/>
    </w:r>
    <w:r>
      <w:rPr>
        <w:rStyle w:val="None"/>
        <w:rFonts w:ascii="Palatino" w:cs="Palatino" w:hAnsi="Palatino" w:eastAsia="Palatino"/>
        <w:i w:val="0"/>
        <w:iCs w:val="0"/>
        <w:sz w:val="22"/>
        <w:szCs w:val="22"/>
      </w:rPr>
      <w:instrText xml:space="preserve"> PAGE </w:instrText>
    </w:r>
    <w:r>
      <w:rPr>
        <w:rStyle w:val="None"/>
        <w:rFonts w:ascii="Palatino" w:cs="Palatino" w:hAnsi="Palatino" w:eastAsia="Palatino"/>
        <w:i w:val="0"/>
        <w:iCs w:val="0"/>
        <w:sz w:val="22"/>
        <w:szCs w:val="22"/>
      </w:rPr>
      <w:fldChar w:fldCharType="separate" w:fldLock="0"/>
    </w:r>
    <w:r>
      <w:rPr>
        <w:rStyle w:val="None"/>
        <w:rFonts w:ascii="Palatino" w:cs="Palatino" w:hAnsi="Palatino" w:eastAsia="Palatino"/>
        <w:i w:val="0"/>
        <w:iCs w:val="0"/>
        <w:sz w:val="22"/>
        <w:szCs w:val="22"/>
      </w:rPr>
    </w:r>
    <w:r>
      <w:rPr>
        <w:rStyle w:val="None"/>
        <w:rFonts w:ascii="Palatino" w:cs="Palatino" w:hAnsi="Palatino" w:eastAsia="Palatino"/>
        <w:i w:val="0"/>
        <w:iCs w:val="0"/>
        <w:sz w:val="22"/>
        <w:szCs w:val="22"/>
      </w:rPr>
      <w:fldChar w:fldCharType="end" w:fldLock="0"/>
    </w:r>
  </w:p>
</w:hdr>
</file>

<file path=word/header10.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spacing w:before="0"/>
    </w:pPr>
    <w:r>
      <w:rPr>
        <w:rStyle w:val="None"/>
        <w:rFonts w:ascii="Palatino" w:hAnsi="Palatino"/>
        <w:i w:val="1"/>
        <w:iCs w:val="1"/>
        <w:sz w:val="18"/>
        <w:szCs w:val="18"/>
        <w:rtl w:val="0"/>
        <w:lang w:val="en-US"/>
      </w:rPr>
      <w:t>A Critical Comparison of two Secondary Sources by Tina Jensen Friis Auster , March 2021</w:t>
    </w:r>
    <w:r>
      <w:rPr>
        <w:rFonts w:ascii="Palatino" w:cs="Palatino" w:hAnsi="Palatino" w:eastAsia="Palatino"/>
        <w:i w:val="1"/>
        <w:iCs w:val="1"/>
        <w:sz w:val="22"/>
        <w:szCs w:val="22"/>
      </w:rPr>
      <w:tab/>
      <w:tab/>
      <w:tab/>
      <w:tab/>
    </w:r>
    <w:r>
      <w:rPr>
        <w:rStyle w:val="None"/>
        <w:rFonts w:ascii="Palatino" w:cs="Palatino" w:hAnsi="Palatino" w:eastAsia="Palatino"/>
        <w:i w:val="0"/>
        <w:iCs w:val="0"/>
        <w:sz w:val="22"/>
        <w:szCs w:val="22"/>
      </w:rPr>
      <w:fldChar w:fldCharType="begin" w:fldLock="0"/>
    </w:r>
    <w:r>
      <w:rPr>
        <w:rStyle w:val="None"/>
        <w:rFonts w:ascii="Palatino" w:cs="Palatino" w:hAnsi="Palatino" w:eastAsia="Palatino"/>
        <w:i w:val="0"/>
        <w:iCs w:val="0"/>
        <w:sz w:val="22"/>
        <w:szCs w:val="22"/>
      </w:rPr>
      <w:instrText xml:space="preserve"> PAGE </w:instrText>
    </w:r>
    <w:r>
      <w:rPr>
        <w:rStyle w:val="None"/>
        <w:rFonts w:ascii="Palatino" w:cs="Palatino" w:hAnsi="Palatino" w:eastAsia="Palatino"/>
        <w:i w:val="0"/>
        <w:iCs w:val="0"/>
        <w:sz w:val="22"/>
        <w:szCs w:val="22"/>
      </w:rPr>
      <w:fldChar w:fldCharType="separate" w:fldLock="0"/>
    </w:r>
    <w:r>
      <w:rPr>
        <w:rStyle w:val="None"/>
        <w:rFonts w:ascii="Palatino" w:cs="Palatino" w:hAnsi="Palatino" w:eastAsia="Palatino"/>
        <w:i w:val="0"/>
        <w:iCs w:val="0"/>
        <w:sz w:val="22"/>
        <w:szCs w:val="22"/>
      </w:rPr>
    </w:r>
    <w:r>
      <w:rPr>
        <w:rStyle w:val="None"/>
        <w:rFonts w:ascii="Palatino" w:cs="Palatino" w:hAnsi="Palatino" w:eastAsia="Palatino"/>
        <w:i w:val="0"/>
        <w:iCs w:val="0"/>
        <w:sz w:val="22"/>
        <w:szCs w:val="22"/>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Georgia" w:cs="Arial Unicode MS" w:hAnsi="Georgia" w:eastAsia="Arial Unicode MS"/>
      <w:b w:val="0"/>
      <w:bCs w:val="0"/>
      <w:i w:val="0"/>
      <w:iCs w:val="0"/>
      <w:caps w:val="0"/>
      <w:smallCaps w:val="0"/>
      <w:strike w:val="0"/>
      <w:dstrike w:val="0"/>
      <w:outline w:val="0"/>
      <w:color w:val="000000"/>
      <w:spacing w:val="0"/>
      <w:kern w:val="0"/>
      <w:position w:val="0"/>
      <w:sz w:val="21"/>
      <w:szCs w:val="21"/>
      <w:u w:val="none" w:color="000000"/>
      <w:shd w:val="nil" w:color="auto" w:fill="auto"/>
      <w:vertAlign w:val="baseline"/>
      <w:lang w:val="en-US"/>
      <w14:textFill>
        <w14:solidFill>
          <w14:srgbClr w14:val="000000"/>
        </w14:solidFill>
      </w14:textFill>
    </w:rPr>
  </w:style>
  <w:style w:type="paragraph" w:styleId="Heading 3">
    <w:name w:val="Heading 3"/>
    <w:next w:val="Heading 3"/>
    <w:pPr>
      <w:keepNext w:val="1"/>
      <w:keepLines w:val="0"/>
      <w:pageBreakBefore w:val="0"/>
      <w:widowControl w:val="1"/>
      <w:shd w:val="clear" w:color="auto" w:fill="auto"/>
      <w:suppressAutoHyphens w:val="0"/>
      <w:bidi w:val="0"/>
      <w:spacing w:before="0" w:after="0" w:line="240" w:lineRule="auto"/>
      <w:ind w:left="720" w:right="0" w:firstLine="0"/>
      <w:jc w:val="both"/>
      <w:outlineLvl w:val="2"/>
    </w:pPr>
    <w:rPr>
      <w:rFonts w:ascii="Tahoma" w:cs="Arial Unicode MS" w:hAnsi="Tahoma" w:eastAsia="Arial Unicode MS"/>
      <w:b w:val="1"/>
      <w:bCs w:val="1"/>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Palatino" w:cs="Palatino" w:hAnsi="Palatino" w:eastAsia="Palatino"/>
      <w:b w:val="0"/>
      <w:bCs w:val="0"/>
      <w:i w:val="0"/>
      <w:iCs w:val="0"/>
      <w:caps w:val="0"/>
      <w:smallCaps w:val="0"/>
      <w:strike w:val="0"/>
      <w:dstrike w:val="0"/>
      <w:outline w:val="0"/>
      <w:color w:val="000000"/>
      <w:spacing w:val="0"/>
      <w:kern w:val="0"/>
      <w:position w:val="0"/>
      <w:sz w:val="18"/>
      <w:szCs w:val="18"/>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header" Target="header5.xml"/><Relationship Id="rId14" Type="http://schemas.openxmlformats.org/officeDocument/2006/relationships/footer" Target="footer5.xml"/><Relationship Id="rId15" Type="http://schemas.openxmlformats.org/officeDocument/2006/relationships/header" Target="header6.xml"/><Relationship Id="rId16" Type="http://schemas.openxmlformats.org/officeDocument/2006/relationships/footer" Target="footer6.xml"/><Relationship Id="rId17" Type="http://schemas.openxmlformats.org/officeDocument/2006/relationships/header" Target="header7.xml"/><Relationship Id="rId18" Type="http://schemas.openxmlformats.org/officeDocument/2006/relationships/footer" Target="footer7.xml"/><Relationship Id="rId19" Type="http://schemas.openxmlformats.org/officeDocument/2006/relationships/header" Target="header8.xml"/><Relationship Id="rId20" Type="http://schemas.openxmlformats.org/officeDocument/2006/relationships/footer" Target="footer8.xml"/><Relationship Id="rId21" Type="http://schemas.openxmlformats.org/officeDocument/2006/relationships/header" Target="header9.xml"/><Relationship Id="rId22" Type="http://schemas.openxmlformats.org/officeDocument/2006/relationships/footer" Target="footer9.xml"/><Relationship Id="rId23" Type="http://schemas.openxmlformats.org/officeDocument/2006/relationships/header" Target="header10.xml"/><Relationship Id="rId24" Type="http://schemas.openxmlformats.org/officeDocument/2006/relationships/footer" Target="footer10.xml"/><Relationship Id="rId25" Type="http://schemas.openxmlformats.org/officeDocument/2006/relationships/footnotes" Target="footnotes.xml"/><Relationship Id="rId2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