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5ED552" w14:textId="77777777" w:rsidR="00831DAF" w:rsidRPr="00885813" w:rsidRDefault="00831DAF" w:rsidP="00831DAF">
      <w:pPr>
        <w:spacing w:line="360" w:lineRule="auto"/>
        <w:jc w:val="both"/>
        <w:rPr>
          <w:rFonts w:eastAsia="Times New Roman" w:cs="Times New Roman"/>
          <w:sz w:val="32"/>
          <w:szCs w:val="32"/>
        </w:rPr>
      </w:pPr>
      <w:r w:rsidRPr="00885813">
        <w:rPr>
          <w:rFonts w:eastAsia="Times New Roman" w:cs="Times New Roman"/>
          <w:b/>
          <w:sz w:val="32"/>
          <w:szCs w:val="32"/>
        </w:rPr>
        <w:t>Decarbonizing Welsh Social Housing: Energy Performance, Fuel Poverty and Policy Evaluation — Dissertation Proposal (MSc, UWTSD)</w:t>
      </w:r>
    </w:p>
    <w:p w14:paraId="7A2A8F6A" w14:textId="3631F347" w:rsidR="00831DAF" w:rsidRPr="00885813" w:rsidRDefault="00831DAF" w:rsidP="00B13855">
      <w:pPr>
        <w:spacing w:line="360" w:lineRule="auto"/>
        <w:jc w:val="center"/>
        <w:rPr>
          <w:rFonts w:eastAsia="Times New Roman" w:cs="Times New Roman"/>
        </w:rPr>
      </w:pPr>
      <w:r w:rsidRPr="00885813">
        <w:rPr>
          <w:rFonts w:eastAsia="Times New Roman" w:cs="Times New Roman"/>
          <w:sz w:val="24"/>
        </w:rPr>
        <w:t>Jean-Paul Marshall (2023697) | Programme: MSc |</w:t>
      </w:r>
    </w:p>
    <w:p w14:paraId="4DCCD389" w14:textId="77777777" w:rsidR="00831DAF" w:rsidRPr="00885813" w:rsidRDefault="00831DAF" w:rsidP="00831DAF">
      <w:pPr>
        <w:spacing w:line="360" w:lineRule="auto"/>
        <w:jc w:val="both"/>
        <w:rPr>
          <w:rFonts w:eastAsia="Times New Roman" w:cs="Times New Roman"/>
        </w:rPr>
      </w:pPr>
    </w:p>
    <w:p w14:paraId="45DC1CB0" w14:textId="77777777" w:rsidR="00831DAF" w:rsidRPr="00885813" w:rsidRDefault="00831DAF" w:rsidP="00B13855">
      <w:pPr>
        <w:spacing w:line="360" w:lineRule="auto"/>
        <w:jc w:val="center"/>
        <w:rPr>
          <w:rFonts w:eastAsia="Times New Roman" w:cs="Times New Roman"/>
        </w:rPr>
      </w:pPr>
      <w:r w:rsidRPr="00885813">
        <w:rPr>
          <w:rFonts w:eastAsia="Times New Roman" w:cs="Times New Roman"/>
          <w:noProof/>
          <w:sz w:val="24"/>
        </w:rPr>
        <w:drawing>
          <wp:inline distT="0" distB="0" distL="0" distR="0" wp14:anchorId="1E8288B2" wp14:editId="13659119">
            <wp:extent cx="4114800" cy="205740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800" cy="2057400"/>
                    </a:xfrm>
                    <a:prstGeom prst="rect">
                      <a:avLst/>
                    </a:prstGeom>
                    <a:noFill/>
                    <a:ln>
                      <a:noFill/>
                    </a:ln>
                  </pic:spPr>
                </pic:pic>
              </a:graphicData>
            </a:graphic>
          </wp:inline>
        </w:drawing>
      </w:r>
    </w:p>
    <w:p w14:paraId="284577B0" w14:textId="77777777" w:rsidR="00831DAF" w:rsidRPr="00885813" w:rsidRDefault="00831DAF" w:rsidP="00831DAF">
      <w:pPr>
        <w:spacing w:line="360" w:lineRule="auto"/>
        <w:jc w:val="both"/>
        <w:rPr>
          <w:rFonts w:eastAsia="Times New Roman" w:cs="Times New Roman"/>
        </w:rPr>
      </w:pPr>
    </w:p>
    <w:p w14:paraId="0C0D560F" w14:textId="77777777" w:rsidR="00831DAF" w:rsidRPr="00885813" w:rsidRDefault="00831DAF" w:rsidP="00831DAF">
      <w:pPr>
        <w:spacing w:line="360" w:lineRule="auto"/>
        <w:jc w:val="both"/>
        <w:rPr>
          <w:rFonts w:eastAsia="Times New Roman" w:cs="Times New Roman"/>
        </w:rPr>
      </w:pPr>
    </w:p>
    <w:p w14:paraId="76AB3CFC" w14:textId="77777777" w:rsidR="00831DAF" w:rsidRPr="00885813" w:rsidRDefault="00831DAF" w:rsidP="00831DAF">
      <w:pPr>
        <w:spacing w:line="360" w:lineRule="auto"/>
        <w:jc w:val="both"/>
        <w:rPr>
          <w:rFonts w:eastAsia="Times New Roman" w:cs="Times New Roman"/>
        </w:rPr>
      </w:pPr>
    </w:p>
    <w:p w14:paraId="6B78B08D" w14:textId="77777777" w:rsidR="00831DAF" w:rsidRPr="00885813" w:rsidRDefault="00831DAF" w:rsidP="00831DAF">
      <w:pPr>
        <w:spacing w:line="360" w:lineRule="auto"/>
        <w:jc w:val="both"/>
        <w:rPr>
          <w:rFonts w:eastAsia="Times New Roman" w:cs="Times New Roman"/>
        </w:rPr>
      </w:pPr>
    </w:p>
    <w:p w14:paraId="4E49FB02" w14:textId="77777777" w:rsidR="00885813" w:rsidRPr="00885813" w:rsidRDefault="00885813" w:rsidP="00831DAF">
      <w:pPr>
        <w:spacing w:line="360" w:lineRule="auto"/>
        <w:jc w:val="both"/>
        <w:rPr>
          <w:rFonts w:eastAsia="Times New Roman" w:cs="Times New Roman"/>
        </w:rPr>
      </w:pPr>
    </w:p>
    <w:p w14:paraId="101A0FA1" w14:textId="77777777" w:rsidR="00831DAF" w:rsidRPr="00885813" w:rsidRDefault="00831DAF" w:rsidP="00831DAF">
      <w:pPr>
        <w:spacing w:line="360" w:lineRule="auto"/>
        <w:jc w:val="both"/>
        <w:rPr>
          <w:rFonts w:eastAsia="Times New Roman" w:cs="Times New Roman"/>
        </w:rPr>
      </w:pPr>
    </w:p>
    <w:p w14:paraId="52D65773" w14:textId="77777777" w:rsidR="00831DAF" w:rsidRPr="00885813" w:rsidRDefault="00831DAF" w:rsidP="00831DAF">
      <w:pPr>
        <w:spacing w:line="360" w:lineRule="auto"/>
        <w:jc w:val="both"/>
        <w:rPr>
          <w:rFonts w:eastAsia="Times New Roman" w:cs="Times New Roman"/>
        </w:rPr>
      </w:pPr>
    </w:p>
    <w:p w14:paraId="03E5A6F4" w14:textId="77777777" w:rsidR="00831DAF" w:rsidRPr="00885813" w:rsidRDefault="00831DAF" w:rsidP="00831DAF">
      <w:pPr>
        <w:spacing w:line="360" w:lineRule="auto"/>
        <w:jc w:val="both"/>
        <w:rPr>
          <w:rFonts w:eastAsia="Times New Roman" w:cs="Times New Roman"/>
        </w:rPr>
      </w:pPr>
    </w:p>
    <w:p w14:paraId="1C429FC1" w14:textId="77777777" w:rsidR="00831DAF" w:rsidRPr="00885813" w:rsidRDefault="00831DAF" w:rsidP="00831DAF">
      <w:pPr>
        <w:spacing w:line="360" w:lineRule="auto"/>
        <w:jc w:val="both"/>
        <w:rPr>
          <w:rFonts w:eastAsia="Times New Roman" w:cs="Times New Roman"/>
        </w:rPr>
      </w:pPr>
    </w:p>
    <w:p w14:paraId="42F78308" w14:textId="77777777" w:rsidR="00831DAF" w:rsidRPr="00885813" w:rsidRDefault="00831DAF" w:rsidP="00831DAF">
      <w:pPr>
        <w:spacing w:line="360" w:lineRule="auto"/>
        <w:jc w:val="both"/>
        <w:rPr>
          <w:rFonts w:eastAsia="Times New Roman" w:cs="Times New Roman"/>
        </w:rPr>
      </w:pPr>
    </w:p>
    <w:p w14:paraId="2C6AB488"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lastRenderedPageBreak/>
        <w:fldChar w:fldCharType="begin"/>
      </w:r>
      <w:r w:rsidRPr="00885813">
        <w:rPr>
          <w:rFonts w:eastAsia="Times New Roman" w:cs="Times New Roman"/>
          <w:sz w:val="24"/>
        </w:rPr>
        <w:instrText>TOC \o "1-3" \h \z \u</w:instrText>
      </w:r>
      <w:r w:rsidRPr="00885813">
        <w:rPr>
          <w:rFonts w:eastAsia="Times New Roman" w:cs="Times New Roman"/>
          <w:sz w:val="24"/>
        </w:rPr>
        <w:fldChar w:fldCharType="separate"/>
      </w:r>
      <w:r w:rsidRPr="00885813">
        <w:rPr>
          <w:rFonts w:eastAsia="Times New Roman" w:cs="Times New Roman"/>
          <w:sz w:val="24"/>
        </w:rPr>
        <w:fldChar w:fldCharType="end"/>
      </w:r>
    </w:p>
    <w:sdt>
      <w:sdtPr>
        <w:rPr>
          <w:rFonts w:eastAsia="Times New Roman" w:cs="Times New Roman"/>
        </w:rPr>
        <w:id w:val="539552155"/>
        <w:docPartObj>
          <w:docPartGallery w:val="Table of Contents"/>
          <w:docPartUnique/>
        </w:docPartObj>
      </w:sdtPr>
      <w:sdtContent>
        <w:p w14:paraId="149C8B18" w14:textId="77777777" w:rsidR="00831DAF" w:rsidRPr="00885813" w:rsidRDefault="00831DAF" w:rsidP="00831DAF">
          <w:pPr>
            <w:jc w:val="both"/>
            <w:rPr>
              <w:rFonts w:eastAsia="Times New Roman" w:cs="Times New Roman"/>
            </w:rPr>
          </w:pPr>
          <w:r w:rsidRPr="00885813">
            <w:rPr>
              <w:rFonts w:eastAsia="Times New Roman" w:cs="Times New Roman"/>
            </w:rPr>
            <w:t>Contents</w:t>
          </w:r>
        </w:p>
        <w:p w14:paraId="45BACA3B" w14:textId="60DC663C" w:rsidR="00885813" w:rsidRDefault="00831DAF">
          <w:pPr>
            <w:pStyle w:val="TOC1"/>
            <w:tabs>
              <w:tab w:val="right" w:leader="dot" w:pos="8630"/>
            </w:tabs>
            <w:rPr>
              <w:noProof/>
              <w:kern w:val="2"/>
              <w:sz w:val="24"/>
              <w:szCs w:val="24"/>
              <w:lang w:eastAsia="en-GB"/>
              <w14:ligatures w14:val="standardContextual"/>
            </w:rPr>
          </w:pPr>
          <w:r w:rsidRPr="00885813">
            <w:rPr>
              <w:rFonts w:eastAsia="Times New Roman" w:cs="Times New Roman"/>
            </w:rPr>
            <w:fldChar w:fldCharType="begin"/>
          </w:r>
          <w:r w:rsidRPr="00885813">
            <w:rPr>
              <w:rFonts w:eastAsia="Times New Roman" w:cs="Times New Roman"/>
            </w:rPr>
            <w:instrText xml:space="preserve"> TOC \o "1-3" \h \z \u </w:instrText>
          </w:r>
          <w:r w:rsidRPr="00885813">
            <w:rPr>
              <w:rFonts w:eastAsia="Times New Roman" w:cs="Times New Roman"/>
            </w:rPr>
            <w:fldChar w:fldCharType="separate"/>
          </w:r>
          <w:hyperlink w:anchor="_Toc225760707" w:history="1">
            <w:r w:rsidR="00885813" w:rsidRPr="00BC7476">
              <w:rPr>
                <w:rStyle w:val="Hyperlink"/>
                <w:rFonts w:eastAsia="Times New Roman" w:cs="Times New Roman"/>
                <w:noProof/>
              </w:rPr>
              <w:t>Abstract</w:t>
            </w:r>
            <w:r w:rsidR="00885813">
              <w:rPr>
                <w:noProof/>
                <w:webHidden/>
              </w:rPr>
              <w:tab/>
            </w:r>
            <w:r w:rsidR="00885813">
              <w:rPr>
                <w:noProof/>
                <w:webHidden/>
              </w:rPr>
              <w:fldChar w:fldCharType="begin"/>
            </w:r>
            <w:r w:rsidR="00885813">
              <w:rPr>
                <w:noProof/>
                <w:webHidden/>
              </w:rPr>
              <w:instrText xml:space="preserve"> PAGEREF _Toc225760707 \h </w:instrText>
            </w:r>
            <w:r w:rsidR="00885813">
              <w:rPr>
                <w:noProof/>
                <w:webHidden/>
              </w:rPr>
            </w:r>
            <w:r w:rsidR="00885813">
              <w:rPr>
                <w:noProof/>
                <w:webHidden/>
              </w:rPr>
              <w:fldChar w:fldCharType="separate"/>
            </w:r>
            <w:r w:rsidR="00885813">
              <w:rPr>
                <w:noProof/>
                <w:webHidden/>
              </w:rPr>
              <w:t>3</w:t>
            </w:r>
            <w:r w:rsidR="00885813">
              <w:rPr>
                <w:noProof/>
                <w:webHidden/>
              </w:rPr>
              <w:fldChar w:fldCharType="end"/>
            </w:r>
          </w:hyperlink>
        </w:p>
        <w:p w14:paraId="29ED0C02" w14:textId="1271A0B0" w:rsidR="00885813" w:rsidRDefault="00885813">
          <w:pPr>
            <w:pStyle w:val="TOC1"/>
            <w:tabs>
              <w:tab w:val="right" w:leader="dot" w:pos="8630"/>
            </w:tabs>
            <w:rPr>
              <w:noProof/>
              <w:kern w:val="2"/>
              <w:sz w:val="24"/>
              <w:szCs w:val="24"/>
              <w:lang w:eastAsia="en-GB"/>
              <w14:ligatures w14:val="standardContextual"/>
            </w:rPr>
          </w:pPr>
          <w:hyperlink w:anchor="_Toc225760708" w:history="1">
            <w:r w:rsidRPr="00BC7476">
              <w:rPr>
                <w:rStyle w:val="Hyperlink"/>
                <w:rFonts w:eastAsia="Times New Roman" w:cs="Times New Roman"/>
                <w:noProof/>
              </w:rPr>
              <w:t>1. Introduction</w:t>
            </w:r>
            <w:r>
              <w:rPr>
                <w:noProof/>
                <w:webHidden/>
              </w:rPr>
              <w:tab/>
            </w:r>
            <w:r>
              <w:rPr>
                <w:noProof/>
                <w:webHidden/>
              </w:rPr>
              <w:fldChar w:fldCharType="begin"/>
            </w:r>
            <w:r>
              <w:rPr>
                <w:noProof/>
                <w:webHidden/>
              </w:rPr>
              <w:instrText xml:space="preserve"> PAGEREF _Toc225760708 \h </w:instrText>
            </w:r>
            <w:r>
              <w:rPr>
                <w:noProof/>
                <w:webHidden/>
              </w:rPr>
            </w:r>
            <w:r>
              <w:rPr>
                <w:noProof/>
                <w:webHidden/>
              </w:rPr>
              <w:fldChar w:fldCharType="separate"/>
            </w:r>
            <w:r>
              <w:rPr>
                <w:noProof/>
                <w:webHidden/>
              </w:rPr>
              <w:t>3</w:t>
            </w:r>
            <w:r>
              <w:rPr>
                <w:noProof/>
                <w:webHidden/>
              </w:rPr>
              <w:fldChar w:fldCharType="end"/>
            </w:r>
          </w:hyperlink>
        </w:p>
        <w:p w14:paraId="05F262A6" w14:textId="023280CD" w:rsidR="00885813" w:rsidRDefault="00885813">
          <w:pPr>
            <w:pStyle w:val="TOC1"/>
            <w:tabs>
              <w:tab w:val="right" w:leader="dot" w:pos="8630"/>
            </w:tabs>
            <w:rPr>
              <w:noProof/>
              <w:kern w:val="2"/>
              <w:sz w:val="24"/>
              <w:szCs w:val="24"/>
              <w:lang w:eastAsia="en-GB"/>
              <w14:ligatures w14:val="standardContextual"/>
            </w:rPr>
          </w:pPr>
          <w:hyperlink w:anchor="_Toc225760709" w:history="1">
            <w:r w:rsidRPr="00BC7476">
              <w:rPr>
                <w:rStyle w:val="Hyperlink"/>
                <w:rFonts w:eastAsia="Times New Roman" w:cs="Times New Roman"/>
                <w:noProof/>
              </w:rPr>
              <w:t>2. Policy and Institutional Context in Wales</w:t>
            </w:r>
            <w:r>
              <w:rPr>
                <w:noProof/>
                <w:webHidden/>
              </w:rPr>
              <w:tab/>
            </w:r>
            <w:r>
              <w:rPr>
                <w:noProof/>
                <w:webHidden/>
              </w:rPr>
              <w:fldChar w:fldCharType="begin"/>
            </w:r>
            <w:r>
              <w:rPr>
                <w:noProof/>
                <w:webHidden/>
              </w:rPr>
              <w:instrText xml:space="preserve"> PAGEREF _Toc225760709 \h </w:instrText>
            </w:r>
            <w:r>
              <w:rPr>
                <w:noProof/>
                <w:webHidden/>
              </w:rPr>
            </w:r>
            <w:r>
              <w:rPr>
                <w:noProof/>
                <w:webHidden/>
              </w:rPr>
              <w:fldChar w:fldCharType="separate"/>
            </w:r>
            <w:r>
              <w:rPr>
                <w:noProof/>
                <w:webHidden/>
              </w:rPr>
              <w:t>6</w:t>
            </w:r>
            <w:r>
              <w:rPr>
                <w:noProof/>
                <w:webHidden/>
              </w:rPr>
              <w:fldChar w:fldCharType="end"/>
            </w:r>
          </w:hyperlink>
        </w:p>
        <w:p w14:paraId="3EBF3D71" w14:textId="6D5EA231" w:rsidR="00885813" w:rsidRDefault="00885813">
          <w:pPr>
            <w:pStyle w:val="TOC1"/>
            <w:tabs>
              <w:tab w:val="right" w:leader="dot" w:pos="8630"/>
            </w:tabs>
            <w:rPr>
              <w:noProof/>
              <w:kern w:val="2"/>
              <w:sz w:val="24"/>
              <w:szCs w:val="24"/>
              <w:lang w:eastAsia="en-GB"/>
              <w14:ligatures w14:val="standardContextual"/>
            </w:rPr>
          </w:pPr>
          <w:hyperlink w:anchor="_Toc225760710" w:history="1">
            <w:r w:rsidRPr="00BC7476">
              <w:rPr>
                <w:rStyle w:val="Hyperlink"/>
                <w:rFonts w:eastAsia="Times New Roman" w:cs="Times New Roman"/>
                <w:noProof/>
              </w:rPr>
              <w:t xml:space="preserve">3. </w:t>
            </w:r>
            <w:r w:rsidRPr="00BC7476">
              <w:rPr>
                <w:rStyle w:val="Hyperlink"/>
                <w:rFonts w:eastAsiaTheme="majorEastAsia" w:cstheme="majorBidi"/>
                <w:noProof/>
              </w:rPr>
              <w:t>Research Aim, Objectives, and Questions</w:t>
            </w:r>
            <w:r>
              <w:rPr>
                <w:noProof/>
                <w:webHidden/>
              </w:rPr>
              <w:tab/>
            </w:r>
            <w:r>
              <w:rPr>
                <w:noProof/>
                <w:webHidden/>
              </w:rPr>
              <w:fldChar w:fldCharType="begin"/>
            </w:r>
            <w:r>
              <w:rPr>
                <w:noProof/>
                <w:webHidden/>
              </w:rPr>
              <w:instrText xml:space="preserve"> PAGEREF _Toc225760710 \h </w:instrText>
            </w:r>
            <w:r>
              <w:rPr>
                <w:noProof/>
                <w:webHidden/>
              </w:rPr>
            </w:r>
            <w:r>
              <w:rPr>
                <w:noProof/>
                <w:webHidden/>
              </w:rPr>
              <w:fldChar w:fldCharType="separate"/>
            </w:r>
            <w:r>
              <w:rPr>
                <w:noProof/>
                <w:webHidden/>
              </w:rPr>
              <w:t>8</w:t>
            </w:r>
            <w:r>
              <w:rPr>
                <w:noProof/>
                <w:webHidden/>
              </w:rPr>
              <w:fldChar w:fldCharType="end"/>
            </w:r>
          </w:hyperlink>
        </w:p>
        <w:p w14:paraId="49A4E84C" w14:textId="0F209C4B" w:rsidR="00885813" w:rsidRDefault="00885813">
          <w:pPr>
            <w:pStyle w:val="TOC1"/>
            <w:tabs>
              <w:tab w:val="right" w:leader="dot" w:pos="8630"/>
            </w:tabs>
            <w:rPr>
              <w:noProof/>
              <w:kern w:val="2"/>
              <w:sz w:val="24"/>
              <w:szCs w:val="24"/>
              <w:lang w:eastAsia="en-GB"/>
              <w14:ligatures w14:val="standardContextual"/>
            </w:rPr>
          </w:pPr>
          <w:hyperlink w:anchor="_Toc225760711" w:history="1">
            <w:r w:rsidRPr="00BC7476">
              <w:rPr>
                <w:rStyle w:val="Hyperlink"/>
                <w:rFonts w:eastAsia="Times New Roman" w:cs="Times New Roman"/>
                <w:noProof/>
              </w:rPr>
              <w:t>5. Method</w:t>
            </w:r>
            <w:r>
              <w:rPr>
                <w:noProof/>
                <w:webHidden/>
              </w:rPr>
              <w:tab/>
            </w:r>
            <w:r>
              <w:rPr>
                <w:noProof/>
                <w:webHidden/>
              </w:rPr>
              <w:fldChar w:fldCharType="begin"/>
            </w:r>
            <w:r>
              <w:rPr>
                <w:noProof/>
                <w:webHidden/>
              </w:rPr>
              <w:instrText xml:space="preserve"> PAGEREF _Toc225760711 \h </w:instrText>
            </w:r>
            <w:r>
              <w:rPr>
                <w:noProof/>
                <w:webHidden/>
              </w:rPr>
            </w:r>
            <w:r>
              <w:rPr>
                <w:noProof/>
                <w:webHidden/>
              </w:rPr>
              <w:fldChar w:fldCharType="separate"/>
            </w:r>
            <w:r>
              <w:rPr>
                <w:noProof/>
                <w:webHidden/>
              </w:rPr>
              <w:t>12</w:t>
            </w:r>
            <w:r>
              <w:rPr>
                <w:noProof/>
                <w:webHidden/>
              </w:rPr>
              <w:fldChar w:fldCharType="end"/>
            </w:r>
          </w:hyperlink>
        </w:p>
        <w:p w14:paraId="56709A0D" w14:textId="57136475" w:rsidR="00885813" w:rsidRDefault="00885813">
          <w:pPr>
            <w:pStyle w:val="TOC1"/>
            <w:tabs>
              <w:tab w:val="right" w:leader="dot" w:pos="8630"/>
            </w:tabs>
            <w:rPr>
              <w:noProof/>
              <w:kern w:val="2"/>
              <w:sz w:val="24"/>
              <w:szCs w:val="24"/>
              <w:lang w:eastAsia="en-GB"/>
              <w14:ligatures w14:val="standardContextual"/>
            </w:rPr>
          </w:pPr>
          <w:hyperlink w:anchor="_Toc225760712" w:history="1">
            <w:r w:rsidRPr="00BC7476">
              <w:rPr>
                <w:rStyle w:val="Hyperlink"/>
                <w:rFonts w:eastAsia="Times New Roman" w:cs="Times New Roman"/>
                <w:noProof/>
              </w:rPr>
              <w:t>6. Ethics and Data Protection</w:t>
            </w:r>
            <w:r>
              <w:rPr>
                <w:noProof/>
                <w:webHidden/>
              </w:rPr>
              <w:tab/>
            </w:r>
            <w:r>
              <w:rPr>
                <w:noProof/>
                <w:webHidden/>
              </w:rPr>
              <w:fldChar w:fldCharType="begin"/>
            </w:r>
            <w:r>
              <w:rPr>
                <w:noProof/>
                <w:webHidden/>
              </w:rPr>
              <w:instrText xml:space="preserve"> PAGEREF _Toc225760712 \h </w:instrText>
            </w:r>
            <w:r>
              <w:rPr>
                <w:noProof/>
                <w:webHidden/>
              </w:rPr>
            </w:r>
            <w:r>
              <w:rPr>
                <w:noProof/>
                <w:webHidden/>
              </w:rPr>
              <w:fldChar w:fldCharType="separate"/>
            </w:r>
            <w:r>
              <w:rPr>
                <w:noProof/>
                <w:webHidden/>
              </w:rPr>
              <w:t>15</w:t>
            </w:r>
            <w:r>
              <w:rPr>
                <w:noProof/>
                <w:webHidden/>
              </w:rPr>
              <w:fldChar w:fldCharType="end"/>
            </w:r>
          </w:hyperlink>
        </w:p>
        <w:p w14:paraId="38D2DAE3" w14:textId="4449CDCB" w:rsidR="00885813" w:rsidRDefault="00885813">
          <w:pPr>
            <w:pStyle w:val="TOC1"/>
            <w:tabs>
              <w:tab w:val="right" w:leader="dot" w:pos="8630"/>
            </w:tabs>
            <w:rPr>
              <w:noProof/>
              <w:kern w:val="2"/>
              <w:sz w:val="24"/>
              <w:szCs w:val="24"/>
              <w:lang w:eastAsia="en-GB"/>
              <w14:ligatures w14:val="standardContextual"/>
            </w:rPr>
          </w:pPr>
          <w:hyperlink w:anchor="_Toc225760713" w:history="1">
            <w:r w:rsidRPr="00BC7476">
              <w:rPr>
                <w:rStyle w:val="Hyperlink"/>
                <w:rFonts w:eastAsia="Times New Roman" w:cs="Times New Roman"/>
                <w:noProof/>
              </w:rPr>
              <w:t>7. Economic Case and Cost</w:t>
            </w:r>
            <w:r w:rsidRPr="00BC7476">
              <w:rPr>
                <w:rStyle w:val="Hyperlink"/>
                <w:rFonts w:eastAsia="Times New Roman" w:cs="Times New Roman"/>
                <w:noProof/>
              </w:rPr>
              <w:noBreakHyphen/>
              <w:t>Effectiveness</w:t>
            </w:r>
            <w:r>
              <w:rPr>
                <w:noProof/>
                <w:webHidden/>
              </w:rPr>
              <w:tab/>
            </w:r>
            <w:r>
              <w:rPr>
                <w:noProof/>
                <w:webHidden/>
              </w:rPr>
              <w:fldChar w:fldCharType="begin"/>
            </w:r>
            <w:r>
              <w:rPr>
                <w:noProof/>
                <w:webHidden/>
              </w:rPr>
              <w:instrText xml:space="preserve"> PAGEREF _Toc225760713 \h </w:instrText>
            </w:r>
            <w:r>
              <w:rPr>
                <w:noProof/>
                <w:webHidden/>
              </w:rPr>
            </w:r>
            <w:r>
              <w:rPr>
                <w:noProof/>
                <w:webHidden/>
              </w:rPr>
              <w:fldChar w:fldCharType="separate"/>
            </w:r>
            <w:r>
              <w:rPr>
                <w:noProof/>
                <w:webHidden/>
              </w:rPr>
              <w:t>16</w:t>
            </w:r>
            <w:r>
              <w:rPr>
                <w:noProof/>
                <w:webHidden/>
              </w:rPr>
              <w:fldChar w:fldCharType="end"/>
            </w:r>
          </w:hyperlink>
        </w:p>
        <w:p w14:paraId="0C23FB1A" w14:textId="7455C74C" w:rsidR="00885813" w:rsidRDefault="00885813">
          <w:pPr>
            <w:pStyle w:val="TOC1"/>
            <w:tabs>
              <w:tab w:val="right" w:leader="dot" w:pos="8630"/>
            </w:tabs>
            <w:rPr>
              <w:noProof/>
              <w:kern w:val="2"/>
              <w:sz w:val="24"/>
              <w:szCs w:val="24"/>
              <w:lang w:eastAsia="en-GB"/>
              <w14:ligatures w14:val="standardContextual"/>
            </w:rPr>
          </w:pPr>
          <w:hyperlink w:anchor="_Toc225760714" w:history="1">
            <w:r w:rsidRPr="00BC7476">
              <w:rPr>
                <w:rStyle w:val="Hyperlink"/>
                <w:rFonts w:eastAsia="Times New Roman" w:cs="Times New Roman"/>
                <w:noProof/>
              </w:rPr>
              <w:t>8. Risks, Limitations and Mitigation</w:t>
            </w:r>
            <w:r>
              <w:rPr>
                <w:noProof/>
                <w:webHidden/>
              </w:rPr>
              <w:tab/>
            </w:r>
            <w:r>
              <w:rPr>
                <w:noProof/>
                <w:webHidden/>
              </w:rPr>
              <w:fldChar w:fldCharType="begin"/>
            </w:r>
            <w:r>
              <w:rPr>
                <w:noProof/>
                <w:webHidden/>
              </w:rPr>
              <w:instrText xml:space="preserve"> PAGEREF _Toc225760714 \h </w:instrText>
            </w:r>
            <w:r>
              <w:rPr>
                <w:noProof/>
                <w:webHidden/>
              </w:rPr>
            </w:r>
            <w:r>
              <w:rPr>
                <w:noProof/>
                <w:webHidden/>
              </w:rPr>
              <w:fldChar w:fldCharType="separate"/>
            </w:r>
            <w:r>
              <w:rPr>
                <w:noProof/>
                <w:webHidden/>
              </w:rPr>
              <w:t>16</w:t>
            </w:r>
            <w:r>
              <w:rPr>
                <w:noProof/>
                <w:webHidden/>
              </w:rPr>
              <w:fldChar w:fldCharType="end"/>
            </w:r>
          </w:hyperlink>
        </w:p>
        <w:p w14:paraId="5B64D69B" w14:textId="35CA75A3" w:rsidR="00885813" w:rsidRDefault="00885813">
          <w:pPr>
            <w:pStyle w:val="TOC1"/>
            <w:tabs>
              <w:tab w:val="right" w:leader="dot" w:pos="8630"/>
            </w:tabs>
            <w:rPr>
              <w:noProof/>
              <w:kern w:val="2"/>
              <w:sz w:val="24"/>
              <w:szCs w:val="24"/>
              <w:lang w:eastAsia="en-GB"/>
              <w14:ligatures w14:val="standardContextual"/>
            </w:rPr>
          </w:pPr>
          <w:hyperlink w:anchor="_Toc225760715" w:history="1">
            <w:r w:rsidRPr="00BC7476">
              <w:rPr>
                <w:rStyle w:val="Hyperlink"/>
                <w:rFonts w:eastAsia="Times New Roman" w:cs="Times New Roman"/>
                <w:noProof/>
              </w:rPr>
              <w:t>9. Project Plan, Governance and Resources</w:t>
            </w:r>
            <w:r>
              <w:rPr>
                <w:noProof/>
                <w:webHidden/>
              </w:rPr>
              <w:tab/>
            </w:r>
            <w:r>
              <w:rPr>
                <w:noProof/>
                <w:webHidden/>
              </w:rPr>
              <w:fldChar w:fldCharType="begin"/>
            </w:r>
            <w:r>
              <w:rPr>
                <w:noProof/>
                <w:webHidden/>
              </w:rPr>
              <w:instrText xml:space="preserve"> PAGEREF _Toc225760715 \h </w:instrText>
            </w:r>
            <w:r>
              <w:rPr>
                <w:noProof/>
                <w:webHidden/>
              </w:rPr>
            </w:r>
            <w:r>
              <w:rPr>
                <w:noProof/>
                <w:webHidden/>
              </w:rPr>
              <w:fldChar w:fldCharType="separate"/>
            </w:r>
            <w:r>
              <w:rPr>
                <w:noProof/>
                <w:webHidden/>
              </w:rPr>
              <w:t>17</w:t>
            </w:r>
            <w:r>
              <w:rPr>
                <w:noProof/>
                <w:webHidden/>
              </w:rPr>
              <w:fldChar w:fldCharType="end"/>
            </w:r>
          </w:hyperlink>
        </w:p>
        <w:p w14:paraId="4689E10F" w14:textId="0012EBE8" w:rsidR="00885813" w:rsidRDefault="00885813">
          <w:pPr>
            <w:pStyle w:val="TOC1"/>
            <w:tabs>
              <w:tab w:val="right" w:leader="dot" w:pos="8630"/>
            </w:tabs>
            <w:rPr>
              <w:noProof/>
              <w:kern w:val="2"/>
              <w:sz w:val="24"/>
              <w:szCs w:val="24"/>
              <w:lang w:eastAsia="en-GB"/>
              <w14:ligatures w14:val="standardContextual"/>
            </w:rPr>
          </w:pPr>
          <w:hyperlink w:anchor="_Toc225760716" w:history="1">
            <w:r w:rsidRPr="00BC7476">
              <w:rPr>
                <w:rStyle w:val="Hyperlink"/>
                <w:rFonts w:eastAsia="Times New Roman" w:cs="Times New Roman"/>
                <w:noProof/>
              </w:rPr>
              <w:t>10. Expected Contributions and Knowledge Exchange</w:t>
            </w:r>
            <w:r>
              <w:rPr>
                <w:noProof/>
                <w:webHidden/>
              </w:rPr>
              <w:tab/>
            </w:r>
            <w:r>
              <w:rPr>
                <w:noProof/>
                <w:webHidden/>
              </w:rPr>
              <w:fldChar w:fldCharType="begin"/>
            </w:r>
            <w:r>
              <w:rPr>
                <w:noProof/>
                <w:webHidden/>
              </w:rPr>
              <w:instrText xml:space="preserve"> PAGEREF _Toc225760716 \h </w:instrText>
            </w:r>
            <w:r>
              <w:rPr>
                <w:noProof/>
                <w:webHidden/>
              </w:rPr>
            </w:r>
            <w:r>
              <w:rPr>
                <w:noProof/>
                <w:webHidden/>
              </w:rPr>
              <w:fldChar w:fldCharType="separate"/>
            </w:r>
            <w:r>
              <w:rPr>
                <w:noProof/>
                <w:webHidden/>
              </w:rPr>
              <w:t>18</w:t>
            </w:r>
            <w:r>
              <w:rPr>
                <w:noProof/>
                <w:webHidden/>
              </w:rPr>
              <w:fldChar w:fldCharType="end"/>
            </w:r>
          </w:hyperlink>
        </w:p>
        <w:p w14:paraId="328BD3BE" w14:textId="641DAE9F" w:rsidR="00885813" w:rsidRDefault="00885813">
          <w:pPr>
            <w:pStyle w:val="TOC1"/>
            <w:tabs>
              <w:tab w:val="right" w:leader="dot" w:pos="8630"/>
            </w:tabs>
            <w:rPr>
              <w:noProof/>
              <w:kern w:val="2"/>
              <w:sz w:val="24"/>
              <w:szCs w:val="24"/>
              <w:lang w:eastAsia="en-GB"/>
              <w14:ligatures w14:val="standardContextual"/>
            </w:rPr>
          </w:pPr>
          <w:hyperlink w:anchor="_Toc225760717" w:history="1">
            <w:r w:rsidRPr="00BC7476">
              <w:rPr>
                <w:rStyle w:val="Hyperlink"/>
                <w:rFonts w:eastAsia="Times New Roman" w:cs="Times New Roman"/>
                <w:noProof/>
              </w:rPr>
              <w:t>11. References</w:t>
            </w:r>
            <w:r>
              <w:rPr>
                <w:noProof/>
                <w:webHidden/>
              </w:rPr>
              <w:tab/>
            </w:r>
            <w:r>
              <w:rPr>
                <w:noProof/>
                <w:webHidden/>
              </w:rPr>
              <w:fldChar w:fldCharType="begin"/>
            </w:r>
            <w:r>
              <w:rPr>
                <w:noProof/>
                <w:webHidden/>
              </w:rPr>
              <w:instrText xml:space="preserve"> PAGEREF _Toc225760717 \h </w:instrText>
            </w:r>
            <w:r>
              <w:rPr>
                <w:noProof/>
                <w:webHidden/>
              </w:rPr>
            </w:r>
            <w:r>
              <w:rPr>
                <w:noProof/>
                <w:webHidden/>
              </w:rPr>
              <w:fldChar w:fldCharType="separate"/>
            </w:r>
            <w:r>
              <w:rPr>
                <w:noProof/>
                <w:webHidden/>
              </w:rPr>
              <w:t>18</w:t>
            </w:r>
            <w:r>
              <w:rPr>
                <w:noProof/>
                <w:webHidden/>
              </w:rPr>
              <w:fldChar w:fldCharType="end"/>
            </w:r>
          </w:hyperlink>
        </w:p>
        <w:p w14:paraId="3946EAF4" w14:textId="40A05457" w:rsidR="00885813" w:rsidRDefault="00885813">
          <w:pPr>
            <w:pStyle w:val="TOC1"/>
            <w:tabs>
              <w:tab w:val="right" w:leader="dot" w:pos="8630"/>
            </w:tabs>
            <w:rPr>
              <w:noProof/>
              <w:kern w:val="2"/>
              <w:sz w:val="24"/>
              <w:szCs w:val="24"/>
              <w:lang w:eastAsia="en-GB"/>
              <w14:ligatures w14:val="standardContextual"/>
            </w:rPr>
          </w:pPr>
          <w:hyperlink w:anchor="_Toc225760718" w:history="1">
            <w:r w:rsidRPr="00BC7476">
              <w:rPr>
                <w:rStyle w:val="Hyperlink"/>
                <w:rFonts w:eastAsia="Times New Roman" w:cs="Times New Roman"/>
                <w:noProof/>
              </w:rPr>
              <w:t>12. Generative AI Use Declaration</w:t>
            </w:r>
            <w:r>
              <w:rPr>
                <w:noProof/>
                <w:webHidden/>
              </w:rPr>
              <w:tab/>
            </w:r>
            <w:r>
              <w:rPr>
                <w:noProof/>
                <w:webHidden/>
              </w:rPr>
              <w:fldChar w:fldCharType="begin"/>
            </w:r>
            <w:r>
              <w:rPr>
                <w:noProof/>
                <w:webHidden/>
              </w:rPr>
              <w:instrText xml:space="preserve"> PAGEREF _Toc225760718 \h </w:instrText>
            </w:r>
            <w:r>
              <w:rPr>
                <w:noProof/>
                <w:webHidden/>
              </w:rPr>
            </w:r>
            <w:r>
              <w:rPr>
                <w:noProof/>
                <w:webHidden/>
              </w:rPr>
              <w:fldChar w:fldCharType="separate"/>
            </w:r>
            <w:r>
              <w:rPr>
                <w:noProof/>
                <w:webHidden/>
              </w:rPr>
              <w:t>20</w:t>
            </w:r>
            <w:r>
              <w:rPr>
                <w:noProof/>
                <w:webHidden/>
              </w:rPr>
              <w:fldChar w:fldCharType="end"/>
            </w:r>
          </w:hyperlink>
        </w:p>
        <w:p w14:paraId="2E062165" w14:textId="70B05EB1" w:rsidR="00831DAF" w:rsidRPr="00885813" w:rsidRDefault="00831DAF" w:rsidP="00831DAF">
          <w:pPr>
            <w:jc w:val="both"/>
            <w:rPr>
              <w:rFonts w:eastAsia="Times New Roman" w:cs="Times New Roman"/>
            </w:rPr>
          </w:pPr>
          <w:r w:rsidRPr="00885813">
            <w:rPr>
              <w:rFonts w:eastAsia="Times New Roman" w:cs="Times New Roman"/>
            </w:rPr>
            <w:fldChar w:fldCharType="end"/>
          </w:r>
        </w:p>
      </w:sdtContent>
    </w:sdt>
    <w:p w14:paraId="3C3BF81B"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br w:type="page"/>
      </w:r>
    </w:p>
    <w:p w14:paraId="63AA0A89" w14:textId="231BBFD7" w:rsidR="00831DAF" w:rsidRPr="00885813" w:rsidRDefault="00831DAF" w:rsidP="00831DAF">
      <w:pPr>
        <w:keepNext/>
        <w:keepLines/>
        <w:spacing w:before="360" w:after="80" w:line="360" w:lineRule="auto"/>
        <w:jc w:val="both"/>
        <w:outlineLvl w:val="0"/>
        <w:rPr>
          <w:rFonts w:eastAsia="Times New Roman" w:cs="Times New Roman"/>
          <w:sz w:val="40"/>
          <w:szCs w:val="40"/>
        </w:rPr>
      </w:pPr>
      <w:bookmarkStart w:id="0" w:name="_Toc225760707"/>
      <w:r w:rsidRPr="00885813">
        <w:rPr>
          <w:rFonts w:eastAsia="Times New Roman" w:cs="Times New Roman"/>
          <w:color w:val="0F4761" w:themeColor="accent1" w:themeShade="BF"/>
          <w:sz w:val="24"/>
          <w:szCs w:val="40"/>
        </w:rPr>
        <w:lastRenderedPageBreak/>
        <w:t>Abstract</w:t>
      </w:r>
      <w:bookmarkEnd w:id="0"/>
    </w:p>
    <w:p w14:paraId="0D6304BC" w14:textId="452A52A5"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 xml:space="preserve">This proposal outlines a 6–7-month research project to evaluate the effectiveness and equity of decarbonisation retrofit programmes in Welsh social housing. The study looks at three outcomes that matter for policy and practice: (1) realised operational energy performance relative to modelled expectations; (2) impacts on fuel poverty, </w:t>
      </w:r>
      <w:r w:rsidR="00770714" w:rsidRPr="00885813">
        <w:rPr>
          <w:rFonts w:eastAsia="Times New Roman" w:cs="Times New Roman"/>
          <w:sz w:val="24"/>
        </w:rPr>
        <w:t>affordability,</w:t>
      </w:r>
      <w:r w:rsidRPr="00885813">
        <w:rPr>
          <w:rFonts w:eastAsia="Times New Roman" w:cs="Times New Roman"/>
          <w:sz w:val="24"/>
        </w:rPr>
        <w:t xml:space="preserve"> and thermal comfort; and (3) distributive, procedural and recognition justice in programme delivery. It is anchored in the devolved framework comprising the Optimised Retrofit Programme (ORP), the Welsh Housing Quality Standard 2023 (WHQS 2023) and Net Zero Wales Carbon Budget 2 (2021–25). Theoretically the work integrates the ‘performance gap’ literature with energy justice and socio</w:t>
      </w:r>
      <w:r w:rsidRPr="00885813">
        <w:rPr>
          <w:rFonts w:eastAsia="Times New Roman" w:cs="Times New Roman"/>
          <w:sz w:val="24"/>
        </w:rPr>
        <w:noBreakHyphen/>
        <w:t>technical transitions perspectives. Empirically it adopts a mixed</w:t>
      </w:r>
      <w:r w:rsidRPr="00885813">
        <w:rPr>
          <w:rFonts w:eastAsia="Times New Roman" w:cs="Times New Roman"/>
          <w:sz w:val="24"/>
        </w:rPr>
        <w:noBreakHyphen/>
        <w:t>methods design: weather</w:t>
      </w:r>
      <w:r w:rsidRPr="00885813">
        <w:rPr>
          <w:rFonts w:eastAsia="Times New Roman" w:cs="Times New Roman"/>
          <w:sz w:val="24"/>
        </w:rPr>
        <w:noBreakHyphen/>
        <w:t>normalised, pre/post energy analysis with a difference</w:t>
      </w:r>
      <w:r w:rsidRPr="00885813">
        <w:rPr>
          <w:rFonts w:eastAsia="Times New Roman" w:cs="Times New Roman"/>
          <w:sz w:val="24"/>
        </w:rPr>
        <w:noBreakHyphen/>
        <w:t>in</w:t>
      </w:r>
      <w:r w:rsidRPr="00885813">
        <w:rPr>
          <w:rFonts w:eastAsia="Times New Roman" w:cs="Times New Roman"/>
          <w:sz w:val="24"/>
        </w:rPr>
        <w:noBreakHyphen/>
        <w:t>differences identification strategy, complemented by semi</w:t>
      </w:r>
      <w:r w:rsidRPr="00885813">
        <w:rPr>
          <w:rFonts w:eastAsia="Times New Roman" w:cs="Times New Roman"/>
          <w:sz w:val="24"/>
        </w:rPr>
        <w:noBreakHyphen/>
        <w:t xml:space="preserve">structured interviews with tenants and delivery actors. Expected outputs include quantified energy and bill impacts, findings on comfort and damp/condensation outcomes, an explanation of performance shortfalls (or successes) and recommendations on sequencing, ventilation/controls, </w:t>
      </w:r>
      <w:r w:rsidR="00770714" w:rsidRPr="00885813">
        <w:rPr>
          <w:rFonts w:eastAsia="Times New Roman" w:cs="Times New Roman"/>
          <w:sz w:val="24"/>
        </w:rPr>
        <w:t>handover,</w:t>
      </w:r>
      <w:r w:rsidRPr="00885813">
        <w:rPr>
          <w:rFonts w:eastAsia="Times New Roman" w:cs="Times New Roman"/>
          <w:sz w:val="24"/>
        </w:rPr>
        <w:t xml:space="preserve"> and tenant support. The project aims to generate </w:t>
      </w:r>
      <w:r w:rsidR="00770714" w:rsidRPr="00885813">
        <w:rPr>
          <w:rFonts w:eastAsia="Times New Roman" w:cs="Times New Roman"/>
          <w:sz w:val="24"/>
        </w:rPr>
        <w:t>relevant</w:t>
      </w:r>
      <w:r w:rsidRPr="00885813">
        <w:rPr>
          <w:rFonts w:eastAsia="Times New Roman" w:cs="Times New Roman"/>
          <w:sz w:val="24"/>
        </w:rPr>
        <w:t xml:space="preserve"> insights for Welsh Government, registered social landlords and local authorities tasked with scaling retrofit in ways that deliver affordable warmth and a fair transition while contributing credibly to Wales’s net</w:t>
      </w:r>
      <w:r w:rsidRPr="00885813">
        <w:rPr>
          <w:rFonts w:eastAsia="Times New Roman" w:cs="Times New Roman"/>
          <w:sz w:val="24"/>
        </w:rPr>
        <w:noBreakHyphen/>
        <w:t>zero pathway.</w:t>
      </w:r>
    </w:p>
    <w:p w14:paraId="2AB96768"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1" w:name="_Toc225760708"/>
      <w:r w:rsidRPr="00885813">
        <w:rPr>
          <w:rFonts w:eastAsia="Times New Roman" w:cs="Times New Roman"/>
          <w:color w:val="0F4761" w:themeColor="accent1" w:themeShade="BF"/>
          <w:sz w:val="24"/>
          <w:szCs w:val="40"/>
        </w:rPr>
        <w:t>1. Introduction</w:t>
      </w:r>
      <w:bookmarkEnd w:id="1"/>
    </w:p>
    <w:p w14:paraId="25C0C2B8" w14:textId="390E4890"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Wales has committed to net</w:t>
      </w:r>
      <w:r w:rsidRPr="00885813">
        <w:rPr>
          <w:rFonts w:eastAsia="Times New Roman" w:cs="Times New Roman"/>
          <w:sz w:val="24"/>
        </w:rPr>
        <w:noBreakHyphen/>
        <w:t>zero greenhouse gas emissions by 2050, with statutory carbon budgets and a sectoral delivery plan for 2021–2025 under Net Zero Wales Carbon Budget 2. Residential buildings are central to this transition because space and water heating dominate household energy demand and because the condition of the housing stock intersects with social vulnerability. The Welsh stock is older than the UK average and characterised by a high proportion of pre</w:t>
      </w:r>
      <w:r w:rsidRPr="00885813">
        <w:rPr>
          <w:rFonts w:eastAsia="Times New Roman" w:cs="Times New Roman"/>
          <w:sz w:val="24"/>
        </w:rPr>
        <w:noBreakHyphen/>
        <w:t>1919, solid</w:t>
      </w:r>
      <w:r w:rsidRPr="00885813">
        <w:rPr>
          <w:rFonts w:eastAsia="Times New Roman" w:cs="Times New Roman"/>
          <w:sz w:val="24"/>
        </w:rPr>
        <w:noBreakHyphen/>
        <w:t xml:space="preserve">wall dwellings, </w:t>
      </w:r>
      <w:r w:rsidR="00770714" w:rsidRPr="00885813">
        <w:rPr>
          <w:rFonts w:eastAsia="Times New Roman" w:cs="Times New Roman"/>
          <w:sz w:val="24"/>
        </w:rPr>
        <w:t>terraces,</w:t>
      </w:r>
      <w:r w:rsidRPr="00885813">
        <w:rPr>
          <w:rFonts w:eastAsia="Times New Roman" w:cs="Times New Roman"/>
          <w:sz w:val="24"/>
        </w:rPr>
        <w:t xml:space="preserve"> and rural off</w:t>
      </w:r>
      <w:r w:rsidRPr="00885813">
        <w:rPr>
          <w:rFonts w:eastAsia="Times New Roman" w:cs="Times New Roman"/>
          <w:sz w:val="24"/>
        </w:rPr>
        <w:noBreakHyphen/>
        <w:t xml:space="preserve">gas homes. These attributes complicate </w:t>
      </w:r>
      <w:r w:rsidRPr="00885813">
        <w:rPr>
          <w:rFonts w:eastAsia="Times New Roman" w:cs="Times New Roman"/>
          <w:sz w:val="24"/>
        </w:rPr>
        <w:lastRenderedPageBreak/>
        <w:t>decarbonisation: fabric heat</w:t>
      </w:r>
      <w:r w:rsidRPr="00885813">
        <w:rPr>
          <w:rFonts w:eastAsia="Times New Roman" w:cs="Times New Roman"/>
          <w:sz w:val="24"/>
        </w:rPr>
        <w:noBreakHyphen/>
        <w:t>losses are higher, thermal bridges are common, ventilation can be inadequate, and many properties require bespoke solutions that do not align with standardised, single</w:t>
      </w:r>
      <w:r w:rsidRPr="00885813">
        <w:rPr>
          <w:rFonts w:eastAsia="Times New Roman" w:cs="Times New Roman"/>
          <w:sz w:val="24"/>
        </w:rPr>
        <w:noBreakHyphen/>
        <w:t>measure schemes. In recognition of these structural specificities, Welsh Government has pursued a test</w:t>
      </w:r>
      <w:r w:rsidRPr="00885813">
        <w:rPr>
          <w:rFonts w:eastAsia="Times New Roman" w:cs="Times New Roman"/>
          <w:sz w:val="24"/>
        </w:rPr>
        <w:noBreakHyphen/>
        <w:t>and</w:t>
      </w:r>
      <w:r w:rsidRPr="00885813">
        <w:rPr>
          <w:rFonts w:eastAsia="Times New Roman" w:cs="Times New Roman"/>
          <w:sz w:val="24"/>
        </w:rPr>
        <w:noBreakHyphen/>
        <w:t>learn approach that privileges whole</w:t>
      </w:r>
      <w:r w:rsidRPr="00885813">
        <w:rPr>
          <w:rFonts w:eastAsia="Times New Roman" w:cs="Times New Roman"/>
          <w:sz w:val="24"/>
        </w:rPr>
        <w:noBreakHyphen/>
        <w:t>house, fabric</w:t>
      </w:r>
      <w:r w:rsidRPr="00885813">
        <w:rPr>
          <w:rFonts w:eastAsia="Times New Roman" w:cs="Times New Roman"/>
          <w:sz w:val="24"/>
        </w:rPr>
        <w:noBreakHyphen/>
        <w:t>first pathways over piecemeal measure deployment</w:t>
      </w:r>
      <w:r w:rsidR="00243996" w:rsidRPr="00885813">
        <w:rPr>
          <w:rFonts w:eastAsia="Times New Roman" w:cs="Times New Roman"/>
          <w:sz w:val="24"/>
        </w:rPr>
        <w:t xml:space="preserve"> </w:t>
      </w:r>
      <w:r w:rsidRPr="00885813">
        <w:rPr>
          <w:rFonts w:eastAsia="Times New Roman" w:cs="Times New Roman"/>
        </w:rPr>
        <w:t>(Welsh Government, 2021)</w:t>
      </w:r>
      <w:r w:rsidR="00243996" w:rsidRPr="00885813">
        <w:rPr>
          <w:rFonts w:eastAsia="Times New Roman" w:cs="Times New Roman"/>
        </w:rPr>
        <w:t>.</w:t>
      </w:r>
    </w:p>
    <w:p w14:paraId="6EFAE0B0" w14:textId="255E29E2" w:rsidR="00831DAF" w:rsidRPr="00885813" w:rsidRDefault="00831DAF" w:rsidP="00831DAF">
      <w:pPr>
        <w:spacing w:line="360" w:lineRule="auto"/>
        <w:jc w:val="both"/>
        <w:rPr>
          <w:rFonts w:eastAsia="Times New Roman" w:cs="Times New Roman"/>
        </w:rPr>
      </w:pPr>
      <w:r w:rsidRPr="00885813">
        <w:rPr>
          <w:rFonts w:eastAsia="Times New Roman" w:cs="Times New Roman"/>
        </w:rPr>
        <w:t xml:space="preserve">The Optimised Retrofit Programme (ORP) is the flagship instrument for decarbonising existing social homes. ORP funds registered social landlords (RSLs) and local authorities to plan and deliver the ‘best value’ combination of fabric, </w:t>
      </w:r>
      <w:r w:rsidR="00770714" w:rsidRPr="00885813">
        <w:rPr>
          <w:rFonts w:eastAsia="Times New Roman" w:cs="Times New Roman"/>
        </w:rPr>
        <w:t>heat,</w:t>
      </w:r>
      <w:r w:rsidRPr="00885813">
        <w:rPr>
          <w:rFonts w:eastAsia="Times New Roman" w:cs="Times New Roman"/>
        </w:rPr>
        <w:t xml:space="preserve"> and power measures for each home, underpinned by intelligent energy systems and performance monitoring. This approach recognises that identical archetypes can behave differently in use, depending on construction quality, ventilation, </w:t>
      </w:r>
      <w:r w:rsidR="00770714" w:rsidRPr="00885813">
        <w:rPr>
          <w:rFonts w:eastAsia="Times New Roman" w:cs="Times New Roman"/>
        </w:rPr>
        <w:t>controls,</w:t>
      </w:r>
      <w:r w:rsidRPr="00885813">
        <w:rPr>
          <w:rFonts w:eastAsia="Times New Roman" w:cs="Times New Roman"/>
        </w:rPr>
        <w:t xml:space="preserve"> and occupant practices. At the same time, the Welsh Housing Quality Standard 2023 (WHQS 2023) embeds affordable warmth and minimal environmental impact into the compliance regime for social rented housing. It requires landlords to carry out whole-stock look at whole</w:t>
      </w:r>
      <w:r w:rsidRPr="00885813">
        <w:rPr>
          <w:rFonts w:eastAsia="Times New Roman" w:cs="Times New Roman"/>
        </w:rPr>
        <w:noBreakHyphen/>
        <w:t>stock assessments and develop Target Energy Pathways that sequence upgrades over time, and it signposts a fabric-first trajectory alongside ventilation and moisture management. Together, ORP and WHQS 2023 attempt to institutionalise a long-term, data-led decarbonisation pathway for social housing in Wales</w:t>
      </w:r>
      <w:r w:rsidR="00243996" w:rsidRPr="00885813">
        <w:rPr>
          <w:rFonts w:eastAsia="Times New Roman" w:cs="Times New Roman"/>
        </w:rPr>
        <w:t xml:space="preserve"> </w:t>
      </w:r>
      <w:r w:rsidRPr="00885813">
        <w:rPr>
          <w:rFonts w:eastAsia="Times New Roman" w:cs="Times New Roman"/>
        </w:rPr>
        <w:t>(Welsh Government, 2025)</w:t>
      </w:r>
      <w:r w:rsidR="00243996" w:rsidRPr="00885813">
        <w:rPr>
          <w:rFonts w:eastAsia="Times New Roman" w:cs="Times New Roman"/>
        </w:rPr>
        <w:t>.</w:t>
      </w:r>
    </w:p>
    <w:p w14:paraId="298AA398" w14:textId="5B55E8EE"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 xml:space="preserve">However, bold programme design does not guarantee outcomes in lived homes. A consistent finding in UK and international research is the ‘performance gap’: buildings often consume </w:t>
      </w:r>
      <w:r w:rsidR="00770714" w:rsidRPr="00885813">
        <w:rPr>
          <w:rFonts w:eastAsia="Times New Roman" w:cs="Times New Roman"/>
          <w:sz w:val="24"/>
        </w:rPr>
        <w:t>more</w:t>
      </w:r>
      <w:r w:rsidRPr="00885813">
        <w:rPr>
          <w:rFonts w:eastAsia="Times New Roman" w:cs="Times New Roman"/>
          <w:sz w:val="24"/>
        </w:rPr>
        <w:t xml:space="preserve"> energy in operation than predicted at design stage. In housing this gap arises from multiple sources—construction defects and thermal bypass; sub</w:t>
      </w:r>
      <w:r w:rsidRPr="00885813">
        <w:rPr>
          <w:rFonts w:eastAsia="Times New Roman" w:cs="Times New Roman"/>
          <w:sz w:val="24"/>
        </w:rPr>
        <w:noBreakHyphen/>
        <w:t xml:space="preserve">optimal commissioning; usability of controls; unrealistic assumptions about occupancy, internal </w:t>
      </w:r>
      <w:r w:rsidR="00770714" w:rsidRPr="00885813">
        <w:rPr>
          <w:rFonts w:eastAsia="Times New Roman" w:cs="Times New Roman"/>
          <w:sz w:val="24"/>
        </w:rPr>
        <w:t>gains,</w:t>
      </w:r>
      <w:r w:rsidRPr="00885813">
        <w:rPr>
          <w:rFonts w:eastAsia="Times New Roman" w:cs="Times New Roman"/>
          <w:sz w:val="24"/>
        </w:rPr>
        <w:t xml:space="preserve"> and set</w:t>
      </w:r>
      <w:r w:rsidRPr="00885813">
        <w:rPr>
          <w:rFonts w:eastAsia="Times New Roman" w:cs="Times New Roman"/>
          <w:sz w:val="24"/>
        </w:rPr>
        <w:noBreakHyphen/>
        <w:t>points in compliance models; and behavioural adaptation. In fuel</w:t>
      </w:r>
      <w:r w:rsidRPr="00885813">
        <w:rPr>
          <w:rFonts w:eastAsia="Times New Roman" w:cs="Times New Roman"/>
          <w:sz w:val="24"/>
        </w:rPr>
        <w:noBreakHyphen/>
        <w:t>poor homes, part of the theoretical saving is intentionally ‘taken back’ as improved comfort—higher average indoor temperatures, heating for longer hours, or heating more rooms—because the pre</w:t>
      </w:r>
      <w:r w:rsidRPr="00885813">
        <w:rPr>
          <w:rFonts w:eastAsia="Times New Roman" w:cs="Times New Roman"/>
          <w:sz w:val="24"/>
        </w:rPr>
        <w:noBreakHyphen/>
        <w:t>retrofit baseline was one of under</w:t>
      </w:r>
      <w:r w:rsidRPr="00885813">
        <w:rPr>
          <w:rFonts w:eastAsia="Times New Roman" w:cs="Times New Roman"/>
          <w:sz w:val="24"/>
        </w:rPr>
        <w:noBreakHyphen/>
        <w:t>heating. Such take</w:t>
      </w:r>
      <w:r w:rsidRPr="00885813">
        <w:rPr>
          <w:rFonts w:eastAsia="Times New Roman" w:cs="Times New Roman"/>
          <w:sz w:val="24"/>
        </w:rPr>
        <w:noBreakHyphen/>
        <w:t xml:space="preserve">back improves welfare and </w:t>
      </w:r>
      <w:r w:rsidRPr="00885813">
        <w:rPr>
          <w:rFonts w:eastAsia="Times New Roman" w:cs="Times New Roman"/>
          <w:sz w:val="24"/>
        </w:rPr>
        <w:lastRenderedPageBreak/>
        <w:t>health but complicates carbon accounting and the business case when savings are compared to capital cost. Also, the recent energy</w:t>
      </w:r>
      <w:r w:rsidRPr="00885813">
        <w:rPr>
          <w:rFonts w:eastAsia="Times New Roman" w:cs="Times New Roman"/>
          <w:sz w:val="24"/>
        </w:rPr>
        <w:noBreakHyphen/>
        <w:t xml:space="preserve">price shock has made it difficult to attribute bill changes to retrofit alone without careful analysis of delivered energy (kWh) and weather conditions (van den Brom, Meijer and Visscher, 2019; </w:t>
      </w:r>
      <w:proofErr w:type="spellStart"/>
      <w:r w:rsidRPr="00885813">
        <w:rPr>
          <w:rFonts w:eastAsia="Times New Roman" w:cs="Times New Roman"/>
          <w:sz w:val="24"/>
        </w:rPr>
        <w:t>Sunikka</w:t>
      </w:r>
      <w:proofErr w:type="spellEnd"/>
      <w:r w:rsidRPr="00885813">
        <w:rPr>
          <w:rFonts w:eastAsia="Times New Roman" w:cs="Times New Roman"/>
          <w:sz w:val="24"/>
        </w:rPr>
        <w:noBreakHyphen/>
        <w:t>Blank and Galvin, 2012; Laurent et al., 2013)</w:t>
      </w:r>
      <w:r w:rsidR="00243996" w:rsidRPr="00885813">
        <w:rPr>
          <w:rFonts w:eastAsia="Times New Roman" w:cs="Times New Roman"/>
          <w:sz w:val="24"/>
        </w:rPr>
        <w:t>.</w:t>
      </w:r>
    </w:p>
    <w:p w14:paraId="46B2C82C" w14:textId="7F4078AC"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This dissertation proposal responds to these realities by combining rigorous, weather</w:t>
      </w:r>
      <w:r w:rsidRPr="00885813">
        <w:rPr>
          <w:rFonts w:eastAsia="Times New Roman" w:cs="Times New Roman"/>
          <w:sz w:val="24"/>
        </w:rPr>
        <w:noBreakHyphen/>
        <w:t>normalised quantitative evaluation with qualitative inquiry into implementation and lived experience. It takes seriously the proposition that retrofit is a socio</w:t>
      </w:r>
      <w:r w:rsidRPr="00885813">
        <w:rPr>
          <w:rFonts w:eastAsia="Times New Roman" w:cs="Times New Roman"/>
          <w:sz w:val="24"/>
        </w:rPr>
        <w:noBreakHyphen/>
        <w:t>technical transition: not just a bundle of technical measures but a re</w:t>
      </w:r>
      <w:r w:rsidRPr="00885813">
        <w:rPr>
          <w:rFonts w:eastAsia="Times New Roman" w:cs="Times New Roman"/>
          <w:sz w:val="24"/>
        </w:rPr>
        <w:noBreakHyphen/>
        <w:t xml:space="preserve">configuration of supply chains, standards, finance, asset </w:t>
      </w:r>
      <w:r w:rsidR="00770714" w:rsidRPr="00885813">
        <w:rPr>
          <w:rFonts w:eastAsia="Times New Roman" w:cs="Times New Roman"/>
          <w:sz w:val="24"/>
        </w:rPr>
        <w:t>management,</w:t>
      </w:r>
      <w:r w:rsidRPr="00885813">
        <w:rPr>
          <w:rFonts w:eastAsia="Times New Roman" w:cs="Times New Roman"/>
          <w:sz w:val="24"/>
        </w:rPr>
        <w:t xml:space="preserve"> and everyday domestic practices. So, alongside performance metrics, the study applies an energy</w:t>
      </w:r>
      <w:r w:rsidRPr="00885813">
        <w:rPr>
          <w:rFonts w:eastAsia="Times New Roman" w:cs="Times New Roman"/>
          <w:sz w:val="24"/>
        </w:rPr>
        <w:noBreakHyphen/>
        <w:t>justice lens—distributive (who benefits and who bears costs and disruption), procedural (whose voices are heard in planning and delivery) and recognition (how diverse needs are accommodated). This framing is particularly salient in social housing, where tenants may have limited agency over works, may live with chronic health conditions, and may be on low incomes. A just approach requires meaningful engagement, clear communication, practical support through disruption and, critically, post</w:t>
      </w:r>
      <w:r w:rsidRPr="00885813">
        <w:rPr>
          <w:rFonts w:eastAsia="Times New Roman" w:cs="Times New Roman"/>
          <w:sz w:val="24"/>
        </w:rPr>
        <w:noBreakHyphen/>
        <w:t>installation assistance to ensure systems are understood and used as intended.</w:t>
      </w:r>
    </w:p>
    <w:p w14:paraId="53B6248A"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rPr>
        <w:t>The proposed research will measure realised energy and affordability outcomes while documenting the delivery conditions under which those outcomes arise. It will generate findings to refine sequencing (e.g., insulation and ventilation before low-carbon heat), improve commissioning and handover (e.g., heat-pump and MVHR user guidance), and shape monitoring and feedback loops (e.g., data needed to identify underperformance early). The goal is not to ‘audit’ specific organisations but to produce actionable insights for ORP and WHQS-aligned practice that can be generalised across the sector.</w:t>
      </w:r>
    </w:p>
    <w:p w14:paraId="0DA492D5"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2" w:name="_Toc225760709"/>
      <w:r w:rsidRPr="00885813">
        <w:rPr>
          <w:rFonts w:eastAsia="Times New Roman" w:cs="Times New Roman"/>
          <w:color w:val="0F4761" w:themeColor="accent1" w:themeShade="BF"/>
          <w:sz w:val="24"/>
          <w:szCs w:val="40"/>
        </w:rPr>
        <w:lastRenderedPageBreak/>
        <w:t>2. Policy and Institutional Context in Wales</w:t>
      </w:r>
      <w:bookmarkEnd w:id="2"/>
    </w:p>
    <w:p w14:paraId="7DA1C0E7" w14:textId="70683B53" w:rsidR="00831DAF" w:rsidRPr="00885813" w:rsidRDefault="00831DAF" w:rsidP="00831DAF">
      <w:pPr>
        <w:spacing w:line="360" w:lineRule="auto"/>
        <w:jc w:val="both"/>
        <w:rPr>
          <w:rFonts w:eastAsia="Times New Roman" w:cs="Times New Roman"/>
        </w:rPr>
      </w:pPr>
      <w:r w:rsidRPr="00885813">
        <w:rPr>
          <w:rFonts w:eastAsia="Times New Roman" w:cs="Times New Roman"/>
        </w:rPr>
        <w:t>Optimised Retrofit Programme (ORP). Launched in 2020, ORP deploys capital funding through RSLs and local authorities to accelerate decarbonisation of existing social homes via a whole-house method. Rather than mandating fixed measures, ORP asks landlords to determine the optimum pathway for each home, combining fabric improvements (e.g., external or internal wall insulation, loft and roof insulation, window upgrades, airtightness interventions and purpose-provided ventilation), heat decarbonisation (e.g., heat pumps, heat-network connections where viable), and on-site generation and storage (PV, batteries), underpinned by intelligent energy systems and monitoring. Subsequent phases have emphasised learning-by-doing, open-book evaluation and the development of the skills and supply chains required for scale. Current guidance for ORP 3 (Year 4) continues the focus on affordable warmth and decarbonisation, with formula-based allocations to social landlords and monitoring requirements to evidence outcomes. ORP’s role is explicitly to act as a pathfinder for the wider housing system by building capability and an evidential base for what works in the Welsh context</w:t>
      </w:r>
      <w:r w:rsidR="00243996" w:rsidRPr="00885813">
        <w:rPr>
          <w:rFonts w:eastAsia="Times New Roman" w:cs="Times New Roman"/>
        </w:rPr>
        <w:t xml:space="preserve"> </w:t>
      </w:r>
      <w:r w:rsidRPr="00885813">
        <w:rPr>
          <w:rFonts w:eastAsia="Times New Roman" w:cs="Times New Roman"/>
        </w:rPr>
        <w:t>(Welsh Government, 2025)</w:t>
      </w:r>
      <w:r w:rsidR="00243996" w:rsidRPr="00885813">
        <w:rPr>
          <w:rFonts w:eastAsia="Times New Roman" w:cs="Times New Roman"/>
        </w:rPr>
        <w:t>.</w:t>
      </w:r>
    </w:p>
    <w:p w14:paraId="417261B8" w14:textId="796A1009" w:rsidR="00831DAF" w:rsidRPr="00885813" w:rsidRDefault="00831DAF" w:rsidP="00831DAF">
      <w:pPr>
        <w:spacing w:line="360" w:lineRule="auto"/>
        <w:jc w:val="both"/>
        <w:rPr>
          <w:rFonts w:eastAsia="Times New Roman" w:cs="Times New Roman"/>
        </w:rPr>
      </w:pPr>
      <w:r w:rsidRPr="00885813">
        <w:rPr>
          <w:rFonts w:eastAsia="Times New Roman" w:cs="Times New Roman"/>
        </w:rPr>
        <w:t xml:space="preserve">Welsh Housing Quality Standard 2023 (WHQS 2023). WHQS 2023 revises the long-standing quality standard for social housing, framing compliance around eight elements including safety, </w:t>
      </w:r>
      <w:r w:rsidR="00770714" w:rsidRPr="00885813">
        <w:rPr>
          <w:rFonts w:eastAsia="Times New Roman" w:cs="Times New Roman"/>
        </w:rPr>
        <w:t>comfort,</w:t>
      </w:r>
      <w:r w:rsidRPr="00885813">
        <w:rPr>
          <w:rFonts w:eastAsia="Times New Roman" w:cs="Times New Roman"/>
        </w:rPr>
        <w:t xml:space="preserve"> and affordability to heat with minimal environmental impact. Crucially, it introduces a strategic planning obligation: social landlords must carry out whole-stock assessments and set out Target Energy Pathways for each dwelling or archetype, enabling staged delivery and investment planning. The standard reflects an integrated notion of quality—linking damp and mould risk management, ventilation, noise </w:t>
      </w:r>
      <w:r w:rsidR="00770714" w:rsidRPr="00885813">
        <w:rPr>
          <w:rFonts w:eastAsia="Times New Roman" w:cs="Times New Roman"/>
        </w:rPr>
        <w:t>control,</w:t>
      </w:r>
      <w:r w:rsidRPr="00885813">
        <w:rPr>
          <w:rFonts w:eastAsia="Times New Roman" w:cs="Times New Roman"/>
        </w:rPr>
        <w:t xml:space="preserve"> and external space to decarbonisation—so that energy improvements do not inadvertently degrade indoor environmental quality. Sector guidance and briefings interpret the trajectory as a fabric-first step to higher EPC performance (with near-term EPC C milestones) alongside plans for low-carbon heat and, where appropriate, on-site generation. The standard therefore aligns compliance, asset </w:t>
      </w:r>
      <w:r w:rsidR="00770714" w:rsidRPr="00885813">
        <w:rPr>
          <w:rFonts w:eastAsia="Times New Roman" w:cs="Times New Roman"/>
        </w:rPr>
        <w:t>management,</w:t>
      </w:r>
      <w:r w:rsidRPr="00885813">
        <w:rPr>
          <w:rFonts w:eastAsia="Times New Roman" w:cs="Times New Roman"/>
        </w:rPr>
        <w:t xml:space="preserve"> and decarbonisation, creating a durable institutional demand for retrofit</w:t>
      </w:r>
      <w:r w:rsidR="00243996" w:rsidRPr="00885813">
        <w:rPr>
          <w:rFonts w:eastAsia="Times New Roman" w:cs="Times New Roman"/>
        </w:rPr>
        <w:t xml:space="preserve"> </w:t>
      </w:r>
      <w:r w:rsidRPr="00885813">
        <w:rPr>
          <w:rFonts w:eastAsia="Times New Roman" w:cs="Times New Roman"/>
        </w:rPr>
        <w:t>(Welsh Government, 2024)</w:t>
      </w:r>
      <w:r w:rsidR="00243996" w:rsidRPr="00885813">
        <w:rPr>
          <w:rFonts w:eastAsia="Times New Roman" w:cs="Times New Roman"/>
        </w:rPr>
        <w:t>.</w:t>
      </w:r>
    </w:p>
    <w:p w14:paraId="5C1B96CD" w14:textId="6FFEC634"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Warm Homes Programme (Nest) and allied support. Beyond the social sector, the Welsh Government’s demand</w:t>
      </w:r>
      <w:r w:rsidRPr="00885813">
        <w:rPr>
          <w:rFonts w:eastAsia="Times New Roman" w:cs="Times New Roman"/>
          <w:sz w:val="24"/>
        </w:rPr>
        <w:noBreakHyphen/>
        <w:t xml:space="preserve">led Warm Homes Programme (Nest) offers advice </w:t>
      </w:r>
      <w:r w:rsidRPr="00885813">
        <w:rPr>
          <w:rFonts w:eastAsia="Times New Roman" w:cs="Times New Roman"/>
          <w:sz w:val="24"/>
        </w:rPr>
        <w:lastRenderedPageBreak/>
        <w:t>and, for eligible low</w:t>
      </w:r>
      <w:r w:rsidRPr="00885813">
        <w:rPr>
          <w:rFonts w:eastAsia="Times New Roman" w:cs="Times New Roman"/>
          <w:sz w:val="24"/>
        </w:rPr>
        <w:noBreakHyphen/>
        <w:t>income or vulnerable households, funded energy</w:t>
      </w:r>
      <w:r w:rsidRPr="00885813">
        <w:rPr>
          <w:rFonts w:eastAsia="Times New Roman" w:cs="Times New Roman"/>
          <w:sz w:val="24"/>
        </w:rPr>
        <w:noBreakHyphen/>
        <w:t>efficiency measures. A 2024 relaunch placed greater emphasis on low</w:t>
      </w:r>
      <w:r w:rsidRPr="00885813">
        <w:rPr>
          <w:rFonts w:eastAsia="Times New Roman" w:cs="Times New Roman"/>
          <w:sz w:val="24"/>
        </w:rPr>
        <w:noBreakHyphen/>
        <w:t xml:space="preserve">carbon technologies (e.g., heat pumps and PV) and retained advice services that help households navigate tariffs, income </w:t>
      </w:r>
      <w:r w:rsidR="00770714" w:rsidRPr="00885813">
        <w:rPr>
          <w:rFonts w:eastAsia="Times New Roman" w:cs="Times New Roman"/>
          <w:sz w:val="24"/>
        </w:rPr>
        <w:t>maximisation,</w:t>
      </w:r>
      <w:r w:rsidRPr="00885813">
        <w:rPr>
          <w:rFonts w:eastAsia="Times New Roman" w:cs="Times New Roman"/>
          <w:sz w:val="24"/>
        </w:rPr>
        <w:t xml:space="preserve"> and efficient use of systems. While the Warm Homes Programme serves all tenures, its reach into mixed</w:t>
      </w:r>
      <w:r w:rsidRPr="00885813">
        <w:rPr>
          <w:rFonts w:eastAsia="Times New Roman" w:cs="Times New Roman"/>
          <w:sz w:val="24"/>
        </w:rPr>
        <w:noBreakHyphen/>
        <w:t>tenure estates and its advice offer are relevant to social landlords managing neighbourhood</w:t>
      </w:r>
      <w:r w:rsidRPr="00885813">
        <w:rPr>
          <w:rFonts w:eastAsia="Times New Roman" w:cs="Times New Roman"/>
          <w:sz w:val="24"/>
        </w:rPr>
        <w:noBreakHyphen/>
        <w:t>level retrofit and tenant support</w:t>
      </w:r>
      <w:r w:rsidR="00243996" w:rsidRPr="00885813">
        <w:rPr>
          <w:rFonts w:eastAsia="Times New Roman" w:cs="Times New Roman"/>
          <w:sz w:val="24"/>
        </w:rPr>
        <w:t xml:space="preserve">. </w:t>
      </w:r>
      <w:r w:rsidRPr="00885813">
        <w:rPr>
          <w:rFonts w:eastAsia="Times New Roman" w:cs="Times New Roman"/>
        </w:rPr>
        <w:t xml:space="preserve"> (Energy Saving Trust, 2025)</w:t>
      </w:r>
      <w:r w:rsidR="00243996" w:rsidRPr="00885813">
        <w:rPr>
          <w:rFonts w:eastAsia="Times New Roman" w:cs="Times New Roman"/>
        </w:rPr>
        <w:t>.</w:t>
      </w:r>
    </w:p>
    <w:p w14:paraId="297510D6" w14:textId="48CF614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Strategic context: Net Zero Wales and the foundational economy. Net Zero Wales Carbon Budget 2 sets out cross</w:t>
      </w:r>
      <w:r w:rsidRPr="00885813">
        <w:rPr>
          <w:rFonts w:eastAsia="Times New Roman" w:cs="Times New Roman"/>
          <w:sz w:val="24"/>
        </w:rPr>
        <w:noBreakHyphen/>
        <w:t>sector policies and proposals to 2025 and identifies social housing as a leading sector for decarbonisation standards and delivery. The plan emphasises foundational</w:t>
      </w:r>
      <w:r w:rsidRPr="00885813">
        <w:rPr>
          <w:rFonts w:eastAsia="Times New Roman" w:cs="Times New Roman"/>
          <w:sz w:val="24"/>
        </w:rPr>
        <w:noBreakHyphen/>
        <w:t xml:space="preserve">economy principles—local skills, </w:t>
      </w:r>
      <w:r w:rsidR="00770714" w:rsidRPr="00885813">
        <w:rPr>
          <w:rFonts w:eastAsia="Times New Roman" w:cs="Times New Roman"/>
          <w:sz w:val="24"/>
        </w:rPr>
        <w:t>procurement,</w:t>
      </w:r>
      <w:r w:rsidRPr="00885813">
        <w:rPr>
          <w:rFonts w:eastAsia="Times New Roman" w:cs="Times New Roman"/>
          <w:sz w:val="24"/>
        </w:rPr>
        <w:t xml:space="preserve"> and supply chains—on the rationale that housing retrofit can anchor good</w:t>
      </w:r>
      <w:r w:rsidRPr="00885813">
        <w:rPr>
          <w:rFonts w:eastAsia="Times New Roman" w:cs="Times New Roman"/>
          <w:sz w:val="24"/>
        </w:rPr>
        <w:noBreakHyphen/>
        <w:t>quality jobs and resilient Welsh capabilities. This has implications for programme design: delivery models must balance cost</w:t>
      </w:r>
      <w:r w:rsidRPr="00885813">
        <w:rPr>
          <w:rFonts w:eastAsia="Times New Roman" w:cs="Times New Roman"/>
          <w:sz w:val="24"/>
        </w:rPr>
        <w:noBreakHyphen/>
        <w:t xml:space="preserve">effectiveness with workforce development, quality </w:t>
      </w:r>
      <w:r w:rsidR="00770714" w:rsidRPr="00885813">
        <w:rPr>
          <w:rFonts w:eastAsia="Times New Roman" w:cs="Times New Roman"/>
          <w:sz w:val="24"/>
        </w:rPr>
        <w:t>assurance,</w:t>
      </w:r>
      <w:r w:rsidRPr="00885813">
        <w:rPr>
          <w:rFonts w:eastAsia="Times New Roman" w:cs="Times New Roman"/>
          <w:sz w:val="24"/>
        </w:rPr>
        <w:t xml:space="preserve"> and long</w:t>
      </w:r>
      <w:r w:rsidRPr="00885813">
        <w:rPr>
          <w:rFonts w:eastAsia="Times New Roman" w:cs="Times New Roman"/>
          <w:sz w:val="24"/>
        </w:rPr>
        <w:noBreakHyphen/>
        <w:t>term capacity building. For evaluation purposes, it means that ‘success’ should not be reduced only to short</w:t>
      </w:r>
      <w:r w:rsidRPr="00885813">
        <w:rPr>
          <w:rFonts w:eastAsia="Times New Roman" w:cs="Times New Roman"/>
          <w:sz w:val="24"/>
        </w:rPr>
        <w:noBreakHyphen/>
        <w:t>term kWh savings but should consider whether programmes are building the capabilities needed to deliver at scale and pace over the next decade</w:t>
      </w:r>
      <w:r w:rsidRPr="00885813">
        <w:rPr>
          <w:rFonts w:eastAsia="Times New Roman" w:cs="Times New Roman"/>
        </w:rPr>
        <w:t xml:space="preserve"> (Welsh Government, 2021)</w:t>
      </w:r>
      <w:r w:rsidR="00243996" w:rsidRPr="00885813">
        <w:rPr>
          <w:rFonts w:eastAsia="Times New Roman" w:cs="Times New Roman"/>
        </w:rPr>
        <w:t>.</w:t>
      </w:r>
    </w:p>
    <w:p w14:paraId="0B13BDD5" w14:textId="11CBA020" w:rsidR="00831DAF" w:rsidRPr="00885813" w:rsidRDefault="00831DAF" w:rsidP="00831DAF">
      <w:pPr>
        <w:spacing w:line="360" w:lineRule="auto"/>
        <w:jc w:val="both"/>
        <w:rPr>
          <w:rFonts w:eastAsia="Times New Roman" w:cs="Times New Roman"/>
        </w:rPr>
      </w:pPr>
      <w:r w:rsidRPr="00885813">
        <w:rPr>
          <w:rFonts w:eastAsia="Times New Roman" w:cs="Times New Roman"/>
        </w:rPr>
        <w:t>Fuel poverty strategy. The Welsh Government’s Tackling Fuel Poverty 2021–2035 sets non-statutory targets to eliminate severe or persistent fuel poverty and reduce the overall prevalence as far as practicable. Modelling suggests that fuel poverty has fluctuated sharply in response to energy price movements, with vulnerable and lower-income households disproportionately affected. Retrofit therefore operates both as a decarbonisation lever and as a social policy instrument: by reducing heat losses and enabling efficient systems, it can lower required energy demand for adequate warmth and reduce exposure to volatile prices. In social housing, where landlords are stewards of asset quality and tenant wellbeing, this dual mandate is particularly salient (Welsh Government, 2021)</w:t>
      </w:r>
      <w:r w:rsidR="00243996" w:rsidRPr="00885813">
        <w:rPr>
          <w:rFonts w:eastAsia="Times New Roman" w:cs="Times New Roman"/>
        </w:rPr>
        <w:t>.</w:t>
      </w:r>
    </w:p>
    <w:p w14:paraId="0F6650ED" w14:textId="02AF31A6"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24"/>
          <w:szCs w:val="40"/>
        </w:rPr>
      </w:pPr>
      <w:bookmarkStart w:id="3" w:name="_Toc225760710"/>
      <w:r w:rsidRPr="00885813">
        <w:rPr>
          <w:rFonts w:eastAsia="Times New Roman" w:cs="Times New Roman"/>
          <w:color w:val="0F4761" w:themeColor="accent1" w:themeShade="BF"/>
          <w:sz w:val="24"/>
          <w:szCs w:val="40"/>
        </w:rPr>
        <w:lastRenderedPageBreak/>
        <w:t xml:space="preserve">3. </w:t>
      </w:r>
      <w:r w:rsidRPr="00885813">
        <w:rPr>
          <w:rStyle w:val="Heading1Char"/>
          <w:rFonts w:asciiTheme="minorHAnsi" w:hAnsiTheme="minorHAnsi"/>
        </w:rPr>
        <w:t xml:space="preserve">Research Aim, </w:t>
      </w:r>
      <w:r w:rsidR="00770714" w:rsidRPr="00885813">
        <w:rPr>
          <w:rStyle w:val="Heading1Char"/>
          <w:rFonts w:asciiTheme="minorHAnsi" w:hAnsiTheme="minorHAnsi"/>
        </w:rPr>
        <w:t>Objectives,</w:t>
      </w:r>
      <w:r w:rsidRPr="00885813">
        <w:rPr>
          <w:rStyle w:val="Heading1Char"/>
          <w:rFonts w:asciiTheme="minorHAnsi" w:hAnsiTheme="minorHAnsi"/>
        </w:rPr>
        <w:t xml:space="preserve"> and Questions</w:t>
      </w:r>
      <w:bookmarkEnd w:id="3"/>
    </w:p>
    <w:p w14:paraId="68F5CBEB" w14:textId="078A4C98" w:rsidR="00885813" w:rsidRPr="00885813" w:rsidRDefault="00885813" w:rsidP="00885813">
      <w:pPr>
        <w:rPr>
          <w:sz w:val="24"/>
          <w:szCs w:val="24"/>
        </w:rPr>
      </w:pPr>
      <w:r w:rsidRPr="00885813">
        <w:rPr>
          <w:sz w:val="24"/>
          <w:szCs w:val="24"/>
        </w:rPr>
        <w:t>Research Aim</w:t>
      </w:r>
    </w:p>
    <w:p w14:paraId="48E4359D" w14:textId="6E2EE890" w:rsidR="00885813" w:rsidRPr="00885813" w:rsidRDefault="00885813" w:rsidP="00885813">
      <w:pPr>
        <w:rPr>
          <w:rFonts w:eastAsia="Times New Roman" w:cs="Times New Roman"/>
          <w:sz w:val="24"/>
          <w:szCs w:val="24"/>
        </w:rPr>
      </w:pPr>
      <w:r w:rsidRPr="00885813">
        <w:rPr>
          <w:rFonts w:eastAsia="Times New Roman" w:cs="Times New Roman"/>
          <w:sz w:val="24"/>
          <w:szCs w:val="24"/>
        </w:rPr>
        <w:t>Did the retrofit achieve its goals?</w:t>
      </w:r>
    </w:p>
    <w:p w14:paraId="08E3E606" w14:textId="0D33B89A" w:rsidR="00885813" w:rsidRPr="00885813" w:rsidRDefault="00885813" w:rsidP="00885813">
      <w:pPr>
        <w:rPr>
          <w:rFonts w:eastAsia="Times New Roman"/>
          <w:sz w:val="24"/>
          <w:szCs w:val="24"/>
        </w:rPr>
      </w:pPr>
      <w:r w:rsidRPr="00885813">
        <w:rPr>
          <w:rFonts w:eastAsia="Times New Roman"/>
          <w:sz w:val="24"/>
          <w:szCs w:val="24"/>
        </w:rPr>
        <w:t>Objectives</w:t>
      </w:r>
    </w:p>
    <w:p w14:paraId="15582B0E" w14:textId="53DE958B" w:rsidR="009C45F2" w:rsidRPr="00885813" w:rsidRDefault="009C45F2" w:rsidP="009C45F2">
      <w:pPr>
        <w:spacing w:line="360" w:lineRule="auto"/>
        <w:jc w:val="both"/>
        <w:rPr>
          <w:rFonts w:eastAsia="Times New Roman" w:cs="Times New Roman"/>
          <w:sz w:val="24"/>
        </w:rPr>
      </w:pPr>
      <w:r w:rsidRPr="00885813">
        <w:rPr>
          <w:rFonts w:eastAsia="Times New Roman" w:cs="Times New Roman"/>
          <w:b/>
          <w:bCs/>
          <w:sz w:val="24"/>
        </w:rPr>
        <w:t>(O1)</w:t>
      </w:r>
      <w:r w:rsidRPr="00885813">
        <w:rPr>
          <w:rFonts w:eastAsia="Times New Roman" w:cs="Times New Roman"/>
          <w:sz w:val="24"/>
        </w:rPr>
        <w:t xml:space="preserve"> Measure changes in delivered energy (kWh) for space and water heating, and total household energy use, before and after retrofit, using weather</w:t>
      </w:r>
      <w:r w:rsidRPr="00885813">
        <w:rPr>
          <w:rFonts w:eastAsia="Times New Roman" w:cs="Times New Roman"/>
          <w:sz w:val="24"/>
        </w:rPr>
        <w:noBreakHyphen/>
        <w:t>normalised methods.</w:t>
      </w:r>
    </w:p>
    <w:p w14:paraId="72787D18" w14:textId="39540072" w:rsidR="009C45F2" w:rsidRPr="00885813" w:rsidRDefault="009C45F2" w:rsidP="009C45F2">
      <w:pPr>
        <w:spacing w:line="360" w:lineRule="auto"/>
        <w:jc w:val="both"/>
        <w:rPr>
          <w:rFonts w:eastAsia="Times New Roman" w:cs="Times New Roman"/>
          <w:sz w:val="24"/>
        </w:rPr>
      </w:pPr>
      <w:r w:rsidRPr="00885813">
        <w:rPr>
          <w:rFonts w:eastAsia="Times New Roman" w:cs="Times New Roman"/>
          <w:b/>
          <w:bCs/>
          <w:sz w:val="24"/>
        </w:rPr>
        <w:t>(O2)</w:t>
      </w:r>
      <w:r w:rsidRPr="00885813">
        <w:rPr>
          <w:rFonts w:eastAsia="Times New Roman" w:cs="Times New Roman"/>
          <w:sz w:val="24"/>
        </w:rPr>
        <w:t xml:space="preserve"> Estimate associated changes in energy bills and affordability metrics, taking account of the prevailing price environment.</w:t>
      </w:r>
    </w:p>
    <w:p w14:paraId="1363E6BA" w14:textId="219B1E19" w:rsidR="009C45F2" w:rsidRPr="00885813" w:rsidRDefault="009C45F2" w:rsidP="009C45F2">
      <w:pPr>
        <w:spacing w:line="360" w:lineRule="auto"/>
        <w:jc w:val="both"/>
        <w:rPr>
          <w:rFonts w:eastAsia="Times New Roman" w:cs="Times New Roman"/>
          <w:sz w:val="24"/>
        </w:rPr>
      </w:pPr>
      <w:r w:rsidRPr="00885813">
        <w:rPr>
          <w:rFonts w:eastAsia="Times New Roman" w:cs="Times New Roman"/>
          <w:b/>
          <w:bCs/>
          <w:sz w:val="24"/>
        </w:rPr>
        <w:t>(O3)</w:t>
      </w:r>
      <w:r w:rsidRPr="00885813">
        <w:rPr>
          <w:rFonts w:eastAsia="Times New Roman" w:cs="Times New Roman"/>
          <w:sz w:val="24"/>
        </w:rPr>
        <w:t xml:space="preserve"> Assess changes in thermal comfort, damp/condensation outcomes, and self</w:t>
      </w:r>
      <w:r w:rsidRPr="00885813">
        <w:rPr>
          <w:rFonts w:eastAsia="Times New Roman" w:cs="Times New Roman"/>
          <w:sz w:val="24"/>
        </w:rPr>
        <w:noBreakHyphen/>
        <w:t>reported health</w:t>
      </w:r>
      <w:r w:rsidRPr="00885813">
        <w:rPr>
          <w:rFonts w:eastAsia="Times New Roman" w:cs="Times New Roman"/>
          <w:sz w:val="24"/>
        </w:rPr>
        <w:noBreakHyphen/>
        <w:t>related indicators following retrofit.</w:t>
      </w:r>
    </w:p>
    <w:p w14:paraId="7A971B59" w14:textId="32715FF2" w:rsidR="009C45F2" w:rsidRPr="00885813" w:rsidRDefault="009C45F2" w:rsidP="009C45F2">
      <w:pPr>
        <w:spacing w:line="360" w:lineRule="auto"/>
        <w:jc w:val="both"/>
        <w:rPr>
          <w:rFonts w:eastAsia="Times New Roman" w:cs="Times New Roman"/>
          <w:sz w:val="24"/>
        </w:rPr>
      </w:pPr>
      <w:r w:rsidRPr="00885813">
        <w:rPr>
          <w:rFonts w:eastAsia="Times New Roman" w:cs="Times New Roman"/>
          <w:b/>
          <w:bCs/>
          <w:sz w:val="24"/>
        </w:rPr>
        <w:t>(O4)</w:t>
      </w:r>
      <w:r w:rsidRPr="00885813">
        <w:rPr>
          <w:rFonts w:eastAsia="Times New Roman" w:cs="Times New Roman"/>
          <w:sz w:val="24"/>
        </w:rPr>
        <w:t xml:space="preserve"> Identify technical and organisational factors that contribute to any performance gap between modelled and realised outcomes, including commissioning, ventilation, controls, and occupancy</w:t>
      </w:r>
      <w:r w:rsidRPr="00885813">
        <w:rPr>
          <w:rFonts w:eastAsia="Times New Roman" w:cs="Times New Roman"/>
          <w:sz w:val="24"/>
        </w:rPr>
        <w:noBreakHyphen/>
        <w:t>related influences.</w:t>
      </w:r>
    </w:p>
    <w:p w14:paraId="120124DD" w14:textId="097E6342" w:rsidR="009C45F2" w:rsidRPr="00885813" w:rsidRDefault="009C45F2" w:rsidP="009C45F2">
      <w:pPr>
        <w:spacing w:line="360" w:lineRule="auto"/>
        <w:jc w:val="both"/>
        <w:rPr>
          <w:rFonts w:eastAsia="Times New Roman" w:cs="Times New Roman"/>
          <w:sz w:val="24"/>
        </w:rPr>
      </w:pPr>
      <w:r w:rsidRPr="00885813">
        <w:rPr>
          <w:rFonts w:eastAsia="Times New Roman" w:cs="Times New Roman"/>
          <w:b/>
          <w:bCs/>
          <w:sz w:val="24"/>
        </w:rPr>
        <w:t>(O5)</w:t>
      </w:r>
      <w:r w:rsidRPr="00885813">
        <w:rPr>
          <w:rFonts w:eastAsia="Times New Roman" w:cs="Times New Roman"/>
          <w:sz w:val="24"/>
        </w:rPr>
        <w:t xml:space="preserve"> Evaluate the procedural quality of delivery—communication, disruption management, handover, and support—and the extent to which interventions recognise diverse tenant needs through an energy</w:t>
      </w:r>
      <w:r w:rsidRPr="00885813">
        <w:rPr>
          <w:rFonts w:eastAsia="Times New Roman" w:cs="Times New Roman"/>
          <w:sz w:val="24"/>
        </w:rPr>
        <w:noBreakHyphen/>
        <w:t>justice lens.</w:t>
      </w:r>
    </w:p>
    <w:p w14:paraId="4D791F76" w14:textId="77777777" w:rsidR="009C45F2" w:rsidRPr="00885813" w:rsidRDefault="00831DAF" w:rsidP="009C45F2">
      <w:pPr>
        <w:spacing w:line="360" w:lineRule="auto"/>
        <w:jc w:val="both"/>
        <w:rPr>
          <w:rFonts w:eastAsia="Times New Roman" w:cs="Times New Roman"/>
          <w:sz w:val="24"/>
        </w:rPr>
      </w:pPr>
      <w:r w:rsidRPr="00885813">
        <w:rPr>
          <w:rFonts w:eastAsia="Times New Roman" w:cs="Times New Roman"/>
          <w:sz w:val="24"/>
        </w:rPr>
        <w:t xml:space="preserve">Research questions. </w:t>
      </w:r>
    </w:p>
    <w:p w14:paraId="46A2AD0C" w14:textId="7AA2AAA3" w:rsidR="009C45F2" w:rsidRPr="00885813" w:rsidRDefault="009C45F2" w:rsidP="009C45F2">
      <w:pPr>
        <w:spacing w:line="360" w:lineRule="auto"/>
        <w:jc w:val="both"/>
        <w:rPr>
          <w:rFonts w:eastAsia="Times New Roman" w:cs="Times New Roman"/>
          <w:b/>
          <w:bCs/>
          <w:sz w:val="24"/>
        </w:rPr>
      </w:pPr>
      <w:r w:rsidRPr="00885813">
        <w:rPr>
          <w:rFonts w:eastAsia="Times New Roman" w:cs="Times New Roman"/>
          <w:b/>
          <w:bCs/>
          <w:sz w:val="24"/>
        </w:rPr>
        <w:t>RQ1 — Realised energy performance</w:t>
      </w:r>
    </w:p>
    <w:p w14:paraId="69D5760E" w14:textId="77777777" w:rsidR="009C45F2" w:rsidRPr="00885813" w:rsidRDefault="009C45F2" w:rsidP="009C45F2">
      <w:pPr>
        <w:spacing w:line="360" w:lineRule="auto"/>
        <w:jc w:val="both"/>
        <w:rPr>
          <w:rFonts w:eastAsia="Times New Roman" w:cs="Times New Roman"/>
          <w:sz w:val="24"/>
        </w:rPr>
      </w:pPr>
      <w:r w:rsidRPr="00885813">
        <w:rPr>
          <w:rFonts w:eastAsia="Times New Roman" w:cs="Times New Roman"/>
          <w:sz w:val="24"/>
        </w:rPr>
        <w:t>To what extent do ORP</w:t>
      </w:r>
      <w:r w:rsidRPr="00885813">
        <w:rPr>
          <w:rFonts w:eastAsia="Times New Roman" w:cs="Times New Roman"/>
          <w:sz w:val="24"/>
        </w:rPr>
        <w:noBreakHyphen/>
        <w:t>aligned retrofits reduce weather</w:t>
      </w:r>
      <w:r w:rsidRPr="00885813">
        <w:rPr>
          <w:rFonts w:eastAsia="Times New Roman" w:cs="Times New Roman"/>
          <w:sz w:val="24"/>
        </w:rPr>
        <w:noBreakHyphen/>
        <w:t>normalised delivered energy for space and water heating, relative to matched controls and to modelled expectations?</w:t>
      </w:r>
    </w:p>
    <w:p w14:paraId="3D1EE8FA" w14:textId="77777777" w:rsidR="009C45F2" w:rsidRPr="00885813" w:rsidRDefault="009C45F2" w:rsidP="009C45F2">
      <w:pPr>
        <w:spacing w:line="360" w:lineRule="auto"/>
        <w:jc w:val="both"/>
        <w:rPr>
          <w:rFonts w:eastAsia="Times New Roman" w:cs="Times New Roman"/>
          <w:b/>
          <w:bCs/>
          <w:sz w:val="24"/>
        </w:rPr>
      </w:pPr>
      <w:r w:rsidRPr="00885813">
        <w:rPr>
          <w:rFonts w:eastAsia="Times New Roman" w:cs="Times New Roman"/>
          <w:b/>
          <w:bCs/>
          <w:sz w:val="24"/>
        </w:rPr>
        <w:t>RQ2 — Affordability and fuel</w:t>
      </w:r>
      <w:r w:rsidRPr="00885813">
        <w:rPr>
          <w:rFonts w:eastAsia="Times New Roman" w:cs="Times New Roman"/>
          <w:b/>
          <w:bCs/>
          <w:sz w:val="24"/>
        </w:rPr>
        <w:noBreakHyphen/>
        <w:t>poverty risk</w:t>
      </w:r>
    </w:p>
    <w:p w14:paraId="65DC9C41" w14:textId="77777777" w:rsidR="009C45F2" w:rsidRPr="00885813" w:rsidRDefault="009C45F2" w:rsidP="009C45F2">
      <w:pPr>
        <w:spacing w:line="360" w:lineRule="auto"/>
        <w:jc w:val="both"/>
        <w:rPr>
          <w:rFonts w:eastAsia="Times New Roman" w:cs="Times New Roman"/>
          <w:sz w:val="24"/>
        </w:rPr>
      </w:pPr>
      <w:r w:rsidRPr="00885813">
        <w:rPr>
          <w:rFonts w:eastAsia="Times New Roman" w:cs="Times New Roman"/>
          <w:sz w:val="24"/>
        </w:rPr>
        <w:lastRenderedPageBreak/>
        <w:t>How do retrofits affect household energy costs and affordability metrics once changes in energy prices are accounted for?</w:t>
      </w:r>
    </w:p>
    <w:p w14:paraId="5B6356DB" w14:textId="77777777" w:rsidR="009C45F2" w:rsidRPr="00885813" w:rsidRDefault="009C45F2" w:rsidP="009C45F2">
      <w:pPr>
        <w:spacing w:line="360" w:lineRule="auto"/>
        <w:jc w:val="both"/>
        <w:rPr>
          <w:rFonts w:eastAsia="Times New Roman" w:cs="Times New Roman"/>
          <w:b/>
          <w:bCs/>
          <w:sz w:val="24"/>
        </w:rPr>
      </w:pPr>
      <w:r w:rsidRPr="00885813">
        <w:rPr>
          <w:rFonts w:eastAsia="Times New Roman" w:cs="Times New Roman"/>
          <w:b/>
          <w:bCs/>
          <w:sz w:val="24"/>
        </w:rPr>
        <w:t>RQ3 — Comfort, damp, and indoor environmental quality</w:t>
      </w:r>
    </w:p>
    <w:p w14:paraId="0D080952" w14:textId="77777777" w:rsidR="009C45F2" w:rsidRPr="00885813" w:rsidRDefault="009C45F2" w:rsidP="009C45F2">
      <w:pPr>
        <w:spacing w:line="360" w:lineRule="auto"/>
        <w:jc w:val="both"/>
        <w:rPr>
          <w:rFonts w:eastAsia="Times New Roman" w:cs="Times New Roman"/>
          <w:sz w:val="24"/>
        </w:rPr>
      </w:pPr>
      <w:r w:rsidRPr="00885813">
        <w:rPr>
          <w:rFonts w:eastAsia="Times New Roman" w:cs="Times New Roman"/>
          <w:sz w:val="24"/>
        </w:rPr>
        <w:t>How do retrofits influence thermal comfort, damp/condensation outcomes, and related self</w:t>
      </w:r>
      <w:r w:rsidRPr="00885813">
        <w:rPr>
          <w:rFonts w:eastAsia="Times New Roman" w:cs="Times New Roman"/>
          <w:sz w:val="24"/>
        </w:rPr>
        <w:noBreakHyphen/>
        <w:t>reported health indicators?</w:t>
      </w:r>
    </w:p>
    <w:p w14:paraId="085A48A3" w14:textId="77777777" w:rsidR="009C45F2" w:rsidRPr="00885813" w:rsidRDefault="009C45F2" w:rsidP="009C45F2">
      <w:pPr>
        <w:spacing w:line="360" w:lineRule="auto"/>
        <w:jc w:val="both"/>
        <w:rPr>
          <w:rFonts w:eastAsia="Times New Roman" w:cs="Times New Roman"/>
          <w:b/>
          <w:bCs/>
          <w:sz w:val="24"/>
        </w:rPr>
      </w:pPr>
      <w:r w:rsidRPr="00885813">
        <w:rPr>
          <w:rFonts w:eastAsia="Times New Roman" w:cs="Times New Roman"/>
          <w:b/>
          <w:bCs/>
          <w:sz w:val="24"/>
        </w:rPr>
        <w:t>RQ4 — Technical and organisational drivers of performance</w:t>
      </w:r>
    </w:p>
    <w:p w14:paraId="0AA15163" w14:textId="77777777" w:rsidR="009C45F2" w:rsidRPr="00885813" w:rsidRDefault="009C45F2" w:rsidP="009C45F2">
      <w:pPr>
        <w:spacing w:line="360" w:lineRule="auto"/>
        <w:jc w:val="both"/>
        <w:rPr>
          <w:rFonts w:eastAsia="Times New Roman" w:cs="Times New Roman"/>
          <w:sz w:val="24"/>
        </w:rPr>
      </w:pPr>
      <w:r w:rsidRPr="00885813">
        <w:rPr>
          <w:rFonts w:eastAsia="Times New Roman" w:cs="Times New Roman"/>
          <w:sz w:val="24"/>
        </w:rPr>
        <w:t>Which technical factors (fabric performance, ventilation, controls, commissioning) and organisational factors (delivery processes, handover, support) help explain any divergence between modelled and realised outcomes?</w:t>
      </w:r>
    </w:p>
    <w:p w14:paraId="69BBF0F8" w14:textId="77777777" w:rsidR="009C45F2" w:rsidRPr="00885813" w:rsidRDefault="009C45F2" w:rsidP="009C45F2">
      <w:pPr>
        <w:spacing w:line="360" w:lineRule="auto"/>
        <w:jc w:val="both"/>
        <w:rPr>
          <w:rFonts w:eastAsia="Times New Roman" w:cs="Times New Roman"/>
          <w:b/>
          <w:bCs/>
          <w:sz w:val="24"/>
        </w:rPr>
      </w:pPr>
      <w:r w:rsidRPr="00885813">
        <w:rPr>
          <w:rFonts w:eastAsia="Times New Roman" w:cs="Times New Roman"/>
          <w:b/>
          <w:bCs/>
          <w:sz w:val="24"/>
        </w:rPr>
        <w:t>RQ5 — Procedural and recognition justice in delivery</w:t>
      </w:r>
    </w:p>
    <w:p w14:paraId="6A184829" w14:textId="77777777" w:rsidR="009C45F2" w:rsidRPr="00885813" w:rsidRDefault="009C45F2" w:rsidP="009C45F2">
      <w:pPr>
        <w:spacing w:line="360" w:lineRule="auto"/>
        <w:jc w:val="both"/>
        <w:rPr>
          <w:rFonts w:eastAsia="Times New Roman" w:cs="Times New Roman"/>
          <w:sz w:val="24"/>
        </w:rPr>
      </w:pPr>
      <w:r w:rsidRPr="00885813">
        <w:rPr>
          <w:rFonts w:eastAsia="Times New Roman" w:cs="Times New Roman"/>
          <w:sz w:val="24"/>
        </w:rPr>
        <w:t>How are procedural and recognition justice reflected in the planning, communication, disruption management, and post</w:t>
      </w:r>
      <w:r w:rsidRPr="00885813">
        <w:rPr>
          <w:rFonts w:eastAsia="Times New Roman" w:cs="Times New Roman"/>
          <w:sz w:val="24"/>
        </w:rPr>
        <w:noBreakHyphen/>
        <w:t>installation support experienced by tenants?</w:t>
      </w:r>
    </w:p>
    <w:p w14:paraId="6CA3E136" w14:textId="40954694" w:rsidR="00831DAF" w:rsidRPr="00885813" w:rsidRDefault="00831DAF" w:rsidP="009C45F2">
      <w:pPr>
        <w:spacing w:line="360" w:lineRule="auto"/>
        <w:jc w:val="both"/>
        <w:rPr>
          <w:rFonts w:eastAsia="Times New Roman" w:cs="Times New Roman"/>
          <w:color w:val="0F4761" w:themeColor="accent1" w:themeShade="BF"/>
          <w:sz w:val="40"/>
          <w:szCs w:val="40"/>
        </w:rPr>
      </w:pPr>
      <w:r w:rsidRPr="00885813">
        <w:rPr>
          <w:rFonts w:eastAsia="Times New Roman" w:cs="Times New Roman"/>
          <w:color w:val="0F4761" w:themeColor="accent1" w:themeShade="BF"/>
          <w:sz w:val="24"/>
          <w:szCs w:val="40"/>
        </w:rPr>
        <w:t>4. Literature Review</w:t>
      </w:r>
    </w:p>
    <w:p w14:paraId="6603CE4C" w14:textId="36DC1EE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 xml:space="preserve">Performance gap. Findings from the UK’s Building Performance Evaluation (BPE) programme and later syntheses shows that realised energy use and carbon emissions in new and retrofitted homes frequently exceed design predictions, on average by factors of 1.5–2.6, with significant variance across projects. Explanations span the full delivery chain: thermal bypass and workmanship defects reduce fabric performance; ventilation systems are poorly commissioned or maintained; controls are complex or unintuitive; and models rely on optimistic assumptions about occupancy, internal </w:t>
      </w:r>
      <w:r w:rsidR="00770714" w:rsidRPr="00885813">
        <w:rPr>
          <w:rFonts w:eastAsia="Times New Roman" w:cs="Times New Roman"/>
          <w:sz w:val="24"/>
        </w:rPr>
        <w:t>gains,</w:t>
      </w:r>
      <w:r w:rsidRPr="00885813">
        <w:rPr>
          <w:rFonts w:eastAsia="Times New Roman" w:cs="Times New Roman"/>
          <w:sz w:val="24"/>
        </w:rPr>
        <w:t xml:space="preserve"> and set</w:t>
      </w:r>
      <w:r w:rsidRPr="00885813">
        <w:rPr>
          <w:rFonts w:eastAsia="Times New Roman" w:cs="Times New Roman"/>
          <w:sz w:val="24"/>
        </w:rPr>
        <w:noBreakHyphen/>
        <w:t>points. Where projects pursue rigorous quality assurance—e.g., Passive House methodologies with airtightness testing, thermal</w:t>
      </w:r>
      <w:r w:rsidRPr="00885813">
        <w:rPr>
          <w:rFonts w:eastAsia="Times New Roman" w:cs="Times New Roman"/>
          <w:sz w:val="24"/>
        </w:rPr>
        <w:noBreakHyphen/>
        <w:t xml:space="preserve">bridge </w:t>
      </w:r>
      <w:r w:rsidR="00770714" w:rsidRPr="00885813">
        <w:rPr>
          <w:rFonts w:eastAsia="Times New Roman" w:cs="Times New Roman"/>
          <w:sz w:val="24"/>
        </w:rPr>
        <w:t>control,</w:t>
      </w:r>
      <w:r w:rsidRPr="00885813">
        <w:rPr>
          <w:rFonts w:eastAsia="Times New Roman" w:cs="Times New Roman"/>
          <w:sz w:val="24"/>
        </w:rPr>
        <w:t xml:space="preserve"> and balanced ventilation—performance aligns more closely with predictions. Nevertheless, even high</w:t>
      </w:r>
      <w:r w:rsidRPr="00885813">
        <w:rPr>
          <w:rFonts w:eastAsia="Times New Roman" w:cs="Times New Roman"/>
          <w:sz w:val="24"/>
        </w:rPr>
        <w:noBreakHyphen/>
        <w:t xml:space="preserve">quality fabric can underperform if controls are opaque or if handover is cursory. The implication is that evaluation must consider </w:t>
      </w:r>
      <w:r w:rsidRPr="00885813">
        <w:rPr>
          <w:rFonts w:eastAsia="Times New Roman" w:cs="Times New Roman"/>
          <w:sz w:val="24"/>
        </w:rPr>
        <w:lastRenderedPageBreak/>
        <w:t>build quality, systems commissioning and usability, not only the nominal specification</w:t>
      </w:r>
      <w:r w:rsidRPr="00885813">
        <w:rPr>
          <w:rFonts w:eastAsia="Times New Roman" w:cs="Times New Roman"/>
        </w:rPr>
        <w:t xml:space="preserve"> (Innovate UK, 2016)</w:t>
      </w:r>
      <w:r w:rsidR="00243996" w:rsidRPr="00885813">
        <w:rPr>
          <w:rFonts w:eastAsia="Times New Roman" w:cs="Times New Roman"/>
        </w:rPr>
        <w:t>.</w:t>
      </w:r>
    </w:p>
    <w:p w14:paraId="3B0E3936" w14:textId="7DD50F9A"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 xml:space="preserve">Ventilation, </w:t>
      </w:r>
      <w:r w:rsidR="00770714" w:rsidRPr="00885813">
        <w:rPr>
          <w:rFonts w:eastAsia="Times New Roman" w:cs="Times New Roman"/>
          <w:sz w:val="24"/>
        </w:rPr>
        <w:t>moisture,</w:t>
      </w:r>
      <w:r w:rsidRPr="00885813">
        <w:rPr>
          <w:rFonts w:eastAsia="Times New Roman" w:cs="Times New Roman"/>
          <w:sz w:val="24"/>
        </w:rPr>
        <w:t xml:space="preserve"> and health. UK research has documented that while tighter fabric reduces heat loss, it increases the need for purpose</w:t>
      </w:r>
      <w:r w:rsidRPr="00885813">
        <w:rPr>
          <w:rFonts w:eastAsia="Times New Roman" w:cs="Times New Roman"/>
          <w:sz w:val="24"/>
        </w:rPr>
        <w:noBreakHyphen/>
        <w:t>provided ventilation to control moisture and indoor pollutants. Mechanical ventilation with heat recovery (MVHR) can deliver good air quality and heat</w:t>
      </w:r>
      <w:r w:rsidRPr="00885813">
        <w:rPr>
          <w:rFonts w:eastAsia="Times New Roman" w:cs="Times New Roman"/>
          <w:sz w:val="24"/>
        </w:rPr>
        <w:noBreakHyphen/>
        <w:t>recovery benefits if designed and installed to standards and if filters and flow rates are maintained; however, poorly installed or maintained systems can under</w:t>
      </w:r>
      <w:r w:rsidRPr="00885813">
        <w:rPr>
          <w:rFonts w:eastAsia="Times New Roman" w:cs="Times New Roman"/>
          <w:sz w:val="24"/>
        </w:rPr>
        <w:noBreakHyphen/>
        <w:t xml:space="preserve">ventilate or be switched off due to noise or misunderstanding. In the Welsh context, damp and mould are major concerns; retrofit designs must so integrate passive and mechanical ventilation strategies, consider occupant </w:t>
      </w:r>
      <w:r w:rsidR="00770714" w:rsidRPr="00885813">
        <w:rPr>
          <w:rFonts w:eastAsia="Times New Roman" w:cs="Times New Roman"/>
          <w:sz w:val="24"/>
        </w:rPr>
        <w:t>behaviour,</w:t>
      </w:r>
      <w:r w:rsidRPr="00885813">
        <w:rPr>
          <w:rFonts w:eastAsia="Times New Roman" w:cs="Times New Roman"/>
          <w:sz w:val="24"/>
        </w:rPr>
        <w:t xml:space="preserve"> and ensure that maintenance responsibilities are clear. Evaluations that include post</w:t>
      </w:r>
      <w:r w:rsidRPr="00885813">
        <w:rPr>
          <w:rFonts w:eastAsia="Times New Roman" w:cs="Times New Roman"/>
          <w:sz w:val="24"/>
        </w:rPr>
        <w:noBreakHyphen/>
        <w:t>retrofit condensation and mould outcomes alongside energy metrics can help identify unintended consequences and improve guidance (Little and Ferraro, 2012; Public Health Wales, 2022)</w:t>
      </w:r>
      <w:r w:rsidR="00243996" w:rsidRPr="00885813">
        <w:rPr>
          <w:rFonts w:eastAsia="Times New Roman" w:cs="Times New Roman"/>
          <w:sz w:val="24"/>
        </w:rPr>
        <w:t>.</w:t>
      </w:r>
    </w:p>
    <w:p w14:paraId="2BB5B345" w14:textId="1BACACB0" w:rsidR="00831DAF" w:rsidRPr="00885813" w:rsidRDefault="00831DAF" w:rsidP="00831DAF">
      <w:pPr>
        <w:spacing w:line="360" w:lineRule="auto"/>
        <w:jc w:val="both"/>
        <w:rPr>
          <w:rFonts w:eastAsia="Times New Roman" w:cs="Times New Roman"/>
        </w:rPr>
      </w:pPr>
      <w:r w:rsidRPr="00885813">
        <w:rPr>
          <w:rFonts w:eastAsia="Times New Roman" w:cs="Times New Roman"/>
        </w:rPr>
        <w:t>Rebound and comfort take-back. The econometric and building-physics literatures describe rebound effects whereby energy-efficiency gains are partially offset by increased consumption. In social housing this often takes the form of comfort take-back: households that previously under-heated their homes use part of the efficiency gain to achieve adequate warmth and reduce damp, with clear welfare and health benefits. From a social-policy perspective this is a desired outcome; from a carbon-accounting standpoint it reduces measured kWh savings. Evaluations should therefore report both energy and comfort outcomes, avoid framing take-back as ‘failure</w:t>
      </w:r>
      <w:r w:rsidR="00770714" w:rsidRPr="00885813">
        <w:rPr>
          <w:rFonts w:eastAsia="Times New Roman" w:cs="Times New Roman"/>
        </w:rPr>
        <w:t>,’</w:t>
      </w:r>
      <w:r w:rsidRPr="00885813">
        <w:rPr>
          <w:rFonts w:eastAsia="Times New Roman" w:cs="Times New Roman"/>
        </w:rPr>
        <w:t xml:space="preserve"> and, where possible, measure indoor temperatures/humidity or use validated thermal-comfort surveys (Chitnis et al., 2014; Galvin, 2015)</w:t>
      </w:r>
      <w:r w:rsidR="00243996" w:rsidRPr="00885813">
        <w:rPr>
          <w:rFonts w:eastAsia="Times New Roman" w:cs="Times New Roman"/>
        </w:rPr>
        <w:t>.</w:t>
      </w:r>
    </w:p>
    <w:p w14:paraId="74AB320F" w14:textId="52F3F609"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 xml:space="preserve">Energy justice. Energy justice frameworks have gained traction for analysing transitions in a way that foregrounds equity. Distributive justice considers who gains and who bears costs; procedural justice asks whose voices are heard and how decisions are made; recognition justice highlights how the needs of marginalised or distinct groups are acknowledged (e.g., people with respiratory conditions, shift </w:t>
      </w:r>
      <w:r w:rsidRPr="00885813">
        <w:rPr>
          <w:rFonts w:eastAsia="Times New Roman" w:cs="Times New Roman"/>
          <w:sz w:val="24"/>
        </w:rPr>
        <w:lastRenderedPageBreak/>
        <w:t>workers, families with young children). Applied to social</w:t>
      </w:r>
      <w:r w:rsidRPr="00885813">
        <w:rPr>
          <w:rFonts w:eastAsia="Times New Roman" w:cs="Times New Roman"/>
          <w:sz w:val="24"/>
        </w:rPr>
        <w:noBreakHyphen/>
        <w:t xml:space="preserve">housing retrofit, these lenses invite questions about targeting (prioritising vulnerable households), the quality of engagement (informed consent, language accessibility, clear timelines, support during disruption), and aftercare (support to use systems, resolve defects and manage bills). Embedding justice considerations can improve uptake, </w:t>
      </w:r>
      <w:r w:rsidR="00770714" w:rsidRPr="00885813">
        <w:rPr>
          <w:rFonts w:eastAsia="Times New Roman" w:cs="Times New Roman"/>
          <w:sz w:val="24"/>
        </w:rPr>
        <w:t>performance,</w:t>
      </w:r>
      <w:r w:rsidRPr="00885813">
        <w:rPr>
          <w:rFonts w:eastAsia="Times New Roman" w:cs="Times New Roman"/>
          <w:sz w:val="24"/>
        </w:rPr>
        <w:t xml:space="preserve"> and trust (Jenkins et al., 2016; </w:t>
      </w:r>
      <w:proofErr w:type="spellStart"/>
      <w:r w:rsidRPr="00885813">
        <w:rPr>
          <w:rFonts w:eastAsia="Times New Roman" w:cs="Times New Roman"/>
          <w:sz w:val="24"/>
        </w:rPr>
        <w:t>Sovacool</w:t>
      </w:r>
      <w:proofErr w:type="spellEnd"/>
      <w:r w:rsidRPr="00885813">
        <w:rPr>
          <w:rFonts w:eastAsia="Times New Roman" w:cs="Times New Roman"/>
          <w:sz w:val="24"/>
        </w:rPr>
        <w:t xml:space="preserve"> et al., 2017; Walker, 2012)</w:t>
      </w:r>
      <w:r w:rsidR="00243996" w:rsidRPr="00885813">
        <w:rPr>
          <w:rFonts w:eastAsia="Times New Roman" w:cs="Times New Roman"/>
          <w:sz w:val="24"/>
        </w:rPr>
        <w:t>.</w:t>
      </w:r>
    </w:p>
    <w:p w14:paraId="66AC5B0A" w14:textId="53ECE5B9" w:rsidR="00831DAF" w:rsidRPr="00885813" w:rsidRDefault="00831DAF" w:rsidP="00831DAF">
      <w:pPr>
        <w:spacing w:line="360" w:lineRule="auto"/>
        <w:jc w:val="both"/>
        <w:rPr>
          <w:rFonts w:eastAsia="Times New Roman" w:cs="Times New Roman"/>
        </w:rPr>
      </w:pPr>
      <w:r w:rsidRPr="00885813">
        <w:rPr>
          <w:rFonts w:eastAsia="Times New Roman" w:cs="Times New Roman"/>
        </w:rPr>
        <w:t xml:space="preserve">Measuring energy performance: SAP/EPC versus in-use metrics. The Standard Assessment Procedure (SAP) and Energy Performance Certificates (EPCs) structure compliance and asset management but provide only stylised estimates of performance under standard assumptions. They can be insensitive to ventilation effectiveness, thermal </w:t>
      </w:r>
      <w:r w:rsidR="00770714" w:rsidRPr="00885813">
        <w:rPr>
          <w:rFonts w:eastAsia="Times New Roman" w:cs="Times New Roman"/>
        </w:rPr>
        <w:t>bridges,</w:t>
      </w:r>
      <w:r w:rsidRPr="00885813">
        <w:rPr>
          <w:rFonts w:eastAsia="Times New Roman" w:cs="Times New Roman"/>
        </w:rPr>
        <w:t xml:space="preserve"> and real-world operational patterns. Contemporary guidance (e.g., CIBSE TM54) promotes modelling that better reflects likely operational energy, including unregulated loads and realistic control strategies, and it encourages setting operational targets with post-occupancy feedback. Policy debates in the UK continue about reforming EPCs to better correlate with in-use performance and to support net-zero trajectories. For evaluation, this means EPC/SAP shifts should be treated as intermediate indicators and triangulated with metered data and lived experience (CIBSE, 2022)</w:t>
      </w:r>
      <w:r w:rsidR="00243996" w:rsidRPr="00885813">
        <w:rPr>
          <w:rFonts w:eastAsia="Times New Roman" w:cs="Times New Roman"/>
        </w:rPr>
        <w:t>.</w:t>
      </w:r>
    </w:p>
    <w:p w14:paraId="7D2D768E" w14:textId="223EE296"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Weather normalisation and methods. Building energy is weather</w:t>
      </w:r>
      <w:r w:rsidRPr="00885813">
        <w:rPr>
          <w:rFonts w:eastAsia="Times New Roman" w:cs="Times New Roman"/>
          <w:sz w:val="24"/>
        </w:rPr>
        <w:noBreakHyphen/>
        <w:t>sensitive, particularly for space heating. Heating degree</w:t>
      </w:r>
      <w:r w:rsidRPr="00885813">
        <w:rPr>
          <w:rFonts w:eastAsia="Times New Roman" w:cs="Times New Roman"/>
          <w:sz w:val="24"/>
        </w:rPr>
        <w:noBreakHyphen/>
        <w:t>day (HDD) methods, as set out in CIBSE TM41, provide a pragmatic way to normalise energy use for temperature variation. The choice of base temperature should reflect building characteristics and internal gains and may vary by archetype; analysts often test a range of base temperatures to look at robustness. For causal inference, difference</w:t>
      </w:r>
      <w:r w:rsidRPr="00885813">
        <w:rPr>
          <w:rFonts w:eastAsia="Times New Roman" w:cs="Times New Roman"/>
          <w:sz w:val="24"/>
        </w:rPr>
        <w:noBreakHyphen/>
        <w:t>in</w:t>
      </w:r>
      <w:r w:rsidRPr="00885813">
        <w:rPr>
          <w:rFonts w:eastAsia="Times New Roman" w:cs="Times New Roman"/>
          <w:sz w:val="24"/>
        </w:rPr>
        <w:noBreakHyphen/>
        <w:t>differences designs—comparing treated homes before/after retrofit with similar controls—help isolate retrofit effects from time</w:t>
      </w:r>
      <w:r w:rsidRPr="00885813">
        <w:rPr>
          <w:rFonts w:eastAsia="Times New Roman" w:cs="Times New Roman"/>
          <w:sz w:val="24"/>
        </w:rPr>
        <w:noBreakHyphen/>
        <w:t>varying confounders such as energy</w:t>
      </w:r>
      <w:r w:rsidRPr="00885813">
        <w:rPr>
          <w:rFonts w:eastAsia="Times New Roman" w:cs="Times New Roman"/>
          <w:sz w:val="24"/>
        </w:rPr>
        <w:noBreakHyphen/>
        <w:t xml:space="preserve">price shocks, macroeconomic </w:t>
      </w:r>
      <w:r w:rsidR="00770714" w:rsidRPr="00885813">
        <w:rPr>
          <w:rFonts w:eastAsia="Times New Roman" w:cs="Times New Roman"/>
          <w:sz w:val="24"/>
        </w:rPr>
        <w:t>changes,</w:t>
      </w:r>
      <w:r w:rsidRPr="00885813">
        <w:rPr>
          <w:rFonts w:eastAsia="Times New Roman" w:cs="Times New Roman"/>
          <w:sz w:val="24"/>
        </w:rPr>
        <w:t xml:space="preserve"> or behavioural shifts unrelated to the intervention. Robust applications include checks for pre</w:t>
      </w:r>
      <w:r w:rsidRPr="00885813">
        <w:rPr>
          <w:rFonts w:eastAsia="Times New Roman" w:cs="Times New Roman"/>
          <w:sz w:val="24"/>
        </w:rPr>
        <w:noBreakHyphen/>
        <w:t>trend parallelism, sensitivity analyses using alternative matching criteria and falsification tests</w:t>
      </w:r>
      <w:r w:rsidRPr="00885813">
        <w:rPr>
          <w:rFonts w:eastAsia="Times New Roman" w:cs="Times New Roman"/>
        </w:rPr>
        <w:t xml:space="preserve"> (CIBSE, 2006)</w:t>
      </w:r>
      <w:r w:rsidR="00243996" w:rsidRPr="00885813">
        <w:rPr>
          <w:rFonts w:eastAsia="Times New Roman" w:cs="Times New Roman"/>
        </w:rPr>
        <w:t>.</w:t>
      </w:r>
    </w:p>
    <w:p w14:paraId="542A2351" w14:textId="56CBFA53" w:rsidR="00831DAF" w:rsidRPr="00885813" w:rsidRDefault="00831DAF" w:rsidP="00831DAF">
      <w:pPr>
        <w:spacing w:line="360" w:lineRule="auto"/>
        <w:jc w:val="both"/>
        <w:rPr>
          <w:rFonts w:eastAsia="Times New Roman" w:cs="Times New Roman"/>
        </w:rPr>
      </w:pPr>
      <w:r w:rsidRPr="00885813">
        <w:rPr>
          <w:rFonts w:eastAsia="Times New Roman" w:cs="Times New Roman"/>
        </w:rPr>
        <w:lastRenderedPageBreak/>
        <w:t>Housing, cold</w:t>
      </w:r>
      <w:r w:rsidRPr="00885813">
        <w:rPr>
          <w:rFonts w:eastAsia="Times New Roman" w:cs="Times New Roman"/>
        </w:rPr>
        <w:noBreakHyphen/>
      </w:r>
      <w:r w:rsidR="00770714" w:rsidRPr="00885813">
        <w:rPr>
          <w:rFonts w:eastAsia="Times New Roman" w:cs="Times New Roman"/>
        </w:rPr>
        <w:t>homes,</w:t>
      </w:r>
      <w:r w:rsidRPr="00885813">
        <w:rPr>
          <w:rFonts w:eastAsia="Times New Roman" w:cs="Times New Roman"/>
        </w:rPr>
        <w:t xml:space="preserve"> and health. Public-health findings link cold</w:t>
      </w:r>
      <w:r w:rsidRPr="00885813">
        <w:rPr>
          <w:rFonts w:eastAsia="Times New Roman" w:cs="Times New Roman"/>
        </w:rPr>
        <w:noBreakHyphen/>
        <w:t>homes to excess winter deaths and morbidities, particularly respiratory and cardiovascular conditions, and to adverse outcomes among children and older adults. NICE guideline NG6 recommends coordinated strategies to reduce health risks from cold</w:t>
      </w:r>
      <w:r w:rsidRPr="00885813">
        <w:rPr>
          <w:rFonts w:eastAsia="Times New Roman" w:cs="Times New Roman"/>
        </w:rPr>
        <w:noBreakHyphen/>
        <w:t xml:space="preserve">homes, including referral pathways between health, </w:t>
      </w:r>
      <w:r w:rsidR="00770714" w:rsidRPr="00885813">
        <w:rPr>
          <w:rFonts w:eastAsia="Times New Roman" w:cs="Times New Roman"/>
        </w:rPr>
        <w:t>housing,</w:t>
      </w:r>
      <w:r w:rsidRPr="00885813">
        <w:rPr>
          <w:rFonts w:eastAsia="Times New Roman" w:cs="Times New Roman"/>
        </w:rPr>
        <w:t xml:space="preserve"> and energy services. The Marmot Review Team has argued that improving thermal efficiency and affordable warmth can reduce avoidable health inequalities. For social landlords and policymakers this underscores that retrofit is not merely a carbon or cost issue but a public-health intervention with potential to reduce NHS burden.</w:t>
      </w:r>
    </w:p>
    <w:p w14:paraId="6F99AC78"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4" w:name="_Toc225760711"/>
      <w:r w:rsidRPr="00885813">
        <w:rPr>
          <w:rFonts w:eastAsia="Times New Roman" w:cs="Times New Roman"/>
          <w:color w:val="0F4761" w:themeColor="accent1" w:themeShade="BF"/>
          <w:sz w:val="24"/>
          <w:szCs w:val="40"/>
        </w:rPr>
        <w:t>5. Method</w:t>
      </w:r>
      <w:bookmarkEnd w:id="4"/>
    </w:p>
    <w:p w14:paraId="757A73D2" w14:textId="5AD82F0A"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Overall design. A mixed</w:t>
      </w:r>
      <w:r w:rsidRPr="00885813">
        <w:rPr>
          <w:rFonts w:eastAsia="Times New Roman" w:cs="Times New Roman"/>
          <w:sz w:val="24"/>
        </w:rPr>
        <w:noBreakHyphen/>
        <w:t>methods case study will be conducted with one or more Welsh social landlords actively delivering ORP</w:t>
      </w:r>
      <w:r w:rsidRPr="00885813">
        <w:rPr>
          <w:rFonts w:eastAsia="Times New Roman" w:cs="Times New Roman"/>
          <w:sz w:val="24"/>
        </w:rPr>
        <w:noBreakHyphen/>
        <w:t xml:space="preserve">aligned retrofit. The quantitative component will estimate realised energy and affordability outcomes; the qualitative component will explore implementation processes, tenant </w:t>
      </w:r>
      <w:r w:rsidR="00770714" w:rsidRPr="00885813">
        <w:rPr>
          <w:rFonts w:eastAsia="Times New Roman" w:cs="Times New Roman"/>
          <w:sz w:val="24"/>
        </w:rPr>
        <w:t>experiences,</w:t>
      </w:r>
      <w:r w:rsidRPr="00885813">
        <w:rPr>
          <w:rFonts w:eastAsia="Times New Roman" w:cs="Times New Roman"/>
          <w:sz w:val="24"/>
        </w:rPr>
        <w:t xml:space="preserve"> and justice dimensions. Integrating the strands will enable explanation of ‘why’ behind measured impacts and support practical recommendations.</w:t>
      </w:r>
    </w:p>
    <w:p w14:paraId="75BA45C8" w14:textId="6D5F9880"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Sampling. The study will construct a treated cohort of dwellings that received defined retrofit packages between April 2022 and March 2025 (to capture at least one full heating season post</w:t>
      </w:r>
      <w:r w:rsidRPr="00885813">
        <w:rPr>
          <w:rFonts w:eastAsia="Times New Roman" w:cs="Times New Roman"/>
          <w:sz w:val="24"/>
        </w:rPr>
        <w:noBreakHyphen/>
        <w:t>retrofit) and a comparison cohort not yet retrofitted by the cut</w:t>
      </w:r>
      <w:r w:rsidRPr="00885813">
        <w:rPr>
          <w:rFonts w:eastAsia="Times New Roman" w:cs="Times New Roman"/>
          <w:sz w:val="24"/>
        </w:rPr>
        <w:noBreakHyphen/>
        <w:t>off date but scheduled for later phases. Matching will be on dwelling archetype (e.g., pre</w:t>
      </w:r>
      <w:r w:rsidRPr="00885813">
        <w:rPr>
          <w:rFonts w:eastAsia="Times New Roman" w:cs="Times New Roman"/>
          <w:sz w:val="24"/>
        </w:rPr>
        <w:noBreakHyphen/>
        <w:t>1919 solid</w:t>
      </w:r>
      <w:r w:rsidRPr="00885813">
        <w:rPr>
          <w:rFonts w:eastAsia="Times New Roman" w:cs="Times New Roman"/>
          <w:sz w:val="24"/>
        </w:rPr>
        <w:noBreakHyphen/>
        <w:t>wall terrace, 1945–64 semi, 1965–80 low</w:t>
      </w:r>
      <w:r w:rsidRPr="00885813">
        <w:rPr>
          <w:rFonts w:eastAsia="Times New Roman" w:cs="Times New Roman"/>
          <w:sz w:val="24"/>
        </w:rPr>
        <w:noBreakHyphen/>
        <w:t>rise flat), size, primary heating fuel pre</w:t>
      </w:r>
      <w:r w:rsidRPr="00885813">
        <w:rPr>
          <w:rFonts w:eastAsia="Times New Roman" w:cs="Times New Roman"/>
          <w:sz w:val="24"/>
        </w:rPr>
        <w:noBreakHyphen/>
        <w:t xml:space="preserve">intervention, urban/rural </w:t>
      </w:r>
      <w:r w:rsidR="00770714" w:rsidRPr="00885813">
        <w:rPr>
          <w:rFonts w:eastAsia="Times New Roman" w:cs="Times New Roman"/>
          <w:sz w:val="24"/>
        </w:rPr>
        <w:t>location,</w:t>
      </w:r>
      <w:r w:rsidRPr="00885813">
        <w:rPr>
          <w:rFonts w:eastAsia="Times New Roman" w:cs="Times New Roman"/>
          <w:sz w:val="24"/>
        </w:rPr>
        <w:t xml:space="preserve"> and baseline EPC band/</w:t>
      </w:r>
      <w:proofErr w:type="spellStart"/>
      <w:r w:rsidRPr="00885813">
        <w:rPr>
          <w:rFonts w:eastAsia="Times New Roman" w:cs="Times New Roman"/>
          <w:sz w:val="24"/>
        </w:rPr>
        <w:t>RdSAP</w:t>
      </w:r>
      <w:proofErr w:type="spellEnd"/>
      <w:r w:rsidRPr="00885813">
        <w:rPr>
          <w:rFonts w:eastAsia="Times New Roman" w:cs="Times New Roman"/>
          <w:sz w:val="24"/>
        </w:rPr>
        <w:t>. Where available, additional pre</w:t>
      </w:r>
      <w:r w:rsidRPr="00885813">
        <w:rPr>
          <w:rFonts w:eastAsia="Times New Roman" w:cs="Times New Roman"/>
          <w:sz w:val="24"/>
        </w:rPr>
        <w:noBreakHyphen/>
        <w:t xml:space="preserve">intervention consumption history will be used for matching quality. Target sample size will be determined by data availability, but a minimum of 150–250 treated homes and an equal number of controls would provide adequate power to detect moderate percentage changes in delivered kWh under </w:t>
      </w:r>
      <w:proofErr w:type="spellStart"/>
      <w:r w:rsidRPr="00885813">
        <w:rPr>
          <w:rFonts w:eastAsia="Times New Roman" w:cs="Times New Roman"/>
          <w:sz w:val="24"/>
        </w:rPr>
        <w:t>DiD</w:t>
      </w:r>
      <w:proofErr w:type="spellEnd"/>
      <w:r w:rsidRPr="00885813">
        <w:rPr>
          <w:rFonts w:eastAsia="Times New Roman" w:cs="Times New Roman"/>
          <w:sz w:val="24"/>
        </w:rPr>
        <w:t xml:space="preserve"> with dwelling fixed effects.</w:t>
      </w:r>
    </w:p>
    <w:p w14:paraId="06140BA9" w14:textId="3CDEB148"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lastRenderedPageBreak/>
        <w:t>Data sources. (</w:t>
      </w:r>
      <w:proofErr w:type="spellStart"/>
      <w:r w:rsidRPr="00885813">
        <w:rPr>
          <w:rFonts w:eastAsia="Times New Roman" w:cs="Times New Roman"/>
          <w:sz w:val="24"/>
        </w:rPr>
        <w:t>i</w:t>
      </w:r>
      <w:proofErr w:type="spellEnd"/>
      <w:r w:rsidRPr="00885813">
        <w:rPr>
          <w:rFonts w:eastAsia="Times New Roman" w:cs="Times New Roman"/>
          <w:sz w:val="24"/>
        </w:rPr>
        <w:t>) Metered energy data (gas and electricity), ideally half</w:t>
      </w:r>
      <w:r w:rsidRPr="00885813">
        <w:rPr>
          <w:rFonts w:eastAsia="Times New Roman" w:cs="Times New Roman"/>
          <w:sz w:val="24"/>
        </w:rPr>
        <w:noBreakHyphen/>
        <w:t>hourly from smart meters; where not available, monthly/quarterly billing data will be used with appropriate caveats. (ii) Weather data: local degree</w:t>
      </w:r>
      <w:r w:rsidRPr="00885813">
        <w:rPr>
          <w:rFonts w:eastAsia="Times New Roman" w:cs="Times New Roman"/>
          <w:sz w:val="24"/>
        </w:rPr>
        <w:noBreakHyphen/>
        <w:t>day series from a proximate weather station. (iii) Asset and works data: measures installed, dates, costs, installers, commissioning records; pre</w:t>
      </w:r>
      <w:r w:rsidRPr="00885813">
        <w:rPr>
          <w:rFonts w:eastAsia="Times New Roman" w:cs="Times New Roman"/>
          <w:sz w:val="24"/>
        </w:rPr>
        <w:noBreakHyphen/>
        <w:t xml:space="preserve"> and post</w:t>
      </w:r>
      <w:r w:rsidRPr="00885813">
        <w:rPr>
          <w:rFonts w:eastAsia="Times New Roman" w:cs="Times New Roman"/>
          <w:sz w:val="24"/>
        </w:rPr>
        <w:noBreakHyphen/>
        <w:t>retrofit SAP/</w:t>
      </w:r>
      <w:proofErr w:type="spellStart"/>
      <w:r w:rsidRPr="00885813">
        <w:rPr>
          <w:rFonts w:eastAsia="Times New Roman" w:cs="Times New Roman"/>
          <w:sz w:val="24"/>
        </w:rPr>
        <w:t>RdSAP</w:t>
      </w:r>
      <w:proofErr w:type="spellEnd"/>
      <w:r w:rsidRPr="00885813">
        <w:rPr>
          <w:rFonts w:eastAsia="Times New Roman" w:cs="Times New Roman"/>
          <w:sz w:val="24"/>
        </w:rPr>
        <w:t xml:space="preserve"> files where available. (iv) Tenant surveys (pre/post or post</w:t>
      </w:r>
      <w:r w:rsidRPr="00885813">
        <w:rPr>
          <w:rFonts w:eastAsia="Times New Roman" w:cs="Times New Roman"/>
          <w:sz w:val="24"/>
        </w:rPr>
        <w:noBreakHyphen/>
        <w:t>only with recall anchors) capturing perceived comfort, heating patterns, damp/condensation, self</w:t>
      </w:r>
      <w:r w:rsidRPr="00885813">
        <w:rPr>
          <w:rFonts w:eastAsia="Times New Roman" w:cs="Times New Roman"/>
          <w:sz w:val="24"/>
        </w:rPr>
        <w:noBreakHyphen/>
        <w:t>reported bills and satisfaction with works and handover. (v) Semi</w:t>
      </w:r>
      <w:r w:rsidRPr="00885813">
        <w:rPr>
          <w:rFonts w:eastAsia="Times New Roman" w:cs="Times New Roman"/>
          <w:sz w:val="24"/>
        </w:rPr>
        <w:noBreakHyphen/>
        <w:t xml:space="preserve">structured interviews with tenants (n≈20–30) purposively sampled across archetypes and measure bundles, and with delivery actors (n≈10–15) including retrofit coordinators, site managers, energy </w:t>
      </w:r>
      <w:r w:rsidR="00770714" w:rsidRPr="00885813">
        <w:rPr>
          <w:rFonts w:eastAsia="Times New Roman" w:cs="Times New Roman"/>
          <w:sz w:val="24"/>
        </w:rPr>
        <w:t>advisors,</w:t>
      </w:r>
      <w:r w:rsidRPr="00885813">
        <w:rPr>
          <w:rFonts w:eastAsia="Times New Roman" w:cs="Times New Roman"/>
          <w:sz w:val="24"/>
        </w:rPr>
        <w:t xml:space="preserve"> and housing officers. (vi) For a small sub</w:t>
      </w:r>
      <w:r w:rsidRPr="00885813">
        <w:rPr>
          <w:rFonts w:eastAsia="Times New Roman" w:cs="Times New Roman"/>
          <w:sz w:val="24"/>
        </w:rPr>
        <w:noBreakHyphen/>
        <w:t>sample (n≈15), spot</w:t>
      </w:r>
      <w:r w:rsidRPr="00885813">
        <w:rPr>
          <w:rFonts w:eastAsia="Times New Roman" w:cs="Times New Roman"/>
          <w:sz w:val="24"/>
        </w:rPr>
        <w:noBreakHyphen/>
        <w:t>measurement of indoor temperature and relative humidity using data</w:t>
      </w:r>
      <w:r w:rsidRPr="00885813">
        <w:rPr>
          <w:rFonts w:eastAsia="Times New Roman" w:cs="Times New Roman"/>
          <w:sz w:val="24"/>
        </w:rPr>
        <w:noBreakHyphen/>
        <w:t>loggers over a two</w:t>
      </w:r>
      <w:r w:rsidRPr="00885813">
        <w:rPr>
          <w:rFonts w:eastAsia="Times New Roman" w:cs="Times New Roman"/>
          <w:sz w:val="24"/>
        </w:rPr>
        <w:noBreakHyphen/>
        <w:t>week winter period to triangulate comfort claims and condensation risk.</w:t>
      </w:r>
    </w:p>
    <w:p w14:paraId="4A100B91" w14:textId="221F55E2"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Outcome definition and weather normalisation. Primary outcomes are weather</w:t>
      </w:r>
      <w:r w:rsidRPr="00885813">
        <w:rPr>
          <w:rFonts w:eastAsia="Times New Roman" w:cs="Times New Roman"/>
          <w:sz w:val="24"/>
        </w:rPr>
        <w:noBreakHyphen/>
        <w:t>normalised annual kWh for space and water heating (for gas</w:t>
      </w:r>
      <w:r w:rsidRPr="00885813">
        <w:rPr>
          <w:rFonts w:eastAsia="Times New Roman" w:cs="Times New Roman"/>
          <w:sz w:val="24"/>
        </w:rPr>
        <w:noBreakHyphen/>
        <w:t>heated dwellings, total gas kWh adjusted for estimated cooking where material; for electrically</w:t>
      </w:r>
      <w:r w:rsidRPr="00885813">
        <w:rPr>
          <w:rFonts w:eastAsia="Times New Roman" w:cs="Times New Roman"/>
          <w:sz w:val="24"/>
        </w:rPr>
        <w:noBreakHyphen/>
        <w:t>heated dwellings, decomposition will use heat</w:t>
      </w:r>
      <w:r w:rsidRPr="00885813">
        <w:rPr>
          <w:rFonts w:eastAsia="Times New Roman" w:cs="Times New Roman"/>
          <w:sz w:val="24"/>
        </w:rPr>
        <w:noBreakHyphen/>
        <w:t>pump sub</w:t>
      </w:r>
      <w:r w:rsidRPr="00885813">
        <w:rPr>
          <w:rFonts w:eastAsia="Times New Roman" w:cs="Times New Roman"/>
          <w:sz w:val="24"/>
        </w:rPr>
        <w:noBreakHyphen/>
        <w:t>metering if available or COP</w:t>
      </w:r>
      <w:r w:rsidRPr="00885813">
        <w:rPr>
          <w:rFonts w:eastAsia="Times New Roman" w:cs="Times New Roman"/>
          <w:sz w:val="24"/>
        </w:rPr>
        <w:noBreakHyphen/>
        <w:t>based estimation) and total delivered energy. HDD normalisation will follow TM41, with sensitivity tests across base temperatures (e.g., 15.5, 17.0, 18.5°C) and with regression</w:t>
      </w:r>
      <w:r w:rsidRPr="00885813">
        <w:rPr>
          <w:rFonts w:eastAsia="Times New Roman" w:cs="Times New Roman"/>
          <w:sz w:val="24"/>
        </w:rPr>
        <w:noBreakHyphen/>
        <w:t>based approaches where half</w:t>
      </w:r>
      <w:r w:rsidRPr="00885813">
        <w:rPr>
          <w:rFonts w:eastAsia="Times New Roman" w:cs="Times New Roman"/>
          <w:sz w:val="24"/>
        </w:rPr>
        <w:noBreakHyphen/>
        <w:t>hourly data permit. Secondary outcomes include electricity</w:t>
      </w:r>
      <w:r w:rsidRPr="00885813">
        <w:rPr>
          <w:rFonts w:eastAsia="Times New Roman" w:cs="Times New Roman"/>
          <w:sz w:val="24"/>
        </w:rPr>
        <w:noBreakHyphen/>
        <w:t>only use (to detect any electrification effect), bill proxies (kWh multiplied by contemporaneous tariffs for context), affordability metrics (energy share of income where feasible), and comfort/IAQ proxies (survey responses and logger data). Health outcomes will be limited to self</w:t>
      </w:r>
      <w:r w:rsidRPr="00885813">
        <w:rPr>
          <w:rFonts w:eastAsia="Times New Roman" w:cs="Times New Roman"/>
          <w:sz w:val="24"/>
        </w:rPr>
        <w:noBreakHyphen/>
        <w:t>reported respiratory symptoms or GP visits where volunteered; the study will not access medical records</w:t>
      </w:r>
      <w:r w:rsidRPr="00885813">
        <w:rPr>
          <w:rFonts w:eastAsia="Times New Roman" w:cs="Times New Roman"/>
        </w:rPr>
        <w:t xml:space="preserve"> (CIBSE, 2006)</w:t>
      </w:r>
      <w:r w:rsidR="00243996" w:rsidRPr="00885813">
        <w:rPr>
          <w:rFonts w:eastAsia="Times New Roman" w:cs="Times New Roman"/>
        </w:rPr>
        <w:t>.</w:t>
      </w:r>
    </w:p>
    <w:p w14:paraId="649883DA" w14:textId="248FBD5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Identification strategy and estimation. The principal estimator will be a dwelling</w:t>
      </w:r>
      <w:r w:rsidRPr="00885813">
        <w:rPr>
          <w:rFonts w:eastAsia="Times New Roman" w:cs="Times New Roman"/>
          <w:sz w:val="24"/>
        </w:rPr>
        <w:noBreakHyphen/>
        <w:t>level two</w:t>
      </w:r>
      <w:r w:rsidRPr="00885813">
        <w:rPr>
          <w:rFonts w:eastAsia="Times New Roman" w:cs="Times New Roman"/>
          <w:sz w:val="24"/>
        </w:rPr>
        <w:noBreakHyphen/>
        <w:t>way fixed</w:t>
      </w:r>
      <w:r w:rsidRPr="00885813">
        <w:rPr>
          <w:rFonts w:eastAsia="Times New Roman" w:cs="Times New Roman"/>
          <w:sz w:val="24"/>
        </w:rPr>
        <w:noBreakHyphen/>
        <w:t xml:space="preserve">effects </w:t>
      </w:r>
      <w:proofErr w:type="spellStart"/>
      <w:r w:rsidRPr="00885813">
        <w:rPr>
          <w:rFonts w:eastAsia="Times New Roman" w:cs="Times New Roman"/>
          <w:sz w:val="24"/>
        </w:rPr>
        <w:t>DiD</w:t>
      </w:r>
      <w:proofErr w:type="spellEnd"/>
      <w:r w:rsidRPr="00885813">
        <w:rPr>
          <w:rFonts w:eastAsia="Times New Roman" w:cs="Times New Roman"/>
          <w:sz w:val="24"/>
        </w:rPr>
        <w:t xml:space="preserve"> model: </w:t>
      </w:r>
      <w:proofErr w:type="spellStart"/>
      <w:r w:rsidRPr="00885813">
        <w:rPr>
          <w:rFonts w:eastAsia="Times New Roman" w:cs="Times New Roman"/>
          <w:sz w:val="24"/>
        </w:rPr>
        <w:t>y_it</w:t>
      </w:r>
      <w:proofErr w:type="spellEnd"/>
      <w:r w:rsidRPr="00885813">
        <w:rPr>
          <w:rFonts w:eastAsia="Times New Roman" w:cs="Times New Roman"/>
          <w:sz w:val="24"/>
        </w:rPr>
        <w:t xml:space="preserve"> = α_</w:t>
      </w:r>
      <w:proofErr w:type="spellStart"/>
      <w:r w:rsidRPr="00885813">
        <w:rPr>
          <w:rFonts w:eastAsia="Times New Roman" w:cs="Times New Roman"/>
          <w:sz w:val="24"/>
        </w:rPr>
        <w:t>i</w:t>
      </w:r>
      <w:proofErr w:type="spellEnd"/>
      <w:r w:rsidRPr="00885813">
        <w:rPr>
          <w:rFonts w:eastAsia="Times New Roman" w:cs="Times New Roman"/>
          <w:sz w:val="24"/>
        </w:rPr>
        <w:t xml:space="preserve"> + </w:t>
      </w:r>
      <w:proofErr w:type="spellStart"/>
      <w:r w:rsidRPr="00885813">
        <w:rPr>
          <w:rFonts w:eastAsia="Times New Roman" w:cs="Times New Roman"/>
          <w:sz w:val="24"/>
        </w:rPr>
        <w:t>δ_t</w:t>
      </w:r>
      <w:proofErr w:type="spellEnd"/>
      <w:r w:rsidRPr="00885813">
        <w:rPr>
          <w:rFonts w:eastAsia="Times New Roman" w:cs="Times New Roman"/>
          <w:sz w:val="24"/>
        </w:rPr>
        <w:t xml:space="preserve"> + β·</w:t>
      </w:r>
      <w:r w:rsidR="00770714" w:rsidRPr="00885813">
        <w:rPr>
          <w:rFonts w:eastAsia="Times New Roman" w:cs="Times New Roman"/>
          <w:sz w:val="24"/>
        </w:rPr>
        <w:t>Treatment it</w:t>
      </w:r>
      <w:r w:rsidRPr="00885813">
        <w:rPr>
          <w:rFonts w:eastAsia="Times New Roman" w:cs="Times New Roman"/>
          <w:sz w:val="24"/>
        </w:rPr>
        <w:t xml:space="preserve"> + </w:t>
      </w:r>
      <w:proofErr w:type="spellStart"/>
      <w:r w:rsidRPr="00885813">
        <w:rPr>
          <w:rFonts w:eastAsia="Times New Roman" w:cs="Times New Roman"/>
          <w:sz w:val="24"/>
        </w:rPr>
        <w:t>X_it·γ</w:t>
      </w:r>
      <w:proofErr w:type="spellEnd"/>
      <w:r w:rsidRPr="00885813">
        <w:rPr>
          <w:rFonts w:eastAsia="Times New Roman" w:cs="Times New Roman"/>
          <w:sz w:val="24"/>
        </w:rPr>
        <w:t xml:space="preserve"> + </w:t>
      </w:r>
      <w:proofErr w:type="spellStart"/>
      <w:r w:rsidRPr="00885813">
        <w:rPr>
          <w:rFonts w:eastAsia="Times New Roman" w:cs="Times New Roman"/>
          <w:sz w:val="24"/>
        </w:rPr>
        <w:t>ε_it</w:t>
      </w:r>
      <w:proofErr w:type="spellEnd"/>
      <w:r w:rsidRPr="00885813">
        <w:rPr>
          <w:rFonts w:eastAsia="Times New Roman" w:cs="Times New Roman"/>
          <w:sz w:val="24"/>
        </w:rPr>
        <w:t xml:space="preserve">, where </w:t>
      </w:r>
      <w:proofErr w:type="spellStart"/>
      <w:r w:rsidRPr="00885813">
        <w:rPr>
          <w:rFonts w:eastAsia="Times New Roman" w:cs="Times New Roman"/>
          <w:sz w:val="24"/>
        </w:rPr>
        <w:lastRenderedPageBreak/>
        <w:t>y_it</w:t>
      </w:r>
      <w:proofErr w:type="spellEnd"/>
      <w:r w:rsidRPr="00885813">
        <w:rPr>
          <w:rFonts w:eastAsia="Times New Roman" w:cs="Times New Roman"/>
          <w:sz w:val="24"/>
        </w:rPr>
        <w:t xml:space="preserve"> is weather</w:t>
      </w:r>
      <w:r w:rsidRPr="00885813">
        <w:rPr>
          <w:rFonts w:eastAsia="Times New Roman" w:cs="Times New Roman"/>
          <w:sz w:val="24"/>
        </w:rPr>
        <w:noBreakHyphen/>
        <w:t>normalised kWh (or log</w:t>
      </w:r>
      <w:r w:rsidRPr="00885813">
        <w:rPr>
          <w:rFonts w:eastAsia="Times New Roman" w:cs="Times New Roman"/>
          <w:sz w:val="24"/>
        </w:rPr>
        <w:noBreakHyphen/>
        <w:t xml:space="preserve">kWh) for dwelling </w:t>
      </w:r>
      <w:proofErr w:type="spellStart"/>
      <w:r w:rsidRPr="00885813">
        <w:rPr>
          <w:rFonts w:eastAsia="Times New Roman" w:cs="Times New Roman"/>
          <w:sz w:val="24"/>
        </w:rPr>
        <w:t>i</w:t>
      </w:r>
      <w:proofErr w:type="spellEnd"/>
      <w:r w:rsidRPr="00885813">
        <w:rPr>
          <w:rFonts w:eastAsia="Times New Roman" w:cs="Times New Roman"/>
          <w:sz w:val="24"/>
        </w:rPr>
        <w:t xml:space="preserve"> in period t; α_</w:t>
      </w:r>
      <w:proofErr w:type="spellStart"/>
      <w:r w:rsidRPr="00885813">
        <w:rPr>
          <w:rFonts w:eastAsia="Times New Roman" w:cs="Times New Roman"/>
          <w:sz w:val="24"/>
        </w:rPr>
        <w:t>i</w:t>
      </w:r>
      <w:proofErr w:type="spellEnd"/>
      <w:r w:rsidRPr="00885813">
        <w:rPr>
          <w:rFonts w:eastAsia="Times New Roman" w:cs="Times New Roman"/>
          <w:sz w:val="24"/>
        </w:rPr>
        <w:t xml:space="preserve"> capture time</w:t>
      </w:r>
      <w:r w:rsidRPr="00885813">
        <w:rPr>
          <w:rFonts w:eastAsia="Times New Roman" w:cs="Times New Roman"/>
          <w:sz w:val="24"/>
        </w:rPr>
        <w:noBreakHyphen/>
        <w:t xml:space="preserve">invariant dwelling characteristics; </w:t>
      </w:r>
      <w:proofErr w:type="spellStart"/>
      <w:r w:rsidRPr="00885813">
        <w:rPr>
          <w:rFonts w:eastAsia="Times New Roman" w:cs="Times New Roman"/>
          <w:sz w:val="24"/>
        </w:rPr>
        <w:t>δ_t</w:t>
      </w:r>
      <w:proofErr w:type="spellEnd"/>
      <w:r w:rsidRPr="00885813">
        <w:rPr>
          <w:rFonts w:eastAsia="Times New Roman" w:cs="Times New Roman"/>
          <w:sz w:val="24"/>
        </w:rPr>
        <w:t xml:space="preserve"> capture common shocks (including energy</w:t>
      </w:r>
      <w:r w:rsidRPr="00885813">
        <w:rPr>
          <w:rFonts w:eastAsia="Times New Roman" w:cs="Times New Roman"/>
          <w:sz w:val="24"/>
        </w:rPr>
        <w:noBreakHyphen/>
        <w:t xml:space="preserve">price environments); </w:t>
      </w:r>
      <w:r w:rsidR="00770714" w:rsidRPr="00885813">
        <w:rPr>
          <w:rFonts w:eastAsia="Times New Roman" w:cs="Times New Roman"/>
          <w:sz w:val="24"/>
        </w:rPr>
        <w:t>Treatment it</w:t>
      </w:r>
      <w:r w:rsidRPr="00885813">
        <w:rPr>
          <w:rFonts w:eastAsia="Times New Roman" w:cs="Times New Roman"/>
          <w:sz w:val="24"/>
        </w:rPr>
        <w:t xml:space="preserve"> indicates the post</w:t>
      </w:r>
      <w:r w:rsidRPr="00885813">
        <w:rPr>
          <w:rFonts w:eastAsia="Times New Roman" w:cs="Times New Roman"/>
          <w:sz w:val="24"/>
        </w:rPr>
        <w:noBreakHyphen/>
        <w:t xml:space="preserve">retrofit period for treated dwellings; and </w:t>
      </w:r>
      <w:proofErr w:type="spellStart"/>
      <w:r w:rsidRPr="00885813">
        <w:rPr>
          <w:rFonts w:eastAsia="Times New Roman" w:cs="Times New Roman"/>
          <w:sz w:val="24"/>
        </w:rPr>
        <w:t>X_it</w:t>
      </w:r>
      <w:proofErr w:type="spellEnd"/>
      <w:r w:rsidRPr="00885813">
        <w:rPr>
          <w:rFonts w:eastAsia="Times New Roman" w:cs="Times New Roman"/>
          <w:sz w:val="24"/>
        </w:rPr>
        <w:t xml:space="preserve"> includes time</w:t>
      </w:r>
      <w:r w:rsidRPr="00885813">
        <w:rPr>
          <w:rFonts w:eastAsia="Times New Roman" w:cs="Times New Roman"/>
          <w:sz w:val="24"/>
        </w:rPr>
        <w:noBreakHyphen/>
        <w:t>varying controls (household size changes if available, tariff type, prepayment status). Event</w:t>
      </w:r>
      <w:r w:rsidRPr="00885813">
        <w:rPr>
          <w:rFonts w:eastAsia="Times New Roman" w:cs="Times New Roman"/>
          <w:sz w:val="24"/>
        </w:rPr>
        <w:noBreakHyphen/>
        <w:t>study specifications will test the parallel</w:t>
      </w:r>
      <w:r w:rsidRPr="00885813">
        <w:rPr>
          <w:rFonts w:eastAsia="Times New Roman" w:cs="Times New Roman"/>
          <w:sz w:val="24"/>
        </w:rPr>
        <w:noBreakHyphen/>
        <w:t>trends assumption and explore dynamic effects in each heating season relative to installation. Heterogeneity will be explored by archetype, measure bundle (e.g., fabric</w:t>
      </w:r>
      <w:r w:rsidRPr="00885813">
        <w:rPr>
          <w:rFonts w:eastAsia="Times New Roman" w:cs="Times New Roman"/>
          <w:sz w:val="24"/>
        </w:rPr>
        <w:noBreakHyphen/>
        <w:t xml:space="preserve">only versus </w:t>
      </w:r>
      <w:proofErr w:type="spellStart"/>
      <w:r w:rsidRPr="00885813">
        <w:rPr>
          <w:rFonts w:eastAsia="Times New Roman" w:cs="Times New Roman"/>
          <w:sz w:val="24"/>
        </w:rPr>
        <w:t>fabric+heat</w:t>
      </w:r>
      <w:proofErr w:type="spellEnd"/>
      <w:r w:rsidRPr="00885813">
        <w:rPr>
          <w:rFonts w:eastAsia="Times New Roman" w:cs="Times New Roman"/>
          <w:sz w:val="24"/>
        </w:rPr>
        <w:t xml:space="preserve"> pump), and baseline EPC band.</w:t>
      </w:r>
    </w:p>
    <w:p w14:paraId="4A073BA7"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Handling data limitations. Missing data are expected, especially for homes without smart meters or with tenancy changes. Strategies include restricting to balanced panels for the main estimate, with inverse</w:t>
      </w:r>
      <w:r w:rsidRPr="00885813">
        <w:rPr>
          <w:rFonts w:eastAsia="Times New Roman" w:cs="Times New Roman"/>
          <w:sz w:val="24"/>
        </w:rPr>
        <w:noBreakHyphen/>
        <w:t>probability weighting for attrition; imputing small gaps using interpolation only where justified; and performing robustness checks excluding dwellings with significant occupancy changes. Prepayment meters will be flagged due to known under</w:t>
      </w:r>
      <w:r w:rsidRPr="00885813">
        <w:rPr>
          <w:rFonts w:eastAsia="Times New Roman" w:cs="Times New Roman"/>
          <w:sz w:val="24"/>
        </w:rPr>
        <w:noBreakHyphen/>
        <w:t>heating behaviours and risk of self</w:t>
      </w:r>
      <w:r w:rsidRPr="00885813">
        <w:rPr>
          <w:rFonts w:eastAsia="Times New Roman" w:cs="Times New Roman"/>
          <w:sz w:val="24"/>
        </w:rPr>
        <w:noBreakHyphen/>
        <w:t>disconnection; results will be reported separately for this subgroup where numbers allow.</w:t>
      </w:r>
    </w:p>
    <w:p w14:paraId="1288605E"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Qualitative methods. Interview topic guides will be developed around (a) expectations and communication; (b) experience of works (disruption, support, safeguarding); (c) handover and control of systems (thermostats, TRVs, heat</w:t>
      </w:r>
      <w:r w:rsidRPr="00885813">
        <w:rPr>
          <w:rFonts w:eastAsia="Times New Roman" w:cs="Times New Roman"/>
          <w:sz w:val="24"/>
        </w:rPr>
        <w:noBreakHyphen/>
        <w:t>pump interfaces, MVHR); (d) perceived comfort, damp/condensation and bills after retrofit; (e) experiences of reporting defects and getting aftercare. For delivery actors, topics will include supply</w:t>
      </w:r>
      <w:r w:rsidRPr="00885813">
        <w:rPr>
          <w:rFonts w:eastAsia="Times New Roman" w:cs="Times New Roman"/>
          <w:sz w:val="24"/>
        </w:rPr>
        <w:noBreakHyphen/>
        <w:t>chain capacity, commissioning practices, quality assurance, monitoring, and how justice considerations are operationalised (e.g., prioritisation of vulnerable tenants, translation/accessible formats, flexible appointment scheduling). Interviews will be recorded with consent, transcribed, and analysed thematically using a coding frame structured by energy</w:t>
      </w:r>
      <w:r w:rsidRPr="00885813">
        <w:rPr>
          <w:rFonts w:eastAsia="Times New Roman" w:cs="Times New Roman"/>
          <w:sz w:val="24"/>
        </w:rPr>
        <w:noBreakHyphen/>
        <w:t>justice dimensions and emergent themes.</w:t>
      </w:r>
    </w:p>
    <w:p w14:paraId="14E5C2CE"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lastRenderedPageBreak/>
        <w:t>Integration. A joint display will align quantitative findings (e.g., measured savings, comfort proxies) with qualitative explanations (e.g., commissioning issues, control usability) to generate explanatory insights. For example, if heat</w:t>
      </w:r>
      <w:r w:rsidRPr="00885813">
        <w:rPr>
          <w:rFonts w:eastAsia="Times New Roman" w:cs="Times New Roman"/>
          <w:sz w:val="24"/>
        </w:rPr>
        <w:noBreakHyphen/>
        <w:t>pump homes show lower</w:t>
      </w:r>
      <w:r w:rsidRPr="00885813">
        <w:rPr>
          <w:rFonts w:eastAsia="Times New Roman" w:cs="Times New Roman"/>
          <w:sz w:val="24"/>
        </w:rPr>
        <w:noBreakHyphen/>
        <w:t>than</w:t>
      </w:r>
      <w:r w:rsidRPr="00885813">
        <w:rPr>
          <w:rFonts w:eastAsia="Times New Roman" w:cs="Times New Roman"/>
          <w:sz w:val="24"/>
        </w:rPr>
        <w:noBreakHyphen/>
        <w:t>expected savings, interview findings about set</w:t>
      </w:r>
      <w:r w:rsidRPr="00885813">
        <w:rPr>
          <w:rFonts w:eastAsia="Times New Roman" w:cs="Times New Roman"/>
          <w:sz w:val="24"/>
        </w:rPr>
        <w:noBreakHyphen/>
        <w:t>point choices, hot</w:t>
      </w:r>
      <w:r w:rsidRPr="00885813">
        <w:rPr>
          <w:rFonts w:eastAsia="Times New Roman" w:cs="Times New Roman"/>
          <w:sz w:val="24"/>
        </w:rPr>
        <w:noBreakHyphen/>
        <w:t>water schedules or confusion about weather compensation will be used to interpret the results and formulate targeted recommendations for handover and support.</w:t>
      </w:r>
    </w:p>
    <w:p w14:paraId="4D6F0558"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Quality assurance and transparency. All analysis code will be documented and archived. Assumptions (e.g., base temperatures, COP estimates) will be reported with sensitivity ranges. The dissertation will follow TRIPOD</w:t>
      </w:r>
      <w:r w:rsidRPr="00885813">
        <w:rPr>
          <w:rFonts w:eastAsia="Times New Roman" w:cs="Times New Roman"/>
          <w:sz w:val="24"/>
        </w:rPr>
        <w:noBreakHyphen/>
        <w:t>style transparency for observational analyses and COREQ for qualitative reporting. Limitations—including selection into treatment timing and non</w:t>
      </w:r>
      <w:r w:rsidRPr="00885813">
        <w:rPr>
          <w:rFonts w:eastAsia="Times New Roman" w:cs="Times New Roman"/>
          <w:sz w:val="24"/>
        </w:rPr>
        <w:noBreakHyphen/>
        <w:t>random missingness—will be explicitly discussed.</w:t>
      </w:r>
    </w:p>
    <w:p w14:paraId="372CD6C3"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5" w:name="_Toc225760712"/>
      <w:r w:rsidRPr="00885813">
        <w:rPr>
          <w:rFonts w:eastAsia="Times New Roman" w:cs="Times New Roman"/>
          <w:color w:val="0F4761" w:themeColor="accent1" w:themeShade="BF"/>
          <w:sz w:val="24"/>
          <w:szCs w:val="40"/>
        </w:rPr>
        <w:t>6. Ethics and Data Protection</w:t>
      </w:r>
      <w:bookmarkEnd w:id="5"/>
    </w:p>
    <w:p w14:paraId="4E37CFDB"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Ethical approval will be sought from UWTSD. The study will follow GDPR and university policies. Personal identifiers will be removed at source; a trusted landlord data custodian will map tenancy IDs to pseudonymous study IDs before any data are shared. Energy data will be stored on encrypted drives with access limited to the research team. Interview participants will receive an information sheet and provide informed consent; they may withdraw at any time without consequence. The study will avoid any implication that participation affects tenancy or priority for works. Where interviews reveal acute issues (e.g., significant damp/mould or inability to afford heat), participants will be signposted to the landlord and relevant advice services; the researcher will not provide technical advice beyond signposting.</w:t>
      </w:r>
    </w:p>
    <w:p w14:paraId="4E2DD64E"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Fieldwork will be designed to minimise burden. Interviews will be scheduled at times convenient to tenants, with options for phone/online. Travel to homes will comply with safeguarding policies; a lone</w:t>
      </w:r>
      <w:r w:rsidRPr="00885813">
        <w:rPr>
          <w:rFonts w:eastAsia="Times New Roman" w:cs="Times New Roman"/>
          <w:sz w:val="24"/>
        </w:rPr>
        <w:noBreakHyphen/>
        <w:t xml:space="preserve">working protocol will be used. Incentives (e.g., shopping vouchers) may be offered for tenant time, subject to ethics approval. </w:t>
      </w:r>
      <w:r w:rsidRPr="00885813">
        <w:rPr>
          <w:rFonts w:eastAsia="Times New Roman" w:cs="Times New Roman"/>
          <w:sz w:val="24"/>
        </w:rPr>
        <w:lastRenderedPageBreak/>
        <w:t>Quotes used in the dissertation will be anonymised and any indirectly identifying details removed.</w:t>
      </w:r>
    </w:p>
    <w:p w14:paraId="4F834EB1"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6" w:name="_Toc225760713"/>
      <w:r w:rsidRPr="00885813">
        <w:rPr>
          <w:rFonts w:eastAsia="Times New Roman" w:cs="Times New Roman"/>
          <w:color w:val="0F4761" w:themeColor="accent1" w:themeShade="BF"/>
          <w:sz w:val="24"/>
          <w:szCs w:val="40"/>
        </w:rPr>
        <w:t>7. Economic Case and Cost</w:t>
      </w:r>
      <w:r w:rsidRPr="00885813">
        <w:rPr>
          <w:rFonts w:eastAsia="Times New Roman" w:cs="Times New Roman"/>
          <w:color w:val="0F4761" w:themeColor="accent1" w:themeShade="BF"/>
          <w:sz w:val="24"/>
          <w:szCs w:val="40"/>
        </w:rPr>
        <w:noBreakHyphen/>
        <w:t>Effectiveness</w:t>
      </w:r>
      <w:bookmarkEnd w:id="6"/>
    </w:p>
    <w:p w14:paraId="7B6ECCC4"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The economic analysis will estimate cost</w:t>
      </w:r>
      <w:r w:rsidRPr="00885813">
        <w:rPr>
          <w:rFonts w:eastAsia="Times New Roman" w:cs="Times New Roman"/>
          <w:sz w:val="24"/>
        </w:rPr>
        <w:noBreakHyphen/>
        <w:t>effectiveness from two perspectives. First, the landlord perspective will consider capital and maintenance outlays net of any grants, compared to estimated energy savings where relevant (recognising that tenants, not landlords, usually pay energy bills in general</w:t>
      </w:r>
      <w:r w:rsidRPr="00885813">
        <w:rPr>
          <w:rFonts w:eastAsia="Times New Roman" w:cs="Times New Roman"/>
          <w:sz w:val="24"/>
        </w:rPr>
        <w:noBreakHyphen/>
        <w:t>needs housing). This perspective will so emphasise asset</w:t>
      </w:r>
      <w:r w:rsidRPr="00885813">
        <w:rPr>
          <w:rFonts w:eastAsia="Times New Roman" w:cs="Times New Roman"/>
          <w:sz w:val="24"/>
        </w:rPr>
        <w:noBreakHyphen/>
        <w:t>quality benefits (meeting WHQS 2023, reduced damp/mould risk and responsive repairs) and potential impacts on rent arrears or tenancy sustainment as indirect benefits. Second, a societal perspective will combine monetised energy savings to tenants, carbon benefits (using a social cost of carbon consistent with UK guidance) and indicative health co</w:t>
      </w:r>
      <w:r w:rsidRPr="00885813">
        <w:rPr>
          <w:rFonts w:eastAsia="Times New Roman" w:cs="Times New Roman"/>
          <w:sz w:val="24"/>
        </w:rPr>
        <w:noBreakHyphen/>
        <w:t>benefits from reduced exposure to cold and damp, drawing on public</w:t>
      </w:r>
      <w:r w:rsidRPr="00885813">
        <w:rPr>
          <w:rFonts w:eastAsia="Times New Roman" w:cs="Times New Roman"/>
          <w:sz w:val="24"/>
        </w:rPr>
        <w:noBreakHyphen/>
        <w:t>health valuation literature. Sensitivity analysis will vary discount rates (e.g., 1.5–3.5%), energy</w:t>
      </w:r>
      <w:r w:rsidRPr="00885813">
        <w:rPr>
          <w:rFonts w:eastAsia="Times New Roman" w:cs="Times New Roman"/>
          <w:sz w:val="24"/>
        </w:rPr>
        <w:noBreakHyphen/>
        <w:t>price scenarios and take</w:t>
      </w:r>
      <w:r w:rsidRPr="00885813">
        <w:rPr>
          <w:rFonts w:eastAsia="Times New Roman" w:cs="Times New Roman"/>
          <w:sz w:val="24"/>
        </w:rPr>
        <w:noBreakHyphen/>
        <w:t>back levels.</w:t>
      </w:r>
    </w:p>
    <w:p w14:paraId="64B26DB1"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The analysis will also discuss distributional impacts: who captures the financial benefits (tenant, landlord, taxpayer) under different metering and heat arrangements; whether any service charges change post</w:t>
      </w:r>
      <w:r w:rsidRPr="00885813">
        <w:rPr>
          <w:rFonts w:eastAsia="Times New Roman" w:cs="Times New Roman"/>
          <w:sz w:val="24"/>
        </w:rPr>
        <w:noBreakHyphen/>
        <w:t>retrofit; and the implications for equity. Where PV is installed, the treatment of export versus self</w:t>
      </w:r>
      <w:r w:rsidRPr="00885813">
        <w:rPr>
          <w:rFonts w:eastAsia="Times New Roman" w:cs="Times New Roman"/>
          <w:sz w:val="24"/>
        </w:rPr>
        <w:noBreakHyphen/>
        <w:t>consumption will be clarified in the savings calculation. While a full cost</w:t>
      </w:r>
      <w:r w:rsidRPr="00885813">
        <w:rPr>
          <w:rFonts w:eastAsia="Times New Roman" w:cs="Times New Roman"/>
          <w:sz w:val="24"/>
        </w:rPr>
        <w:noBreakHyphen/>
        <w:t>benefit analysis is beyond scope, the dissertation will present clear, parameterised calculations that allow decision</w:t>
      </w:r>
      <w:r w:rsidRPr="00885813">
        <w:rPr>
          <w:rFonts w:eastAsia="Times New Roman" w:cs="Times New Roman"/>
          <w:sz w:val="24"/>
        </w:rPr>
        <w:noBreakHyphen/>
        <w:t>makers to see how conclusions vary with assumptions, supporting transparent debate about funding and scaling.</w:t>
      </w:r>
    </w:p>
    <w:p w14:paraId="2C270E1F"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7" w:name="_Toc225760714"/>
      <w:r w:rsidRPr="00885813">
        <w:rPr>
          <w:rFonts w:eastAsia="Times New Roman" w:cs="Times New Roman"/>
          <w:color w:val="0F4761" w:themeColor="accent1" w:themeShade="BF"/>
          <w:sz w:val="24"/>
          <w:szCs w:val="40"/>
        </w:rPr>
        <w:t>8. Risks, Limitations and Mitigation</w:t>
      </w:r>
      <w:bookmarkEnd w:id="7"/>
    </w:p>
    <w:p w14:paraId="71558789"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Data access and quality. Meter data may be incomplete, especially for homes without smart meters or with supplier changes. Mitigation: early data</w:t>
      </w:r>
      <w:r w:rsidRPr="00885813">
        <w:rPr>
          <w:rFonts w:eastAsia="Times New Roman" w:cs="Times New Roman"/>
          <w:sz w:val="24"/>
        </w:rPr>
        <w:noBreakHyphen/>
        <w:t xml:space="preserve">sharing agreements; prioritise cohorts with smart meters; robust cleaning; transparent </w:t>
      </w:r>
      <w:r w:rsidRPr="00885813">
        <w:rPr>
          <w:rFonts w:eastAsia="Times New Roman" w:cs="Times New Roman"/>
          <w:sz w:val="24"/>
        </w:rPr>
        <w:lastRenderedPageBreak/>
        <w:t>reporting of coverage. Selection bias. Treatment timing may correlate with unobserved factors (e.g., landlords prioritising worst</w:t>
      </w:r>
      <w:r w:rsidRPr="00885813">
        <w:rPr>
          <w:rFonts w:eastAsia="Times New Roman" w:cs="Times New Roman"/>
          <w:sz w:val="24"/>
        </w:rPr>
        <w:noBreakHyphen/>
        <w:t>performing homes). Mitigation: use matched controls, event</w:t>
      </w:r>
      <w:r w:rsidRPr="00885813">
        <w:rPr>
          <w:rFonts w:eastAsia="Times New Roman" w:cs="Times New Roman"/>
          <w:sz w:val="24"/>
        </w:rPr>
        <w:noBreakHyphen/>
        <w:t>study diagnostics, and report heterogeneity by baseline EPC and archetype. Occupancy change. Moves or changes in household size can confound energy analysis. Mitigation: track tenancy changes; perform robustness checks excluding homes with major changes; control for household size where data exist.</w:t>
      </w:r>
    </w:p>
    <w:p w14:paraId="793D8F86"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Attribution challenges. Energy bills are influenced by prices and behaviour. Mitigation: focus on delivered kWh and weather</w:t>
      </w:r>
      <w:r w:rsidRPr="00885813">
        <w:rPr>
          <w:rFonts w:eastAsia="Times New Roman" w:cs="Times New Roman"/>
          <w:sz w:val="24"/>
        </w:rPr>
        <w:noBreakHyphen/>
        <w:t>normalised outcomes; contextualise bills; use interviews to interpret behaviour. External validity. Case</w:t>
      </w:r>
      <w:r w:rsidRPr="00885813">
        <w:rPr>
          <w:rFonts w:eastAsia="Times New Roman" w:cs="Times New Roman"/>
          <w:sz w:val="24"/>
        </w:rPr>
        <w:noBreakHyphen/>
        <w:t>study findings may not generalise to all Welsh landlords. Mitigation: select diverse archetypes and geographies; frame recommendations as design principles and process improvements rather than programme</w:t>
      </w:r>
      <w:r w:rsidRPr="00885813">
        <w:rPr>
          <w:rFonts w:eastAsia="Times New Roman" w:cs="Times New Roman"/>
          <w:sz w:val="24"/>
        </w:rPr>
        <w:noBreakHyphen/>
        <w:t>specific prescriptions.</w:t>
      </w:r>
    </w:p>
    <w:p w14:paraId="49B7F227"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8" w:name="_Toc225760715"/>
      <w:r w:rsidRPr="00885813">
        <w:rPr>
          <w:rFonts w:eastAsia="Times New Roman" w:cs="Times New Roman"/>
          <w:color w:val="0F4761" w:themeColor="accent1" w:themeShade="BF"/>
          <w:sz w:val="24"/>
          <w:szCs w:val="40"/>
        </w:rPr>
        <w:t>9. Project Plan, Governance and Resources</w:t>
      </w:r>
      <w:bookmarkEnd w:id="8"/>
    </w:p>
    <w:p w14:paraId="30D1A05B" w14:textId="1A9AFC70"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Timeline. Month 1: ethics, scoping with landlord partners, data</w:t>
      </w:r>
      <w:r w:rsidRPr="00885813">
        <w:rPr>
          <w:rFonts w:eastAsia="Times New Roman" w:cs="Times New Roman"/>
          <w:sz w:val="24"/>
        </w:rPr>
        <w:noBreakHyphen/>
        <w:t xml:space="preserve">sharing agreements, </w:t>
      </w:r>
      <w:r w:rsidR="00770714" w:rsidRPr="00885813">
        <w:rPr>
          <w:rFonts w:eastAsia="Times New Roman" w:cs="Times New Roman"/>
          <w:sz w:val="24"/>
        </w:rPr>
        <w:t>survey,</w:t>
      </w:r>
      <w:r w:rsidRPr="00885813">
        <w:rPr>
          <w:rFonts w:eastAsia="Times New Roman" w:cs="Times New Roman"/>
          <w:sz w:val="24"/>
        </w:rPr>
        <w:t xml:space="preserve"> and interview instrument design. Months 2–3: acquire and clean energy and asset data; construct treated and control cohorts; pilot survey; recruit interview participants. Months 3–4: conduct tenant and delivery</w:t>
      </w:r>
      <w:r w:rsidRPr="00885813">
        <w:rPr>
          <w:rFonts w:eastAsia="Times New Roman" w:cs="Times New Roman"/>
          <w:sz w:val="24"/>
        </w:rPr>
        <w:noBreakHyphen/>
        <w:t>actor interviews; deploy temperature/relative</w:t>
      </w:r>
      <w:r w:rsidRPr="00885813">
        <w:rPr>
          <w:rFonts w:eastAsia="Times New Roman" w:cs="Times New Roman"/>
          <w:sz w:val="24"/>
        </w:rPr>
        <w:noBreakHyphen/>
        <w:t>humidity loggers in sub</w:t>
      </w:r>
      <w:r w:rsidRPr="00885813">
        <w:rPr>
          <w:rFonts w:eastAsia="Times New Roman" w:cs="Times New Roman"/>
          <w:sz w:val="24"/>
        </w:rPr>
        <w:noBreakHyphen/>
        <w:t xml:space="preserve">sample. Months 4–5: complete quantitative analysis (HDD normalisation, </w:t>
      </w:r>
      <w:proofErr w:type="spellStart"/>
      <w:proofErr w:type="gramStart"/>
      <w:r w:rsidRPr="00885813">
        <w:rPr>
          <w:rFonts w:eastAsia="Times New Roman" w:cs="Times New Roman"/>
          <w:sz w:val="24"/>
        </w:rPr>
        <w:t>DiD</w:t>
      </w:r>
      <w:proofErr w:type="spellEnd"/>
      <w:proofErr w:type="gramEnd"/>
      <w:r w:rsidRPr="00885813">
        <w:rPr>
          <w:rFonts w:eastAsia="Times New Roman" w:cs="Times New Roman"/>
          <w:sz w:val="24"/>
        </w:rPr>
        <w:t xml:space="preserve"> estimates, heterogeneity and sensitivity analyses). Month 6: integrate qualitative and quantitative strands; draft dissertation; circulate emerging findings to partners for factual checking. Month 7: revise and submit; prepare a practitioner</w:t>
      </w:r>
      <w:r w:rsidRPr="00885813">
        <w:rPr>
          <w:rFonts w:eastAsia="Times New Roman" w:cs="Times New Roman"/>
          <w:sz w:val="24"/>
        </w:rPr>
        <w:noBreakHyphen/>
        <w:t>focused summary.</w:t>
      </w:r>
    </w:p>
    <w:p w14:paraId="750182E5"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Governance. A supervisory meeting will be held monthly. A short memorandum of understanding with participating landlords will set out roles, data flows, and publication ethics. The project will comply with UWTSD research governance, including data</w:t>
      </w:r>
      <w:r w:rsidRPr="00885813">
        <w:rPr>
          <w:rFonts w:eastAsia="Times New Roman" w:cs="Times New Roman"/>
          <w:sz w:val="24"/>
        </w:rPr>
        <w:noBreakHyphen/>
        <w:t xml:space="preserve">management planning and archiving. Resources. The study requires </w:t>
      </w:r>
      <w:r w:rsidRPr="00885813">
        <w:rPr>
          <w:rFonts w:eastAsia="Times New Roman" w:cs="Times New Roman"/>
          <w:sz w:val="24"/>
        </w:rPr>
        <w:lastRenderedPageBreak/>
        <w:t>statistical software (Python/R/Stata), secure data storage, transcription services, and a small budget for participant vouchers and data</w:t>
      </w:r>
      <w:r w:rsidRPr="00885813">
        <w:rPr>
          <w:rFonts w:eastAsia="Times New Roman" w:cs="Times New Roman"/>
          <w:sz w:val="24"/>
        </w:rPr>
        <w:noBreakHyphen/>
        <w:t>loggers (if not supplied by partners).</w:t>
      </w:r>
    </w:p>
    <w:p w14:paraId="5607821A"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9" w:name="_Toc225760716"/>
      <w:r w:rsidRPr="00885813">
        <w:rPr>
          <w:rFonts w:eastAsia="Times New Roman" w:cs="Times New Roman"/>
          <w:color w:val="0F4761" w:themeColor="accent1" w:themeShade="BF"/>
          <w:sz w:val="24"/>
          <w:szCs w:val="40"/>
        </w:rPr>
        <w:t>10. Expected Contributions and Knowledge Exchange</w:t>
      </w:r>
      <w:bookmarkEnd w:id="9"/>
    </w:p>
    <w:p w14:paraId="79170379" w14:textId="3E21D01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Academic. The dissertation will contribute a Wales</w:t>
      </w:r>
      <w:r w:rsidRPr="00885813">
        <w:rPr>
          <w:rFonts w:eastAsia="Times New Roman" w:cs="Times New Roman"/>
          <w:sz w:val="24"/>
        </w:rPr>
        <w:noBreakHyphen/>
        <w:t>specific, mixed</w:t>
      </w:r>
      <w:r w:rsidRPr="00885813">
        <w:rPr>
          <w:rFonts w:eastAsia="Times New Roman" w:cs="Times New Roman"/>
          <w:sz w:val="24"/>
        </w:rPr>
        <w:noBreakHyphen/>
        <w:t>methods evaluation that links measured outcomes with justice</w:t>
      </w:r>
      <w:r w:rsidRPr="00885813">
        <w:rPr>
          <w:rFonts w:eastAsia="Times New Roman" w:cs="Times New Roman"/>
          <w:sz w:val="24"/>
        </w:rPr>
        <w:noBreakHyphen/>
        <w:t>informed process analysis. Methodologically, it will show an approach to handling price shocks and weather in retrofit evaluations and show how qualitative findings can explain performance gaps. Policy and practice. Findings will offer actionable recommendations on sequencing (fabric and ventilation before heat), commissioning and handover (including written and visual guides, energy</w:t>
      </w:r>
      <w:r w:rsidRPr="00885813">
        <w:rPr>
          <w:rFonts w:eastAsia="Times New Roman" w:cs="Times New Roman"/>
          <w:sz w:val="24"/>
        </w:rPr>
        <w:noBreakHyphen/>
        <w:t>advice follow</w:t>
      </w:r>
      <w:r w:rsidRPr="00885813">
        <w:rPr>
          <w:rFonts w:eastAsia="Times New Roman" w:cs="Times New Roman"/>
          <w:sz w:val="24"/>
        </w:rPr>
        <w:noBreakHyphen/>
        <w:t>up), monitoring (which data to collect and how to use them), and tenant engagement (accessible communication, safeguarding, support for vulnerable households). A short practice note will be produced for dissemination via sector bodies (UK Green Building Council, 2019)</w:t>
      </w:r>
      <w:r w:rsidR="00243996" w:rsidRPr="00885813">
        <w:rPr>
          <w:rFonts w:eastAsia="Times New Roman" w:cs="Times New Roman"/>
          <w:sz w:val="24"/>
        </w:rPr>
        <w:t>.</w:t>
      </w:r>
    </w:p>
    <w:p w14:paraId="02ED259B"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10" w:name="_Toc225760717"/>
      <w:r w:rsidRPr="00885813">
        <w:rPr>
          <w:rFonts w:eastAsia="Times New Roman" w:cs="Times New Roman"/>
          <w:color w:val="0F4761" w:themeColor="accent1" w:themeShade="BF"/>
          <w:sz w:val="24"/>
          <w:szCs w:val="40"/>
        </w:rPr>
        <w:t>11. References</w:t>
      </w:r>
      <w:bookmarkEnd w:id="10"/>
      <w:r w:rsidRPr="00885813">
        <w:rPr>
          <w:rFonts w:eastAsia="Times New Roman" w:cs="Times New Roman"/>
          <w:color w:val="0F4761" w:themeColor="accent1" w:themeShade="BF"/>
          <w:sz w:val="24"/>
          <w:szCs w:val="40"/>
        </w:rPr>
        <w:t xml:space="preserve"> </w:t>
      </w:r>
    </w:p>
    <w:p w14:paraId="5EC86D78"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Boardman, B. (2010) Fixing Fuel Poverty: Challenges and Solutions. London: Earthscan.</w:t>
      </w:r>
    </w:p>
    <w:p w14:paraId="4A1C7D58"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Chitnis, M., Sorrell, S., Druckman, A., Firth, S.K. and Jackson, T. (2014) "Turning lights into flights? Estimating direct and indirect rebound effects in UK households." Energy Policy, 55, 234–250.</w:t>
      </w:r>
    </w:p>
    <w:p w14:paraId="42018743"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CIBSE (2006) TM41: Degree Days—Theory and Application. London: Chartered Institution of Building Services Engineers.</w:t>
      </w:r>
    </w:p>
    <w:p w14:paraId="4FAEFD91"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CIBSE (2022) TM54: Evaluating Operational Energy Use at the Design Stage. London: Chartered Institution of Building Services Engineers.</w:t>
      </w:r>
    </w:p>
    <w:p w14:paraId="0742708E"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Energy Saving Trust (2025) Nest scheme publishes 2023–24 annual report. London: EST.</w:t>
      </w:r>
    </w:p>
    <w:p w14:paraId="1AE4B900"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lastRenderedPageBreak/>
        <w:t>Galvin, R. (2015) "The rebound effect in domestic heating: A critique of UK policy assumptions." Energy and Buildings, 110, 57–69.</w:t>
      </w:r>
    </w:p>
    <w:p w14:paraId="5399FE6E"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Hills, J. (2012) Getting the Measure of Fuel Poverty: Final Report of the Fuel Poverty Review. London: CASE/DECC.</w:t>
      </w:r>
    </w:p>
    <w:p w14:paraId="55C29C19"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rPr>
        <w:t>House of Commons Library (2024) Housing and net</w:t>
      </w:r>
      <w:r w:rsidRPr="00885813">
        <w:rPr>
          <w:rFonts w:eastAsia="Times New Roman" w:cs="Times New Roman"/>
        </w:rPr>
        <w:noBreakHyphen/>
        <w:t>zero (CBP 8830). London: House of Commons Library.</w:t>
      </w:r>
    </w:p>
    <w:p w14:paraId="25EB58A1" w14:textId="77777777" w:rsidR="00831DAF" w:rsidRPr="00885813" w:rsidRDefault="00831DAF" w:rsidP="00831DAF">
      <w:pPr>
        <w:spacing w:line="360" w:lineRule="auto"/>
        <w:jc w:val="both"/>
        <w:rPr>
          <w:rFonts w:eastAsia="Times New Roman" w:cs="Times New Roman"/>
        </w:rPr>
      </w:pPr>
      <w:bookmarkStart w:id="11" w:name="_Int_Z7ItdDgz"/>
      <w:r w:rsidRPr="00885813">
        <w:rPr>
          <w:rFonts w:eastAsia="Times New Roman" w:cs="Times New Roman"/>
          <w:sz w:val="24"/>
        </w:rPr>
        <w:t>Innovate UK (2016) Building Performance Evaluation Programme: Findings from Domestic Projects.</w:t>
      </w:r>
      <w:bookmarkEnd w:id="11"/>
      <w:r w:rsidRPr="00885813">
        <w:rPr>
          <w:rFonts w:eastAsia="Times New Roman" w:cs="Times New Roman"/>
          <w:sz w:val="24"/>
        </w:rPr>
        <w:t xml:space="preserve"> Swindon: UKRI/Innovate UK.</w:t>
      </w:r>
    </w:p>
    <w:p w14:paraId="50B3E165"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Institute of Health Equity (2011) The Health Impacts of Cold Homes and Fuel Poverty. London: IHE/Marmot Review Team.</w:t>
      </w:r>
    </w:p>
    <w:p w14:paraId="1FDAAF6B" w14:textId="77777777" w:rsidR="00831DAF" w:rsidRPr="00885813" w:rsidRDefault="00831DAF" w:rsidP="00831DAF">
      <w:pPr>
        <w:spacing w:line="360" w:lineRule="auto"/>
        <w:jc w:val="both"/>
        <w:rPr>
          <w:rFonts w:eastAsia="Times New Roman" w:cs="Times New Roman"/>
        </w:rPr>
      </w:pPr>
      <w:bookmarkStart w:id="12" w:name="_Int_qTtsA1R9"/>
      <w:r w:rsidRPr="00885813">
        <w:rPr>
          <w:rFonts w:eastAsia="Times New Roman" w:cs="Times New Roman"/>
          <w:sz w:val="24"/>
        </w:rPr>
        <w:t>Jenkins, K., McCauley, D., Heffron, R., Stephan, H. and Rehner, R. (2016) "Energy justice: A conceptual review."</w:t>
      </w:r>
      <w:bookmarkEnd w:id="12"/>
      <w:r w:rsidRPr="00885813">
        <w:rPr>
          <w:rFonts w:eastAsia="Times New Roman" w:cs="Times New Roman"/>
          <w:sz w:val="24"/>
        </w:rPr>
        <w:t xml:space="preserve"> Energy Research &amp; Social Science, 11, 174–182.</w:t>
      </w:r>
    </w:p>
    <w:p w14:paraId="2388598A"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Laurent, M</w:t>
      </w:r>
      <w:r w:rsidRPr="00885813">
        <w:rPr>
          <w:rFonts w:eastAsia="Times New Roman" w:cs="Times New Roman"/>
          <w:sz w:val="24"/>
        </w:rPr>
        <w:noBreakHyphen/>
        <w:t xml:space="preserve">H., </w:t>
      </w:r>
      <w:proofErr w:type="spellStart"/>
      <w:r w:rsidRPr="00885813">
        <w:rPr>
          <w:rFonts w:eastAsia="Times New Roman" w:cs="Times New Roman"/>
          <w:sz w:val="24"/>
        </w:rPr>
        <w:t>Allibe</w:t>
      </w:r>
      <w:proofErr w:type="spellEnd"/>
      <w:r w:rsidRPr="00885813">
        <w:rPr>
          <w:rFonts w:eastAsia="Times New Roman" w:cs="Times New Roman"/>
          <w:sz w:val="24"/>
        </w:rPr>
        <w:t xml:space="preserve">, B., </w:t>
      </w:r>
      <w:proofErr w:type="spellStart"/>
      <w:r w:rsidRPr="00885813">
        <w:rPr>
          <w:rFonts w:eastAsia="Times New Roman" w:cs="Times New Roman"/>
          <w:sz w:val="24"/>
        </w:rPr>
        <w:t>Tigchelaar</w:t>
      </w:r>
      <w:proofErr w:type="spellEnd"/>
      <w:r w:rsidRPr="00885813">
        <w:rPr>
          <w:rFonts w:eastAsia="Times New Roman" w:cs="Times New Roman"/>
          <w:sz w:val="24"/>
        </w:rPr>
        <w:t xml:space="preserve">, C., </w:t>
      </w:r>
      <w:proofErr w:type="spellStart"/>
      <w:r w:rsidRPr="00885813">
        <w:rPr>
          <w:rFonts w:eastAsia="Times New Roman" w:cs="Times New Roman"/>
          <w:sz w:val="24"/>
        </w:rPr>
        <w:t>Oreszczyn</w:t>
      </w:r>
      <w:proofErr w:type="spellEnd"/>
      <w:r w:rsidRPr="00885813">
        <w:rPr>
          <w:rFonts w:eastAsia="Times New Roman" w:cs="Times New Roman"/>
          <w:sz w:val="24"/>
        </w:rPr>
        <w:t>, T. and Hamilton, I. (2013) "Back to reality: How domestic energy efficiency policies in Europe ignore the performance gap." Energy Policy, 62, 381–388.</w:t>
      </w:r>
    </w:p>
    <w:p w14:paraId="40DFC96A"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rPr>
        <w:t>Little, J. and Ferraro, C. (2012) "Assessing moisture risk in deep retrofit of solid walls." Proceedings of Retrofit 2012, Salford: University of Salford.</w:t>
      </w:r>
    </w:p>
    <w:p w14:paraId="643ECFE2"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NICE (2015) NG6: Excess Winter Deaths and the Health Risks Associated with Cold Homes. London: National Institute for Health and Care Excellence.</w:t>
      </w:r>
    </w:p>
    <w:p w14:paraId="58B9EBEA"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Public Health Wales (2022) Damp and Mould: Health Risks and Responses in Welsh Homes. Cardiff: PHW.</w:t>
      </w:r>
    </w:p>
    <w:p w14:paraId="6F9C4F8A"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 xml:space="preserve">Rosenow, J., Lowes, R. and </w:t>
      </w:r>
      <w:proofErr w:type="spellStart"/>
      <w:r w:rsidRPr="00885813">
        <w:rPr>
          <w:rFonts w:eastAsia="Times New Roman" w:cs="Times New Roman"/>
          <w:sz w:val="24"/>
        </w:rPr>
        <w:t>Wigboldus</w:t>
      </w:r>
      <w:proofErr w:type="spellEnd"/>
      <w:r w:rsidRPr="00885813">
        <w:rPr>
          <w:rFonts w:eastAsia="Times New Roman" w:cs="Times New Roman"/>
          <w:sz w:val="24"/>
        </w:rPr>
        <w:t>, L. (2022) "Heat pump ramp-up in Europe: Policy drivers and real-world performance." Energy Policy, 159, 112642.</w:t>
      </w:r>
    </w:p>
    <w:p w14:paraId="5AA451AC" w14:textId="77777777" w:rsidR="00831DAF" w:rsidRPr="00885813" w:rsidRDefault="00831DAF" w:rsidP="00831DAF">
      <w:pPr>
        <w:spacing w:line="360" w:lineRule="auto"/>
        <w:jc w:val="both"/>
        <w:rPr>
          <w:rFonts w:eastAsia="Times New Roman" w:cs="Times New Roman"/>
        </w:rPr>
      </w:pPr>
      <w:proofErr w:type="spellStart"/>
      <w:r w:rsidRPr="00885813">
        <w:rPr>
          <w:rFonts w:eastAsia="Times New Roman" w:cs="Times New Roman"/>
          <w:sz w:val="24"/>
        </w:rPr>
        <w:t>Sovacool</w:t>
      </w:r>
      <w:proofErr w:type="spellEnd"/>
      <w:r w:rsidRPr="00885813">
        <w:rPr>
          <w:rFonts w:eastAsia="Times New Roman" w:cs="Times New Roman"/>
          <w:sz w:val="24"/>
        </w:rPr>
        <w:t xml:space="preserve">, B.K., Burke, M., Baker, L., </w:t>
      </w:r>
      <w:proofErr w:type="spellStart"/>
      <w:r w:rsidRPr="00885813">
        <w:rPr>
          <w:rFonts w:eastAsia="Times New Roman" w:cs="Times New Roman"/>
          <w:sz w:val="24"/>
        </w:rPr>
        <w:t>Kotikalapudi</w:t>
      </w:r>
      <w:proofErr w:type="spellEnd"/>
      <w:r w:rsidRPr="00885813">
        <w:rPr>
          <w:rFonts w:eastAsia="Times New Roman" w:cs="Times New Roman"/>
          <w:sz w:val="24"/>
        </w:rPr>
        <w:t xml:space="preserve">, C.K. and </w:t>
      </w:r>
      <w:proofErr w:type="spellStart"/>
      <w:r w:rsidRPr="00885813">
        <w:rPr>
          <w:rFonts w:eastAsia="Times New Roman" w:cs="Times New Roman"/>
          <w:sz w:val="24"/>
        </w:rPr>
        <w:t>Wlokas</w:t>
      </w:r>
      <w:proofErr w:type="spellEnd"/>
      <w:r w:rsidRPr="00885813">
        <w:rPr>
          <w:rFonts w:eastAsia="Times New Roman" w:cs="Times New Roman"/>
          <w:sz w:val="24"/>
        </w:rPr>
        <w:t>, H. (2017) "Energy justice in practice: A review." Applied Energy, 205, 677–694.</w:t>
      </w:r>
    </w:p>
    <w:p w14:paraId="6CDE2D17" w14:textId="77777777" w:rsidR="00831DAF" w:rsidRPr="00885813" w:rsidRDefault="00831DAF" w:rsidP="00831DAF">
      <w:pPr>
        <w:spacing w:line="360" w:lineRule="auto"/>
        <w:jc w:val="both"/>
        <w:rPr>
          <w:rFonts w:eastAsia="Times New Roman" w:cs="Times New Roman"/>
        </w:rPr>
      </w:pPr>
      <w:bookmarkStart w:id="13" w:name="_Int_Afne1U5X"/>
      <w:proofErr w:type="spellStart"/>
      <w:r w:rsidRPr="00885813">
        <w:rPr>
          <w:rFonts w:eastAsia="Times New Roman" w:cs="Times New Roman"/>
          <w:sz w:val="24"/>
        </w:rPr>
        <w:lastRenderedPageBreak/>
        <w:t>Sunikka</w:t>
      </w:r>
      <w:proofErr w:type="spellEnd"/>
      <w:r w:rsidRPr="00885813">
        <w:rPr>
          <w:rFonts w:eastAsia="Times New Roman" w:cs="Times New Roman"/>
          <w:sz w:val="24"/>
        </w:rPr>
        <w:noBreakHyphen/>
        <w:t>Blank, M. and Galvin, R. (2012) "Introducing the prebound effect: The gap between performance and actual energy consumption."</w:t>
      </w:r>
      <w:bookmarkEnd w:id="13"/>
      <w:r w:rsidRPr="00885813">
        <w:rPr>
          <w:rFonts w:eastAsia="Times New Roman" w:cs="Times New Roman"/>
          <w:sz w:val="24"/>
        </w:rPr>
        <w:t xml:space="preserve"> Building Research &amp; Information, 40(3), 260–273.</w:t>
      </w:r>
    </w:p>
    <w:p w14:paraId="2274C3FE" w14:textId="77777777" w:rsidR="00831DAF" w:rsidRPr="00885813" w:rsidRDefault="00831DAF" w:rsidP="00831DAF">
      <w:pPr>
        <w:spacing w:line="360" w:lineRule="auto"/>
        <w:jc w:val="both"/>
        <w:rPr>
          <w:rFonts w:eastAsia="Times New Roman" w:cs="Times New Roman"/>
        </w:rPr>
      </w:pPr>
      <w:bookmarkStart w:id="14" w:name="_Int_Z6js7QbP"/>
      <w:r w:rsidRPr="00885813">
        <w:rPr>
          <w:rFonts w:eastAsia="Times New Roman" w:cs="Times New Roman"/>
          <w:sz w:val="24"/>
        </w:rPr>
        <w:t>UK Green Building Council (2019) Net Zero Carbon Buildings: A Framework Definition – Retrofit.</w:t>
      </w:r>
      <w:bookmarkEnd w:id="14"/>
      <w:r w:rsidRPr="00885813">
        <w:rPr>
          <w:rFonts w:eastAsia="Times New Roman" w:cs="Times New Roman"/>
          <w:sz w:val="24"/>
        </w:rPr>
        <w:t xml:space="preserve"> London: UKGBC.</w:t>
      </w:r>
    </w:p>
    <w:p w14:paraId="748FABD4"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van den Brom, P., Meijer, A. and Visscher, H. (2019) "Performance gaps in residential buildings: A literature review." Energy and Buildings, 198, 68–79.</w:t>
      </w:r>
    </w:p>
    <w:p w14:paraId="46BFEBEF"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Walker, G. (2012) "Environmental justice, energy and fuel poverty." Energy Policy, 49, 69–75.</w:t>
      </w:r>
    </w:p>
    <w:p w14:paraId="4BCB1CD8"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Welsh Government (2021) Net Zero Wales Carbon Budget 2 (2021–25). Cardiff: Welsh Government.</w:t>
      </w:r>
    </w:p>
    <w:p w14:paraId="4A1E6F52"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Welsh Government (2021) Tackling Fuel Poverty 2021–2035. Cardiff: Welsh Government.</w:t>
      </w:r>
    </w:p>
    <w:p w14:paraId="0CA1895D"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Welsh Government (2024) Welsh Housing Quality Standard 2023. Cardiff: Welsh Government.</w:t>
      </w:r>
    </w:p>
    <w:p w14:paraId="2C1F6FD5"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Welsh Government (2025) Optimised Retrofit Programme 3 (Year 4) Guidance 2025–26. Cardiff: Welsh Government.</w:t>
      </w:r>
    </w:p>
    <w:p w14:paraId="4D11F6F3" w14:textId="77777777" w:rsidR="00831DAF" w:rsidRPr="00885813" w:rsidRDefault="00831DAF" w:rsidP="00831DAF">
      <w:pPr>
        <w:spacing w:line="360" w:lineRule="auto"/>
        <w:jc w:val="both"/>
        <w:rPr>
          <w:rFonts w:eastAsia="Times New Roman" w:cs="Times New Roman"/>
        </w:rPr>
      </w:pPr>
    </w:p>
    <w:p w14:paraId="453BA770" w14:textId="77777777" w:rsidR="00831DAF" w:rsidRPr="00885813" w:rsidRDefault="00831DAF" w:rsidP="00831DAF">
      <w:pPr>
        <w:keepNext/>
        <w:keepLines/>
        <w:spacing w:before="360" w:after="80" w:line="360" w:lineRule="auto"/>
        <w:jc w:val="both"/>
        <w:outlineLvl w:val="0"/>
        <w:rPr>
          <w:rFonts w:eastAsia="Times New Roman" w:cs="Times New Roman"/>
          <w:color w:val="0F4761" w:themeColor="accent1" w:themeShade="BF"/>
          <w:sz w:val="40"/>
          <w:szCs w:val="40"/>
        </w:rPr>
      </w:pPr>
      <w:bookmarkStart w:id="15" w:name="_Toc225760718"/>
      <w:r w:rsidRPr="00885813">
        <w:rPr>
          <w:rFonts w:eastAsia="Times New Roman" w:cs="Times New Roman"/>
          <w:color w:val="0F4761" w:themeColor="accent1" w:themeShade="BF"/>
          <w:sz w:val="24"/>
          <w:szCs w:val="40"/>
        </w:rPr>
        <w:t>12. Generative AI Use Declaration</w:t>
      </w:r>
      <w:bookmarkEnd w:id="15"/>
    </w:p>
    <w:tbl>
      <w:tblPr>
        <w:tblW w:w="0" w:type="auto"/>
        <w:tblCellSpacing w:w="15" w:type="dxa"/>
        <w:tblLook w:val="04A0" w:firstRow="1" w:lastRow="0" w:firstColumn="1" w:lastColumn="0" w:noHBand="0" w:noVBand="1"/>
      </w:tblPr>
      <w:tblGrid>
        <w:gridCol w:w="2064"/>
        <w:gridCol w:w="1512"/>
        <w:gridCol w:w="1376"/>
        <w:gridCol w:w="3672"/>
      </w:tblGrid>
      <w:tr w:rsidR="00831DAF" w:rsidRPr="00885813" w14:paraId="235FA12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1C934164"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Category</w:t>
            </w:r>
          </w:p>
        </w:tc>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58405AAA"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Permitted for this assessment</w:t>
            </w:r>
          </w:p>
        </w:tc>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37E31495"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I used Generative AI for this</w:t>
            </w:r>
          </w:p>
        </w:tc>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1D997664"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Details of use (what, how, limits)</w:t>
            </w:r>
          </w:p>
        </w:tc>
      </w:tr>
      <w:tr w:rsidR="00831DAF" w:rsidRPr="00885813" w14:paraId="7008F29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26B58825"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RESEARCH</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1D34B169"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Yes</w:t>
            </w:r>
            <w:r w:rsidRPr="00885813">
              <w:rPr>
                <w:rFonts w:eastAsia="Times New Roman" w:cs="Times New Roman"/>
                <w:kern w:val="2"/>
                <w14:ligatures w14:val="standardContextual"/>
              </w:rPr>
              <w:t xml:space="preserve"> / ☐ 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0986C4F1"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Yes</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123E0315"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Supported </w:t>
            </w:r>
            <w:r w:rsidRPr="00885813">
              <w:rPr>
                <w:rFonts w:eastAsia="Times New Roman" w:cs="Times New Roman"/>
                <w:b/>
                <w:bCs/>
                <w:kern w:val="2"/>
                <w14:ligatures w14:val="standardContextual"/>
              </w:rPr>
              <w:t>background research</w:t>
            </w:r>
            <w:r w:rsidRPr="00885813">
              <w:rPr>
                <w:rFonts w:eastAsia="Times New Roman" w:cs="Times New Roman"/>
                <w:kern w:val="2"/>
                <w14:ligatures w14:val="standardContextual"/>
              </w:rPr>
              <w:t xml:space="preserve"> only (locating themes, policy frameworks, and key terms). No AI text was copied into the submission; all </w:t>
            </w:r>
            <w:r w:rsidRPr="00885813">
              <w:rPr>
                <w:rFonts w:eastAsia="Times New Roman" w:cs="Times New Roman"/>
                <w:kern w:val="2"/>
                <w14:ligatures w14:val="standardContextual"/>
              </w:rPr>
              <w:lastRenderedPageBreak/>
              <w:t>sources were verified and cited manually.</w:t>
            </w:r>
          </w:p>
        </w:tc>
      </w:tr>
      <w:tr w:rsidR="00831DAF" w:rsidRPr="00885813" w14:paraId="0BCB021F"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224EE937"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lastRenderedPageBreak/>
              <w:t>STRUCTURE</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4855A78A"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Yes</w:t>
            </w:r>
            <w:r w:rsidRPr="00885813">
              <w:rPr>
                <w:rFonts w:eastAsia="Times New Roman" w:cs="Times New Roman"/>
                <w:kern w:val="2"/>
                <w14:ligatures w14:val="standardContextual"/>
              </w:rPr>
              <w:t xml:space="preserve"> / ☐ 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19093AB1"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Yes</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121D5ED0"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Helped </w:t>
            </w:r>
            <w:r w:rsidRPr="00885813">
              <w:rPr>
                <w:rFonts w:eastAsia="Times New Roman" w:cs="Times New Roman"/>
                <w:b/>
                <w:bCs/>
                <w:kern w:val="2"/>
                <w14:ligatures w14:val="standardContextual"/>
              </w:rPr>
              <w:t>outline and structure</w:t>
            </w:r>
            <w:r w:rsidRPr="00885813">
              <w:rPr>
                <w:rFonts w:eastAsia="Times New Roman" w:cs="Times New Roman"/>
                <w:kern w:val="2"/>
                <w14:ligatures w14:val="standardContextual"/>
              </w:rPr>
              <w:t xml:space="preserve"> the submission (section order, headings, logical flow). Final structure decisions and all wording are my own.</w:t>
            </w:r>
          </w:p>
        </w:tc>
      </w:tr>
      <w:tr w:rsidR="00831DAF" w:rsidRPr="00885813" w14:paraId="4F3AC5E9"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061D075A"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PROOFREADING</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22AFC1FE"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Yes</w:t>
            </w:r>
            <w:r w:rsidRPr="00885813">
              <w:rPr>
                <w:rFonts w:eastAsia="Times New Roman" w:cs="Times New Roman"/>
                <w:kern w:val="2"/>
                <w14:ligatures w14:val="standardContextual"/>
              </w:rPr>
              <w:t xml:space="preserve"> / ☐ 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4BB1ECE3"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Yes</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03D9A27A"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Used for </w:t>
            </w:r>
            <w:r w:rsidRPr="00885813">
              <w:rPr>
                <w:rFonts w:eastAsia="Times New Roman" w:cs="Times New Roman"/>
                <w:b/>
                <w:bCs/>
                <w:kern w:val="2"/>
                <w14:ligatures w14:val="standardContextual"/>
              </w:rPr>
              <w:t>spelling/grammar</w:t>
            </w:r>
            <w:r w:rsidRPr="00885813">
              <w:rPr>
                <w:rFonts w:eastAsia="Times New Roman" w:cs="Times New Roman"/>
                <w:kern w:val="2"/>
                <w14:ligatures w14:val="standardContextual"/>
              </w:rPr>
              <w:t xml:space="preserve"> checks and clarity suggestions. I </w:t>
            </w:r>
            <w:r w:rsidRPr="00885813">
              <w:rPr>
                <w:rFonts w:eastAsia="Times New Roman" w:cs="Times New Roman"/>
                <w:b/>
                <w:bCs/>
                <w:kern w:val="2"/>
                <w14:ligatures w14:val="standardContextual"/>
              </w:rPr>
              <w:t>edited the text myself</w:t>
            </w:r>
            <w:r w:rsidRPr="00885813">
              <w:rPr>
                <w:rFonts w:eastAsia="Times New Roman" w:cs="Times New Roman"/>
                <w:kern w:val="2"/>
                <w14:ligatures w14:val="standardContextual"/>
              </w:rPr>
              <w:t xml:space="preserve"> after suggestions; no AI</w:t>
            </w:r>
            <w:r w:rsidRPr="00885813">
              <w:rPr>
                <w:rFonts w:eastAsia="Times New Roman" w:cs="Times New Roman"/>
                <w:kern w:val="2"/>
                <w14:ligatures w14:val="standardContextual"/>
              </w:rPr>
              <w:noBreakHyphen/>
              <w:t>generated passages were inserted verbatim.</w:t>
            </w:r>
          </w:p>
        </w:tc>
      </w:tr>
      <w:tr w:rsidR="00831DAF" w:rsidRPr="00885813" w14:paraId="13CE4AB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1CC76033"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WRITING (generate submission text)</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27C2553A"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Yes / ☑ </w:t>
            </w:r>
            <w:r w:rsidRPr="00885813">
              <w:rPr>
                <w:rFonts w:eastAsia="Times New Roman" w:cs="Times New Roman"/>
                <w:b/>
                <w:bCs/>
                <w:kern w:val="2"/>
                <w14:ligatures w14:val="standardContextual"/>
              </w:rPr>
              <w:t>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654C5D99"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3DAF9405"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b/>
                <w:bCs/>
                <w:kern w:val="2"/>
                <w14:ligatures w14:val="standardContextual"/>
              </w:rPr>
              <w:t>Not used</w:t>
            </w:r>
            <w:r w:rsidRPr="00885813">
              <w:rPr>
                <w:rFonts w:eastAsia="Times New Roman" w:cs="Times New Roman"/>
                <w:kern w:val="2"/>
                <w14:ligatures w14:val="standardContextual"/>
              </w:rPr>
              <w:t xml:space="preserve"> to write paragraphs or content. All substantive writing is my own.</w:t>
            </w:r>
          </w:p>
        </w:tc>
      </w:tr>
      <w:tr w:rsidR="00831DAF" w:rsidRPr="00885813" w14:paraId="034FEA3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6C14886C"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CREATIVE (images, diagrams, audio, video)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6AC27771"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Yes / ☑ </w:t>
            </w:r>
            <w:r w:rsidRPr="00885813">
              <w:rPr>
                <w:rFonts w:eastAsia="Times New Roman" w:cs="Times New Roman"/>
                <w:b/>
                <w:bCs/>
                <w:kern w:val="2"/>
                <w14:ligatures w14:val="standardContextual"/>
              </w:rPr>
              <w:t>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416D0C95"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0F888480"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b/>
                <w:bCs/>
                <w:kern w:val="2"/>
                <w14:ligatures w14:val="standardContextual"/>
              </w:rPr>
              <w:t>Not used</w:t>
            </w:r>
            <w:r w:rsidRPr="00885813">
              <w:rPr>
                <w:rFonts w:eastAsia="Times New Roman" w:cs="Times New Roman"/>
                <w:kern w:val="2"/>
                <w14:ligatures w14:val="standardContextual"/>
              </w:rPr>
              <w:t xml:space="preserve"> to create any images or other creative media.</w:t>
            </w:r>
          </w:p>
        </w:tc>
      </w:tr>
      <w:tr w:rsidR="00831DAF" w:rsidRPr="00885813" w14:paraId="13A032A0"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2BD8C693"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PROGRAMMING (create/check code)</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3646CEA5"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Yes / ☑ </w:t>
            </w:r>
            <w:r w:rsidRPr="00885813">
              <w:rPr>
                <w:rFonts w:eastAsia="Times New Roman" w:cs="Times New Roman"/>
                <w:b/>
                <w:bCs/>
                <w:kern w:val="2"/>
                <w14:ligatures w14:val="standardContextual"/>
              </w:rPr>
              <w:t>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5572673B"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 xml:space="preserve">☑ </w:t>
            </w:r>
            <w:r w:rsidRPr="00885813">
              <w:rPr>
                <w:rFonts w:eastAsia="Times New Roman" w:cs="Times New Roman"/>
                <w:b/>
                <w:bCs/>
                <w:kern w:val="2"/>
                <w14:ligatures w14:val="standardContextual"/>
              </w:rPr>
              <w:t>No</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20EF33BA"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b/>
                <w:bCs/>
                <w:kern w:val="2"/>
                <w14:ligatures w14:val="standardContextual"/>
              </w:rPr>
              <w:t>Not used</w:t>
            </w:r>
            <w:r w:rsidRPr="00885813">
              <w:rPr>
                <w:rFonts w:eastAsia="Times New Roman" w:cs="Times New Roman"/>
                <w:kern w:val="2"/>
                <w14:ligatures w14:val="standardContextual"/>
              </w:rPr>
              <w:t xml:space="preserve"> to write or check code.</w:t>
            </w:r>
          </w:p>
        </w:tc>
      </w:tr>
      <w:tr w:rsidR="00831DAF" w:rsidRPr="00885813" w14:paraId="1EE29B6E"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tcMar>
              <w:top w:w="15" w:type="dxa"/>
              <w:left w:w="15" w:type="dxa"/>
              <w:bottom w:w="15" w:type="dxa"/>
              <w:right w:w="15" w:type="dxa"/>
            </w:tcMar>
            <w:vAlign w:val="center"/>
            <w:hideMark/>
          </w:tcPr>
          <w:p w14:paraId="03C2E59E" w14:textId="77777777" w:rsidR="00831DAF" w:rsidRPr="00885813" w:rsidRDefault="00831DAF" w:rsidP="00831DAF">
            <w:pPr>
              <w:jc w:val="both"/>
              <w:rPr>
                <w:rFonts w:eastAsia="Times New Roman" w:cs="Times New Roman"/>
                <w:b/>
                <w:bCs/>
                <w:kern w:val="2"/>
                <w14:ligatures w14:val="standardContextual"/>
              </w:rPr>
            </w:pPr>
            <w:r w:rsidRPr="00885813">
              <w:rPr>
                <w:rFonts w:eastAsia="Times New Roman" w:cs="Times New Roman"/>
                <w:b/>
                <w:bCs/>
                <w:kern w:val="2"/>
                <w14:ligatures w14:val="standardContextual"/>
              </w:rPr>
              <w:t>NONE (no AI support of any kind)</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66EF886E"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0E51E058"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w:t>
            </w:r>
          </w:p>
        </w:tc>
        <w:tc>
          <w:tcPr>
            <w:tcW w:w="0" w:type="auto"/>
            <w:tcBorders>
              <w:top w:val="single" w:sz="6" w:space="0" w:color="E6E6E6"/>
              <w:left w:val="single" w:sz="6" w:space="0" w:color="E6E6E6"/>
              <w:bottom w:val="single" w:sz="6" w:space="0" w:color="E6E6E6"/>
              <w:right w:val="single" w:sz="6" w:space="0" w:color="E6E6E6"/>
            </w:tcBorders>
            <w:tcMar>
              <w:top w:w="15" w:type="dxa"/>
              <w:left w:w="15" w:type="dxa"/>
              <w:bottom w:w="15" w:type="dxa"/>
              <w:right w:w="15" w:type="dxa"/>
            </w:tcMar>
            <w:vAlign w:val="center"/>
            <w:hideMark/>
          </w:tcPr>
          <w:p w14:paraId="76185786" w14:textId="77777777" w:rsidR="00831DAF" w:rsidRPr="00885813" w:rsidRDefault="00831DAF" w:rsidP="00831DAF">
            <w:pPr>
              <w:jc w:val="both"/>
              <w:rPr>
                <w:rFonts w:eastAsia="Times New Roman" w:cs="Times New Roman"/>
                <w:kern w:val="2"/>
                <w14:ligatures w14:val="standardContextual"/>
              </w:rPr>
            </w:pPr>
            <w:r w:rsidRPr="00885813">
              <w:rPr>
                <w:rFonts w:eastAsia="Times New Roman" w:cs="Times New Roman"/>
                <w:kern w:val="2"/>
                <w14:ligatures w14:val="standardContextual"/>
              </w:rPr>
              <w:t>Not applicable AI was used only as permitted above (Research, Structure, Proofreading).</w:t>
            </w:r>
          </w:p>
        </w:tc>
      </w:tr>
    </w:tbl>
    <w:p w14:paraId="7C3752E8" w14:textId="77777777" w:rsidR="00831DAF" w:rsidRPr="00885813" w:rsidRDefault="00831DAF" w:rsidP="00831DAF">
      <w:pPr>
        <w:spacing w:line="360" w:lineRule="auto"/>
        <w:jc w:val="both"/>
        <w:rPr>
          <w:rFonts w:eastAsia="Times New Roman" w:cs="Times New Roman"/>
        </w:rPr>
      </w:pPr>
      <w:r w:rsidRPr="00885813">
        <w:rPr>
          <w:rFonts w:eastAsia="Times New Roman" w:cs="Times New Roman"/>
          <w:sz w:val="24"/>
        </w:rPr>
        <w:t>I confirm that Generative AI was used only for research, structure, and proofreading support, and not for writing submission text, creative content, or programming; all substantive content is my own work.</w:t>
      </w:r>
    </w:p>
    <w:p w14:paraId="71748796" w14:textId="77777777" w:rsidR="00831DAF" w:rsidRPr="00885813" w:rsidRDefault="00831DAF" w:rsidP="00831DAF">
      <w:pPr>
        <w:spacing w:line="360" w:lineRule="auto"/>
        <w:jc w:val="both"/>
        <w:rPr>
          <w:rFonts w:eastAsia="Times New Roman" w:cs="Times New Roman"/>
        </w:rPr>
      </w:pPr>
    </w:p>
    <w:p w14:paraId="37543B48" w14:textId="77777777" w:rsidR="007824ED" w:rsidRPr="00885813" w:rsidRDefault="007824ED" w:rsidP="00831DAF">
      <w:pPr>
        <w:jc w:val="both"/>
      </w:pPr>
    </w:p>
    <w:sectPr w:rsidR="007824ED" w:rsidRPr="00885813" w:rsidSect="004642FB">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A42FB" w14:textId="77777777" w:rsidR="00C80F4A" w:rsidRDefault="00C80F4A">
      <w:pPr>
        <w:spacing w:after="0" w:line="240" w:lineRule="auto"/>
      </w:pPr>
      <w:r>
        <w:separator/>
      </w:r>
    </w:p>
  </w:endnote>
  <w:endnote w:type="continuationSeparator" w:id="0">
    <w:p w14:paraId="2A9C1F2A" w14:textId="77777777" w:rsidR="00C80F4A" w:rsidRDefault="00C80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78B39" w14:textId="77777777" w:rsidR="004642FB" w:rsidRPr="007B090D" w:rsidRDefault="004642FB">
    <w:pPr>
      <w:pStyle w:val="Footer"/>
    </w:pPr>
    <w:r w:rsidRPr="007B090D">
      <w:t xml:space="preserve">Page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820EC" w14:textId="77777777" w:rsidR="00C80F4A" w:rsidRDefault="00C80F4A">
      <w:pPr>
        <w:spacing w:after="0" w:line="240" w:lineRule="auto"/>
      </w:pPr>
      <w:r>
        <w:separator/>
      </w:r>
    </w:p>
  </w:footnote>
  <w:footnote w:type="continuationSeparator" w:id="0">
    <w:p w14:paraId="3555F837" w14:textId="77777777" w:rsidR="00C80F4A" w:rsidRDefault="00C80F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F92A0A" w14:textId="77777777" w:rsidR="004642FB" w:rsidRPr="007B090D" w:rsidRDefault="004642FB">
    <w:pPr>
      <w:pStyle w:val="Header"/>
    </w:pPr>
    <w:r w:rsidRPr="007B090D">
      <w:t>MSc Dissertation Proposal – Welsh Social Housing Decarbonisation</w:t>
    </w:r>
  </w:p>
</w:hdr>
</file>

<file path=word/intelligence2.xml><?xml version="1.0" encoding="utf-8"?>
<int2:intelligence xmlns:int2="http://schemas.microsoft.com/office/intelligence/2020/intelligence" xmlns:oel="http://schemas.microsoft.com/office/2019/extlst">
  <int2:observations>
    <int2:bookmark int2:bookmarkName="_Int_qTtsA1R9" int2:invalidationBookmarkName="" int2:hashCode="lerlQZJxEy5JFP" int2:id="ukiIvl0Z">
      <int2:state int2:value="Rejected" int2:type="similarity"/>
    </int2:bookmark>
    <int2:bookmark int2:bookmarkName="_Int_Z7ItdDgz" int2:invalidationBookmarkName="" int2:hashCode="Ui8cg0I4H73zE4" int2:id="NPJRAQs5">
      <int2:state int2:value="Rejected" int2:type="similarity"/>
    </int2:bookmark>
    <int2:bookmark int2:bookmarkName="_Int_Z6js7QbP" int2:invalidationBookmarkName="" int2:hashCode="P1rd0mt+Hcmuxy" int2:id="l7DDMyzG">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B4208"/>
    <w:multiLevelType w:val="multilevel"/>
    <w:tmpl w:val="C3287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D4E78"/>
    <w:multiLevelType w:val="multilevel"/>
    <w:tmpl w:val="4D089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630EAF"/>
    <w:multiLevelType w:val="multilevel"/>
    <w:tmpl w:val="09C4F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E90E0E"/>
    <w:multiLevelType w:val="multilevel"/>
    <w:tmpl w:val="B010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7B56F7"/>
    <w:multiLevelType w:val="multilevel"/>
    <w:tmpl w:val="1A0E0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B17EB8"/>
    <w:multiLevelType w:val="multilevel"/>
    <w:tmpl w:val="53428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D378FA"/>
    <w:multiLevelType w:val="multilevel"/>
    <w:tmpl w:val="E6700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AC4B6C"/>
    <w:multiLevelType w:val="multilevel"/>
    <w:tmpl w:val="8578C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C75395"/>
    <w:multiLevelType w:val="multilevel"/>
    <w:tmpl w:val="73667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5101A9"/>
    <w:multiLevelType w:val="multilevel"/>
    <w:tmpl w:val="D3B8B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2B7FC0"/>
    <w:multiLevelType w:val="multilevel"/>
    <w:tmpl w:val="5ED8E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CA214C"/>
    <w:multiLevelType w:val="multilevel"/>
    <w:tmpl w:val="22AA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7F7B6D"/>
    <w:multiLevelType w:val="multilevel"/>
    <w:tmpl w:val="D52A2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850C2F"/>
    <w:multiLevelType w:val="multilevel"/>
    <w:tmpl w:val="2F5A0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6B552F"/>
    <w:multiLevelType w:val="multilevel"/>
    <w:tmpl w:val="5C82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C658B4"/>
    <w:multiLevelType w:val="multilevel"/>
    <w:tmpl w:val="6AF00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086C3A"/>
    <w:multiLevelType w:val="multilevel"/>
    <w:tmpl w:val="75C0D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3C412FF"/>
    <w:multiLevelType w:val="multilevel"/>
    <w:tmpl w:val="F386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3C7983"/>
    <w:multiLevelType w:val="multilevel"/>
    <w:tmpl w:val="E9DC4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1CD27A3"/>
    <w:multiLevelType w:val="multilevel"/>
    <w:tmpl w:val="8A207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D653DF"/>
    <w:multiLevelType w:val="multilevel"/>
    <w:tmpl w:val="BD587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665837"/>
    <w:multiLevelType w:val="multilevel"/>
    <w:tmpl w:val="196A5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B669CC"/>
    <w:multiLevelType w:val="multilevel"/>
    <w:tmpl w:val="1F820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067988">
    <w:abstractNumId w:val="2"/>
  </w:num>
  <w:num w:numId="2" w16cid:durableId="1298489165">
    <w:abstractNumId w:val="10"/>
  </w:num>
  <w:num w:numId="3" w16cid:durableId="1555891724">
    <w:abstractNumId w:val="8"/>
  </w:num>
  <w:num w:numId="4" w16cid:durableId="1968587946">
    <w:abstractNumId w:val="3"/>
  </w:num>
  <w:num w:numId="5" w16cid:durableId="1448625742">
    <w:abstractNumId w:val="22"/>
  </w:num>
  <w:num w:numId="6" w16cid:durableId="391924533">
    <w:abstractNumId w:val="19"/>
  </w:num>
  <w:num w:numId="7" w16cid:durableId="435641227">
    <w:abstractNumId w:val="18"/>
  </w:num>
  <w:num w:numId="8" w16cid:durableId="581529436">
    <w:abstractNumId w:val="7"/>
  </w:num>
  <w:num w:numId="9" w16cid:durableId="66193635">
    <w:abstractNumId w:val="17"/>
  </w:num>
  <w:num w:numId="10" w16cid:durableId="232476455">
    <w:abstractNumId w:val="1"/>
  </w:num>
  <w:num w:numId="11" w16cid:durableId="1517698327">
    <w:abstractNumId w:val="15"/>
  </w:num>
  <w:num w:numId="12" w16cid:durableId="1993875468">
    <w:abstractNumId w:val="12"/>
  </w:num>
  <w:num w:numId="13" w16cid:durableId="1756168564">
    <w:abstractNumId w:val="5"/>
  </w:num>
  <w:num w:numId="14" w16cid:durableId="914632233">
    <w:abstractNumId w:val="16"/>
  </w:num>
  <w:num w:numId="15" w16cid:durableId="819536631">
    <w:abstractNumId w:val="13"/>
  </w:num>
  <w:num w:numId="16" w16cid:durableId="755830963">
    <w:abstractNumId w:val="4"/>
  </w:num>
  <w:num w:numId="17" w16cid:durableId="915672677">
    <w:abstractNumId w:val="11"/>
  </w:num>
  <w:num w:numId="18" w16cid:durableId="529149253">
    <w:abstractNumId w:val="14"/>
  </w:num>
  <w:num w:numId="19" w16cid:durableId="82338146">
    <w:abstractNumId w:val="0"/>
  </w:num>
  <w:num w:numId="20" w16cid:durableId="1008411510">
    <w:abstractNumId w:val="9"/>
  </w:num>
  <w:num w:numId="21" w16cid:durableId="195773628">
    <w:abstractNumId w:val="6"/>
  </w:num>
  <w:num w:numId="22" w16cid:durableId="566190846">
    <w:abstractNumId w:val="21"/>
  </w:num>
  <w:num w:numId="23" w16cid:durableId="20806386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4ED"/>
    <w:rsid w:val="00052077"/>
    <w:rsid w:val="00091B25"/>
    <w:rsid w:val="00096274"/>
    <w:rsid w:val="000B196B"/>
    <w:rsid w:val="00110AEB"/>
    <w:rsid w:val="00174FCE"/>
    <w:rsid w:val="001E16EB"/>
    <w:rsid w:val="001E5464"/>
    <w:rsid w:val="00243996"/>
    <w:rsid w:val="00270FE6"/>
    <w:rsid w:val="002D728C"/>
    <w:rsid w:val="002F7490"/>
    <w:rsid w:val="00351FBF"/>
    <w:rsid w:val="003D404D"/>
    <w:rsid w:val="003D453D"/>
    <w:rsid w:val="004642FB"/>
    <w:rsid w:val="00506D95"/>
    <w:rsid w:val="005D58DE"/>
    <w:rsid w:val="0069136C"/>
    <w:rsid w:val="006A33EB"/>
    <w:rsid w:val="006D5A61"/>
    <w:rsid w:val="006F3E56"/>
    <w:rsid w:val="0071246B"/>
    <w:rsid w:val="00762B2D"/>
    <w:rsid w:val="00770714"/>
    <w:rsid w:val="007824ED"/>
    <w:rsid w:val="007A249C"/>
    <w:rsid w:val="007B090D"/>
    <w:rsid w:val="00831DAF"/>
    <w:rsid w:val="00840A86"/>
    <w:rsid w:val="0084430E"/>
    <w:rsid w:val="00872D2D"/>
    <w:rsid w:val="00885813"/>
    <w:rsid w:val="008F5B4F"/>
    <w:rsid w:val="00946925"/>
    <w:rsid w:val="009C45F2"/>
    <w:rsid w:val="009E1383"/>
    <w:rsid w:val="00A10297"/>
    <w:rsid w:val="00A24EC1"/>
    <w:rsid w:val="00A921E4"/>
    <w:rsid w:val="00AC70CF"/>
    <w:rsid w:val="00B13855"/>
    <w:rsid w:val="00C80F4A"/>
    <w:rsid w:val="00C95A49"/>
    <w:rsid w:val="00D14451"/>
    <w:rsid w:val="00D75B86"/>
    <w:rsid w:val="00E25B98"/>
    <w:rsid w:val="00EA53CC"/>
    <w:rsid w:val="00F036CA"/>
    <w:rsid w:val="00F82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A116"/>
  <w15:chartTrackingRefBased/>
  <w15:docId w15:val="{43B6360B-1765-48D1-B204-F324DE2DC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42FB"/>
    <w:pPr>
      <w:spacing w:after="200" w:line="276" w:lineRule="auto"/>
    </w:pPr>
    <w:rPr>
      <w:rFonts w:eastAsiaTheme="minorEastAsia"/>
      <w:kern w:val="0"/>
      <w:sz w:val="22"/>
      <w:szCs w:val="22"/>
      <w14:ligatures w14:val="none"/>
    </w:rPr>
  </w:style>
  <w:style w:type="paragraph" w:styleId="Heading1">
    <w:name w:val="heading 1"/>
    <w:basedOn w:val="Normal"/>
    <w:next w:val="Normal"/>
    <w:link w:val="Heading1Char"/>
    <w:uiPriority w:val="9"/>
    <w:qFormat/>
    <w:rsid w:val="007824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24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24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24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24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24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4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4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4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24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24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24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24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24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24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4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4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4ED"/>
    <w:rPr>
      <w:rFonts w:eastAsiaTheme="majorEastAsia" w:cstheme="majorBidi"/>
      <w:color w:val="272727" w:themeColor="text1" w:themeTint="D8"/>
    </w:rPr>
  </w:style>
  <w:style w:type="paragraph" w:styleId="Title">
    <w:name w:val="Title"/>
    <w:basedOn w:val="Normal"/>
    <w:next w:val="Normal"/>
    <w:link w:val="TitleChar"/>
    <w:uiPriority w:val="10"/>
    <w:qFormat/>
    <w:rsid w:val="007824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4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4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4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4ED"/>
    <w:pPr>
      <w:spacing w:before="160"/>
      <w:jc w:val="center"/>
    </w:pPr>
    <w:rPr>
      <w:i/>
      <w:iCs/>
      <w:color w:val="404040" w:themeColor="text1" w:themeTint="BF"/>
    </w:rPr>
  </w:style>
  <w:style w:type="character" w:customStyle="1" w:styleId="QuoteChar">
    <w:name w:val="Quote Char"/>
    <w:basedOn w:val="DefaultParagraphFont"/>
    <w:link w:val="Quote"/>
    <w:uiPriority w:val="29"/>
    <w:rsid w:val="007824ED"/>
    <w:rPr>
      <w:i/>
      <w:iCs/>
      <w:color w:val="404040" w:themeColor="text1" w:themeTint="BF"/>
    </w:rPr>
  </w:style>
  <w:style w:type="paragraph" w:styleId="ListParagraph">
    <w:name w:val="List Paragraph"/>
    <w:basedOn w:val="Normal"/>
    <w:uiPriority w:val="34"/>
    <w:qFormat/>
    <w:rsid w:val="007824ED"/>
    <w:pPr>
      <w:ind w:left="720"/>
      <w:contextualSpacing/>
    </w:pPr>
  </w:style>
  <w:style w:type="character" w:styleId="IntenseEmphasis">
    <w:name w:val="Intense Emphasis"/>
    <w:basedOn w:val="DefaultParagraphFont"/>
    <w:uiPriority w:val="21"/>
    <w:qFormat/>
    <w:rsid w:val="007824ED"/>
    <w:rPr>
      <w:i/>
      <w:iCs/>
      <w:color w:val="0F4761" w:themeColor="accent1" w:themeShade="BF"/>
    </w:rPr>
  </w:style>
  <w:style w:type="paragraph" w:styleId="IntenseQuote">
    <w:name w:val="Intense Quote"/>
    <w:basedOn w:val="Normal"/>
    <w:next w:val="Normal"/>
    <w:link w:val="IntenseQuoteChar"/>
    <w:uiPriority w:val="30"/>
    <w:qFormat/>
    <w:rsid w:val="007824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24ED"/>
    <w:rPr>
      <w:i/>
      <w:iCs/>
      <w:color w:val="0F4761" w:themeColor="accent1" w:themeShade="BF"/>
    </w:rPr>
  </w:style>
  <w:style w:type="character" w:styleId="IntenseReference">
    <w:name w:val="Intense Reference"/>
    <w:basedOn w:val="DefaultParagraphFont"/>
    <w:uiPriority w:val="32"/>
    <w:qFormat/>
    <w:rsid w:val="007824ED"/>
    <w:rPr>
      <w:b/>
      <w:bCs/>
      <w:smallCaps/>
      <w:color w:val="0F4761" w:themeColor="accent1" w:themeShade="BF"/>
      <w:spacing w:val="5"/>
    </w:rPr>
  </w:style>
  <w:style w:type="paragraph" w:styleId="Header">
    <w:name w:val="header"/>
    <w:basedOn w:val="Normal"/>
    <w:link w:val="HeaderChar"/>
    <w:uiPriority w:val="99"/>
    <w:unhideWhenUsed/>
    <w:rsid w:val="004642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2FB"/>
    <w:rPr>
      <w:rFonts w:eastAsiaTheme="minorEastAsia"/>
      <w:kern w:val="0"/>
      <w:sz w:val="22"/>
      <w:szCs w:val="22"/>
      <w:lang w:val="en-US"/>
      <w14:ligatures w14:val="none"/>
    </w:rPr>
  </w:style>
  <w:style w:type="paragraph" w:styleId="Footer">
    <w:name w:val="footer"/>
    <w:basedOn w:val="Normal"/>
    <w:link w:val="FooterChar"/>
    <w:uiPriority w:val="99"/>
    <w:unhideWhenUsed/>
    <w:rsid w:val="004642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2FB"/>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E1383"/>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E1383"/>
    <w:pPr>
      <w:spacing w:after="100"/>
    </w:pPr>
  </w:style>
  <w:style w:type="character" w:styleId="Hyperlink">
    <w:name w:val="Hyperlink"/>
    <w:basedOn w:val="DefaultParagraphFont"/>
    <w:uiPriority w:val="99"/>
    <w:unhideWhenUsed/>
    <w:rsid w:val="009E1383"/>
    <w:rPr>
      <w:color w:val="467886" w:themeColor="hyperlink"/>
      <w:u w:val="single"/>
    </w:rPr>
  </w:style>
  <w:style w:type="character" w:styleId="UnresolvedMention">
    <w:name w:val="Unresolved Mention"/>
    <w:basedOn w:val="DefaultParagraphFont"/>
    <w:uiPriority w:val="99"/>
    <w:semiHidden/>
    <w:unhideWhenUsed/>
    <w:rsid w:val="00351FBF"/>
    <w:rPr>
      <w:color w:val="605E5C"/>
      <w:shd w:val="clear" w:color="auto" w:fill="E1DFDD"/>
    </w:rPr>
  </w:style>
  <w:style w:type="paragraph" w:styleId="TOC2">
    <w:name w:val="toc 2"/>
    <w:basedOn w:val="Normal"/>
    <w:next w:val="Normal"/>
    <w:autoRedefine/>
    <w:uiPriority w:val="39"/>
    <w:unhideWhenUsed/>
    <w:rsid w:val="0088581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64BB0AF-FEF9-4A34-A5A3-398658481D75}">
  <we:reference id="WA200001011" version="1.2.0.0" store="Omex"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72003D-8539-4A28-B54D-4363FE9E3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TotalTime>
  <Pages>21</Pages>
  <Words>5665</Words>
  <Characters>32296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 (2023697)</dc:creator>
  <cp:keywords/>
  <dc:description/>
  <cp:lastModifiedBy>Jean-Paul Marshall (2023697)</cp:lastModifiedBy>
  <cp:revision>20</cp:revision>
  <dcterms:created xsi:type="dcterms:W3CDTF">2026-02-22T11:49:00Z</dcterms:created>
  <dcterms:modified xsi:type="dcterms:W3CDTF">2026-03-30T09:58:00Z</dcterms:modified>
</cp:coreProperties>
</file>