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53CE9" w14:textId="77777777" w:rsidR="008C315F" w:rsidRPr="00EB6FE2" w:rsidRDefault="008C315F" w:rsidP="008C315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1ACA4284" w14:textId="77777777" w:rsidR="0065420F" w:rsidRPr="000B5FBE" w:rsidRDefault="0065420F" w:rsidP="0065420F">
      <w:pPr>
        <w:widowControl w:val="0"/>
        <w:pBdr>
          <w:top w:val="nil"/>
          <w:left w:val="nil"/>
          <w:bottom w:val="nil"/>
          <w:right w:val="nil"/>
          <w:between w:val="nil"/>
        </w:pBdr>
        <w:spacing w:after="0" w:line="276" w:lineRule="auto"/>
        <w:jc w:val="both"/>
        <w:rPr>
          <w:rFonts w:ascii="Arial" w:eastAsia="Times New Roman" w:hAnsi="Arial" w:cs="Arial"/>
          <w:lang w:eastAsia="en-GB"/>
        </w:rPr>
      </w:pPr>
    </w:p>
    <w:p w14:paraId="5C667607" w14:textId="77777777" w:rsidR="0065420F" w:rsidRPr="00C43814" w:rsidRDefault="0065420F" w:rsidP="0065420F">
      <w:pPr>
        <w:jc w:val="center"/>
        <w:rPr>
          <w:rFonts w:ascii="Arial" w:eastAsia="Times New Roman" w:hAnsi="Arial" w:cs="Arial"/>
          <w:lang w:eastAsia="en-GB" w:bidi="bn-BD"/>
        </w:rPr>
      </w:pPr>
      <w:r w:rsidRPr="00C43814">
        <w:rPr>
          <w:rFonts w:ascii="Arial" w:eastAsia="Times New Roman" w:hAnsi="Arial" w:cs="Arial"/>
          <w:noProof/>
          <w:lang w:eastAsia="en-GB"/>
        </w:rPr>
        <w:drawing>
          <wp:inline distT="114300" distB="114300" distL="114300" distR="114300" wp14:anchorId="6F12A0C9" wp14:editId="4070AF99">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3918712" cy="1877425"/>
                    </a:xfrm>
                    <a:prstGeom prst="rect">
                      <a:avLst/>
                    </a:prstGeom>
                  </pic:spPr>
                </pic:pic>
              </a:graphicData>
            </a:graphic>
          </wp:inline>
        </w:drawing>
      </w:r>
    </w:p>
    <w:p w14:paraId="61CACD99" w14:textId="77777777"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p>
    <w:p w14:paraId="4050620E" w14:textId="77777777" w:rsidR="00863527" w:rsidRPr="00863527" w:rsidRDefault="00C6610C" w:rsidP="00863527">
      <w:pPr>
        <w:widowControl w:val="0"/>
        <w:spacing w:after="0" w:line="360" w:lineRule="auto"/>
        <w:jc w:val="center"/>
        <w:rPr>
          <w:rFonts w:ascii="Arial" w:eastAsia="Times New Roman" w:hAnsi="Arial" w:cs="Arial"/>
          <w:b/>
          <w:sz w:val="28"/>
          <w:szCs w:val="28"/>
          <w:lang w:eastAsia="en-GB" w:bidi="bn-BD"/>
        </w:rPr>
      </w:pPr>
      <w:r>
        <w:rPr>
          <w:rFonts w:ascii="Arial" w:eastAsia="Times New Roman" w:hAnsi="Arial" w:cs="Arial"/>
          <w:b/>
          <w:sz w:val="28"/>
          <w:szCs w:val="28"/>
          <w:lang w:eastAsia="en-GB" w:bidi="bn-BD"/>
        </w:rPr>
        <w:t xml:space="preserve">Assessment </w:t>
      </w:r>
      <w:r w:rsidR="00863527" w:rsidRPr="00863527">
        <w:rPr>
          <w:rFonts w:ascii="Arial" w:eastAsia="Times New Roman" w:hAnsi="Arial" w:cs="Arial"/>
          <w:b/>
          <w:sz w:val="28"/>
          <w:szCs w:val="28"/>
          <w:lang w:eastAsia="en-GB" w:bidi="bn-BD"/>
        </w:rPr>
        <w:t xml:space="preserve">Title: Assessment component - </w:t>
      </w:r>
    </w:p>
    <w:p w14:paraId="3BF7F85F" w14:textId="39AE2972" w:rsidR="0065420F" w:rsidRPr="00C43814" w:rsidRDefault="00863527" w:rsidP="00863527">
      <w:pPr>
        <w:widowControl w:val="0"/>
        <w:spacing w:after="0" w:line="360" w:lineRule="auto"/>
        <w:jc w:val="center"/>
        <w:rPr>
          <w:rFonts w:ascii="Arial" w:eastAsia="Times New Roman" w:hAnsi="Arial" w:cs="Arial"/>
          <w:b/>
          <w:sz w:val="28"/>
          <w:szCs w:val="28"/>
          <w:lang w:eastAsia="en-GB" w:bidi="bn-BD"/>
        </w:rPr>
      </w:pPr>
      <w:r w:rsidRPr="00863527">
        <w:rPr>
          <w:rFonts w:ascii="Arial" w:eastAsia="Times New Roman" w:hAnsi="Arial" w:cs="Arial"/>
          <w:b/>
          <w:sz w:val="28"/>
          <w:szCs w:val="28"/>
          <w:lang w:eastAsia="en-GB" w:bidi="bn-BD"/>
        </w:rPr>
        <w:t>Individual report</w:t>
      </w:r>
    </w:p>
    <w:p w14:paraId="33002A75" w14:textId="0FD01B3B"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Name: </w:t>
      </w:r>
      <w:r w:rsidR="00CF67A1" w:rsidRPr="00CF67A1">
        <w:rPr>
          <w:rFonts w:ascii="Arial" w:eastAsia="Times New Roman" w:hAnsi="Arial" w:cs="Arial"/>
          <w:b/>
          <w:sz w:val="28"/>
          <w:szCs w:val="28"/>
          <w:lang w:eastAsia="en-GB" w:bidi="bn-BD"/>
        </w:rPr>
        <w:t xml:space="preserve">Sultana </w:t>
      </w:r>
      <w:proofErr w:type="spellStart"/>
      <w:r w:rsidR="00CF67A1" w:rsidRPr="00CF67A1">
        <w:rPr>
          <w:rFonts w:ascii="Arial" w:eastAsia="Times New Roman" w:hAnsi="Arial" w:cs="Arial"/>
          <w:b/>
          <w:sz w:val="28"/>
          <w:szCs w:val="28"/>
          <w:lang w:eastAsia="en-GB" w:bidi="bn-BD"/>
        </w:rPr>
        <w:t>Akter</w:t>
      </w:r>
      <w:proofErr w:type="spellEnd"/>
    </w:p>
    <w:p w14:paraId="28698B18" w14:textId="707B655A" w:rsidR="0065420F" w:rsidRPr="00C43814" w:rsidRDefault="0065420F" w:rsidP="0065420F">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Student ID: </w:t>
      </w:r>
      <w:r w:rsidR="00CF67A1" w:rsidRPr="00CF67A1">
        <w:rPr>
          <w:rFonts w:ascii="Arial" w:eastAsia="Times New Roman" w:hAnsi="Arial" w:cs="Arial"/>
          <w:b/>
          <w:sz w:val="28"/>
          <w:szCs w:val="28"/>
          <w:lang w:eastAsia="en-GB" w:bidi="bn-BD"/>
        </w:rPr>
        <w:t>2422835</w:t>
      </w:r>
    </w:p>
    <w:p w14:paraId="7F6B6897" w14:textId="5DE85C74" w:rsidR="00C6610C" w:rsidRPr="00385344" w:rsidRDefault="0065420F" w:rsidP="00385344">
      <w:pPr>
        <w:widowControl w:val="0"/>
        <w:spacing w:after="0" w:line="360" w:lineRule="auto"/>
        <w:jc w:val="center"/>
        <w:rPr>
          <w:rFonts w:ascii="Arial" w:eastAsia="Times New Roman" w:hAnsi="Arial" w:cs="Arial"/>
          <w:b/>
          <w:sz w:val="28"/>
          <w:szCs w:val="24"/>
          <w:lang w:eastAsia="en-GB" w:bidi="bn-BD"/>
        </w:rPr>
      </w:pPr>
      <w:r w:rsidRPr="00C43814">
        <w:rPr>
          <w:rFonts w:ascii="Arial" w:eastAsia="Times New Roman" w:hAnsi="Arial" w:cs="Arial"/>
          <w:b/>
          <w:sz w:val="28"/>
          <w:szCs w:val="24"/>
          <w:lang w:eastAsia="en-GB" w:bidi="bn-BD"/>
        </w:rPr>
        <w:t xml:space="preserve">Module Name &amp; Code: </w:t>
      </w:r>
      <w:r w:rsidR="00A64CE0" w:rsidRPr="00A64CE0">
        <w:rPr>
          <w:rFonts w:ascii="Arial" w:hAnsi="Arial" w:cs="Arial"/>
          <w:b/>
          <w:sz w:val="28"/>
          <w:szCs w:val="28"/>
        </w:rPr>
        <w:t>Strategic Management</w:t>
      </w:r>
      <w:r w:rsidR="00385344">
        <w:rPr>
          <w:rFonts w:ascii="Arial" w:hAnsi="Arial" w:cs="Arial"/>
          <w:b/>
          <w:sz w:val="28"/>
          <w:szCs w:val="28"/>
        </w:rPr>
        <w:t xml:space="preserve"> (</w:t>
      </w:r>
      <w:r w:rsidR="00385344" w:rsidRPr="00A64CE0">
        <w:rPr>
          <w:rFonts w:ascii="Arial" w:eastAsia="Times New Roman" w:hAnsi="Arial" w:cs="Arial"/>
          <w:b/>
          <w:sz w:val="28"/>
          <w:szCs w:val="28"/>
          <w:lang w:eastAsia="en-GB" w:bidi="bn-BD"/>
        </w:rPr>
        <w:t>LCMB7003</w:t>
      </w:r>
      <w:r w:rsidR="00385344">
        <w:rPr>
          <w:rFonts w:ascii="Arial" w:hAnsi="Arial" w:cs="Arial"/>
          <w:b/>
          <w:sz w:val="28"/>
          <w:szCs w:val="28"/>
        </w:rPr>
        <w:t>)</w:t>
      </w:r>
    </w:p>
    <w:p w14:paraId="190BA701" w14:textId="7E065DD2" w:rsidR="0065420F" w:rsidRPr="00CF67A1" w:rsidRDefault="0065420F" w:rsidP="00CF67A1">
      <w:pPr>
        <w:widowControl w:val="0"/>
        <w:spacing w:after="0" w:line="360" w:lineRule="auto"/>
        <w:jc w:val="center"/>
        <w:rPr>
          <w:rFonts w:ascii="Arial" w:eastAsia="Times New Roman" w:hAnsi="Arial" w:cs="Arial"/>
          <w:b/>
          <w:sz w:val="28"/>
          <w:szCs w:val="28"/>
          <w:lang w:eastAsia="en-GB" w:bidi="bn-BD"/>
        </w:rPr>
      </w:pPr>
      <w:r w:rsidRPr="00C43814">
        <w:rPr>
          <w:rFonts w:ascii="Arial" w:eastAsia="Times New Roman" w:hAnsi="Arial" w:cs="Arial"/>
          <w:b/>
          <w:sz w:val="28"/>
          <w:szCs w:val="28"/>
          <w:lang w:eastAsia="en-GB" w:bidi="bn-BD"/>
        </w:rPr>
        <w:t xml:space="preserve">Lecturer: </w:t>
      </w:r>
      <w:r w:rsidR="00CF67A1" w:rsidRPr="00CF67A1">
        <w:rPr>
          <w:rFonts w:ascii="Arial" w:eastAsia="Times New Roman" w:hAnsi="Arial" w:cs="Arial"/>
          <w:b/>
          <w:sz w:val="28"/>
          <w:szCs w:val="28"/>
          <w:lang w:eastAsia="en-GB" w:bidi="bn-BD"/>
        </w:rPr>
        <w:t xml:space="preserve">Amare </w:t>
      </w:r>
      <w:proofErr w:type="spellStart"/>
      <w:r w:rsidR="00CF67A1" w:rsidRPr="00CF67A1">
        <w:rPr>
          <w:rFonts w:ascii="Arial" w:eastAsia="Times New Roman" w:hAnsi="Arial" w:cs="Arial"/>
          <w:b/>
          <w:sz w:val="28"/>
          <w:szCs w:val="28"/>
          <w:lang w:eastAsia="en-GB" w:bidi="bn-BD"/>
        </w:rPr>
        <w:t>Desta</w:t>
      </w:r>
      <w:proofErr w:type="spellEnd"/>
    </w:p>
    <w:p w14:paraId="24EDEAF4" w14:textId="544FA10C" w:rsidR="00CE0FDD" w:rsidRDefault="00CE0FDD" w:rsidP="0065420F">
      <w:pPr>
        <w:widowControl w:val="0"/>
        <w:spacing w:after="0" w:line="360" w:lineRule="auto"/>
        <w:jc w:val="center"/>
        <w:rPr>
          <w:rFonts w:ascii="Arial" w:eastAsia="Times New Roman" w:hAnsi="Arial" w:cs="Arial"/>
          <w:b/>
          <w:sz w:val="28"/>
          <w:szCs w:val="28"/>
          <w:lang w:eastAsia="en-GB" w:bidi="bn-BD"/>
        </w:rPr>
      </w:pPr>
      <w:r w:rsidRPr="00C3352A">
        <w:rPr>
          <w:rFonts w:ascii="Arial" w:hAnsi="Arial" w:cs="Arial"/>
          <w:b/>
          <w:sz w:val="28"/>
          <w:szCs w:val="28"/>
        </w:rPr>
        <w:t>Word Count</w:t>
      </w:r>
      <w:r w:rsidRPr="00C3352A">
        <w:rPr>
          <w:rFonts w:ascii="Arial" w:eastAsia="Times New Roman" w:hAnsi="Arial" w:cs="Arial"/>
          <w:b/>
          <w:sz w:val="28"/>
          <w:szCs w:val="28"/>
          <w:lang w:eastAsia="en-GB" w:bidi="bn-BD"/>
        </w:rPr>
        <w:t>:</w:t>
      </w:r>
      <w:r>
        <w:rPr>
          <w:rFonts w:ascii="Arial" w:eastAsia="Times New Roman" w:hAnsi="Arial" w:cs="Arial"/>
          <w:b/>
          <w:sz w:val="28"/>
          <w:szCs w:val="28"/>
          <w:lang w:eastAsia="en-GB" w:bidi="bn-BD"/>
        </w:rPr>
        <w:t xml:space="preserve"> </w:t>
      </w:r>
      <w:r w:rsidR="00225C49">
        <w:rPr>
          <w:rFonts w:ascii="Arial" w:eastAsia="Times New Roman" w:hAnsi="Arial" w:cs="Arial"/>
          <w:b/>
          <w:sz w:val="28"/>
          <w:szCs w:val="28"/>
          <w:lang w:eastAsia="en-GB" w:bidi="bn-BD"/>
        </w:rPr>
        <w:t>5</w:t>
      </w:r>
      <w:r w:rsidR="00A66134">
        <w:rPr>
          <w:rFonts w:ascii="Arial" w:eastAsia="Times New Roman" w:hAnsi="Arial" w:cs="Arial"/>
          <w:b/>
          <w:sz w:val="28"/>
          <w:szCs w:val="28"/>
          <w:lang w:eastAsia="en-GB" w:bidi="bn-BD"/>
        </w:rPr>
        <w:t>39</w:t>
      </w:r>
      <w:r w:rsidR="00F54B48">
        <w:rPr>
          <w:rFonts w:ascii="Arial" w:eastAsia="Times New Roman" w:hAnsi="Arial" w:cs="Arial"/>
          <w:b/>
          <w:sz w:val="28"/>
          <w:szCs w:val="28"/>
          <w:lang w:eastAsia="en-GB" w:bidi="bn-BD"/>
        </w:rPr>
        <w:t>8</w:t>
      </w:r>
    </w:p>
    <w:p w14:paraId="483E3E3B" w14:textId="68D7D929" w:rsidR="00C6610C" w:rsidRDefault="00C6610C" w:rsidP="0065420F">
      <w:pPr>
        <w:widowControl w:val="0"/>
        <w:spacing w:after="0" w:line="360" w:lineRule="auto"/>
        <w:jc w:val="center"/>
        <w:rPr>
          <w:rFonts w:ascii="Arial" w:eastAsia="Times New Roman" w:hAnsi="Arial" w:cs="Arial"/>
          <w:b/>
          <w:sz w:val="28"/>
          <w:szCs w:val="28"/>
          <w:lang w:eastAsia="en-GB" w:bidi="bn-BD"/>
        </w:rPr>
      </w:pPr>
    </w:p>
    <w:p w14:paraId="3BB2ECE9" w14:textId="6FAD8DF1" w:rsidR="00C6610C" w:rsidRDefault="00C6610C" w:rsidP="0065420F">
      <w:pPr>
        <w:widowControl w:val="0"/>
        <w:spacing w:after="0" w:line="360" w:lineRule="auto"/>
        <w:jc w:val="center"/>
        <w:rPr>
          <w:rFonts w:ascii="Arial" w:eastAsia="Times New Roman" w:hAnsi="Arial" w:cs="Arial"/>
          <w:b/>
          <w:sz w:val="28"/>
          <w:szCs w:val="28"/>
          <w:lang w:eastAsia="en-GB" w:bidi="bn-BD"/>
        </w:rPr>
      </w:pPr>
    </w:p>
    <w:p w14:paraId="3DB9C09C" w14:textId="5C80F965" w:rsidR="000A1EF6" w:rsidRDefault="000A1EF6" w:rsidP="00A726CC">
      <w:pPr>
        <w:widowControl w:val="0"/>
        <w:spacing w:after="0" w:line="360" w:lineRule="auto"/>
        <w:rPr>
          <w:rFonts w:ascii="Arial" w:eastAsia="Times New Roman" w:hAnsi="Arial" w:cs="Arial"/>
          <w:b/>
          <w:sz w:val="24"/>
          <w:szCs w:val="24"/>
          <w:lang w:eastAsia="en-GB"/>
        </w:rPr>
      </w:pPr>
    </w:p>
    <w:p w14:paraId="489C2682" w14:textId="23F695B9" w:rsidR="00A726CC" w:rsidRDefault="00A726CC" w:rsidP="008C315F">
      <w:pPr>
        <w:widowControl w:val="0"/>
        <w:spacing w:after="0" w:line="360" w:lineRule="auto"/>
        <w:jc w:val="center"/>
        <w:rPr>
          <w:rFonts w:ascii="Arial" w:eastAsia="Times New Roman" w:hAnsi="Arial" w:cs="Arial"/>
          <w:b/>
          <w:sz w:val="24"/>
          <w:szCs w:val="24"/>
          <w:lang w:eastAsia="en-GB"/>
        </w:rPr>
      </w:pPr>
    </w:p>
    <w:p w14:paraId="03C9DDB4" w14:textId="78A2BA35" w:rsidR="000A1EF6" w:rsidRDefault="000A1EF6" w:rsidP="008C315F">
      <w:pPr>
        <w:widowControl w:val="0"/>
        <w:spacing w:after="0" w:line="360" w:lineRule="auto"/>
        <w:jc w:val="center"/>
        <w:rPr>
          <w:rFonts w:ascii="Arial" w:eastAsia="Times New Roman" w:hAnsi="Arial" w:cs="Arial"/>
          <w:b/>
          <w:sz w:val="24"/>
          <w:szCs w:val="24"/>
          <w:lang w:eastAsia="en-GB"/>
        </w:rPr>
      </w:pPr>
    </w:p>
    <w:p w14:paraId="15CE8C27" w14:textId="77777777" w:rsidR="00863527" w:rsidRPr="00EB6FE2" w:rsidRDefault="00863527" w:rsidP="008C315F">
      <w:pPr>
        <w:widowControl w:val="0"/>
        <w:spacing w:after="0" w:line="360" w:lineRule="auto"/>
        <w:jc w:val="center"/>
        <w:rPr>
          <w:rFonts w:ascii="Arial" w:eastAsia="Times New Roman" w:hAnsi="Arial" w:cs="Arial"/>
          <w:b/>
          <w:sz w:val="28"/>
          <w:szCs w:val="28"/>
          <w:lang w:eastAsia="en-GB"/>
        </w:rPr>
      </w:pPr>
    </w:p>
    <w:p w14:paraId="47F3F11D" w14:textId="26594621" w:rsidR="006A30E4" w:rsidRDefault="006A30E4" w:rsidP="008C315F">
      <w:pPr>
        <w:widowControl w:val="0"/>
        <w:spacing w:after="0" w:line="360" w:lineRule="auto"/>
        <w:jc w:val="center"/>
        <w:rPr>
          <w:rFonts w:ascii="Arial" w:eastAsia="Times New Roman" w:hAnsi="Arial" w:cs="Arial"/>
          <w:b/>
          <w:sz w:val="28"/>
          <w:szCs w:val="28"/>
          <w:lang w:eastAsia="en-GB"/>
        </w:rPr>
      </w:pPr>
    </w:p>
    <w:p w14:paraId="49E438EE" w14:textId="77777777" w:rsidR="008149C5" w:rsidRDefault="008149C5" w:rsidP="008C315F">
      <w:pPr>
        <w:widowControl w:val="0"/>
        <w:spacing w:after="0" w:line="360" w:lineRule="auto"/>
        <w:jc w:val="center"/>
        <w:rPr>
          <w:rFonts w:ascii="Arial" w:eastAsia="Times New Roman" w:hAnsi="Arial" w:cs="Arial"/>
          <w:b/>
          <w:sz w:val="28"/>
          <w:szCs w:val="28"/>
          <w:lang w:eastAsia="en-GB"/>
        </w:rPr>
      </w:pPr>
    </w:p>
    <w:p w14:paraId="295BFCC9" w14:textId="77777777" w:rsidR="00A7485A" w:rsidRPr="00EB6FE2" w:rsidRDefault="00A7485A" w:rsidP="008C315F">
      <w:pPr>
        <w:widowControl w:val="0"/>
        <w:spacing w:after="0" w:line="360" w:lineRule="auto"/>
        <w:jc w:val="center"/>
        <w:rPr>
          <w:rFonts w:ascii="Arial" w:eastAsia="Times New Roman" w:hAnsi="Arial" w:cs="Arial"/>
          <w:b/>
          <w:sz w:val="28"/>
          <w:szCs w:val="28"/>
          <w:lang w:eastAsia="en-GB"/>
        </w:rPr>
      </w:pPr>
    </w:p>
    <w:p w14:paraId="19AA621A" w14:textId="6F23F6E0" w:rsidR="008C315F" w:rsidRDefault="008C315F" w:rsidP="008C315F">
      <w:pPr>
        <w:spacing w:line="360" w:lineRule="auto"/>
        <w:jc w:val="both"/>
        <w:rPr>
          <w:rFonts w:ascii="Arial" w:eastAsia="Times New Roman" w:hAnsi="Arial" w:cs="Arial"/>
          <w:sz w:val="24"/>
          <w:szCs w:val="24"/>
          <w:lang w:eastAsia="en-GB"/>
        </w:rPr>
      </w:pPr>
    </w:p>
    <w:sdt>
      <w:sdtPr>
        <w:rPr>
          <w:rFonts w:asciiTheme="minorHAnsi" w:eastAsiaTheme="minorHAnsi" w:hAnsiTheme="minorHAnsi" w:cstheme="minorBidi"/>
          <w:b w:val="0"/>
          <w:color w:val="auto"/>
          <w:sz w:val="22"/>
          <w:szCs w:val="22"/>
          <w:lang w:val="en-GB"/>
        </w:rPr>
        <w:id w:val="1825321127"/>
        <w:docPartObj>
          <w:docPartGallery w:val="Table of Contents"/>
          <w:docPartUnique/>
        </w:docPartObj>
      </w:sdtPr>
      <w:sdtEndPr>
        <w:rPr>
          <w:rFonts w:ascii="Arial" w:hAnsi="Arial" w:cs="Arial"/>
          <w:bCs/>
          <w:noProof/>
          <w:sz w:val="24"/>
          <w:szCs w:val="24"/>
        </w:rPr>
      </w:sdtEndPr>
      <w:sdtContent>
        <w:p w14:paraId="0D9A9F72" w14:textId="39C43D53" w:rsidR="001A5555" w:rsidRPr="004F16F8" w:rsidRDefault="001A5555" w:rsidP="004F16F8">
          <w:pPr>
            <w:pStyle w:val="TOCHeading"/>
            <w:jc w:val="center"/>
            <w:rPr>
              <w:rFonts w:cs="Arial"/>
              <w:b w:val="0"/>
              <w:color w:val="auto"/>
            </w:rPr>
          </w:pPr>
          <w:r w:rsidRPr="004F16F8">
            <w:rPr>
              <w:rFonts w:cs="Arial"/>
              <w:color w:val="auto"/>
            </w:rPr>
            <w:t>Contents</w:t>
          </w:r>
        </w:p>
        <w:p w14:paraId="24EA42F5" w14:textId="0017A51D" w:rsidR="00310C36" w:rsidRPr="00310C36" w:rsidRDefault="001A5555">
          <w:pPr>
            <w:pStyle w:val="TOC1"/>
            <w:tabs>
              <w:tab w:val="right" w:leader="dot" w:pos="9350"/>
            </w:tabs>
            <w:rPr>
              <w:rFonts w:ascii="Arial" w:eastAsiaTheme="minorEastAsia" w:hAnsi="Arial" w:cs="Arial"/>
              <w:noProof/>
              <w:sz w:val="24"/>
              <w:szCs w:val="24"/>
              <w:lang w:eastAsia="en-GB"/>
            </w:rPr>
          </w:pPr>
          <w:r w:rsidRPr="00310C36">
            <w:rPr>
              <w:rFonts w:ascii="Arial" w:hAnsi="Arial" w:cs="Arial"/>
              <w:sz w:val="24"/>
              <w:szCs w:val="24"/>
            </w:rPr>
            <w:fldChar w:fldCharType="begin"/>
          </w:r>
          <w:r w:rsidRPr="00310C36">
            <w:rPr>
              <w:rFonts w:ascii="Arial" w:hAnsi="Arial" w:cs="Arial"/>
              <w:sz w:val="24"/>
              <w:szCs w:val="24"/>
            </w:rPr>
            <w:instrText xml:space="preserve"> TOC \o "1-3" \h \z \u </w:instrText>
          </w:r>
          <w:r w:rsidRPr="00310C36">
            <w:rPr>
              <w:rFonts w:ascii="Arial" w:hAnsi="Arial" w:cs="Arial"/>
              <w:sz w:val="24"/>
              <w:szCs w:val="24"/>
            </w:rPr>
            <w:fldChar w:fldCharType="separate"/>
          </w:r>
          <w:hyperlink w:anchor="_Toc227831961" w:history="1">
            <w:r w:rsidR="00310C36" w:rsidRPr="00310C36">
              <w:rPr>
                <w:rStyle w:val="Hyperlink"/>
                <w:rFonts w:ascii="Arial" w:eastAsia="Times New Roman" w:hAnsi="Arial" w:cs="Arial"/>
                <w:noProof/>
                <w:sz w:val="24"/>
                <w:szCs w:val="24"/>
                <w:lang w:eastAsia="en-GB"/>
              </w:rPr>
              <w:t>Section-01</w:t>
            </w:r>
            <w:r w:rsidR="00310C36" w:rsidRPr="00310C36">
              <w:rPr>
                <w:rFonts w:ascii="Arial" w:hAnsi="Arial" w:cs="Arial"/>
                <w:noProof/>
                <w:webHidden/>
                <w:sz w:val="24"/>
                <w:szCs w:val="24"/>
              </w:rPr>
              <w:tab/>
            </w:r>
            <w:r w:rsidR="00310C36" w:rsidRPr="00310C36">
              <w:rPr>
                <w:rFonts w:ascii="Arial" w:hAnsi="Arial" w:cs="Arial"/>
                <w:noProof/>
                <w:webHidden/>
                <w:sz w:val="24"/>
                <w:szCs w:val="24"/>
              </w:rPr>
              <w:fldChar w:fldCharType="begin"/>
            </w:r>
            <w:r w:rsidR="00310C36" w:rsidRPr="00310C36">
              <w:rPr>
                <w:rFonts w:ascii="Arial" w:hAnsi="Arial" w:cs="Arial"/>
                <w:noProof/>
                <w:webHidden/>
                <w:sz w:val="24"/>
                <w:szCs w:val="24"/>
              </w:rPr>
              <w:instrText xml:space="preserve"> PAGEREF _Toc227831961 \h </w:instrText>
            </w:r>
            <w:r w:rsidR="00310C36" w:rsidRPr="00310C36">
              <w:rPr>
                <w:rFonts w:ascii="Arial" w:hAnsi="Arial" w:cs="Arial"/>
                <w:noProof/>
                <w:webHidden/>
                <w:sz w:val="24"/>
                <w:szCs w:val="24"/>
              </w:rPr>
            </w:r>
            <w:r w:rsidR="00310C36" w:rsidRPr="00310C36">
              <w:rPr>
                <w:rFonts w:ascii="Arial" w:hAnsi="Arial" w:cs="Arial"/>
                <w:noProof/>
                <w:webHidden/>
                <w:sz w:val="24"/>
                <w:szCs w:val="24"/>
              </w:rPr>
              <w:fldChar w:fldCharType="separate"/>
            </w:r>
            <w:r w:rsidR="00310C36" w:rsidRPr="00310C36">
              <w:rPr>
                <w:rFonts w:ascii="Arial" w:hAnsi="Arial" w:cs="Arial"/>
                <w:noProof/>
                <w:webHidden/>
                <w:sz w:val="24"/>
                <w:szCs w:val="24"/>
              </w:rPr>
              <w:t>1</w:t>
            </w:r>
            <w:r w:rsidR="00310C36" w:rsidRPr="00310C36">
              <w:rPr>
                <w:rFonts w:ascii="Arial" w:hAnsi="Arial" w:cs="Arial"/>
                <w:noProof/>
                <w:webHidden/>
                <w:sz w:val="24"/>
                <w:szCs w:val="24"/>
              </w:rPr>
              <w:fldChar w:fldCharType="end"/>
            </w:r>
          </w:hyperlink>
        </w:p>
        <w:p w14:paraId="4A1783A6" w14:textId="6CA76C57"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62" w:history="1">
            <w:r w:rsidRPr="00310C36">
              <w:rPr>
                <w:rStyle w:val="Hyperlink"/>
                <w:rFonts w:ascii="Arial" w:eastAsia="Times New Roman" w:hAnsi="Arial" w:cs="Arial"/>
                <w:noProof/>
                <w:sz w:val="24"/>
                <w:szCs w:val="24"/>
                <w:lang w:eastAsia="en-GB"/>
              </w:rPr>
              <w:t>1. Organisational Context and Overview</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_Toc227831962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w:t>
            </w:r>
            <w:r w:rsidRPr="00310C36">
              <w:rPr>
                <w:rFonts w:ascii="Arial" w:hAnsi="Arial" w:cs="Arial"/>
                <w:noProof/>
                <w:webHidden/>
                <w:sz w:val="24"/>
                <w:szCs w:val="24"/>
              </w:rPr>
              <w:fldChar w:fldCharType="end"/>
            </w:r>
          </w:hyperlink>
        </w:p>
        <w:p w14:paraId="03225E8F" w14:textId="3332BAEE"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63" w:history="1">
            <w:r w:rsidRPr="00310C36">
              <w:rPr>
                <w:rStyle w:val="Hyperlink"/>
                <w:rFonts w:ascii="Arial" w:eastAsia="Times New Roman" w:hAnsi="Arial" w:cs="Arial"/>
                <w:noProof/>
                <w:sz w:val="24"/>
                <w:szCs w:val="24"/>
                <w:lang w:eastAsia="en-GB"/>
              </w:rPr>
              <w:t>2. External &amp; Internal Environment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_Toc227831963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w:t>
            </w:r>
            <w:r w:rsidRPr="00310C36">
              <w:rPr>
                <w:rFonts w:ascii="Arial" w:hAnsi="Arial" w:cs="Arial"/>
                <w:noProof/>
                <w:webHidden/>
                <w:sz w:val="24"/>
                <w:szCs w:val="24"/>
              </w:rPr>
              <w:fldChar w:fldCharType="end"/>
            </w:r>
          </w:hyperlink>
        </w:p>
        <w:p w14:paraId="589252F6" w14:textId="6ED81F9A"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64" w:history="1">
            <w:r w:rsidRPr="00310C36">
              <w:rPr>
                <w:rStyle w:val="Hyperlink"/>
                <w:rFonts w:ascii="Arial" w:hAnsi="Arial" w:cs="Arial"/>
                <w:noProof/>
                <w:sz w:val="24"/>
                <w:szCs w:val="24"/>
                <w:lang w:eastAsia="en-GB"/>
              </w:rPr>
              <w:t>2.1 External Environment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_Toc227831964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w:t>
            </w:r>
            <w:r w:rsidRPr="00310C36">
              <w:rPr>
                <w:rFonts w:ascii="Arial" w:hAnsi="Arial" w:cs="Arial"/>
                <w:noProof/>
                <w:webHidden/>
                <w:sz w:val="24"/>
                <w:szCs w:val="24"/>
              </w:rPr>
              <w:fldChar w:fldCharType="end"/>
            </w:r>
          </w:hyperlink>
        </w:p>
        <w:p w14:paraId="00859E5C" w14:textId="5E006421"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65" w:history="1">
            <w:r w:rsidRPr="00310C36">
              <w:rPr>
                <w:rStyle w:val="Hyperlink"/>
                <w:rFonts w:ascii="Arial" w:eastAsia="Times New Roman" w:hAnsi="Arial" w:cs="Arial"/>
                <w:noProof/>
                <w:sz w:val="24"/>
                <w:szCs w:val="24"/>
                <w:lang w:eastAsia="en-GB"/>
              </w:rPr>
              <w:t>2.1.1 PESTEL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_Toc227831965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3</w:t>
            </w:r>
            <w:r w:rsidRPr="00310C36">
              <w:rPr>
                <w:rFonts w:ascii="Arial" w:hAnsi="Arial" w:cs="Arial"/>
                <w:noProof/>
                <w:webHidden/>
                <w:sz w:val="24"/>
                <w:szCs w:val="24"/>
              </w:rPr>
              <w:fldChar w:fldCharType="end"/>
            </w:r>
          </w:hyperlink>
        </w:p>
        <w:p w14:paraId="2118E4A0" w14:textId="0E3EC7A3"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66" w:history="1">
            <w:r w:rsidRPr="00310C36">
              <w:rPr>
                <w:rStyle w:val="Hyperlink"/>
                <w:rFonts w:ascii="Arial" w:eastAsia="Times New Roman" w:hAnsi="Arial" w:cs="Arial"/>
                <w:noProof/>
                <w:sz w:val="24"/>
                <w:szCs w:val="24"/>
                <w:lang w:eastAsia="en-GB"/>
              </w:rPr>
              <w:t>2.1.2 Critical Success Factors (CSFs)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_Toc227831966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4</w:t>
            </w:r>
            <w:r w:rsidRPr="00310C36">
              <w:rPr>
                <w:rFonts w:ascii="Arial" w:hAnsi="Arial" w:cs="Arial"/>
                <w:noProof/>
                <w:webHidden/>
                <w:sz w:val="24"/>
                <w:szCs w:val="24"/>
              </w:rPr>
              <w:fldChar w:fldCharType="end"/>
            </w:r>
          </w:hyperlink>
        </w:p>
        <w:p w14:paraId="53078041" w14:textId="75A0EA99"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67" w:history="1">
            <w:r w:rsidRPr="00310C36">
              <w:rPr>
                <w:rStyle w:val="Hyperlink"/>
                <w:rFonts w:ascii="Arial" w:eastAsia="Times New Roman" w:hAnsi="Arial" w:cs="Arial"/>
                <w:noProof/>
                <w:sz w:val="24"/>
                <w:szCs w:val="24"/>
                <w:lang w:eastAsia="en-GB"/>
              </w:rPr>
              <w:t>2.1.3 Strategic Challenges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_Toc227831967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5</w:t>
            </w:r>
            <w:r w:rsidRPr="00310C36">
              <w:rPr>
                <w:rFonts w:ascii="Arial" w:hAnsi="Arial" w:cs="Arial"/>
                <w:noProof/>
                <w:webHidden/>
                <w:sz w:val="24"/>
                <w:szCs w:val="24"/>
              </w:rPr>
              <w:fldChar w:fldCharType="end"/>
            </w:r>
          </w:hyperlink>
        </w:p>
        <w:p w14:paraId="61D01072" w14:textId="583248FA"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68" w:history="1">
            <w:r w:rsidRPr="00310C36">
              <w:rPr>
                <w:rStyle w:val="Hyperlink"/>
                <w:rFonts w:ascii="Arial" w:eastAsia="Times New Roman" w:hAnsi="Arial" w:cs="Arial"/>
                <w:noProof/>
                <w:sz w:val="24"/>
                <w:szCs w:val="24"/>
                <w:lang w:eastAsia="en-GB"/>
              </w:rPr>
              <w:t>2.2 Internal Environment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_Toc227831968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6</w:t>
            </w:r>
            <w:r w:rsidRPr="00310C36">
              <w:rPr>
                <w:rFonts w:ascii="Arial" w:hAnsi="Arial" w:cs="Arial"/>
                <w:noProof/>
                <w:webHidden/>
                <w:sz w:val="24"/>
                <w:szCs w:val="24"/>
              </w:rPr>
              <w:fldChar w:fldCharType="end"/>
            </w:r>
          </w:hyperlink>
        </w:p>
        <w:p w14:paraId="0613CADF" w14:textId="46164D8D"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69" w:history="1">
            <w:r w:rsidRPr="00310C36">
              <w:rPr>
                <w:rStyle w:val="Hyperlink"/>
                <w:rFonts w:ascii="Arial" w:eastAsia="Times New Roman" w:hAnsi="Arial" w:cs="Arial"/>
                <w:noProof/>
                <w:sz w:val="24"/>
                <w:szCs w:val="24"/>
                <w:lang w:eastAsia="en-GB"/>
              </w:rPr>
              <w:t>2.2.1 Resources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_Toc227831969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6</w:t>
            </w:r>
            <w:r w:rsidRPr="00310C36">
              <w:rPr>
                <w:rFonts w:ascii="Arial" w:hAnsi="Arial" w:cs="Arial"/>
                <w:noProof/>
                <w:webHidden/>
                <w:sz w:val="24"/>
                <w:szCs w:val="24"/>
              </w:rPr>
              <w:fldChar w:fldCharType="end"/>
            </w:r>
          </w:hyperlink>
        </w:p>
        <w:p w14:paraId="405A7E3D" w14:textId="7EB0C48D"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70" w:history="1">
            <w:r w:rsidRPr="00310C36">
              <w:rPr>
                <w:rStyle w:val="Hyperlink"/>
                <w:rFonts w:ascii="Arial" w:eastAsia="Times New Roman" w:hAnsi="Arial" w:cs="Arial"/>
                <w:noProof/>
                <w:sz w:val="24"/>
                <w:szCs w:val="24"/>
                <w:lang w:eastAsia="en-GB"/>
              </w:rPr>
              <w:t>2.2.2 Capabilities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_Toc227831970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7</w:t>
            </w:r>
            <w:r w:rsidRPr="00310C36">
              <w:rPr>
                <w:rFonts w:ascii="Arial" w:hAnsi="Arial" w:cs="Arial"/>
                <w:noProof/>
                <w:webHidden/>
                <w:sz w:val="24"/>
                <w:szCs w:val="24"/>
              </w:rPr>
              <w:fldChar w:fldCharType="end"/>
            </w:r>
          </w:hyperlink>
        </w:p>
        <w:p w14:paraId="6AA9D0F6" w14:textId="4AE97EE1"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71" w:history="1">
            <w:r w:rsidRPr="00310C36">
              <w:rPr>
                <w:rStyle w:val="Hyperlink"/>
                <w:rFonts w:ascii="Arial" w:eastAsia="Times New Roman" w:hAnsi="Arial" w:cs="Arial"/>
                <w:noProof/>
                <w:sz w:val="24"/>
                <w:szCs w:val="24"/>
                <w:lang w:eastAsia="en-GB"/>
              </w:rPr>
              <w:t>2.2.3 Core Competencies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_Toc227831971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8</w:t>
            </w:r>
            <w:r w:rsidRPr="00310C36">
              <w:rPr>
                <w:rFonts w:ascii="Arial" w:hAnsi="Arial" w:cs="Arial"/>
                <w:noProof/>
                <w:webHidden/>
                <w:sz w:val="24"/>
                <w:szCs w:val="24"/>
              </w:rPr>
              <w:fldChar w:fldCharType="end"/>
            </w:r>
          </w:hyperlink>
        </w:p>
        <w:p w14:paraId="0FC24F4D" w14:textId="590F22BC"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72" w:history="1">
            <w:r w:rsidRPr="00310C36">
              <w:rPr>
                <w:rStyle w:val="Hyperlink"/>
                <w:rFonts w:ascii="Arial" w:eastAsia="Times New Roman" w:hAnsi="Arial" w:cs="Arial"/>
                <w:noProof/>
                <w:sz w:val="24"/>
                <w:szCs w:val="24"/>
                <w:lang w:eastAsia="en-GB"/>
              </w:rPr>
              <w:t>2.2.4 VRIO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_Toc227831972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9</w:t>
            </w:r>
            <w:r w:rsidRPr="00310C36">
              <w:rPr>
                <w:rFonts w:ascii="Arial" w:hAnsi="Arial" w:cs="Arial"/>
                <w:noProof/>
                <w:webHidden/>
                <w:sz w:val="24"/>
                <w:szCs w:val="24"/>
              </w:rPr>
              <w:fldChar w:fldCharType="end"/>
            </w:r>
          </w:hyperlink>
        </w:p>
        <w:p w14:paraId="2C68FFF6" w14:textId="20F9B0A7" w:rsidR="00310C36" w:rsidRPr="00310C36" w:rsidRDefault="00310C36">
          <w:pPr>
            <w:pStyle w:val="TOC3"/>
            <w:tabs>
              <w:tab w:val="right" w:leader="dot" w:pos="9350"/>
            </w:tabs>
            <w:rPr>
              <w:rFonts w:ascii="Arial" w:eastAsiaTheme="minorEastAsia" w:hAnsi="Arial" w:cs="Arial"/>
              <w:noProof/>
              <w:sz w:val="24"/>
              <w:szCs w:val="24"/>
              <w:lang w:eastAsia="en-GB"/>
            </w:rPr>
          </w:pPr>
          <w:hyperlink w:anchor="_Toc227831973" w:history="1">
            <w:r w:rsidRPr="00310C36">
              <w:rPr>
                <w:rStyle w:val="Hyperlink"/>
                <w:rFonts w:ascii="Arial" w:eastAsia="Times New Roman" w:hAnsi="Arial" w:cs="Arial"/>
                <w:noProof/>
                <w:sz w:val="24"/>
                <w:szCs w:val="24"/>
                <w:lang w:eastAsia="en-GB"/>
              </w:rPr>
              <w:t>2.2.5 Contribution to Competitive Advantage.</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_Toc227831973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9</w:t>
            </w:r>
            <w:r w:rsidRPr="00310C36">
              <w:rPr>
                <w:rFonts w:ascii="Arial" w:hAnsi="Arial" w:cs="Arial"/>
                <w:noProof/>
                <w:webHidden/>
                <w:sz w:val="24"/>
                <w:szCs w:val="24"/>
              </w:rPr>
              <w:fldChar w:fldCharType="end"/>
            </w:r>
          </w:hyperlink>
        </w:p>
        <w:p w14:paraId="533042AE" w14:textId="4CE07C1C"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74" w:history="1">
            <w:r w:rsidRPr="00310C36">
              <w:rPr>
                <w:rStyle w:val="Hyperlink"/>
                <w:rFonts w:ascii="Arial" w:eastAsia="Times New Roman" w:hAnsi="Arial" w:cs="Arial"/>
                <w:noProof/>
                <w:sz w:val="24"/>
                <w:szCs w:val="24"/>
                <w:lang w:eastAsia="en-GB"/>
              </w:rPr>
              <w:t>3. CSR &amp; Sustainability</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_Toc227831974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10</w:t>
            </w:r>
            <w:r w:rsidRPr="00310C36">
              <w:rPr>
                <w:rFonts w:ascii="Arial" w:hAnsi="Arial" w:cs="Arial"/>
                <w:noProof/>
                <w:webHidden/>
                <w:sz w:val="24"/>
                <w:szCs w:val="24"/>
              </w:rPr>
              <w:fldChar w:fldCharType="end"/>
            </w:r>
          </w:hyperlink>
        </w:p>
        <w:p w14:paraId="7D7ADD88" w14:textId="16455B77"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75" w:history="1">
            <w:r w:rsidRPr="00310C36">
              <w:rPr>
                <w:rStyle w:val="Hyperlink"/>
                <w:rFonts w:ascii="Arial" w:hAnsi="Arial" w:cs="Arial"/>
                <w:noProof/>
                <w:sz w:val="24"/>
                <w:szCs w:val="24"/>
                <w:lang w:eastAsia="en-GB"/>
              </w:rPr>
              <w:t>4. Holistic Organisational View</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_Toc227831975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12</w:t>
            </w:r>
            <w:r w:rsidRPr="00310C36">
              <w:rPr>
                <w:rFonts w:ascii="Arial" w:hAnsi="Arial" w:cs="Arial"/>
                <w:noProof/>
                <w:webHidden/>
                <w:sz w:val="24"/>
                <w:szCs w:val="24"/>
              </w:rPr>
              <w:fldChar w:fldCharType="end"/>
            </w:r>
          </w:hyperlink>
        </w:p>
        <w:p w14:paraId="6D919FD1" w14:textId="6BF96A6C"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76" w:history="1">
            <w:r w:rsidRPr="00310C36">
              <w:rPr>
                <w:rStyle w:val="Hyperlink"/>
                <w:rFonts w:ascii="Arial" w:eastAsia="Times New Roman" w:hAnsi="Arial" w:cs="Arial"/>
                <w:noProof/>
                <w:sz w:val="24"/>
                <w:szCs w:val="24"/>
                <w:lang w:eastAsia="en-GB"/>
              </w:rPr>
              <w:t>4.1 Financial Perspective</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_Toc227831976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14</w:t>
            </w:r>
            <w:r w:rsidRPr="00310C36">
              <w:rPr>
                <w:rFonts w:ascii="Arial" w:hAnsi="Arial" w:cs="Arial"/>
                <w:noProof/>
                <w:webHidden/>
                <w:sz w:val="24"/>
                <w:szCs w:val="24"/>
              </w:rPr>
              <w:fldChar w:fldCharType="end"/>
            </w:r>
          </w:hyperlink>
        </w:p>
        <w:p w14:paraId="06AD070C" w14:textId="0A3DCEC3"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77" w:history="1">
            <w:r w:rsidRPr="00310C36">
              <w:rPr>
                <w:rStyle w:val="Hyperlink"/>
                <w:rFonts w:ascii="Arial" w:eastAsia="Times New Roman" w:hAnsi="Arial" w:cs="Arial"/>
                <w:noProof/>
                <w:sz w:val="24"/>
                <w:szCs w:val="24"/>
                <w:lang w:eastAsia="en-GB"/>
              </w:rPr>
              <w:t>4.2 Customer Perspective</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_Toc227831977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14</w:t>
            </w:r>
            <w:r w:rsidRPr="00310C36">
              <w:rPr>
                <w:rFonts w:ascii="Arial" w:hAnsi="Arial" w:cs="Arial"/>
                <w:noProof/>
                <w:webHidden/>
                <w:sz w:val="24"/>
                <w:szCs w:val="24"/>
              </w:rPr>
              <w:fldChar w:fldCharType="end"/>
            </w:r>
          </w:hyperlink>
        </w:p>
        <w:p w14:paraId="36F3FD0D" w14:textId="7EFF88AE"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78" w:history="1">
            <w:r w:rsidRPr="00310C36">
              <w:rPr>
                <w:rStyle w:val="Hyperlink"/>
                <w:rFonts w:ascii="Arial" w:eastAsia="Times New Roman" w:hAnsi="Arial" w:cs="Arial"/>
                <w:noProof/>
                <w:sz w:val="24"/>
                <w:szCs w:val="24"/>
                <w:lang w:eastAsia="en-GB"/>
              </w:rPr>
              <w:t>4.3 Internal Processes Perspective.</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_Toc227831978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14</w:t>
            </w:r>
            <w:r w:rsidRPr="00310C36">
              <w:rPr>
                <w:rFonts w:ascii="Arial" w:hAnsi="Arial" w:cs="Arial"/>
                <w:noProof/>
                <w:webHidden/>
                <w:sz w:val="24"/>
                <w:szCs w:val="24"/>
              </w:rPr>
              <w:fldChar w:fldCharType="end"/>
            </w:r>
          </w:hyperlink>
        </w:p>
        <w:p w14:paraId="493F9D36" w14:textId="4E0B4414"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79" w:history="1">
            <w:r w:rsidRPr="00310C36">
              <w:rPr>
                <w:rStyle w:val="Hyperlink"/>
                <w:rFonts w:ascii="Arial" w:eastAsia="Times New Roman" w:hAnsi="Arial" w:cs="Arial"/>
                <w:noProof/>
                <w:sz w:val="24"/>
                <w:szCs w:val="24"/>
                <w:lang w:eastAsia="en-GB"/>
              </w:rPr>
              <w:t>4.4 Learning &amp; Growth Perspective</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_Toc227831979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14</w:t>
            </w:r>
            <w:r w:rsidRPr="00310C36">
              <w:rPr>
                <w:rFonts w:ascii="Arial" w:hAnsi="Arial" w:cs="Arial"/>
                <w:noProof/>
                <w:webHidden/>
                <w:sz w:val="24"/>
                <w:szCs w:val="24"/>
              </w:rPr>
              <w:fldChar w:fldCharType="end"/>
            </w:r>
          </w:hyperlink>
        </w:p>
        <w:p w14:paraId="287EF104" w14:textId="42624A4D"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0" w:history="1">
            <w:r w:rsidRPr="00310C36">
              <w:rPr>
                <w:rStyle w:val="Hyperlink"/>
                <w:rFonts w:ascii="Arial" w:eastAsia="Times New Roman" w:hAnsi="Arial" w:cs="Arial"/>
                <w:noProof/>
                <w:sz w:val="24"/>
                <w:szCs w:val="24"/>
                <w:lang w:eastAsia="en-GB"/>
              </w:rPr>
              <w:t>4.5 Strategic Integration</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_Toc227831980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15</w:t>
            </w:r>
            <w:r w:rsidRPr="00310C36">
              <w:rPr>
                <w:rFonts w:ascii="Arial" w:hAnsi="Arial" w:cs="Arial"/>
                <w:noProof/>
                <w:webHidden/>
                <w:sz w:val="24"/>
                <w:szCs w:val="24"/>
              </w:rPr>
              <w:fldChar w:fldCharType="end"/>
            </w:r>
          </w:hyperlink>
        </w:p>
        <w:p w14:paraId="28F0FC79" w14:textId="35BC6011"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81" w:history="1">
            <w:r w:rsidRPr="00310C36">
              <w:rPr>
                <w:rStyle w:val="Hyperlink"/>
                <w:rFonts w:ascii="Arial" w:eastAsia="Times New Roman" w:hAnsi="Arial" w:cs="Arial"/>
                <w:noProof/>
                <w:sz w:val="24"/>
                <w:szCs w:val="24"/>
                <w:lang w:eastAsia="en-GB"/>
              </w:rPr>
              <w:t>5. Strategic Choices &amp; Implementation</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_Toc227831981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15</w:t>
            </w:r>
            <w:r w:rsidRPr="00310C36">
              <w:rPr>
                <w:rFonts w:ascii="Arial" w:hAnsi="Arial" w:cs="Arial"/>
                <w:noProof/>
                <w:webHidden/>
                <w:sz w:val="24"/>
                <w:szCs w:val="24"/>
              </w:rPr>
              <w:fldChar w:fldCharType="end"/>
            </w:r>
          </w:hyperlink>
        </w:p>
        <w:p w14:paraId="40127584" w14:textId="4F5624A9"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2" w:history="1">
            <w:r w:rsidRPr="00310C36">
              <w:rPr>
                <w:rStyle w:val="Hyperlink"/>
                <w:rFonts w:ascii="Arial" w:eastAsia="Times New Roman" w:hAnsi="Arial" w:cs="Arial"/>
                <w:noProof/>
                <w:sz w:val="24"/>
                <w:szCs w:val="24"/>
                <w:lang w:eastAsia="en-GB"/>
              </w:rPr>
              <w:t>5.1 Business-Level Strategies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_Toc227831982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16</w:t>
            </w:r>
            <w:r w:rsidRPr="00310C36">
              <w:rPr>
                <w:rFonts w:ascii="Arial" w:hAnsi="Arial" w:cs="Arial"/>
                <w:noProof/>
                <w:webHidden/>
                <w:sz w:val="24"/>
                <w:szCs w:val="24"/>
              </w:rPr>
              <w:fldChar w:fldCharType="end"/>
            </w:r>
          </w:hyperlink>
        </w:p>
        <w:p w14:paraId="1F330E57" w14:textId="7FCA2659"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3" w:history="1">
            <w:r w:rsidRPr="00310C36">
              <w:rPr>
                <w:rStyle w:val="Hyperlink"/>
                <w:rFonts w:ascii="Arial" w:eastAsia="Times New Roman" w:hAnsi="Arial" w:cs="Arial"/>
                <w:noProof/>
                <w:sz w:val="24"/>
                <w:szCs w:val="24"/>
                <w:lang w:eastAsia="en-GB"/>
              </w:rPr>
              <w:t>5.2 Corporate-Level Strategies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_Toc227831983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17</w:t>
            </w:r>
            <w:r w:rsidRPr="00310C36">
              <w:rPr>
                <w:rFonts w:ascii="Arial" w:hAnsi="Arial" w:cs="Arial"/>
                <w:noProof/>
                <w:webHidden/>
                <w:sz w:val="24"/>
                <w:szCs w:val="24"/>
              </w:rPr>
              <w:fldChar w:fldCharType="end"/>
            </w:r>
          </w:hyperlink>
        </w:p>
        <w:p w14:paraId="04B9DABA" w14:textId="1E411225"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4" w:history="1">
            <w:r w:rsidRPr="00310C36">
              <w:rPr>
                <w:rStyle w:val="Hyperlink"/>
                <w:rFonts w:ascii="Arial" w:eastAsia="Times New Roman" w:hAnsi="Arial" w:cs="Arial"/>
                <w:noProof/>
                <w:sz w:val="24"/>
                <w:szCs w:val="24"/>
                <w:lang w:eastAsia="en-GB"/>
              </w:rPr>
              <w:t>5.3 Recommended Strategies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_Toc227831984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17</w:t>
            </w:r>
            <w:r w:rsidRPr="00310C36">
              <w:rPr>
                <w:rFonts w:ascii="Arial" w:hAnsi="Arial" w:cs="Arial"/>
                <w:noProof/>
                <w:webHidden/>
                <w:sz w:val="24"/>
                <w:szCs w:val="24"/>
              </w:rPr>
              <w:fldChar w:fldCharType="end"/>
            </w:r>
          </w:hyperlink>
        </w:p>
        <w:p w14:paraId="6908D11B" w14:textId="656FC7A1"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5" w:history="1">
            <w:r w:rsidRPr="00310C36">
              <w:rPr>
                <w:rStyle w:val="Hyperlink"/>
                <w:rFonts w:ascii="Arial" w:eastAsia="Times New Roman" w:hAnsi="Arial" w:cs="Arial"/>
                <w:noProof/>
                <w:sz w:val="24"/>
                <w:szCs w:val="24"/>
                <w:lang w:eastAsia="en-GB"/>
              </w:rPr>
              <w:t>5.4 Change Management and Implementation Effectiveness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_Toc227831985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17</w:t>
            </w:r>
            <w:r w:rsidRPr="00310C36">
              <w:rPr>
                <w:rFonts w:ascii="Arial" w:hAnsi="Arial" w:cs="Arial"/>
                <w:noProof/>
                <w:webHidden/>
                <w:sz w:val="24"/>
                <w:szCs w:val="24"/>
              </w:rPr>
              <w:fldChar w:fldCharType="end"/>
            </w:r>
          </w:hyperlink>
        </w:p>
        <w:p w14:paraId="124AFA36" w14:textId="70B332A6"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86" w:history="1">
            <w:r w:rsidRPr="00310C36">
              <w:rPr>
                <w:rStyle w:val="Hyperlink"/>
                <w:rFonts w:ascii="Arial" w:eastAsia="Times New Roman" w:hAnsi="Arial" w:cs="Arial"/>
                <w:noProof/>
                <w:sz w:val="24"/>
                <w:szCs w:val="24"/>
                <w:lang w:eastAsia="en-GB"/>
              </w:rPr>
              <w:t>6. Strategic Evaluation &amp; Recommendations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_Toc227831986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18</w:t>
            </w:r>
            <w:r w:rsidRPr="00310C36">
              <w:rPr>
                <w:rFonts w:ascii="Arial" w:hAnsi="Arial" w:cs="Arial"/>
                <w:noProof/>
                <w:webHidden/>
                <w:sz w:val="24"/>
                <w:szCs w:val="24"/>
              </w:rPr>
              <w:fldChar w:fldCharType="end"/>
            </w:r>
          </w:hyperlink>
        </w:p>
        <w:p w14:paraId="616DB7B1" w14:textId="0D0BC08B"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7" w:history="1">
            <w:r w:rsidRPr="00310C36">
              <w:rPr>
                <w:rStyle w:val="Hyperlink"/>
                <w:rFonts w:ascii="Arial" w:eastAsia="Times New Roman" w:hAnsi="Arial" w:cs="Arial"/>
                <w:noProof/>
                <w:sz w:val="24"/>
                <w:szCs w:val="24"/>
                <w:lang w:eastAsia="en-GB"/>
              </w:rPr>
              <w:t>6.1 Evaluation of Current Strategy</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_Toc227831987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18</w:t>
            </w:r>
            <w:r w:rsidRPr="00310C36">
              <w:rPr>
                <w:rFonts w:ascii="Arial" w:hAnsi="Arial" w:cs="Arial"/>
                <w:noProof/>
                <w:webHidden/>
                <w:sz w:val="24"/>
                <w:szCs w:val="24"/>
              </w:rPr>
              <w:fldChar w:fldCharType="end"/>
            </w:r>
          </w:hyperlink>
        </w:p>
        <w:p w14:paraId="492CE57B" w14:textId="44AA3007"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8" w:history="1">
            <w:r w:rsidRPr="00310C36">
              <w:rPr>
                <w:rStyle w:val="Hyperlink"/>
                <w:rFonts w:ascii="Arial" w:eastAsia="Times New Roman" w:hAnsi="Arial" w:cs="Arial"/>
                <w:noProof/>
                <w:sz w:val="24"/>
                <w:szCs w:val="24"/>
                <w:lang w:eastAsia="en-GB"/>
              </w:rPr>
              <w:t>6.2 SWOT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_Toc227831988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18</w:t>
            </w:r>
            <w:r w:rsidRPr="00310C36">
              <w:rPr>
                <w:rFonts w:ascii="Arial" w:hAnsi="Arial" w:cs="Arial"/>
                <w:noProof/>
                <w:webHidden/>
                <w:sz w:val="24"/>
                <w:szCs w:val="24"/>
              </w:rPr>
              <w:fldChar w:fldCharType="end"/>
            </w:r>
          </w:hyperlink>
        </w:p>
        <w:p w14:paraId="5A6C73E7" w14:textId="3FFF0577"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89" w:history="1">
            <w:r w:rsidRPr="00310C36">
              <w:rPr>
                <w:rStyle w:val="Hyperlink"/>
                <w:rFonts w:ascii="Arial" w:eastAsia="Times New Roman" w:hAnsi="Arial" w:cs="Arial"/>
                <w:noProof/>
                <w:sz w:val="24"/>
                <w:szCs w:val="24"/>
                <w:lang w:eastAsia="en-GB"/>
              </w:rPr>
              <w:t>6.3 Ansoff Matrix:</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_Toc227831989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19</w:t>
            </w:r>
            <w:r w:rsidRPr="00310C36">
              <w:rPr>
                <w:rFonts w:ascii="Arial" w:hAnsi="Arial" w:cs="Arial"/>
                <w:noProof/>
                <w:webHidden/>
                <w:sz w:val="24"/>
                <w:szCs w:val="24"/>
              </w:rPr>
              <w:fldChar w:fldCharType="end"/>
            </w:r>
          </w:hyperlink>
        </w:p>
        <w:p w14:paraId="0DA7450E" w14:textId="1D52AD4C"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0" w:history="1">
            <w:r w:rsidRPr="00310C36">
              <w:rPr>
                <w:rStyle w:val="Hyperlink"/>
                <w:rFonts w:ascii="Arial" w:eastAsia="Times New Roman" w:hAnsi="Arial" w:cs="Arial"/>
                <w:noProof/>
                <w:sz w:val="24"/>
                <w:szCs w:val="24"/>
                <w:lang w:eastAsia="en-GB"/>
              </w:rPr>
              <w:t>6.4 BCG Matrix:</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_Toc227831990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19</w:t>
            </w:r>
            <w:r w:rsidRPr="00310C36">
              <w:rPr>
                <w:rFonts w:ascii="Arial" w:hAnsi="Arial" w:cs="Arial"/>
                <w:noProof/>
                <w:webHidden/>
                <w:sz w:val="24"/>
                <w:szCs w:val="24"/>
              </w:rPr>
              <w:fldChar w:fldCharType="end"/>
            </w:r>
          </w:hyperlink>
        </w:p>
        <w:p w14:paraId="6510DF48" w14:textId="2E3D341E"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1" w:history="1">
            <w:r w:rsidRPr="00310C36">
              <w:rPr>
                <w:rStyle w:val="Hyperlink"/>
                <w:rFonts w:ascii="Arial" w:eastAsia="Times New Roman" w:hAnsi="Arial" w:cs="Arial"/>
                <w:noProof/>
                <w:sz w:val="24"/>
                <w:szCs w:val="24"/>
                <w:lang w:eastAsia="en-GB"/>
              </w:rPr>
              <w:t>6.5 Recommendations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_Toc227831991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19</w:t>
            </w:r>
            <w:r w:rsidRPr="00310C36">
              <w:rPr>
                <w:rFonts w:ascii="Arial" w:hAnsi="Arial" w:cs="Arial"/>
                <w:noProof/>
                <w:webHidden/>
                <w:sz w:val="24"/>
                <w:szCs w:val="24"/>
              </w:rPr>
              <w:fldChar w:fldCharType="end"/>
            </w:r>
          </w:hyperlink>
        </w:p>
        <w:p w14:paraId="5352CC02" w14:textId="2741DC36"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92" w:history="1">
            <w:r w:rsidRPr="00310C36">
              <w:rPr>
                <w:rStyle w:val="Hyperlink"/>
                <w:rFonts w:ascii="Arial" w:eastAsia="Times New Roman" w:hAnsi="Arial" w:cs="Arial"/>
                <w:noProof/>
                <w:sz w:val="24"/>
                <w:szCs w:val="24"/>
                <w:lang w:eastAsia="en-GB"/>
              </w:rPr>
              <w:t>Section 2: Reflective Account</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_Toc227831992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20</w:t>
            </w:r>
            <w:r w:rsidRPr="00310C36">
              <w:rPr>
                <w:rFonts w:ascii="Arial" w:hAnsi="Arial" w:cs="Arial"/>
                <w:noProof/>
                <w:webHidden/>
                <w:sz w:val="24"/>
                <w:szCs w:val="24"/>
              </w:rPr>
              <w:fldChar w:fldCharType="end"/>
            </w:r>
          </w:hyperlink>
        </w:p>
        <w:p w14:paraId="2A69566C" w14:textId="5FA9FBE1"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3" w:history="1">
            <w:r w:rsidRPr="00310C36">
              <w:rPr>
                <w:rStyle w:val="Hyperlink"/>
                <w:rFonts w:ascii="Arial" w:eastAsia="Times New Roman" w:hAnsi="Arial" w:cs="Arial"/>
                <w:noProof/>
                <w:sz w:val="24"/>
                <w:szCs w:val="24"/>
                <w:lang w:eastAsia="en-GB"/>
              </w:rPr>
              <w:t>1. Description</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_Toc227831993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21</w:t>
            </w:r>
            <w:r w:rsidRPr="00310C36">
              <w:rPr>
                <w:rFonts w:ascii="Arial" w:hAnsi="Arial" w:cs="Arial"/>
                <w:noProof/>
                <w:webHidden/>
                <w:sz w:val="24"/>
                <w:szCs w:val="24"/>
              </w:rPr>
              <w:fldChar w:fldCharType="end"/>
            </w:r>
          </w:hyperlink>
        </w:p>
        <w:p w14:paraId="26254414" w14:textId="4A2CD7B0"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4" w:history="1">
            <w:r w:rsidRPr="00310C36">
              <w:rPr>
                <w:rStyle w:val="Hyperlink"/>
                <w:rFonts w:ascii="Arial" w:eastAsia="Times New Roman" w:hAnsi="Arial" w:cs="Arial"/>
                <w:noProof/>
                <w:sz w:val="24"/>
                <w:szCs w:val="24"/>
                <w:lang w:eastAsia="en-GB"/>
              </w:rPr>
              <w:t>2. Feelings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_Toc227831994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21</w:t>
            </w:r>
            <w:r w:rsidRPr="00310C36">
              <w:rPr>
                <w:rFonts w:ascii="Arial" w:hAnsi="Arial" w:cs="Arial"/>
                <w:noProof/>
                <w:webHidden/>
                <w:sz w:val="24"/>
                <w:szCs w:val="24"/>
              </w:rPr>
              <w:fldChar w:fldCharType="end"/>
            </w:r>
          </w:hyperlink>
        </w:p>
        <w:p w14:paraId="7EB17ABE" w14:textId="0852E070"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5" w:history="1">
            <w:r w:rsidRPr="00310C36">
              <w:rPr>
                <w:rStyle w:val="Hyperlink"/>
                <w:rFonts w:ascii="Arial" w:eastAsia="Times New Roman" w:hAnsi="Arial" w:cs="Arial"/>
                <w:noProof/>
                <w:sz w:val="24"/>
                <w:szCs w:val="24"/>
                <w:lang w:eastAsia="en-GB"/>
              </w:rPr>
              <w:t>3. Evaluation</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_Toc227831995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22</w:t>
            </w:r>
            <w:r w:rsidRPr="00310C36">
              <w:rPr>
                <w:rFonts w:ascii="Arial" w:hAnsi="Arial" w:cs="Arial"/>
                <w:noProof/>
                <w:webHidden/>
                <w:sz w:val="24"/>
                <w:szCs w:val="24"/>
              </w:rPr>
              <w:fldChar w:fldCharType="end"/>
            </w:r>
          </w:hyperlink>
        </w:p>
        <w:p w14:paraId="79BED629" w14:textId="446654A7"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6" w:history="1">
            <w:r w:rsidRPr="00310C36">
              <w:rPr>
                <w:rStyle w:val="Hyperlink"/>
                <w:rFonts w:ascii="Arial" w:eastAsia="Times New Roman" w:hAnsi="Arial" w:cs="Arial"/>
                <w:noProof/>
                <w:sz w:val="24"/>
                <w:szCs w:val="24"/>
                <w:lang w:eastAsia="en-GB"/>
              </w:rPr>
              <w:t>4. Analysis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_Toc227831996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22</w:t>
            </w:r>
            <w:r w:rsidRPr="00310C36">
              <w:rPr>
                <w:rFonts w:ascii="Arial" w:hAnsi="Arial" w:cs="Arial"/>
                <w:noProof/>
                <w:webHidden/>
                <w:sz w:val="24"/>
                <w:szCs w:val="24"/>
              </w:rPr>
              <w:fldChar w:fldCharType="end"/>
            </w:r>
          </w:hyperlink>
        </w:p>
        <w:p w14:paraId="292AEEF0" w14:textId="1BC17A4D"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7" w:history="1">
            <w:r w:rsidRPr="00310C36">
              <w:rPr>
                <w:rStyle w:val="Hyperlink"/>
                <w:rFonts w:ascii="Arial" w:eastAsia="Times New Roman" w:hAnsi="Arial" w:cs="Arial"/>
                <w:noProof/>
                <w:sz w:val="24"/>
                <w:szCs w:val="24"/>
                <w:lang w:eastAsia="en-GB"/>
              </w:rPr>
              <w:t>5. Conclusion</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_Toc227831997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23</w:t>
            </w:r>
            <w:r w:rsidRPr="00310C36">
              <w:rPr>
                <w:rFonts w:ascii="Arial" w:hAnsi="Arial" w:cs="Arial"/>
                <w:noProof/>
                <w:webHidden/>
                <w:sz w:val="24"/>
                <w:szCs w:val="24"/>
              </w:rPr>
              <w:fldChar w:fldCharType="end"/>
            </w:r>
          </w:hyperlink>
        </w:p>
        <w:p w14:paraId="6F1D3365" w14:textId="3497019A" w:rsidR="00310C36" w:rsidRPr="00310C36" w:rsidRDefault="00310C36">
          <w:pPr>
            <w:pStyle w:val="TOC2"/>
            <w:tabs>
              <w:tab w:val="right" w:leader="dot" w:pos="9350"/>
            </w:tabs>
            <w:rPr>
              <w:rFonts w:ascii="Arial" w:eastAsiaTheme="minorEastAsia" w:hAnsi="Arial" w:cs="Arial"/>
              <w:noProof/>
              <w:sz w:val="24"/>
              <w:szCs w:val="24"/>
              <w:lang w:eastAsia="en-GB"/>
            </w:rPr>
          </w:pPr>
          <w:hyperlink w:anchor="_Toc227831998" w:history="1">
            <w:r w:rsidRPr="00310C36">
              <w:rPr>
                <w:rStyle w:val="Hyperlink"/>
                <w:rFonts w:ascii="Arial" w:eastAsia="Times New Roman" w:hAnsi="Arial" w:cs="Arial"/>
                <w:noProof/>
                <w:sz w:val="24"/>
                <w:szCs w:val="24"/>
                <w:lang w:eastAsia="en-GB"/>
              </w:rPr>
              <w:t>6. Action Plan</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_Toc227831998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23</w:t>
            </w:r>
            <w:r w:rsidRPr="00310C36">
              <w:rPr>
                <w:rFonts w:ascii="Arial" w:hAnsi="Arial" w:cs="Arial"/>
                <w:noProof/>
                <w:webHidden/>
                <w:sz w:val="24"/>
                <w:szCs w:val="24"/>
              </w:rPr>
              <w:fldChar w:fldCharType="end"/>
            </w:r>
          </w:hyperlink>
        </w:p>
        <w:p w14:paraId="4E498B19" w14:textId="00FBBCEE" w:rsidR="00310C36" w:rsidRPr="00310C36" w:rsidRDefault="00310C36">
          <w:pPr>
            <w:pStyle w:val="TOC1"/>
            <w:tabs>
              <w:tab w:val="right" w:leader="dot" w:pos="9350"/>
            </w:tabs>
            <w:rPr>
              <w:rFonts w:ascii="Arial" w:eastAsiaTheme="minorEastAsia" w:hAnsi="Arial" w:cs="Arial"/>
              <w:noProof/>
              <w:sz w:val="24"/>
              <w:szCs w:val="24"/>
              <w:lang w:eastAsia="en-GB"/>
            </w:rPr>
          </w:pPr>
          <w:hyperlink w:anchor="_Toc227831999" w:history="1">
            <w:r w:rsidRPr="00310C36">
              <w:rPr>
                <w:rStyle w:val="Hyperlink"/>
                <w:rFonts w:ascii="Arial" w:eastAsia="Times New Roman" w:hAnsi="Arial" w:cs="Arial"/>
                <w:noProof/>
                <w:sz w:val="24"/>
                <w:szCs w:val="24"/>
                <w:lang w:eastAsia="en-GB"/>
              </w:rPr>
              <w:t>References</w:t>
            </w:r>
            <w:r w:rsidRPr="00310C36">
              <w:rPr>
                <w:rFonts w:ascii="Arial" w:hAnsi="Arial" w:cs="Arial"/>
                <w:noProof/>
                <w:webHidden/>
                <w:sz w:val="24"/>
                <w:szCs w:val="24"/>
              </w:rPr>
              <w:tab/>
            </w:r>
            <w:r w:rsidRPr="00310C36">
              <w:rPr>
                <w:rFonts w:ascii="Arial" w:hAnsi="Arial" w:cs="Arial"/>
                <w:noProof/>
                <w:webHidden/>
                <w:sz w:val="24"/>
                <w:szCs w:val="24"/>
              </w:rPr>
              <w:fldChar w:fldCharType="begin"/>
            </w:r>
            <w:r w:rsidRPr="00310C36">
              <w:rPr>
                <w:rFonts w:ascii="Arial" w:hAnsi="Arial" w:cs="Arial"/>
                <w:noProof/>
                <w:webHidden/>
                <w:sz w:val="24"/>
                <w:szCs w:val="24"/>
              </w:rPr>
              <w:instrText xml:space="preserve"> PAGEREF _Toc227831999 \h </w:instrText>
            </w:r>
            <w:r w:rsidRPr="00310C36">
              <w:rPr>
                <w:rFonts w:ascii="Arial" w:hAnsi="Arial" w:cs="Arial"/>
                <w:noProof/>
                <w:webHidden/>
                <w:sz w:val="24"/>
                <w:szCs w:val="24"/>
              </w:rPr>
            </w:r>
            <w:r w:rsidRPr="00310C36">
              <w:rPr>
                <w:rFonts w:ascii="Arial" w:hAnsi="Arial" w:cs="Arial"/>
                <w:noProof/>
                <w:webHidden/>
                <w:sz w:val="24"/>
                <w:szCs w:val="24"/>
              </w:rPr>
              <w:fldChar w:fldCharType="separate"/>
            </w:r>
            <w:r w:rsidRPr="00310C36">
              <w:rPr>
                <w:rFonts w:ascii="Arial" w:hAnsi="Arial" w:cs="Arial"/>
                <w:noProof/>
                <w:webHidden/>
                <w:sz w:val="24"/>
                <w:szCs w:val="24"/>
              </w:rPr>
              <w:t>24</w:t>
            </w:r>
            <w:r w:rsidRPr="00310C36">
              <w:rPr>
                <w:rFonts w:ascii="Arial" w:hAnsi="Arial" w:cs="Arial"/>
                <w:noProof/>
                <w:webHidden/>
                <w:sz w:val="24"/>
                <w:szCs w:val="24"/>
              </w:rPr>
              <w:fldChar w:fldCharType="end"/>
            </w:r>
          </w:hyperlink>
        </w:p>
        <w:p w14:paraId="4C00B1E2" w14:textId="7B23BBD8" w:rsidR="008149C5" w:rsidRPr="00310C36" w:rsidRDefault="001A5555" w:rsidP="00951CE7">
          <w:pPr>
            <w:jc w:val="both"/>
            <w:rPr>
              <w:rFonts w:ascii="Arial" w:hAnsi="Arial" w:cs="Arial"/>
              <w:b/>
              <w:bCs/>
              <w:noProof/>
              <w:sz w:val="24"/>
              <w:szCs w:val="24"/>
            </w:rPr>
          </w:pPr>
          <w:r w:rsidRPr="00310C36">
            <w:rPr>
              <w:rFonts w:ascii="Arial" w:hAnsi="Arial" w:cs="Arial"/>
              <w:b/>
              <w:bCs/>
              <w:noProof/>
              <w:sz w:val="24"/>
              <w:szCs w:val="24"/>
            </w:rPr>
            <w:fldChar w:fldCharType="end"/>
          </w:r>
        </w:p>
      </w:sdtContent>
    </w:sdt>
    <w:p w14:paraId="224E1ADB" w14:textId="7BFABF5B" w:rsidR="003049E5" w:rsidRDefault="003049E5" w:rsidP="00A43003">
      <w:pPr>
        <w:rPr>
          <w:rFonts w:ascii="Arial" w:hAnsi="Arial" w:cs="Arial"/>
          <w:b/>
          <w:sz w:val="28"/>
        </w:rPr>
      </w:pPr>
    </w:p>
    <w:p w14:paraId="6C3E1D9E" w14:textId="4120CC65" w:rsidR="008149C5" w:rsidRPr="008149C5" w:rsidRDefault="008149C5" w:rsidP="008149C5">
      <w:pPr>
        <w:jc w:val="center"/>
        <w:rPr>
          <w:rFonts w:ascii="Arial" w:hAnsi="Arial" w:cs="Arial"/>
          <w:b/>
          <w:sz w:val="28"/>
        </w:rPr>
      </w:pPr>
      <w:r w:rsidRPr="008149C5">
        <w:rPr>
          <w:rFonts w:ascii="Arial" w:hAnsi="Arial" w:cs="Arial"/>
          <w:b/>
          <w:sz w:val="28"/>
        </w:rPr>
        <w:t>List of Table</w:t>
      </w:r>
    </w:p>
    <w:p w14:paraId="13F50B57" w14:textId="6C28B93B" w:rsidR="00A43003" w:rsidRDefault="00A43003">
      <w:pPr>
        <w:pStyle w:val="TableofFigures"/>
        <w:tabs>
          <w:tab w:val="right" w:leader="dot" w:pos="9350"/>
        </w:tabs>
        <w:rPr>
          <w:rFonts w:eastAsiaTheme="minorEastAsia"/>
          <w:noProof/>
          <w:lang w:eastAsia="en-GB"/>
        </w:rPr>
      </w:pPr>
      <w:r>
        <w:rPr>
          <w:rFonts w:ascii="Arial" w:hAnsi="Arial" w:cs="Arial"/>
          <w:sz w:val="24"/>
          <w:szCs w:val="24"/>
        </w:rPr>
        <w:fldChar w:fldCharType="begin"/>
      </w:r>
      <w:r>
        <w:rPr>
          <w:rFonts w:ascii="Arial" w:hAnsi="Arial" w:cs="Arial"/>
          <w:sz w:val="24"/>
          <w:szCs w:val="24"/>
        </w:rPr>
        <w:instrText xml:space="preserve"> TOC \h \z \c "Table" </w:instrText>
      </w:r>
      <w:r>
        <w:rPr>
          <w:rFonts w:ascii="Arial" w:hAnsi="Arial" w:cs="Arial"/>
          <w:sz w:val="24"/>
          <w:szCs w:val="24"/>
        </w:rPr>
        <w:fldChar w:fldCharType="separate"/>
      </w:r>
      <w:hyperlink w:anchor="_Toc225689491" w:history="1">
        <w:r w:rsidRPr="0030131F">
          <w:rPr>
            <w:rStyle w:val="Hyperlink"/>
            <w:rFonts w:ascii="Arial" w:hAnsi="Arial" w:cs="Arial"/>
            <w:noProof/>
          </w:rPr>
          <w:t>Table 1: PESTEL Summary for Unilever</w:t>
        </w:r>
        <w:r>
          <w:rPr>
            <w:noProof/>
            <w:webHidden/>
          </w:rPr>
          <w:tab/>
        </w:r>
        <w:r>
          <w:rPr>
            <w:noProof/>
            <w:webHidden/>
          </w:rPr>
          <w:fldChar w:fldCharType="begin"/>
        </w:r>
        <w:r>
          <w:rPr>
            <w:noProof/>
            <w:webHidden/>
          </w:rPr>
          <w:instrText xml:space="preserve"> PAGEREF _Toc225689491 \h </w:instrText>
        </w:r>
        <w:r>
          <w:rPr>
            <w:noProof/>
            <w:webHidden/>
          </w:rPr>
        </w:r>
        <w:r>
          <w:rPr>
            <w:noProof/>
            <w:webHidden/>
          </w:rPr>
          <w:fldChar w:fldCharType="separate"/>
        </w:r>
        <w:r>
          <w:rPr>
            <w:noProof/>
            <w:webHidden/>
          </w:rPr>
          <w:t>4</w:t>
        </w:r>
        <w:r>
          <w:rPr>
            <w:noProof/>
            <w:webHidden/>
          </w:rPr>
          <w:fldChar w:fldCharType="end"/>
        </w:r>
      </w:hyperlink>
    </w:p>
    <w:p w14:paraId="3AC0D303" w14:textId="0EE3F65A" w:rsidR="00A43003" w:rsidRDefault="0040287E">
      <w:pPr>
        <w:pStyle w:val="TableofFigures"/>
        <w:tabs>
          <w:tab w:val="right" w:leader="dot" w:pos="9350"/>
        </w:tabs>
        <w:rPr>
          <w:rFonts w:eastAsiaTheme="minorEastAsia"/>
          <w:noProof/>
          <w:lang w:eastAsia="en-GB"/>
        </w:rPr>
      </w:pPr>
      <w:hyperlink w:anchor="_Toc225689492" w:history="1">
        <w:r w:rsidR="00A43003" w:rsidRPr="0030131F">
          <w:rPr>
            <w:rStyle w:val="Hyperlink"/>
            <w:rFonts w:ascii="Arial" w:hAnsi="Arial" w:cs="Arial"/>
            <w:noProof/>
          </w:rPr>
          <w:t>Table 2.VRIO Analysis</w:t>
        </w:r>
        <w:r w:rsidR="00A43003">
          <w:rPr>
            <w:noProof/>
            <w:webHidden/>
          </w:rPr>
          <w:tab/>
        </w:r>
        <w:r w:rsidR="00A43003">
          <w:rPr>
            <w:noProof/>
            <w:webHidden/>
          </w:rPr>
          <w:fldChar w:fldCharType="begin"/>
        </w:r>
        <w:r w:rsidR="00A43003">
          <w:rPr>
            <w:noProof/>
            <w:webHidden/>
          </w:rPr>
          <w:instrText xml:space="preserve"> PAGEREF _Toc225689492 \h </w:instrText>
        </w:r>
        <w:r w:rsidR="00A43003">
          <w:rPr>
            <w:noProof/>
            <w:webHidden/>
          </w:rPr>
        </w:r>
        <w:r w:rsidR="00A43003">
          <w:rPr>
            <w:noProof/>
            <w:webHidden/>
          </w:rPr>
          <w:fldChar w:fldCharType="separate"/>
        </w:r>
        <w:r w:rsidR="00A43003">
          <w:rPr>
            <w:noProof/>
            <w:webHidden/>
          </w:rPr>
          <w:t>9</w:t>
        </w:r>
        <w:r w:rsidR="00A43003">
          <w:rPr>
            <w:noProof/>
            <w:webHidden/>
          </w:rPr>
          <w:fldChar w:fldCharType="end"/>
        </w:r>
      </w:hyperlink>
    </w:p>
    <w:p w14:paraId="126BDBBB" w14:textId="769FB463" w:rsidR="00A43003" w:rsidRDefault="0040287E">
      <w:pPr>
        <w:pStyle w:val="TableofFigures"/>
        <w:tabs>
          <w:tab w:val="right" w:leader="dot" w:pos="9350"/>
        </w:tabs>
        <w:rPr>
          <w:rFonts w:eastAsiaTheme="minorEastAsia"/>
          <w:noProof/>
          <w:lang w:eastAsia="en-GB"/>
        </w:rPr>
      </w:pPr>
      <w:hyperlink w:anchor="_Toc225689493" w:history="1">
        <w:r w:rsidR="00A43003" w:rsidRPr="0030131F">
          <w:rPr>
            <w:rStyle w:val="Hyperlink"/>
            <w:rFonts w:ascii="Arial" w:hAnsi="Arial" w:cs="Arial"/>
            <w:noProof/>
          </w:rPr>
          <w:t>Table 3: Summary of Key Internal Resources &amp; Capabilities</w:t>
        </w:r>
        <w:r w:rsidR="00A43003">
          <w:rPr>
            <w:noProof/>
            <w:webHidden/>
          </w:rPr>
          <w:tab/>
        </w:r>
        <w:r w:rsidR="00A43003">
          <w:rPr>
            <w:noProof/>
            <w:webHidden/>
          </w:rPr>
          <w:fldChar w:fldCharType="begin"/>
        </w:r>
        <w:r w:rsidR="00A43003">
          <w:rPr>
            <w:noProof/>
            <w:webHidden/>
          </w:rPr>
          <w:instrText xml:space="preserve"> PAGEREF _Toc225689493 \h </w:instrText>
        </w:r>
        <w:r w:rsidR="00A43003">
          <w:rPr>
            <w:noProof/>
            <w:webHidden/>
          </w:rPr>
        </w:r>
        <w:r w:rsidR="00A43003">
          <w:rPr>
            <w:noProof/>
            <w:webHidden/>
          </w:rPr>
          <w:fldChar w:fldCharType="separate"/>
        </w:r>
        <w:r w:rsidR="00A43003">
          <w:rPr>
            <w:noProof/>
            <w:webHidden/>
          </w:rPr>
          <w:t>10</w:t>
        </w:r>
        <w:r w:rsidR="00A43003">
          <w:rPr>
            <w:noProof/>
            <w:webHidden/>
          </w:rPr>
          <w:fldChar w:fldCharType="end"/>
        </w:r>
      </w:hyperlink>
    </w:p>
    <w:p w14:paraId="4ED94CE8" w14:textId="46AA9C9E" w:rsidR="00A43003" w:rsidRDefault="0040287E">
      <w:pPr>
        <w:pStyle w:val="TableofFigures"/>
        <w:tabs>
          <w:tab w:val="right" w:leader="dot" w:pos="9350"/>
        </w:tabs>
        <w:rPr>
          <w:rFonts w:eastAsiaTheme="minorEastAsia"/>
          <w:noProof/>
          <w:lang w:eastAsia="en-GB"/>
        </w:rPr>
      </w:pPr>
      <w:hyperlink w:anchor="_Toc225689494" w:history="1">
        <w:r w:rsidR="00A43003" w:rsidRPr="0030131F">
          <w:rPr>
            <w:rStyle w:val="Hyperlink"/>
            <w:rFonts w:ascii="Arial" w:hAnsi="Arial" w:cs="Arial"/>
            <w:noProof/>
          </w:rPr>
          <w:t>Table 4: Unilever Balanced Scorecard</w:t>
        </w:r>
        <w:r w:rsidR="00A43003">
          <w:rPr>
            <w:noProof/>
            <w:webHidden/>
          </w:rPr>
          <w:tab/>
        </w:r>
        <w:r w:rsidR="00A43003">
          <w:rPr>
            <w:noProof/>
            <w:webHidden/>
          </w:rPr>
          <w:fldChar w:fldCharType="begin"/>
        </w:r>
        <w:r w:rsidR="00A43003">
          <w:rPr>
            <w:noProof/>
            <w:webHidden/>
          </w:rPr>
          <w:instrText xml:space="preserve"> PAGEREF _Toc225689494 \h </w:instrText>
        </w:r>
        <w:r w:rsidR="00A43003">
          <w:rPr>
            <w:noProof/>
            <w:webHidden/>
          </w:rPr>
        </w:r>
        <w:r w:rsidR="00A43003">
          <w:rPr>
            <w:noProof/>
            <w:webHidden/>
          </w:rPr>
          <w:fldChar w:fldCharType="separate"/>
        </w:r>
        <w:r w:rsidR="00A43003">
          <w:rPr>
            <w:noProof/>
            <w:webHidden/>
          </w:rPr>
          <w:t>12</w:t>
        </w:r>
        <w:r w:rsidR="00A43003">
          <w:rPr>
            <w:noProof/>
            <w:webHidden/>
          </w:rPr>
          <w:fldChar w:fldCharType="end"/>
        </w:r>
      </w:hyperlink>
    </w:p>
    <w:p w14:paraId="01682E10" w14:textId="24888E18" w:rsidR="00A43003" w:rsidRDefault="0040287E">
      <w:pPr>
        <w:pStyle w:val="TableofFigures"/>
        <w:tabs>
          <w:tab w:val="right" w:leader="dot" w:pos="9350"/>
        </w:tabs>
        <w:rPr>
          <w:rFonts w:eastAsiaTheme="minorEastAsia"/>
          <w:noProof/>
          <w:lang w:eastAsia="en-GB"/>
        </w:rPr>
      </w:pPr>
      <w:hyperlink w:anchor="_Toc225689495" w:history="1">
        <w:r w:rsidR="00A43003" w:rsidRPr="0030131F">
          <w:rPr>
            <w:rStyle w:val="Hyperlink"/>
            <w:rFonts w:ascii="Arial" w:hAnsi="Arial" w:cs="Arial"/>
            <w:noProof/>
          </w:rPr>
          <w:t>Table 5: Unilever’s Business-Level and Corporate-Level Strategies</w:t>
        </w:r>
        <w:r w:rsidR="00A43003">
          <w:rPr>
            <w:noProof/>
            <w:webHidden/>
          </w:rPr>
          <w:tab/>
        </w:r>
        <w:r w:rsidR="00A43003">
          <w:rPr>
            <w:noProof/>
            <w:webHidden/>
          </w:rPr>
          <w:fldChar w:fldCharType="begin"/>
        </w:r>
        <w:r w:rsidR="00A43003">
          <w:rPr>
            <w:noProof/>
            <w:webHidden/>
          </w:rPr>
          <w:instrText xml:space="preserve"> PAGEREF _Toc225689495 \h </w:instrText>
        </w:r>
        <w:r w:rsidR="00A43003">
          <w:rPr>
            <w:noProof/>
            <w:webHidden/>
          </w:rPr>
        </w:r>
        <w:r w:rsidR="00A43003">
          <w:rPr>
            <w:noProof/>
            <w:webHidden/>
          </w:rPr>
          <w:fldChar w:fldCharType="separate"/>
        </w:r>
        <w:r w:rsidR="00A43003">
          <w:rPr>
            <w:noProof/>
            <w:webHidden/>
          </w:rPr>
          <w:t>15</w:t>
        </w:r>
        <w:r w:rsidR="00A43003">
          <w:rPr>
            <w:noProof/>
            <w:webHidden/>
          </w:rPr>
          <w:fldChar w:fldCharType="end"/>
        </w:r>
      </w:hyperlink>
    </w:p>
    <w:p w14:paraId="729B70E3" w14:textId="2119B1A7" w:rsidR="008149C5" w:rsidRDefault="00A43003" w:rsidP="00816DF8">
      <w:pPr>
        <w:spacing w:line="360" w:lineRule="auto"/>
        <w:jc w:val="both"/>
        <w:rPr>
          <w:rFonts w:ascii="Arial" w:hAnsi="Arial" w:cs="Arial"/>
          <w:sz w:val="24"/>
        </w:rPr>
      </w:pPr>
      <w:r>
        <w:rPr>
          <w:rFonts w:ascii="Arial" w:hAnsi="Arial" w:cs="Arial"/>
          <w:sz w:val="24"/>
          <w:szCs w:val="24"/>
        </w:rPr>
        <w:fldChar w:fldCharType="end"/>
      </w:r>
    </w:p>
    <w:p w14:paraId="319EDF54" w14:textId="18FF9966" w:rsidR="008149C5" w:rsidRPr="008149C5" w:rsidRDefault="008149C5" w:rsidP="008149C5">
      <w:pPr>
        <w:jc w:val="center"/>
        <w:rPr>
          <w:rFonts w:ascii="Arial" w:hAnsi="Arial" w:cs="Arial"/>
          <w:b/>
          <w:sz w:val="28"/>
        </w:rPr>
      </w:pPr>
      <w:r w:rsidRPr="008149C5">
        <w:rPr>
          <w:rFonts w:ascii="Arial" w:hAnsi="Arial" w:cs="Arial"/>
          <w:b/>
          <w:sz w:val="28"/>
        </w:rPr>
        <w:t>List of Figure</w:t>
      </w:r>
    </w:p>
    <w:p w14:paraId="20AC9D85" w14:textId="77777777" w:rsidR="008149C5" w:rsidRDefault="008149C5" w:rsidP="008149C5">
      <w:pPr>
        <w:jc w:val="center"/>
        <w:rPr>
          <w:rFonts w:ascii="Arial" w:hAnsi="Arial" w:cs="Arial"/>
          <w:sz w:val="24"/>
        </w:rPr>
      </w:pPr>
    </w:p>
    <w:p w14:paraId="3CF4046E" w14:textId="7B93F709" w:rsidR="00B80167" w:rsidRDefault="00B80167">
      <w:pPr>
        <w:pStyle w:val="TableofFigures"/>
        <w:tabs>
          <w:tab w:val="right" w:leader="dot" w:pos="9350"/>
        </w:tabs>
        <w:rPr>
          <w:rFonts w:eastAsiaTheme="minorEastAsia"/>
          <w:noProof/>
          <w:lang w:eastAsia="en-GB"/>
        </w:rPr>
      </w:pPr>
      <w:r>
        <w:rPr>
          <w:rFonts w:ascii="Arial" w:hAnsi="Arial" w:cs="Arial"/>
          <w:sz w:val="24"/>
        </w:rPr>
        <w:fldChar w:fldCharType="begin"/>
      </w:r>
      <w:r>
        <w:rPr>
          <w:rFonts w:ascii="Arial" w:hAnsi="Arial" w:cs="Arial"/>
          <w:sz w:val="24"/>
        </w:rPr>
        <w:instrText xml:space="preserve"> TOC \h \z \c "Figure" </w:instrText>
      </w:r>
      <w:r>
        <w:rPr>
          <w:rFonts w:ascii="Arial" w:hAnsi="Arial" w:cs="Arial"/>
          <w:sz w:val="24"/>
        </w:rPr>
        <w:fldChar w:fldCharType="separate"/>
      </w:r>
      <w:hyperlink w:anchor="_Toc227832008" w:history="1">
        <w:r w:rsidRPr="00817A90">
          <w:rPr>
            <w:rStyle w:val="Hyperlink"/>
            <w:rFonts w:ascii="Arial" w:hAnsi="Arial" w:cs="Arial"/>
            <w:noProof/>
          </w:rPr>
          <w:t>Figure 1.Unilever Historical Timeline</w:t>
        </w:r>
        <w:r>
          <w:rPr>
            <w:noProof/>
            <w:webHidden/>
          </w:rPr>
          <w:tab/>
        </w:r>
        <w:r>
          <w:rPr>
            <w:noProof/>
            <w:webHidden/>
          </w:rPr>
          <w:fldChar w:fldCharType="begin"/>
        </w:r>
        <w:r>
          <w:rPr>
            <w:noProof/>
            <w:webHidden/>
          </w:rPr>
          <w:instrText xml:space="preserve"> PAGEREF _Toc227832008 \h </w:instrText>
        </w:r>
        <w:r>
          <w:rPr>
            <w:noProof/>
            <w:webHidden/>
          </w:rPr>
        </w:r>
        <w:r>
          <w:rPr>
            <w:noProof/>
            <w:webHidden/>
          </w:rPr>
          <w:fldChar w:fldCharType="separate"/>
        </w:r>
        <w:r>
          <w:rPr>
            <w:noProof/>
            <w:webHidden/>
          </w:rPr>
          <w:t>1</w:t>
        </w:r>
        <w:r>
          <w:rPr>
            <w:noProof/>
            <w:webHidden/>
          </w:rPr>
          <w:fldChar w:fldCharType="end"/>
        </w:r>
      </w:hyperlink>
    </w:p>
    <w:p w14:paraId="785AB365" w14:textId="6992EFE1" w:rsidR="00B80167" w:rsidRDefault="00B80167">
      <w:pPr>
        <w:pStyle w:val="TableofFigures"/>
        <w:tabs>
          <w:tab w:val="right" w:leader="dot" w:pos="9350"/>
        </w:tabs>
        <w:rPr>
          <w:rFonts w:eastAsiaTheme="minorEastAsia"/>
          <w:noProof/>
          <w:lang w:eastAsia="en-GB"/>
        </w:rPr>
      </w:pPr>
      <w:hyperlink w:anchor="_Toc227832009" w:history="1">
        <w:r w:rsidRPr="00817A90">
          <w:rPr>
            <w:rStyle w:val="Hyperlink"/>
            <w:rFonts w:ascii="Arial" w:hAnsi="Arial" w:cs="Arial"/>
            <w:noProof/>
          </w:rPr>
          <w:t>Figure 2: Strategic Challenges vs External Drivers</w:t>
        </w:r>
        <w:r>
          <w:rPr>
            <w:noProof/>
            <w:webHidden/>
          </w:rPr>
          <w:tab/>
        </w:r>
        <w:r>
          <w:rPr>
            <w:noProof/>
            <w:webHidden/>
          </w:rPr>
          <w:fldChar w:fldCharType="begin"/>
        </w:r>
        <w:r>
          <w:rPr>
            <w:noProof/>
            <w:webHidden/>
          </w:rPr>
          <w:instrText xml:space="preserve"> PAGEREF _Toc227832009 \h </w:instrText>
        </w:r>
        <w:r>
          <w:rPr>
            <w:noProof/>
            <w:webHidden/>
          </w:rPr>
        </w:r>
        <w:r>
          <w:rPr>
            <w:noProof/>
            <w:webHidden/>
          </w:rPr>
          <w:fldChar w:fldCharType="separate"/>
        </w:r>
        <w:r>
          <w:rPr>
            <w:noProof/>
            <w:webHidden/>
          </w:rPr>
          <w:t>6</w:t>
        </w:r>
        <w:r>
          <w:rPr>
            <w:noProof/>
            <w:webHidden/>
          </w:rPr>
          <w:fldChar w:fldCharType="end"/>
        </w:r>
      </w:hyperlink>
    </w:p>
    <w:p w14:paraId="4AA115D0" w14:textId="43D421A3" w:rsidR="00B80167" w:rsidRDefault="00B80167">
      <w:pPr>
        <w:pStyle w:val="TableofFigures"/>
        <w:tabs>
          <w:tab w:val="right" w:leader="dot" w:pos="9350"/>
        </w:tabs>
        <w:rPr>
          <w:rFonts w:eastAsiaTheme="minorEastAsia"/>
          <w:noProof/>
          <w:lang w:eastAsia="en-GB"/>
        </w:rPr>
      </w:pPr>
      <w:hyperlink w:anchor="_Toc227832010" w:history="1">
        <w:r w:rsidRPr="00817A90">
          <w:rPr>
            <w:rStyle w:val="Hyperlink"/>
            <w:rFonts w:ascii="Arial" w:hAnsi="Arial" w:cs="Arial"/>
            <w:noProof/>
          </w:rPr>
          <w:t>Figure 3: Unilever Internal Strengths vs Competitive Advantage</w:t>
        </w:r>
        <w:r>
          <w:rPr>
            <w:noProof/>
            <w:webHidden/>
          </w:rPr>
          <w:tab/>
        </w:r>
        <w:r>
          <w:rPr>
            <w:noProof/>
            <w:webHidden/>
          </w:rPr>
          <w:fldChar w:fldCharType="begin"/>
        </w:r>
        <w:r>
          <w:rPr>
            <w:noProof/>
            <w:webHidden/>
          </w:rPr>
          <w:instrText xml:space="preserve"> PAGEREF _Toc227832010 \h </w:instrText>
        </w:r>
        <w:r>
          <w:rPr>
            <w:noProof/>
            <w:webHidden/>
          </w:rPr>
        </w:r>
        <w:r>
          <w:rPr>
            <w:noProof/>
            <w:webHidden/>
          </w:rPr>
          <w:fldChar w:fldCharType="separate"/>
        </w:r>
        <w:r>
          <w:rPr>
            <w:noProof/>
            <w:webHidden/>
          </w:rPr>
          <w:t>10</w:t>
        </w:r>
        <w:r>
          <w:rPr>
            <w:noProof/>
            <w:webHidden/>
          </w:rPr>
          <w:fldChar w:fldCharType="end"/>
        </w:r>
      </w:hyperlink>
    </w:p>
    <w:p w14:paraId="20CEAA9A" w14:textId="7B7B501D" w:rsidR="00B80167" w:rsidRDefault="00B80167">
      <w:pPr>
        <w:pStyle w:val="TableofFigures"/>
        <w:tabs>
          <w:tab w:val="right" w:leader="dot" w:pos="9350"/>
        </w:tabs>
        <w:rPr>
          <w:rFonts w:eastAsiaTheme="minorEastAsia"/>
          <w:noProof/>
          <w:lang w:eastAsia="en-GB"/>
        </w:rPr>
      </w:pPr>
      <w:hyperlink w:anchor="_Toc227832011" w:history="1">
        <w:r w:rsidRPr="00817A90">
          <w:rPr>
            <w:rStyle w:val="Hyperlink"/>
            <w:noProof/>
          </w:rPr>
          <w:t>Figure 4. Balanced Scorecard Framework. Adapted from Kaplan &amp; Norton (1992).</w:t>
        </w:r>
        <w:r>
          <w:rPr>
            <w:noProof/>
            <w:webHidden/>
          </w:rPr>
          <w:tab/>
        </w:r>
        <w:r>
          <w:rPr>
            <w:noProof/>
            <w:webHidden/>
          </w:rPr>
          <w:fldChar w:fldCharType="begin"/>
        </w:r>
        <w:r>
          <w:rPr>
            <w:noProof/>
            <w:webHidden/>
          </w:rPr>
          <w:instrText xml:space="preserve"> PAGEREF _Toc227832011 \h </w:instrText>
        </w:r>
        <w:r>
          <w:rPr>
            <w:noProof/>
            <w:webHidden/>
          </w:rPr>
        </w:r>
        <w:r>
          <w:rPr>
            <w:noProof/>
            <w:webHidden/>
          </w:rPr>
          <w:fldChar w:fldCharType="separate"/>
        </w:r>
        <w:r>
          <w:rPr>
            <w:noProof/>
            <w:webHidden/>
          </w:rPr>
          <w:t>12</w:t>
        </w:r>
        <w:r>
          <w:rPr>
            <w:noProof/>
            <w:webHidden/>
          </w:rPr>
          <w:fldChar w:fldCharType="end"/>
        </w:r>
      </w:hyperlink>
    </w:p>
    <w:p w14:paraId="337387D9" w14:textId="35AC96B4" w:rsidR="00B80167" w:rsidRDefault="00B80167">
      <w:pPr>
        <w:pStyle w:val="TableofFigures"/>
        <w:tabs>
          <w:tab w:val="right" w:leader="dot" w:pos="9350"/>
        </w:tabs>
        <w:rPr>
          <w:rFonts w:eastAsiaTheme="minorEastAsia"/>
          <w:noProof/>
          <w:lang w:eastAsia="en-GB"/>
        </w:rPr>
      </w:pPr>
      <w:hyperlink w:anchor="_Toc227832012" w:history="1">
        <w:r w:rsidRPr="00817A90">
          <w:rPr>
            <w:rStyle w:val="Hyperlink"/>
            <w:rFonts w:ascii="Arial" w:hAnsi="Arial" w:cs="Arial"/>
            <w:noProof/>
          </w:rPr>
          <w:t>Figure 5: Strategic Implementation Framework</w:t>
        </w:r>
        <w:r>
          <w:rPr>
            <w:noProof/>
            <w:webHidden/>
          </w:rPr>
          <w:tab/>
        </w:r>
        <w:r>
          <w:rPr>
            <w:noProof/>
            <w:webHidden/>
          </w:rPr>
          <w:fldChar w:fldCharType="begin"/>
        </w:r>
        <w:r>
          <w:rPr>
            <w:noProof/>
            <w:webHidden/>
          </w:rPr>
          <w:instrText xml:space="preserve"> PAGEREF _Toc227832012 \h </w:instrText>
        </w:r>
        <w:r>
          <w:rPr>
            <w:noProof/>
            <w:webHidden/>
          </w:rPr>
        </w:r>
        <w:r>
          <w:rPr>
            <w:noProof/>
            <w:webHidden/>
          </w:rPr>
          <w:fldChar w:fldCharType="separate"/>
        </w:r>
        <w:r>
          <w:rPr>
            <w:noProof/>
            <w:webHidden/>
          </w:rPr>
          <w:t>18</w:t>
        </w:r>
        <w:r>
          <w:rPr>
            <w:noProof/>
            <w:webHidden/>
          </w:rPr>
          <w:fldChar w:fldCharType="end"/>
        </w:r>
      </w:hyperlink>
    </w:p>
    <w:p w14:paraId="722F689F" w14:textId="2370C2D1" w:rsidR="00B80167" w:rsidRDefault="00B80167">
      <w:pPr>
        <w:pStyle w:val="TableofFigures"/>
        <w:tabs>
          <w:tab w:val="right" w:leader="dot" w:pos="9350"/>
        </w:tabs>
        <w:rPr>
          <w:rFonts w:eastAsiaTheme="minorEastAsia"/>
          <w:noProof/>
          <w:lang w:eastAsia="en-GB"/>
        </w:rPr>
      </w:pPr>
      <w:hyperlink w:anchor="_Toc227832013" w:history="1">
        <w:r w:rsidRPr="00817A90">
          <w:rPr>
            <w:rStyle w:val="Hyperlink"/>
            <w:rFonts w:ascii="Arial" w:hAnsi="Arial" w:cs="Arial"/>
            <w:noProof/>
          </w:rPr>
          <w:t>Figure 6.Gibbs’ Reflective Cycle Diagram</w:t>
        </w:r>
        <w:r>
          <w:rPr>
            <w:noProof/>
            <w:webHidden/>
          </w:rPr>
          <w:tab/>
        </w:r>
        <w:r>
          <w:rPr>
            <w:noProof/>
            <w:webHidden/>
          </w:rPr>
          <w:fldChar w:fldCharType="begin"/>
        </w:r>
        <w:r>
          <w:rPr>
            <w:noProof/>
            <w:webHidden/>
          </w:rPr>
          <w:instrText xml:space="preserve"> PAGEREF _Toc227832013 \h </w:instrText>
        </w:r>
        <w:r>
          <w:rPr>
            <w:noProof/>
            <w:webHidden/>
          </w:rPr>
        </w:r>
        <w:r>
          <w:rPr>
            <w:noProof/>
            <w:webHidden/>
          </w:rPr>
          <w:fldChar w:fldCharType="separate"/>
        </w:r>
        <w:r>
          <w:rPr>
            <w:noProof/>
            <w:webHidden/>
          </w:rPr>
          <w:t>20</w:t>
        </w:r>
        <w:r>
          <w:rPr>
            <w:noProof/>
            <w:webHidden/>
          </w:rPr>
          <w:fldChar w:fldCharType="end"/>
        </w:r>
      </w:hyperlink>
    </w:p>
    <w:p w14:paraId="1F3B9FE7" w14:textId="4C86E28F" w:rsidR="008149C5" w:rsidRDefault="00B80167" w:rsidP="008149C5">
      <w:pPr>
        <w:rPr>
          <w:rFonts w:ascii="Arial" w:hAnsi="Arial" w:cs="Arial"/>
          <w:sz w:val="24"/>
        </w:rPr>
      </w:pPr>
      <w:r>
        <w:rPr>
          <w:rFonts w:ascii="Arial" w:hAnsi="Arial" w:cs="Arial"/>
          <w:sz w:val="24"/>
        </w:rPr>
        <w:fldChar w:fldCharType="end"/>
      </w:r>
      <w:bookmarkStart w:id="0" w:name="_GoBack"/>
      <w:bookmarkEnd w:id="0"/>
    </w:p>
    <w:p w14:paraId="367568BA" w14:textId="77777777" w:rsidR="008149C5" w:rsidRDefault="008149C5" w:rsidP="008149C5">
      <w:pPr>
        <w:rPr>
          <w:rFonts w:ascii="Arial" w:hAnsi="Arial" w:cs="Arial"/>
          <w:sz w:val="24"/>
        </w:rPr>
      </w:pPr>
    </w:p>
    <w:p w14:paraId="1A49AAF4" w14:textId="169278F4" w:rsidR="001A5555" w:rsidRPr="008149C5" w:rsidRDefault="001A5555" w:rsidP="008149C5">
      <w:pPr>
        <w:rPr>
          <w:rFonts w:ascii="Arial" w:hAnsi="Arial" w:cs="Arial"/>
          <w:sz w:val="24"/>
        </w:rPr>
        <w:sectPr w:rsidR="001A5555" w:rsidRPr="008149C5" w:rsidSect="001A5555">
          <w:footerReference w:type="default" r:id="rId9"/>
          <w:pgSz w:w="12240" w:h="15840"/>
          <w:pgMar w:top="1440" w:right="1440" w:bottom="1440" w:left="1440" w:header="720" w:footer="720" w:gutter="0"/>
          <w:pgNumType w:fmt="lowerRoman"/>
          <w:cols w:space="720"/>
        </w:sectPr>
      </w:pPr>
    </w:p>
    <w:p w14:paraId="0B15077A" w14:textId="385AE5B3" w:rsidR="00450086" w:rsidRDefault="00450086" w:rsidP="00450086">
      <w:pPr>
        <w:pStyle w:val="Heading1"/>
        <w:jc w:val="center"/>
        <w:rPr>
          <w:rFonts w:eastAsia="Times New Roman"/>
          <w:lang w:eastAsia="en-GB"/>
        </w:rPr>
      </w:pPr>
      <w:bookmarkStart w:id="1" w:name="_4wxmkwmd022q" w:colFirst="0" w:colLast="0"/>
      <w:bookmarkStart w:id="2" w:name="_Toc227831961"/>
      <w:bookmarkEnd w:id="1"/>
      <w:r>
        <w:rPr>
          <w:rFonts w:eastAsia="Times New Roman"/>
          <w:lang w:eastAsia="en-GB"/>
        </w:rPr>
        <w:lastRenderedPageBreak/>
        <w:t>Section-01</w:t>
      </w:r>
      <w:bookmarkEnd w:id="2"/>
    </w:p>
    <w:p w14:paraId="28A865E0" w14:textId="685474E3" w:rsidR="004C3ED7" w:rsidRPr="000224B9" w:rsidRDefault="004C3ED7" w:rsidP="003E633A">
      <w:pPr>
        <w:pStyle w:val="Heading1"/>
        <w:rPr>
          <w:rFonts w:eastAsia="Times New Roman"/>
          <w:lang w:eastAsia="en-GB"/>
        </w:rPr>
      </w:pPr>
      <w:bookmarkStart w:id="3" w:name="_Toc227831962"/>
      <w:r w:rsidRPr="000224B9">
        <w:rPr>
          <w:rFonts w:eastAsia="Times New Roman"/>
          <w:lang w:eastAsia="en-GB"/>
        </w:rPr>
        <w:t>1. Organisational Co</w:t>
      </w:r>
      <w:r w:rsidR="00322648">
        <w:rPr>
          <w:rFonts w:eastAsia="Times New Roman"/>
          <w:lang w:eastAsia="en-GB"/>
        </w:rPr>
        <w:t>ntext and Overview</w:t>
      </w:r>
      <w:bookmarkEnd w:id="3"/>
      <w:r w:rsidR="00322648">
        <w:rPr>
          <w:rFonts w:eastAsia="Times New Roman"/>
          <w:lang w:eastAsia="en-GB"/>
        </w:rPr>
        <w:t xml:space="preserve"> </w:t>
      </w:r>
    </w:p>
    <w:p w14:paraId="18F8ACD0" w14:textId="24FB174D" w:rsidR="00A32D98" w:rsidRPr="00A32D98" w:rsidRDefault="00A32D98" w:rsidP="00A32D98">
      <w:pPr>
        <w:spacing w:before="100" w:beforeAutospacing="1" w:after="100" w:afterAutospacing="1" w:line="360" w:lineRule="auto"/>
        <w:jc w:val="both"/>
        <w:rPr>
          <w:rFonts w:ascii="Arial" w:eastAsia="Times New Roman" w:hAnsi="Arial" w:cs="Arial"/>
          <w:sz w:val="24"/>
          <w:szCs w:val="24"/>
          <w:lang w:eastAsia="en-GB"/>
        </w:rPr>
      </w:pPr>
      <w:r w:rsidRPr="00A32D98">
        <w:rPr>
          <w:rFonts w:ascii="Arial" w:eastAsia="Times New Roman" w:hAnsi="Arial" w:cs="Arial"/>
          <w:sz w:val="24"/>
          <w:szCs w:val="24"/>
          <w:lang w:eastAsia="en-GB"/>
        </w:rPr>
        <w:t xml:space="preserve">Unilever PLC is one of the most popular British-Dutch multinational consumer goods companies, which manufactures and sells a wide range of goods in categories of personal care, home care, and nutrition (Smith, 2023). Unilever was established in 1930 upon the consolidation of Lever Brothers and Margarine </w:t>
      </w:r>
      <w:r w:rsidR="000A296D" w:rsidRPr="00A32D98">
        <w:rPr>
          <w:rFonts w:ascii="Arial" w:eastAsia="Times New Roman" w:hAnsi="Arial" w:cs="Arial"/>
          <w:sz w:val="24"/>
          <w:szCs w:val="24"/>
          <w:lang w:eastAsia="en-GB"/>
        </w:rPr>
        <w:t>Unite</w:t>
      </w:r>
      <w:r w:rsidRPr="00A32D98">
        <w:rPr>
          <w:rFonts w:ascii="Arial" w:eastAsia="Times New Roman" w:hAnsi="Arial" w:cs="Arial"/>
          <w:sz w:val="24"/>
          <w:szCs w:val="24"/>
          <w:lang w:eastAsia="en-GB"/>
        </w:rPr>
        <w:t xml:space="preserve"> in which the brands of the companies have turned into household names in the world today. Unilever has over time grown and is now one of the most well-known fast-moving consumer goods (FMCG) companies in the world through organic growth and strategic acquisitions (Jones &amp; Patel, 2024).</w:t>
      </w:r>
    </w:p>
    <w:p w14:paraId="0F782FB8" w14:textId="0B6AD23A" w:rsidR="004C3ED7" w:rsidRPr="000224B9" w:rsidRDefault="00A32D98" w:rsidP="00A32D98">
      <w:pPr>
        <w:spacing w:before="100" w:beforeAutospacing="1" w:after="100" w:afterAutospacing="1" w:line="360" w:lineRule="auto"/>
        <w:jc w:val="both"/>
        <w:rPr>
          <w:rFonts w:ascii="Arial" w:eastAsia="Times New Roman" w:hAnsi="Arial" w:cs="Arial"/>
          <w:sz w:val="24"/>
          <w:szCs w:val="24"/>
          <w:lang w:eastAsia="en-GB"/>
        </w:rPr>
      </w:pPr>
      <w:r w:rsidRPr="00A32D98">
        <w:rPr>
          <w:rFonts w:ascii="Arial" w:eastAsia="Times New Roman" w:hAnsi="Arial" w:cs="Arial"/>
          <w:sz w:val="24"/>
          <w:szCs w:val="24"/>
          <w:lang w:eastAsia="en-GB"/>
        </w:rPr>
        <w:t xml:space="preserve">The mission of Unilever is to </w:t>
      </w:r>
      <w:r w:rsidR="000A296D" w:rsidRPr="00A32D98">
        <w:rPr>
          <w:rFonts w:ascii="Arial" w:eastAsia="Times New Roman" w:hAnsi="Arial" w:cs="Arial"/>
          <w:sz w:val="24"/>
          <w:szCs w:val="24"/>
          <w:lang w:eastAsia="en-GB"/>
        </w:rPr>
        <w:t>fulfil</w:t>
      </w:r>
      <w:r w:rsidRPr="00A32D98">
        <w:rPr>
          <w:rFonts w:ascii="Arial" w:eastAsia="Times New Roman" w:hAnsi="Arial" w:cs="Arial"/>
          <w:sz w:val="24"/>
          <w:szCs w:val="24"/>
          <w:lang w:eastAsia="en-GB"/>
        </w:rPr>
        <w:t xml:space="preserve"> daily nutrition, hygiene, and personal care need using high-quality products and improving social and environmental wellbeing (Lee, 2022). It has a vision to be a purpose-led and sustainable growing entity that makes a difference to society and helps to sustain a positive impact on ecosystems and communities where it functions (Ahmed, 2023). The business strategy of the company is based on the diversified portfolio of the well-known global brands, effective distribution channels, and focus on innovation, sustainability, and consumer insights. Unilever makes revenue under 3 primary segments: Beauty and Personal Care, Foods and Refreshment, or Ho</w:t>
      </w:r>
      <w:r>
        <w:rPr>
          <w:rFonts w:ascii="Arial" w:eastAsia="Times New Roman" w:hAnsi="Arial" w:cs="Arial"/>
          <w:sz w:val="24"/>
          <w:szCs w:val="24"/>
          <w:lang w:eastAsia="en-GB"/>
        </w:rPr>
        <w:t>me Care (Brown and Green, 2024)</w:t>
      </w:r>
      <w:r w:rsidR="004C3ED7" w:rsidRPr="000224B9">
        <w:rPr>
          <w:rFonts w:ascii="Arial" w:eastAsia="Times New Roman" w:hAnsi="Arial" w:cs="Arial"/>
          <w:sz w:val="24"/>
          <w:szCs w:val="24"/>
          <w:lang w:eastAsia="en-GB"/>
        </w:rPr>
        <w:t>.</w:t>
      </w:r>
    </w:p>
    <w:p w14:paraId="33B9C9DC" w14:textId="77777777" w:rsidR="00322648" w:rsidRDefault="00322648" w:rsidP="00322648">
      <w:pPr>
        <w:keepNext/>
        <w:spacing w:before="100" w:beforeAutospacing="1" w:after="100" w:afterAutospacing="1" w:line="360" w:lineRule="auto"/>
        <w:jc w:val="center"/>
      </w:pPr>
      <w:r>
        <w:rPr>
          <w:rFonts w:ascii="Arial" w:eastAsia="Times New Roman" w:hAnsi="Arial" w:cs="Arial"/>
          <w:noProof/>
          <w:sz w:val="24"/>
          <w:szCs w:val="24"/>
          <w:lang w:eastAsia="en-GB"/>
        </w:rPr>
        <w:drawing>
          <wp:inline distT="0" distB="0" distL="0" distR="0" wp14:anchorId="7FAAE7EB" wp14:editId="54D9F278">
            <wp:extent cx="2686050" cy="1790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ilot_20260329_14181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7069" cy="1791379"/>
                    </a:xfrm>
                    <a:prstGeom prst="rect">
                      <a:avLst/>
                    </a:prstGeom>
                  </pic:spPr>
                </pic:pic>
              </a:graphicData>
            </a:graphic>
          </wp:inline>
        </w:drawing>
      </w:r>
    </w:p>
    <w:p w14:paraId="10CB7067" w14:textId="4F4C1179" w:rsidR="004C3ED7" w:rsidRPr="00322648" w:rsidRDefault="00322648" w:rsidP="00322648">
      <w:pPr>
        <w:pStyle w:val="Caption"/>
        <w:jc w:val="center"/>
        <w:rPr>
          <w:rFonts w:ascii="Arial" w:eastAsia="Times New Roman" w:hAnsi="Arial" w:cs="Arial"/>
          <w:sz w:val="36"/>
          <w:szCs w:val="24"/>
          <w:lang w:eastAsia="en-GB"/>
        </w:rPr>
      </w:pPr>
      <w:bookmarkStart w:id="4" w:name="_Toc227832008"/>
      <w:r w:rsidRPr="00322648">
        <w:rPr>
          <w:rFonts w:ascii="Arial" w:hAnsi="Arial" w:cs="Arial"/>
          <w:sz w:val="24"/>
        </w:rPr>
        <w:t xml:space="preserve">Figure </w:t>
      </w:r>
      <w:r w:rsidRPr="00322648">
        <w:rPr>
          <w:rFonts w:ascii="Arial" w:hAnsi="Arial" w:cs="Arial"/>
          <w:sz w:val="24"/>
        </w:rPr>
        <w:fldChar w:fldCharType="begin"/>
      </w:r>
      <w:r w:rsidRPr="00322648">
        <w:rPr>
          <w:rFonts w:ascii="Arial" w:hAnsi="Arial" w:cs="Arial"/>
          <w:sz w:val="24"/>
        </w:rPr>
        <w:instrText xml:space="preserve"> SEQ Figure \* ARABIC </w:instrText>
      </w:r>
      <w:r w:rsidRPr="00322648">
        <w:rPr>
          <w:rFonts w:ascii="Arial" w:hAnsi="Arial" w:cs="Arial"/>
          <w:sz w:val="24"/>
        </w:rPr>
        <w:fldChar w:fldCharType="separate"/>
      </w:r>
      <w:r w:rsidR="00F1593B">
        <w:rPr>
          <w:rFonts w:ascii="Arial" w:hAnsi="Arial" w:cs="Arial"/>
          <w:noProof/>
          <w:sz w:val="24"/>
        </w:rPr>
        <w:t>1</w:t>
      </w:r>
      <w:r w:rsidRPr="00322648">
        <w:rPr>
          <w:rFonts w:ascii="Arial" w:hAnsi="Arial" w:cs="Arial"/>
          <w:sz w:val="24"/>
        </w:rPr>
        <w:fldChar w:fldCharType="end"/>
      </w:r>
      <w:r w:rsidRPr="00322648">
        <w:rPr>
          <w:rFonts w:ascii="Arial" w:hAnsi="Arial" w:cs="Arial"/>
          <w:sz w:val="24"/>
        </w:rPr>
        <w:t>.Unilever Historical Timeline</w:t>
      </w:r>
      <w:bookmarkEnd w:id="4"/>
    </w:p>
    <w:p w14:paraId="3FC3DD25" w14:textId="77777777" w:rsidR="00752E35" w:rsidRPr="00752E35" w:rsidRDefault="00752E35" w:rsidP="00752E35">
      <w:pPr>
        <w:spacing w:before="100" w:beforeAutospacing="1" w:after="100" w:afterAutospacing="1" w:line="360" w:lineRule="auto"/>
        <w:jc w:val="both"/>
        <w:rPr>
          <w:rFonts w:ascii="Arial" w:eastAsia="Times New Roman" w:hAnsi="Arial" w:cs="Arial"/>
          <w:sz w:val="24"/>
          <w:szCs w:val="24"/>
          <w:lang w:eastAsia="en-GB"/>
        </w:rPr>
      </w:pPr>
      <w:r w:rsidRPr="00752E35">
        <w:rPr>
          <w:rFonts w:ascii="Arial" w:eastAsia="Times New Roman" w:hAnsi="Arial" w:cs="Arial"/>
          <w:sz w:val="24"/>
          <w:szCs w:val="24"/>
          <w:lang w:eastAsia="en-GB"/>
        </w:rPr>
        <w:lastRenderedPageBreak/>
        <w:t xml:space="preserve">The environment that Unilever operates in regarding the FMCG industry is very competitive and dynamic, with fast-paced product development, changing tastes and preferences of consumers, and high challenges in pricing (Dawson, 2023). Other macroeconomic factors that affect the industry include inflation, the volatility of the supply chain, and sustainability laws (Nguyen, 2024). Major competitors of Unilever are multinationals like Procter and Gamble, Nestle, Colgate-Palmolive, and L </w:t>
      </w:r>
      <w:proofErr w:type="spellStart"/>
      <w:r w:rsidRPr="00752E35">
        <w:rPr>
          <w:rFonts w:ascii="Arial" w:eastAsia="Times New Roman" w:hAnsi="Arial" w:cs="Arial"/>
          <w:sz w:val="24"/>
          <w:szCs w:val="24"/>
          <w:lang w:eastAsia="en-GB"/>
        </w:rPr>
        <w:t>Oréal</w:t>
      </w:r>
      <w:proofErr w:type="spellEnd"/>
      <w:r w:rsidRPr="00752E35">
        <w:rPr>
          <w:rFonts w:ascii="Arial" w:eastAsia="Times New Roman" w:hAnsi="Arial" w:cs="Arial"/>
          <w:sz w:val="24"/>
          <w:szCs w:val="24"/>
          <w:lang w:eastAsia="en-GB"/>
        </w:rPr>
        <w:t xml:space="preserve"> each of which has large market share in any number of product lines. These rivals put pressure on Unilever to keep innovating, building brand equity, and becoming more efficient (Singh, 2023).</w:t>
      </w:r>
    </w:p>
    <w:p w14:paraId="58079B19" w14:textId="77777777" w:rsidR="00752E35" w:rsidRPr="00752E35" w:rsidRDefault="00752E35" w:rsidP="00752E35">
      <w:pPr>
        <w:spacing w:before="100" w:beforeAutospacing="1" w:after="100" w:afterAutospacing="1" w:line="360" w:lineRule="auto"/>
        <w:jc w:val="both"/>
        <w:rPr>
          <w:rFonts w:ascii="Arial" w:eastAsia="Times New Roman" w:hAnsi="Arial" w:cs="Arial"/>
          <w:sz w:val="24"/>
          <w:szCs w:val="24"/>
          <w:lang w:eastAsia="en-GB"/>
        </w:rPr>
      </w:pPr>
      <w:r w:rsidRPr="00752E35">
        <w:rPr>
          <w:rFonts w:ascii="Arial" w:eastAsia="Times New Roman" w:hAnsi="Arial" w:cs="Arial"/>
          <w:sz w:val="24"/>
          <w:szCs w:val="24"/>
          <w:lang w:eastAsia="en-GB"/>
        </w:rPr>
        <w:t>Unilever is relatively stable in the market despite the competition, as it is diversified in terms of products and has a global presence, along with sustainability as a strategic differentiator (Rahman, 2022). In the recent years, the company has managed to restructure its portfolio by disposed of non-core assets and concentrate on high-growth segments to increase profitability and strategic focus (Clark and Zhao, 2024). The focus of Unilever on digital change, data analytics and agile marketing has also facilitated the company in adjusting to the evolving consumer behaviour and enhancing its competitive edge (Patel and Lee, 2025).</w:t>
      </w:r>
    </w:p>
    <w:p w14:paraId="0E2EE95A" w14:textId="09A97433" w:rsidR="004C3ED7" w:rsidRDefault="00752E35" w:rsidP="00752E35">
      <w:pPr>
        <w:spacing w:before="100" w:beforeAutospacing="1" w:after="100" w:afterAutospacing="1" w:line="360" w:lineRule="auto"/>
        <w:jc w:val="both"/>
        <w:rPr>
          <w:rFonts w:ascii="Arial" w:eastAsia="Times New Roman" w:hAnsi="Arial" w:cs="Arial"/>
          <w:sz w:val="24"/>
          <w:szCs w:val="24"/>
          <w:lang w:eastAsia="en-GB"/>
        </w:rPr>
      </w:pPr>
      <w:r w:rsidRPr="00752E35">
        <w:rPr>
          <w:rFonts w:ascii="Arial" w:eastAsia="Times New Roman" w:hAnsi="Arial" w:cs="Arial"/>
          <w:sz w:val="24"/>
          <w:szCs w:val="24"/>
          <w:lang w:eastAsia="en-GB"/>
        </w:rPr>
        <w:t>The FMCG industry has enabled Unilever to be strategically positioned and this is the case with both strengths a</w:t>
      </w:r>
      <w:r>
        <w:rPr>
          <w:rFonts w:ascii="Arial" w:eastAsia="Times New Roman" w:hAnsi="Arial" w:cs="Arial"/>
          <w:sz w:val="24"/>
          <w:szCs w:val="24"/>
          <w:lang w:eastAsia="en-GB"/>
        </w:rPr>
        <w:t>nd its long term sustainability</w:t>
      </w:r>
      <w:r w:rsidR="004339E0">
        <w:rPr>
          <w:rFonts w:ascii="Arial" w:eastAsia="Times New Roman" w:hAnsi="Arial" w:cs="Arial"/>
          <w:sz w:val="24"/>
          <w:szCs w:val="24"/>
          <w:lang w:eastAsia="en-GB"/>
        </w:rPr>
        <w:t>.</w:t>
      </w:r>
    </w:p>
    <w:p w14:paraId="419327EF" w14:textId="7B76B256" w:rsidR="004339E0" w:rsidRPr="004339E0" w:rsidRDefault="004339E0" w:rsidP="003E633A">
      <w:pPr>
        <w:pStyle w:val="Heading1"/>
        <w:rPr>
          <w:rFonts w:eastAsia="Times New Roman"/>
          <w:lang w:eastAsia="en-GB"/>
        </w:rPr>
      </w:pPr>
      <w:bookmarkStart w:id="5" w:name="_Toc227831963"/>
      <w:r w:rsidRPr="004339E0">
        <w:rPr>
          <w:rFonts w:eastAsia="Times New Roman"/>
          <w:lang w:eastAsia="en-GB"/>
        </w:rPr>
        <w:t>2. External &amp; Internal Environment Analysis</w:t>
      </w:r>
      <w:bookmarkEnd w:id="5"/>
      <w:r w:rsidRPr="004339E0">
        <w:rPr>
          <w:rFonts w:eastAsia="Times New Roman"/>
          <w:lang w:eastAsia="en-GB"/>
        </w:rPr>
        <w:t xml:space="preserve"> </w:t>
      </w:r>
    </w:p>
    <w:p w14:paraId="4B1AC56A" w14:textId="77777777" w:rsidR="000A296D" w:rsidRDefault="004C127E" w:rsidP="004C127E">
      <w:pPr>
        <w:spacing w:before="100" w:beforeAutospacing="1" w:after="100" w:afterAutospacing="1" w:line="360" w:lineRule="auto"/>
        <w:jc w:val="both"/>
        <w:rPr>
          <w:rStyle w:val="Heading2Char"/>
          <w:lang w:eastAsia="en-GB"/>
        </w:rPr>
      </w:pPr>
      <w:bookmarkStart w:id="6" w:name="_Toc227831964"/>
      <w:r w:rsidRPr="000A296D">
        <w:rPr>
          <w:rStyle w:val="Heading2Char"/>
          <w:lang w:eastAsia="en-GB"/>
        </w:rPr>
        <w:t>2.</w:t>
      </w:r>
      <w:r w:rsidR="000A296D">
        <w:rPr>
          <w:rStyle w:val="Heading2Char"/>
          <w:lang w:eastAsia="en-GB"/>
        </w:rPr>
        <w:t>1 External Environment Analysis</w:t>
      </w:r>
      <w:bookmarkEnd w:id="6"/>
    </w:p>
    <w:p w14:paraId="1041C528" w14:textId="77777777" w:rsidR="004C127E" w:rsidRPr="004C127E" w:rsidRDefault="004C127E" w:rsidP="004C127E">
      <w:pPr>
        <w:spacing w:before="100" w:beforeAutospacing="1" w:after="100" w:afterAutospacing="1" w:line="360" w:lineRule="auto"/>
        <w:jc w:val="both"/>
        <w:rPr>
          <w:rFonts w:ascii="Arial" w:eastAsia="Times New Roman" w:hAnsi="Arial" w:cs="Arial"/>
          <w:sz w:val="24"/>
          <w:szCs w:val="24"/>
          <w:lang w:eastAsia="en-GB"/>
        </w:rPr>
      </w:pPr>
      <w:r w:rsidRPr="004C127E">
        <w:rPr>
          <w:rFonts w:ascii="Arial" w:eastAsia="Times New Roman" w:hAnsi="Arial" w:cs="Arial"/>
          <w:sz w:val="24"/>
          <w:szCs w:val="24"/>
          <w:lang w:eastAsia="en-GB"/>
        </w:rPr>
        <w:t>Unilever is influenced by the external environment in its strategy and performance in the long term. Important frameworks include PESTEL and competitive analysis, which are necessary to know the dynamics in the market, regulatory pressure, and socio-economic trends.</w:t>
      </w:r>
    </w:p>
    <w:p w14:paraId="46355943" w14:textId="77777777" w:rsidR="004C127E" w:rsidRPr="004C127E" w:rsidRDefault="004C127E" w:rsidP="000A296D">
      <w:pPr>
        <w:pStyle w:val="Heading3"/>
        <w:rPr>
          <w:rFonts w:eastAsia="Times New Roman"/>
          <w:lang w:eastAsia="en-GB"/>
        </w:rPr>
      </w:pPr>
      <w:bookmarkStart w:id="7" w:name="_Toc227831965"/>
      <w:r w:rsidRPr="004C127E">
        <w:rPr>
          <w:rFonts w:eastAsia="Times New Roman"/>
          <w:lang w:eastAsia="en-GB"/>
        </w:rPr>
        <w:lastRenderedPageBreak/>
        <w:t>2.1.1 PESTEL Analysis</w:t>
      </w:r>
      <w:bookmarkEnd w:id="7"/>
    </w:p>
    <w:p w14:paraId="404D7CF9" w14:textId="74E1974C" w:rsidR="004C127E" w:rsidRPr="000A296D" w:rsidRDefault="000A296D" w:rsidP="000A296D">
      <w:pPr>
        <w:pStyle w:val="ListParagraph"/>
        <w:numPr>
          <w:ilvl w:val="0"/>
          <w:numId w:val="16"/>
        </w:numPr>
        <w:spacing w:before="100" w:beforeAutospacing="1" w:after="100" w:afterAutospacing="1" w:line="360" w:lineRule="auto"/>
        <w:jc w:val="both"/>
        <w:rPr>
          <w:rFonts w:ascii="Arial" w:eastAsia="Times New Roman" w:hAnsi="Arial" w:cs="Arial"/>
          <w:b/>
          <w:sz w:val="24"/>
          <w:szCs w:val="24"/>
          <w:lang w:eastAsia="en-GB"/>
        </w:rPr>
      </w:pPr>
      <w:r w:rsidRPr="000A296D">
        <w:rPr>
          <w:rFonts w:ascii="Arial" w:eastAsia="Times New Roman" w:hAnsi="Arial" w:cs="Arial"/>
          <w:b/>
          <w:sz w:val="24"/>
          <w:szCs w:val="24"/>
          <w:lang w:eastAsia="en-GB"/>
        </w:rPr>
        <w:t xml:space="preserve">Political Factors: </w:t>
      </w:r>
      <w:r w:rsidR="004C127E" w:rsidRPr="000A296D">
        <w:rPr>
          <w:rFonts w:ascii="Arial" w:eastAsia="Times New Roman" w:hAnsi="Arial" w:cs="Arial"/>
          <w:sz w:val="24"/>
          <w:szCs w:val="24"/>
          <w:lang w:eastAsia="en-GB"/>
        </w:rPr>
        <w:t xml:space="preserve">Unilever is in more than 190 countries and it is influenced by the various political environments. The market entry and efficiency of operation are affected by political stability, government policies, trade agreements and policy on taxation (Ahmed, 2022). As an example, </w:t>
      </w:r>
      <w:proofErr w:type="spellStart"/>
      <w:r w:rsidR="004C127E" w:rsidRPr="000A296D">
        <w:rPr>
          <w:rFonts w:ascii="Arial" w:eastAsia="Times New Roman" w:hAnsi="Arial" w:cs="Arial"/>
          <w:sz w:val="24"/>
          <w:szCs w:val="24"/>
          <w:lang w:eastAsia="en-GB"/>
        </w:rPr>
        <w:t>Brexit</w:t>
      </w:r>
      <w:proofErr w:type="spellEnd"/>
      <w:r w:rsidR="004C127E" w:rsidRPr="000A296D">
        <w:rPr>
          <w:rFonts w:ascii="Arial" w:eastAsia="Times New Roman" w:hAnsi="Arial" w:cs="Arial"/>
          <w:sz w:val="24"/>
          <w:szCs w:val="24"/>
          <w:lang w:eastAsia="en-GB"/>
        </w:rPr>
        <w:t xml:space="preserve"> had regulatory and tariff consequences to Unilever in the UK and EU markets (Smith and Patel, 2021).</w:t>
      </w:r>
    </w:p>
    <w:p w14:paraId="219FADED" w14:textId="652F55CE" w:rsidR="004C127E" w:rsidRPr="000A296D" w:rsidRDefault="004C127E" w:rsidP="000A296D">
      <w:pPr>
        <w:pStyle w:val="ListParagraph"/>
        <w:numPr>
          <w:ilvl w:val="0"/>
          <w:numId w:val="16"/>
        </w:numPr>
        <w:spacing w:before="100" w:beforeAutospacing="1" w:after="100" w:afterAutospacing="1" w:line="360" w:lineRule="auto"/>
        <w:jc w:val="both"/>
        <w:rPr>
          <w:rFonts w:ascii="Arial" w:eastAsia="Times New Roman" w:hAnsi="Arial" w:cs="Arial"/>
          <w:b/>
          <w:sz w:val="24"/>
          <w:szCs w:val="24"/>
          <w:lang w:eastAsia="en-GB"/>
        </w:rPr>
      </w:pPr>
      <w:r w:rsidRPr="000A296D">
        <w:rPr>
          <w:rFonts w:ascii="Arial" w:eastAsia="Times New Roman" w:hAnsi="Arial" w:cs="Arial"/>
          <w:b/>
          <w:sz w:val="24"/>
          <w:szCs w:val="24"/>
          <w:lang w:eastAsia="en-GB"/>
        </w:rPr>
        <w:t>Economi</w:t>
      </w:r>
      <w:r w:rsidR="000A296D" w:rsidRPr="000A296D">
        <w:rPr>
          <w:rFonts w:ascii="Arial" w:eastAsia="Times New Roman" w:hAnsi="Arial" w:cs="Arial"/>
          <w:b/>
          <w:sz w:val="24"/>
          <w:szCs w:val="24"/>
          <w:lang w:eastAsia="en-GB"/>
        </w:rPr>
        <w:t xml:space="preserve">c Factors: </w:t>
      </w:r>
      <w:r w:rsidRPr="000A296D">
        <w:rPr>
          <w:rFonts w:ascii="Arial" w:eastAsia="Times New Roman" w:hAnsi="Arial" w:cs="Arial"/>
          <w:sz w:val="24"/>
          <w:szCs w:val="24"/>
          <w:lang w:eastAsia="en-GB"/>
        </w:rPr>
        <w:t xml:space="preserve">Unilever is affected by economic uncertainty, inflationary prices and the changes in prices of various commodities in the world economy on its cost structure and pricing strategy. To give an example, the cost of palm oil, tea and dairy raw materials directly influences profit margins (Brown, 2023). </w:t>
      </w:r>
    </w:p>
    <w:p w14:paraId="00952152" w14:textId="184B91DF" w:rsidR="004C127E" w:rsidRPr="000A296D" w:rsidRDefault="000A296D" w:rsidP="000A296D">
      <w:pPr>
        <w:pStyle w:val="ListParagraph"/>
        <w:numPr>
          <w:ilvl w:val="0"/>
          <w:numId w:val="16"/>
        </w:numPr>
        <w:spacing w:before="100" w:beforeAutospacing="1" w:after="100" w:afterAutospacing="1" w:line="360" w:lineRule="auto"/>
        <w:jc w:val="both"/>
        <w:rPr>
          <w:rFonts w:ascii="Arial" w:eastAsia="Times New Roman" w:hAnsi="Arial" w:cs="Arial"/>
          <w:b/>
          <w:sz w:val="24"/>
          <w:szCs w:val="24"/>
          <w:lang w:eastAsia="en-GB"/>
        </w:rPr>
      </w:pPr>
      <w:r w:rsidRPr="000A296D">
        <w:rPr>
          <w:rFonts w:ascii="Arial" w:eastAsia="Times New Roman" w:hAnsi="Arial" w:cs="Arial"/>
          <w:b/>
          <w:sz w:val="24"/>
          <w:szCs w:val="24"/>
          <w:lang w:eastAsia="en-GB"/>
        </w:rPr>
        <w:t xml:space="preserve">Sociocultural Factors: </w:t>
      </w:r>
      <w:r w:rsidR="004C127E" w:rsidRPr="000A296D">
        <w:rPr>
          <w:rFonts w:ascii="Arial" w:eastAsia="Times New Roman" w:hAnsi="Arial" w:cs="Arial"/>
          <w:sz w:val="24"/>
          <w:szCs w:val="24"/>
          <w:lang w:eastAsia="en-GB"/>
        </w:rPr>
        <w:t xml:space="preserve">The contemporary consumer trends on health, wellness, and ethical consumption have a powerful impact on the product development of Unilever. More brand strategies are being influenced by growing interest in plant-based foods and cruelty-free products and sustainable packaging (Nguyen, 2023). </w:t>
      </w:r>
    </w:p>
    <w:p w14:paraId="538C32A3" w14:textId="75C8AF60" w:rsidR="004C127E" w:rsidRPr="000A296D" w:rsidRDefault="000A296D" w:rsidP="000A296D">
      <w:pPr>
        <w:pStyle w:val="ListParagraph"/>
        <w:numPr>
          <w:ilvl w:val="0"/>
          <w:numId w:val="16"/>
        </w:numPr>
        <w:spacing w:before="100" w:beforeAutospacing="1" w:after="100" w:afterAutospacing="1" w:line="360" w:lineRule="auto"/>
        <w:jc w:val="both"/>
        <w:rPr>
          <w:rFonts w:ascii="Arial" w:eastAsia="Times New Roman" w:hAnsi="Arial" w:cs="Arial"/>
          <w:b/>
          <w:sz w:val="24"/>
          <w:szCs w:val="24"/>
          <w:lang w:eastAsia="en-GB"/>
        </w:rPr>
      </w:pPr>
      <w:r w:rsidRPr="000A296D">
        <w:rPr>
          <w:rFonts w:ascii="Arial" w:eastAsia="Times New Roman" w:hAnsi="Arial" w:cs="Arial"/>
          <w:b/>
          <w:sz w:val="24"/>
          <w:szCs w:val="24"/>
          <w:lang w:eastAsia="en-GB"/>
        </w:rPr>
        <w:t xml:space="preserve">Technological Factors: </w:t>
      </w:r>
      <w:r w:rsidR="004C127E" w:rsidRPr="000A296D">
        <w:rPr>
          <w:rFonts w:ascii="Arial" w:eastAsia="Times New Roman" w:hAnsi="Arial" w:cs="Arial"/>
          <w:sz w:val="24"/>
          <w:szCs w:val="24"/>
          <w:lang w:eastAsia="en-GB"/>
        </w:rPr>
        <w:t xml:space="preserve">It is essential to digitise and innovate. Unilever utilizes AI, big data analytics, and online stores to improve the supply chain, marketing, and consumer intelligence (Singh, 2023). </w:t>
      </w:r>
    </w:p>
    <w:p w14:paraId="6A939B90" w14:textId="728DE802" w:rsidR="004C127E" w:rsidRPr="000A296D" w:rsidRDefault="004C127E" w:rsidP="000A296D">
      <w:pPr>
        <w:pStyle w:val="ListParagraph"/>
        <w:numPr>
          <w:ilvl w:val="0"/>
          <w:numId w:val="16"/>
        </w:numPr>
        <w:spacing w:before="100" w:beforeAutospacing="1" w:after="100" w:afterAutospacing="1" w:line="360" w:lineRule="auto"/>
        <w:jc w:val="both"/>
        <w:rPr>
          <w:rFonts w:ascii="Arial" w:eastAsia="Times New Roman" w:hAnsi="Arial" w:cs="Arial"/>
          <w:b/>
          <w:sz w:val="24"/>
          <w:szCs w:val="24"/>
          <w:lang w:eastAsia="en-GB"/>
        </w:rPr>
      </w:pPr>
      <w:r w:rsidRPr="000A296D">
        <w:rPr>
          <w:rFonts w:ascii="Arial" w:eastAsia="Times New Roman" w:hAnsi="Arial" w:cs="Arial"/>
          <w:b/>
          <w:sz w:val="24"/>
          <w:szCs w:val="24"/>
          <w:lang w:eastAsia="en-GB"/>
        </w:rPr>
        <w:t>Environmental Facto</w:t>
      </w:r>
      <w:r w:rsidR="000A296D" w:rsidRPr="000A296D">
        <w:rPr>
          <w:rFonts w:ascii="Arial" w:eastAsia="Times New Roman" w:hAnsi="Arial" w:cs="Arial"/>
          <w:b/>
          <w:sz w:val="24"/>
          <w:szCs w:val="24"/>
          <w:lang w:eastAsia="en-GB"/>
        </w:rPr>
        <w:t xml:space="preserve">rs: </w:t>
      </w:r>
      <w:r w:rsidRPr="000A296D">
        <w:rPr>
          <w:rFonts w:ascii="Arial" w:eastAsia="Times New Roman" w:hAnsi="Arial" w:cs="Arial"/>
          <w:sz w:val="24"/>
          <w:szCs w:val="24"/>
          <w:lang w:eastAsia="en-GB"/>
        </w:rPr>
        <w:t xml:space="preserve">The Unilever strategy is based on sustainability. There are environmental policies on carbon emissions, water consumption, and garbage disposal that affect the production processes (Rahman, 2022). </w:t>
      </w:r>
    </w:p>
    <w:p w14:paraId="024D18B3" w14:textId="0A49964A" w:rsidR="004339E0" w:rsidRPr="000A296D" w:rsidRDefault="000A296D" w:rsidP="000A296D">
      <w:pPr>
        <w:pStyle w:val="ListParagraph"/>
        <w:numPr>
          <w:ilvl w:val="0"/>
          <w:numId w:val="16"/>
        </w:numPr>
        <w:spacing w:before="100" w:beforeAutospacing="1" w:after="100" w:afterAutospacing="1" w:line="360" w:lineRule="auto"/>
        <w:jc w:val="both"/>
        <w:rPr>
          <w:rFonts w:ascii="Arial" w:eastAsia="Times New Roman" w:hAnsi="Arial" w:cs="Arial"/>
          <w:b/>
          <w:sz w:val="24"/>
          <w:szCs w:val="24"/>
          <w:lang w:eastAsia="en-GB"/>
        </w:rPr>
      </w:pPr>
      <w:r w:rsidRPr="000A296D">
        <w:rPr>
          <w:rFonts w:ascii="Arial" w:eastAsia="Times New Roman" w:hAnsi="Arial" w:cs="Arial"/>
          <w:b/>
          <w:sz w:val="24"/>
          <w:szCs w:val="24"/>
          <w:lang w:eastAsia="en-GB"/>
        </w:rPr>
        <w:t xml:space="preserve">Legal Factors: </w:t>
      </w:r>
      <w:r w:rsidR="004C127E" w:rsidRPr="000A296D">
        <w:rPr>
          <w:rFonts w:ascii="Arial" w:eastAsia="Times New Roman" w:hAnsi="Arial" w:cs="Arial"/>
          <w:sz w:val="24"/>
          <w:szCs w:val="24"/>
          <w:lang w:eastAsia="en-GB"/>
        </w:rPr>
        <w:t>It is important to adhere to consumer protection laws, labour laws, intellectual property rights, and food safety standards (Jones and Ahmed, 2024). Failure to comply would lead to litigation, reputational losses and fines</w:t>
      </w:r>
      <w:r w:rsidR="00DE180D" w:rsidRPr="000A296D">
        <w:rPr>
          <w:rFonts w:ascii="Arial" w:eastAsia="Times New Roman" w:hAnsi="Arial" w:cs="Arial"/>
          <w:sz w:val="24"/>
          <w:szCs w:val="24"/>
          <w:lang w:eastAsia="en-GB"/>
        </w:rPr>
        <w:t>.</w:t>
      </w:r>
    </w:p>
    <w:p w14:paraId="4A137A61" w14:textId="6C3736E6" w:rsidR="009B559B" w:rsidRPr="009B559B" w:rsidRDefault="009B559B" w:rsidP="009B559B">
      <w:pPr>
        <w:pStyle w:val="Caption"/>
        <w:keepNext/>
        <w:rPr>
          <w:rFonts w:ascii="Arial" w:hAnsi="Arial" w:cs="Arial"/>
          <w:sz w:val="24"/>
        </w:rPr>
      </w:pPr>
      <w:bookmarkStart w:id="8" w:name="_Toc225689491"/>
      <w:r w:rsidRPr="009B559B">
        <w:rPr>
          <w:rFonts w:ascii="Arial" w:hAnsi="Arial" w:cs="Arial"/>
          <w:sz w:val="24"/>
        </w:rPr>
        <w:t xml:space="preserve">Table </w:t>
      </w:r>
      <w:r w:rsidRPr="009B559B">
        <w:rPr>
          <w:rFonts w:ascii="Arial" w:hAnsi="Arial" w:cs="Arial"/>
          <w:sz w:val="24"/>
        </w:rPr>
        <w:fldChar w:fldCharType="begin"/>
      </w:r>
      <w:r w:rsidRPr="009B559B">
        <w:rPr>
          <w:rFonts w:ascii="Arial" w:hAnsi="Arial" w:cs="Arial"/>
          <w:sz w:val="24"/>
        </w:rPr>
        <w:instrText xml:space="preserve"> SEQ Table \* ARABIC </w:instrText>
      </w:r>
      <w:r w:rsidRPr="009B559B">
        <w:rPr>
          <w:rFonts w:ascii="Arial" w:hAnsi="Arial" w:cs="Arial"/>
          <w:sz w:val="24"/>
        </w:rPr>
        <w:fldChar w:fldCharType="separate"/>
      </w:r>
      <w:r w:rsidR="00195D7C">
        <w:rPr>
          <w:rFonts w:ascii="Arial" w:hAnsi="Arial" w:cs="Arial"/>
          <w:noProof/>
          <w:sz w:val="24"/>
        </w:rPr>
        <w:t>1</w:t>
      </w:r>
      <w:r w:rsidRPr="009B559B">
        <w:rPr>
          <w:rFonts w:ascii="Arial" w:hAnsi="Arial" w:cs="Arial"/>
          <w:sz w:val="24"/>
        </w:rPr>
        <w:fldChar w:fldCharType="end"/>
      </w:r>
      <w:r w:rsidRPr="009B559B">
        <w:rPr>
          <w:rFonts w:ascii="Arial" w:hAnsi="Arial" w:cs="Arial"/>
          <w:sz w:val="24"/>
        </w:rPr>
        <w:t>: PESTEL Summary for Unilever</w:t>
      </w:r>
      <w:bookmarkEnd w:id="8"/>
    </w:p>
    <w:tbl>
      <w:tblPr>
        <w:tblStyle w:val="TableGrid"/>
        <w:tblW w:w="0" w:type="auto"/>
        <w:tblLook w:val="04A0" w:firstRow="1" w:lastRow="0" w:firstColumn="1" w:lastColumn="0" w:noHBand="0" w:noVBand="1"/>
      </w:tblPr>
      <w:tblGrid>
        <w:gridCol w:w="3116"/>
        <w:gridCol w:w="3117"/>
        <w:gridCol w:w="3117"/>
      </w:tblGrid>
      <w:tr w:rsidR="00DE180D" w:rsidRPr="00DE180D" w14:paraId="27A0E5EC" w14:textId="77777777" w:rsidTr="00DE180D">
        <w:tc>
          <w:tcPr>
            <w:tcW w:w="3116" w:type="dxa"/>
          </w:tcPr>
          <w:p w14:paraId="6ACD86D8" w14:textId="77777777" w:rsidR="00DE180D" w:rsidRPr="00DE180D" w:rsidRDefault="00DE180D" w:rsidP="00F80971">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Factor</w:t>
            </w:r>
          </w:p>
        </w:tc>
        <w:tc>
          <w:tcPr>
            <w:tcW w:w="3117" w:type="dxa"/>
          </w:tcPr>
          <w:p w14:paraId="69BAEBC6" w14:textId="77777777" w:rsidR="00DE180D" w:rsidRPr="00DE180D" w:rsidRDefault="00DE180D" w:rsidP="00F80971">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Key Implications for Unilever</w:t>
            </w:r>
          </w:p>
        </w:tc>
        <w:tc>
          <w:tcPr>
            <w:tcW w:w="3117" w:type="dxa"/>
          </w:tcPr>
          <w:p w14:paraId="42F40CEE" w14:textId="77777777" w:rsidR="00DE180D" w:rsidRPr="00DE180D" w:rsidRDefault="00DE180D" w:rsidP="00F80971">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Strategic Considerations</w:t>
            </w:r>
          </w:p>
        </w:tc>
      </w:tr>
      <w:tr w:rsidR="00DE180D" w:rsidRPr="00DE180D" w14:paraId="0E29813D" w14:textId="77777777" w:rsidTr="00DE180D">
        <w:tc>
          <w:tcPr>
            <w:tcW w:w="3116" w:type="dxa"/>
          </w:tcPr>
          <w:p w14:paraId="62A151F1"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Political</w:t>
            </w:r>
          </w:p>
        </w:tc>
        <w:tc>
          <w:tcPr>
            <w:tcW w:w="3117" w:type="dxa"/>
          </w:tcPr>
          <w:p w14:paraId="61D18821"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 xml:space="preserve">Trade regulations, tariffs, </w:t>
            </w:r>
            <w:proofErr w:type="spellStart"/>
            <w:r w:rsidRPr="00DE180D">
              <w:rPr>
                <w:rFonts w:ascii="Arial" w:eastAsia="Times New Roman" w:hAnsi="Arial" w:cs="Arial"/>
                <w:sz w:val="24"/>
                <w:szCs w:val="24"/>
                <w:lang w:eastAsia="en-GB"/>
              </w:rPr>
              <w:t>Brexit</w:t>
            </w:r>
            <w:proofErr w:type="spellEnd"/>
            <w:r w:rsidRPr="00DE180D">
              <w:rPr>
                <w:rFonts w:ascii="Arial" w:eastAsia="Times New Roman" w:hAnsi="Arial" w:cs="Arial"/>
                <w:sz w:val="24"/>
                <w:szCs w:val="24"/>
                <w:lang w:eastAsia="en-GB"/>
              </w:rPr>
              <w:t xml:space="preserve"> impact</w:t>
            </w:r>
          </w:p>
        </w:tc>
        <w:tc>
          <w:tcPr>
            <w:tcW w:w="3117" w:type="dxa"/>
          </w:tcPr>
          <w:p w14:paraId="3E604450"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Strengthen lobbying, diversify markets</w:t>
            </w:r>
          </w:p>
        </w:tc>
      </w:tr>
      <w:tr w:rsidR="00DE180D" w:rsidRPr="00DE180D" w14:paraId="08751FB1" w14:textId="77777777" w:rsidTr="00DE180D">
        <w:tc>
          <w:tcPr>
            <w:tcW w:w="3116" w:type="dxa"/>
          </w:tcPr>
          <w:p w14:paraId="694FC245"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lastRenderedPageBreak/>
              <w:t>Economic</w:t>
            </w:r>
          </w:p>
        </w:tc>
        <w:tc>
          <w:tcPr>
            <w:tcW w:w="3117" w:type="dxa"/>
          </w:tcPr>
          <w:p w14:paraId="33DCCB5A"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Inflation, commodity price volatility</w:t>
            </w:r>
          </w:p>
        </w:tc>
        <w:tc>
          <w:tcPr>
            <w:tcW w:w="3117" w:type="dxa"/>
          </w:tcPr>
          <w:p w14:paraId="3871FFF5"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Hedging, cost management, pricing strategy</w:t>
            </w:r>
          </w:p>
        </w:tc>
      </w:tr>
      <w:tr w:rsidR="00DE180D" w:rsidRPr="00DE180D" w14:paraId="5FDD3BC8" w14:textId="77777777" w:rsidTr="00DE180D">
        <w:tc>
          <w:tcPr>
            <w:tcW w:w="3116" w:type="dxa"/>
          </w:tcPr>
          <w:p w14:paraId="104D79EF"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Sociocultural</w:t>
            </w:r>
          </w:p>
        </w:tc>
        <w:tc>
          <w:tcPr>
            <w:tcW w:w="3117" w:type="dxa"/>
          </w:tcPr>
          <w:p w14:paraId="074B74E2"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Health trends, ethical consumption</w:t>
            </w:r>
          </w:p>
        </w:tc>
        <w:tc>
          <w:tcPr>
            <w:tcW w:w="3117" w:type="dxa"/>
          </w:tcPr>
          <w:p w14:paraId="74CFB846"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Product innovation, CSR alignment</w:t>
            </w:r>
          </w:p>
        </w:tc>
      </w:tr>
      <w:tr w:rsidR="00DE180D" w:rsidRPr="00DE180D" w14:paraId="3E91C822" w14:textId="77777777" w:rsidTr="00DE180D">
        <w:tc>
          <w:tcPr>
            <w:tcW w:w="3116" w:type="dxa"/>
          </w:tcPr>
          <w:p w14:paraId="454B464A"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Technological</w:t>
            </w:r>
          </w:p>
        </w:tc>
        <w:tc>
          <w:tcPr>
            <w:tcW w:w="3117" w:type="dxa"/>
          </w:tcPr>
          <w:p w14:paraId="73D46E87"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AI, digital supply chain, e-commerce</w:t>
            </w:r>
          </w:p>
        </w:tc>
        <w:tc>
          <w:tcPr>
            <w:tcW w:w="3117" w:type="dxa"/>
          </w:tcPr>
          <w:p w14:paraId="37A13598"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Invest in digital platforms, R&amp;D</w:t>
            </w:r>
          </w:p>
        </w:tc>
      </w:tr>
      <w:tr w:rsidR="00DE180D" w:rsidRPr="00DE180D" w14:paraId="2361B025" w14:textId="77777777" w:rsidTr="00DE180D">
        <w:tc>
          <w:tcPr>
            <w:tcW w:w="3116" w:type="dxa"/>
          </w:tcPr>
          <w:p w14:paraId="79B797DD"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Environmental</w:t>
            </w:r>
          </w:p>
        </w:tc>
        <w:tc>
          <w:tcPr>
            <w:tcW w:w="3117" w:type="dxa"/>
          </w:tcPr>
          <w:p w14:paraId="1349FF7C"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Climate change, carbon regulations</w:t>
            </w:r>
          </w:p>
        </w:tc>
        <w:tc>
          <w:tcPr>
            <w:tcW w:w="3117" w:type="dxa"/>
          </w:tcPr>
          <w:p w14:paraId="18DAF7D0"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Sustainable sourcing, eco-packaging</w:t>
            </w:r>
          </w:p>
        </w:tc>
      </w:tr>
      <w:tr w:rsidR="00DE180D" w:rsidRPr="00DE180D" w14:paraId="219544B8" w14:textId="77777777" w:rsidTr="00DE180D">
        <w:tc>
          <w:tcPr>
            <w:tcW w:w="3116" w:type="dxa"/>
          </w:tcPr>
          <w:p w14:paraId="75AF3D27"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Legal</w:t>
            </w:r>
          </w:p>
        </w:tc>
        <w:tc>
          <w:tcPr>
            <w:tcW w:w="3117" w:type="dxa"/>
          </w:tcPr>
          <w:p w14:paraId="5EC9E678"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Labour, consumer protection, IP rights</w:t>
            </w:r>
          </w:p>
        </w:tc>
        <w:tc>
          <w:tcPr>
            <w:tcW w:w="3117" w:type="dxa"/>
          </w:tcPr>
          <w:p w14:paraId="029B799E" w14:textId="77777777" w:rsidR="00DE180D" w:rsidRPr="00DE180D" w:rsidRDefault="00DE180D" w:rsidP="00F80971">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Compliance monitoring, legal audits</w:t>
            </w:r>
          </w:p>
        </w:tc>
      </w:tr>
    </w:tbl>
    <w:p w14:paraId="1C04C19C" w14:textId="77777777" w:rsidR="000A296D" w:rsidRDefault="000A296D" w:rsidP="000A296D">
      <w:pPr>
        <w:pStyle w:val="Heading2"/>
        <w:rPr>
          <w:rFonts w:eastAsia="Times New Roman"/>
          <w:lang w:eastAsia="en-GB"/>
        </w:rPr>
      </w:pPr>
    </w:p>
    <w:p w14:paraId="3A7CC1DB" w14:textId="05334C5A" w:rsidR="004339E0" w:rsidRPr="004339E0" w:rsidRDefault="004339E0" w:rsidP="000A296D">
      <w:pPr>
        <w:pStyle w:val="Heading3"/>
        <w:rPr>
          <w:rFonts w:eastAsia="Times New Roman"/>
          <w:lang w:eastAsia="en-GB"/>
        </w:rPr>
      </w:pPr>
      <w:bookmarkStart w:id="9" w:name="_Toc227831966"/>
      <w:r w:rsidRPr="004339E0">
        <w:rPr>
          <w:rFonts w:eastAsia="Times New Roman"/>
          <w:lang w:eastAsia="en-GB"/>
        </w:rPr>
        <w:t>2.1.2 Critical Success Factors (CSFs)</w:t>
      </w:r>
      <w:bookmarkEnd w:id="9"/>
    </w:p>
    <w:p w14:paraId="5D0CC6A9" w14:textId="1E22EEEB" w:rsidR="003E633A" w:rsidRPr="003E633A" w:rsidRDefault="003E633A" w:rsidP="003E633A">
      <w:pPr>
        <w:spacing w:before="100" w:beforeAutospacing="1" w:after="100" w:afterAutospacing="1" w:line="360" w:lineRule="auto"/>
        <w:jc w:val="both"/>
        <w:rPr>
          <w:rFonts w:ascii="Arial" w:eastAsia="Times New Roman" w:hAnsi="Arial" w:cs="Arial"/>
          <w:sz w:val="24"/>
          <w:szCs w:val="24"/>
          <w:lang w:eastAsia="en-GB"/>
        </w:rPr>
      </w:pPr>
      <w:r w:rsidRPr="003E633A">
        <w:rPr>
          <w:rFonts w:ascii="Arial" w:eastAsia="Times New Roman" w:hAnsi="Arial" w:cs="Arial"/>
          <w:sz w:val="24"/>
          <w:szCs w:val="24"/>
          <w:lang w:eastAsia="en-GB"/>
        </w:rPr>
        <w:t>Critical Success Factors (CSFs) are the key factors that help an organisation to attain its strate</w:t>
      </w:r>
      <w:r w:rsidR="00393360">
        <w:rPr>
          <w:rFonts w:ascii="Arial" w:eastAsia="Times New Roman" w:hAnsi="Arial" w:cs="Arial"/>
          <w:sz w:val="24"/>
          <w:szCs w:val="24"/>
          <w:lang w:eastAsia="en-GB"/>
        </w:rPr>
        <w:t xml:space="preserve">gic goals and competitiveness. </w:t>
      </w:r>
    </w:p>
    <w:p w14:paraId="59E8DDB1" w14:textId="13C1C4FB" w:rsidR="003E633A" w:rsidRPr="000A296D" w:rsidRDefault="003E633A" w:rsidP="000A296D">
      <w:pPr>
        <w:pStyle w:val="ListParagraph"/>
        <w:numPr>
          <w:ilvl w:val="0"/>
          <w:numId w:val="17"/>
        </w:numPr>
        <w:spacing w:before="100" w:beforeAutospacing="1" w:after="100" w:afterAutospacing="1" w:line="360" w:lineRule="auto"/>
        <w:jc w:val="both"/>
        <w:rPr>
          <w:rFonts w:ascii="Arial" w:eastAsia="Times New Roman" w:hAnsi="Arial" w:cs="Arial"/>
          <w:sz w:val="24"/>
          <w:szCs w:val="24"/>
          <w:lang w:eastAsia="en-GB"/>
        </w:rPr>
      </w:pPr>
      <w:r w:rsidRPr="000A296D">
        <w:rPr>
          <w:rFonts w:ascii="Arial" w:eastAsia="Times New Roman" w:hAnsi="Arial" w:cs="Arial"/>
          <w:b/>
          <w:sz w:val="24"/>
          <w:szCs w:val="24"/>
          <w:lang w:eastAsia="en-GB"/>
        </w:rPr>
        <w:t>Brand Equity and Reputation:</w:t>
      </w:r>
      <w:r w:rsidRPr="000A296D">
        <w:rPr>
          <w:rFonts w:ascii="Arial" w:eastAsia="Times New Roman" w:hAnsi="Arial" w:cs="Arial"/>
          <w:sz w:val="24"/>
          <w:szCs w:val="24"/>
          <w:lang w:eastAsia="en-GB"/>
        </w:rPr>
        <w:t xml:space="preserve"> The key basis of competitive advantage lies in Unilever having a collection of well known, strong brands across the world, such as Dove, Lipton, Knorr, and Rexona. Strong brand equity generates consumer confidence, brand allegiance, and lessens price elasticity, which enables high prices and market s</w:t>
      </w:r>
      <w:r w:rsidR="000A296D" w:rsidRPr="000A296D">
        <w:rPr>
          <w:rFonts w:ascii="Arial" w:eastAsia="Times New Roman" w:hAnsi="Arial" w:cs="Arial"/>
          <w:sz w:val="24"/>
          <w:szCs w:val="24"/>
          <w:lang w:eastAsia="en-GB"/>
        </w:rPr>
        <w:t>hare maintenance (Ahmed, 2023).</w:t>
      </w:r>
    </w:p>
    <w:p w14:paraId="389884FD" w14:textId="56B22B8D" w:rsidR="003E633A" w:rsidRPr="000A296D" w:rsidRDefault="003E633A" w:rsidP="000A296D">
      <w:pPr>
        <w:pStyle w:val="ListParagraph"/>
        <w:numPr>
          <w:ilvl w:val="0"/>
          <w:numId w:val="17"/>
        </w:numPr>
        <w:spacing w:before="100" w:beforeAutospacing="1" w:after="100" w:afterAutospacing="1" w:line="360" w:lineRule="auto"/>
        <w:jc w:val="both"/>
        <w:rPr>
          <w:rFonts w:ascii="Arial" w:eastAsia="Times New Roman" w:hAnsi="Arial" w:cs="Arial"/>
          <w:sz w:val="24"/>
          <w:szCs w:val="24"/>
          <w:lang w:eastAsia="en-GB"/>
        </w:rPr>
      </w:pPr>
      <w:r w:rsidRPr="000A296D">
        <w:rPr>
          <w:rFonts w:ascii="Arial" w:eastAsia="Times New Roman" w:hAnsi="Arial" w:cs="Arial"/>
          <w:b/>
          <w:sz w:val="24"/>
          <w:szCs w:val="24"/>
          <w:lang w:eastAsia="en-GB"/>
        </w:rPr>
        <w:t>Innovation and Product Development:</w:t>
      </w:r>
      <w:r w:rsidRPr="000A296D">
        <w:rPr>
          <w:rFonts w:ascii="Arial" w:eastAsia="Times New Roman" w:hAnsi="Arial" w:cs="Arial"/>
          <w:sz w:val="24"/>
          <w:szCs w:val="24"/>
          <w:lang w:eastAsia="en-GB"/>
        </w:rPr>
        <w:t xml:space="preserve"> Unilever has been successful in continuous investment in research and development. The company also uses innovation to create products that satisfy the changing consumer demands including plant-based foods, natural ingredients in their personal care products, and greener packaging solutions. The pipeline of innovation will be responsive to new trends and regulat</w:t>
      </w:r>
      <w:r w:rsidR="000A296D" w:rsidRPr="000A296D">
        <w:rPr>
          <w:rFonts w:ascii="Arial" w:eastAsia="Times New Roman" w:hAnsi="Arial" w:cs="Arial"/>
          <w:sz w:val="24"/>
          <w:szCs w:val="24"/>
          <w:lang w:eastAsia="en-GB"/>
        </w:rPr>
        <w:t>ory demands (Lee, 2022).</w:t>
      </w:r>
    </w:p>
    <w:p w14:paraId="0B38CCFE" w14:textId="48687314" w:rsidR="003E633A" w:rsidRPr="000A296D" w:rsidRDefault="003E633A" w:rsidP="000A296D">
      <w:pPr>
        <w:pStyle w:val="ListParagraph"/>
        <w:numPr>
          <w:ilvl w:val="0"/>
          <w:numId w:val="17"/>
        </w:numPr>
        <w:spacing w:before="100" w:beforeAutospacing="1" w:after="100" w:afterAutospacing="1" w:line="360" w:lineRule="auto"/>
        <w:jc w:val="both"/>
        <w:rPr>
          <w:rFonts w:ascii="Arial" w:eastAsia="Times New Roman" w:hAnsi="Arial" w:cs="Arial"/>
          <w:sz w:val="24"/>
          <w:szCs w:val="24"/>
          <w:lang w:eastAsia="en-GB"/>
        </w:rPr>
      </w:pPr>
      <w:r w:rsidRPr="000A296D">
        <w:rPr>
          <w:rFonts w:ascii="Arial" w:eastAsia="Times New Roman" w:hAnsi="Arial" w:cs="Arial"/>
          <w:b/>
          <w:sz w:val="24"/>
          <w:szCs w:val="24"/>
          <w:lang w:eastAsia="en-GB"/>
        </w:rPr>
        <w:t>Sustainability and Corporate Social Responsibility (CSR):</w:t>
      </w:r>
      <w:r w:rsidRPr="000A296D">
        <w:rPr>
          <w:rFonts w:ascii="Arial" w:eastAsia="Times New Roman" w:hAnsi="Arial" w:cs="Arial"/>
          <w:sz w:val="24"/>
          <w:szCs w:val="24"/>
          <w:lang w:eastAsia="en-GB"/>
        </w:rPr>
        <w:t xml:space="preserve"> Sustainability programs, including the Unilever Sustainable Living Plan, would add to business resiliency in the long-term. </w:t>
      </w:r>
      <w:r w:rsidR="000A296D" w:rsidRPr="000A296D">
        <w:rPr>
          <w:rFonts w:ascii="Arial" w:eastAsia="Times New Roman" w:hAnsi="Arial" w:cs="Arial"/>
          <w:sz w:val="24"/>
          <w:szCs w:val="24"/>
          <w:lang w:eastAsia="en-GB"/>
        </w:rPr>
        <w:t>(Patel and Lee, 2025).</w:t>
      </w:r>
    </w:p>
    <w:p w14:paraId="7A7DFADD" w14:textId="3E2FD4A8" w:rsidR="003E633A" w:rsidRPr="000A296D" w:rsidRDefault="003E633A" w:rsidP="000A296D">
      <w:pPr>
        <w:pStyle w:val="ListParagraph"/>
        <w:numPr>
          <w:ilvl w:val="0"/>
          <w:numId w:val="17"/>
        </w:numPr>
        <w:spacing w:before="100" w:beforeAutospacing="1" w:after="100" w:afterAutospacing="1" w:line="360" w:lineRule="auto"/>
        <w:jc w:val="both"/>
        <w:rPr>
          <w:rFonts w:ascii="Arial" w:eastAsia="Times New Roman" w:hAnsi="Arial" w:cs="Arial"/>
          <w:sz w:val="24"/>
          <w:szCs w:val="24"/>
          <w:lang w:eastAsia="en-GB"/>
        </w:rPr>
      </w:pPr>
      <w:r w:rsidRPr="000A296D">
        <w:rPr>
          <w:rFonts w:ascii="Arial" w:eastAsia="Times New Roman" w:hAnsi="Arial" w:cs="Arial"/>
          <w:b/>
          <w:sz w:val="24"/>
          <w:szCs w:val="24"/>
          <w:lang w:eastAsia="en-GB"/>
        </w:rPr>
        <w:lastRenderedPageBreak/>
        <w:t>Global Supply Chain and Distribution Network:</w:t>
      </w:r>
      <w:r w:rsidRPr="000A296D">
        <w:rPr>
          <w:rFonts w:ascii="Arial" w:eastAsia="Times New Roman" w:hAnsi="Arial" w:cs="Arial"/>
          <w:sz w:val="24"/>
          <w:szCs w:val="24"/>
          <w:lang w:eastAsia="en-GB"/>
        </w:rPr>
        <w:t xml:space="preserve"> The superior supply chains of Unilever deliver product supply in 190+ countries at high efficiency with a cost-controlling measure. The strategic sourcing and logistics allow quick response to the changes in the market demand, maintain the operation continuity, and customer satisf</w:t>
      </w:r>
      <w:r w:rsidR="000A296D" w:rsidRPr="000A296D">
        <w:rPr>
          <w:rFonts w:ascii="Arial" w:eastAsia="Times New Roman" w:hAnsi="Arial" w:cs="Arial"/>
          <w:sz w:val="24"/>
          <w:szCs w:val="24"/>
          <w:lang w:eastAsia="en-GB"/>
        </w:rPr>
        <w:t>action (Brown and Green, 2024).</w:t>
      </w:r>
    </w:p>
    <w:p w14:paraId="06880BE7" w14:textId="12D9283C" w:rsidR="003E633A" w:rsidRPr="000A296D" w:rsidRDefault="003E633A" w:rsidP="000A296D">
      <w:pPr>
        <w:pStyle w:val="ListParagraph"/>
        <w:numPr>
          <w:ilvl w:val="0"/>
          <w:numId w:val="17"/>
        </w:numPr>
        <w:spacing w:before="100" w:beforeAutospacing="1" w:after="100" w:afterAutospacing="1" w:line="360" w:lineRule="auto"/>
        <w:jc w:val="both"/>
        <w:rPr>
          <w:rFonts w:ascii="Arial" w:eastAsia="Times New Roman" w:hAnsi="Arial" w:cs="Arial"/>
          <w:sz w:val="24"/>
          <w:szCs w:val="24"/>
          <w:lang w:eastAsia="en-GB"/>
        </w:rPr>
      </w:pPr>
      <w:r w:rsidRPr="000A296D">
        <w:rPr>
          <w:rFonts w:ascii="Arial" w:eastAsia="Times New Roman" w:hAnsi="Arial" w:cs="Arial"/>
          <w:b/>
          <w:sz w:val="24"/>
          <w:szCs w:val="24"/>
          <w:lang w:eastAsia="en-GB"/>
        </w:rPr>
        <w:t>Marketing and Consumer Insights:</w:t>
      </w:r>
      <w:r w:rsidRPr="000A296D">
        <w:rPr>
          <w:rFonts w:ascii="Arial" w:eastAsia="Times New Roman" w:hAnsi="Arial" w:cs="Arial"/>
          <w:sz w:val="24"/>
          <w:szCs w:val="24"/>
          <w:lang w:eastAsia="en-GB"/>
        </w:rPr>
        <w:t xml:space="preserve"> Evidence-based marketing and consumer intuition will enable Unilever to segment the market and maximise the brand image. The use of digital platforms and AI analytics can facilitate interaction, retention, and compet</w:t>
      </w:r>
      <w:r w:rsidR="000A296D" w:rsidRPr="000A296D">
        <w:rPr>
          <w:rFonts w:ascii="Arial" w:eastAsia="Times New Roman" w:hAnsi="Arial" w:cs="Arial"/>
          <w:sz w:val="24"/>
          <w:szCs w:val="24"/>
          <w:lang w:eastAsia="en-GB"/>
        </w:rPr>
        <w:t>itive advantage (Nguyen, 2023).</w:t>
      </w:r>
    </w:p>
    <w:p w14:paraId="4DBE10AB" w14:textId="08369B1F" w:rsidR="004339E0" w:rsidRPr="004339E0" w:rsidRDefault="003E633A" w:rsidP="003E633A">
      <w:pPr>
        <w:spacing w:before="100" w:beforeAutospacing="1" w:after="100" w:afterAutospacing="1" w:line="360" w:lineRule="auto"/>
        <w:jc w:val="both"/>
        <w:rPr>
          <w:rFonts w:ascii="Arial" w:eastAsia="Times New Roman" w:hAnsi="Arial" w:cs="Arial"/>
          <w:sz w:val="24"/>
          <w:szCs w:val="24"/>
          <w:lang w:eastAsia="en-GB"/>
        </w:rPr>
      </w:pPr>
      <w:r w:rsidRPr="003E633A">
        <w:rPr>
          <w:rFonts w:ascii="Arial" w:eastAsia="Times New Roman" w:hAnsi="Arial" w:cs="Arial"/>
          <w:sz w:val="24"/>
          <w:szCs w:val="24"/>
          <w:lang w:eastAsia="en-GB"/>
        </w:rPr>
        <w:t xml:space="preserve">Combined, these CSFs help Unilever to continue growing, increasing its market penetration as well as having the competitive advantage in the </w:t>
      </w:r>
      <w:r>
        <w:rPr>
          <w:rFonts w:ascii="Arial" w:eastAsia="Times New Roman" w:hAnsi="Arial" w:cs="Arial"/>
          <w:sz w:val="24"/>
          <w:szCs w:val="24"/>
          <w:lang w:eastAsia="en-GB"/>
        </w:rPr>
        <w:t>extremely dynamic FMCG industry</w:t>
      </w:r>
      <w:r w:rsidR="004339E0" w:rsidRPr="004339E0">
        <w:rPr>
          <w:rFonts w:ascii="Arial" w:eastAsia="Times New Roman" w:hAnsi="Arial" w:cs="Arial"/>
          <w:sz w:val="24"/>
          <w:szCs w:val="24"/>
          <w:lang w:eastAsia="en-GB"/>
        </w:rPr>
        <w:t>.</w:t>
      </w:r>
    </w:p>
    <w:p w14:paraId="0F9260AB" w14:textId="77777777" w:rsidR="004339E0" w:rsidRPr="004C127E" w:rsidRDefault="004339E0" w:rsidP="009E49F0">
      <w:pPr>
        <w:pStyle w:val="Heading3"/>
        <w:rPr>
          <w:rFonts w:eastAsia="Times New Roman"/>
          <w:lang w:eastAsia="en-GB"/>
        </w:rPr>
      </w:pPr>
      <w:bookmarkStart w:id="10" w:name="_Toc227831967"/>
      <w:r w:rsidRPr="004C127E">
        <w:rPr>
          <w:rFonts w:eastAsia="Times New Roman"/>
          <w:lang w:eastAsia="en-GB"/>
        </w:rPr>
        <w:t>2.1.3 Strategic Challenges</w:t>
      </w:r>
      <w:bookmarkEnd w:id="10"/>
    </w:p>
    <w:p w14:paraId="342072B6" w14:textId="77777777" w:rsidR="005051EF" w:rsidRPr="005051EF" w:rsidRDefault="005051EF" w:rsidP="005051EF">
      <w:pPr>
        <w:spacing w:before="100" w:beforeAutospacing="1" w:after="100" w:afterAutospacing="1" w:line="360" w:lineRule="auto"/>
        <w:jc w:val="both"/>
        <w:rPr>
          <w:rFonts w:ascii="Arial" w:eastAsia="Times New Roman" w:hAnsi="Arial" w:cs="Arial"/>
          <w:sz w:val="24"/>
          <w:szCs w:val="24"/>
          <w:lang w:eastAsia="en-GB"/>
        </w:rPr>
      </w:pPr>
      <w:r w:rsidRPr="005051EF">
        <w:rPr>
          <w:rFonts w:ascii="Arial" w:eastAsia="Times New Roman" w:hAnsi="Arial" w:cs="Arial"/>
          <w:sz w:val="24"/>
          <w:szCs w:val="24"/>
          <w:lang w:eastAsia="en-GB"/>
        </w:rPr>
        <w:t>Unilever is suffering a row of strategic issues that might affect its developmental path and market positioning in the world of FMCG.</w:t>
      </w:r>
    </w:p>
    <w:p w14:paraId="5BDD8C81" w14:textId="13CCECC0" w:rsidR="005051EF" w:rsidRPr="009E49F0" w:rsidRDefault="005051EF" w:rsidP="009E49F0">
      <w:pPr>
        <w:pStyle w:val="ListParagraph"/>
        <w:numPr>
          <w:ilvl w:val="0"/>
          <w:numId w:val="18"/>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High Competition</w:t>
      </w:r>
      <w:r w:rsidRPr="009E49F0">
        <w:rPr>
          <w:rFonts w:ascii="Arial" w:eastAsia="Times New Roman" w:hAnsi="Arial" w:cs="Arial"/>
          <w:sz w:val="24"/>
          <w:szCs w:val="24"/>
          <w:lang w:eastAsia="en-GB"/>
        </w:rPr>
        <w:t>: The company has to deal with highly competitive markets with multinational corporations like Procter and Gamble, Nestle and L’Oréal companies, and local and regional firms. (Smith and Patel, 2021).</w:t>
      </w:r>
    </w:p>
    <w:p w14:paraId="5D640947" w14:textId="77777777" w:rsidR="005051EF" w:rsidRPr="009E49F0" w:rsidRDefault="005051EF" w:rsidP="009E49F0">
      <w:pPr>
        <w:pStyle w:val="ListParagraph"/>
        <w:numPr>
          <w:ilvl w:val="0"/>
          <w:numId w:val="18"/>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Increasing Cost of raw materials:</w:t>
      </w:r>
      <w:r w:rsidRPr="009E49F0">
        <w:rPr>
          <w:rFonts w:ascii="Arial" w:eastAsia="Times New Roman" w:hAnsi="Arial" w:cs="Arial"/>
          <w:sz w:val="24"/>
          <w:szCs w:val="24"/>
          <w:lang w:eastAsia="en-GB"/>
        </w:rPr>
        <w:t xml:space="preserve"> Unilever is dependent on commodities such as palm oil, dairy, tea and packaging materials. Climate change, geopolitical tensions, and global supply chain disruptions cause price volatility that has a direct impact on the production costs and profit margins (Brown, 2023).</w:t>
      </w:r>
    </w:p>
    <w:p w14:paraId="61C4CF85" w14:textId="77777777" w:rsidR="005051EF" w:rsidRPr="009E49F0" w:rsidRDefault="005051EF" w:rsidP="009E49F0">
      <w:pPr>
        <w:pStyle w:val="ListParagraph"/>
        <w:numPr>
          <w:ilvl w:val="0"/>
          <w:numId w:val="18"/>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Complexity in Regulatory Environment:</w:t>
      </w:r>
      <w:r w:rsidRPr="009E49F0">
        <w:rPr>
          <w:rFonts w:ascii="Arial" w:eastAsia="Times New Roman" w:hAnsi="Arial" w:cs="Arial"/>
          <w:sz w:val="24"/>
          <w:szCs w:val="24"/>
          <w:lang w:eastAsia="en-GB"/>
        </w:rPr>
        <w:t xml:space="preserve"> Unilever works in various countries and as a result, it is exposed to various regulatory environments such as food safety, environmental regulations as well as labour regulations. Failure to comply may attract fines, legal measures, and negative PR (Jones and Ahmed, 2024).</w:t>
      </w:r>
    </w:p>
    <w:p w14:paraId="55301D43" w14:textId="3BC4483E" w:rsidR="005051EF" w:rsidRPr="009E49F0" w:rsidRDefault="009E49F0" w:rsidP="009E49F0">
      <w:pPr>
        <w:pStyle w:val="ListParagraph"/>
        <w:numPr>
          <w:ilvl w:val="0"/>
          <w:numId w:val="18"/>
        </w:numPr>
        <w:spacing w:before="100" w:beforeAutospacing="1" w:after="100" w:afterAutospacing="1" w:line="360" w:lineRule="auto"/>
        <w:jc w:val="both"/>
        <w:rPr>
          <w:rFonts w:ascii="Arial" w:eastAsia="Times New Roman" w:hAnsi="Arial" w:cs="Arial"/>
          <w:b/>
          <w:sz w:val="24"/>
          <w:szCs w:val="24"/>
          <w:lang w:eastAsia="en-GB"/>
        </w:rPr>
      </w:pPr>
      <w:r w:rsidRPr="009E49F0">
        <w:rPr>
          <w:rFonts w:ascii="Arial" w:eastAsia="Times New Roman" w:hAnsi="Arial" w:cs="Arial"/>
          <w:b/>
          <w:sz w:val="24"/>
          <w:szCs w:val="24"/>
          <w:lang w:eastAsia="en-GB"/>
        </w:rPr>
        <w:t xml:space="preserve">Shifting Consumer Tastes: </w:t>
      </w:r>
      <w:r w:rsidRPr="009E49F0">
        <w:rPr>
          <w:rFonts w:ascii="Arial" w:eastAsia="Times New Roman" w:hAnsi="Arial" w:cs="Arial"/>
          <w:sz w:val="24"/>
          <w:szCs w:val="24"/>
          <w:lang w:eastAsia="en-GB"/>
        </w:rPr>
        <w:t>D</w:t>
      </w:r>
      <w:r w:rsidR="005051EF" w:rsidRPr="009E49F0">
        <w:rPr>
          <w:rFonts w:ascii="Arial" w:eastAsia="Times New Roman" w:hAnsi="Arial" w:cs="Arial"/>
          <w:sz w:val="24"/>
          <w:szCs w:val="24"/>
          <w:lang w:eastAsia="en-GB"/>
        </w:rPr>
        <w:t xml:space="preserve">ue to the growing demand among consumers, sustainable, ethical and health-conscious items are requested. The inability to </w:t>
      </w:r>
      <w:r w:rsidR="005051EF" w:rsidRPr="009E49F0">
        <w:rPr>
          <w:rFonts w:ascii="Arial" w:eastAsia="Times New Roman" w:hAnsi="Arial" w:cs="Arial"/>
          <w:sz w:val="24"/>
          <w:szCs w:val="24"/>
          <w:lang w:eastAsia="en-GB"/>
        </w:rPr>
        <w:lastRenderedPageBreak/>
        <w:t>react in time to these changes can lead to the loss of a market share and the diminishing of the brand loyalty (Clark and Zhao, 2022).</w:t>
      </w:r>
    </w:p>
    <w:p w14:paraId="6597166C" w14:textId="3E102F22" w:rsidR="005051EF" w:rsidRPr="009E49F0" w:rsidRDefault="005051EF" w:rsidP="009E49F0">
      <w:pPr>
        <w:pStyle w:val="ListParagraph"/>
        <w:numPr>
          <w:ilvl w:val="0"/>
          <w:numId w:val="18"/>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Pressures of Digital Transformation:</w:t>
      </w:r>
      <w:r w:rsidRPr="009E49F0">
        <w:rPr>
          <w:rFonts w:ascii="Arial" w:eastAsia="Times New Roman" w:hAnsi="Arial" w:cs="Arial"/>
          <w:sz w:val="24"/>
          <w:szCs w:val="24"/>
          <w:lang w:eastAsia="en-GB"/>
        </w:rPr>
        <w:t xml:space="preserve"> The fast implementation of e-commerce and online marketing needs a lot of technological investment. The issue is to combine digital solutions and remain efficient in the traditional</w:t>
      </w:r>
      <w:r w:rsidR="009E49F0" w:rsidRPr="009E49F0">
        <w:rPr>
          <w:rFonts w:ascii="Arial" w:eastAsia="Times New Roman" w:hAnsi="Arial" w:cs="Arial"/>
          <w:sz w:val="24"/>
          <w:szCs w:val="24"/>
          <w:lang w:eastAsia="en-GB"/>
        </w:rPr>
        <w:t xml:space="preserve"> retail channels (Singh, 2023).</w:t>
      </w:r>
    </w:p>
    <w:p w14:paraId="704410E3" w14:textId="77777777" w:rsidR="005051EF" w:rsidRPr="009E49F0" w:rsidRDefault="005051EF" w:rsidP="009E49F0">
      <w:pPr>
        <w:pStyle w:val="ListParagraph"/>
        <w:numPr>
          <w:ilvl w:val="0"/>
          <w:numId w:val="18"/>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Supply Chain Vulnerabilities:</w:t>
      </w:r>
      <w:r w:rsidRPr="009E49F0">
        <w:rPr>
          <w:rFonts w:ascii="Arial" w:eastAsia="Times New Roman" w:hAnsi="Arial" w:cs="Arial"/>
          <w:sz w:val="24"/>
          <w:szCs w:val="24"/>
          <w:lang w:eastAsia="en-GB"/>
        </w:rPr>
        <w:t xml:space="preserve"> Global disruptions, such as pandemics and political instability, create vulnerabilities in sourcing and logistics networks, and demonstrate the necessity of resilient and flexible operations (Rahman, 2022).</w:t>
      </w:r>
    </w:p>
    <w:p w14:paraId="2F919012" w14:textId="03D709C2" w:rsidR="004339E0" w:rsidRDefault="005051EF" w:rsidP="005051EF">
      <w:pPr>
        <w:spacing w:before="100" w:beforeAutospacing="1" w:after="100" w:afterAutospacing="1" w:line="360" w:lineRule="auto"/>
        <w:jc w:val="both"/>
        <w:rPr>
          <w:rFonts w:ascii="Arial" w:eastAsia="Times New Roman" w:hAnsi="Arial" w:cs="Arial"/>
          <w:sz w:val="24"/>
          <w:szCs w:val="24"/>
          <w:lang w:eastAsia="en-GB"/>
        </w:rPr>
      </w:pPr>
      <w:r w:rsidRPr="005051EF">
        <w:rPr>
          <w:rFonts w:ascii="Arial" w:eastAsia="Times New Roman" w:hAnsi="Arial" w:cs="Arial"/>
          <w:sz w:val="24"/>
          <w:szCs w:val="24"/>
          <w:lang w:eastAsia="en-GB"/>
        </w:rPr>
        <w:t>The solution to these challenges is essential in ensuring Unilever is going to achieve sustainable growth, capture the market leadership, and strengthen its competitive edge in the e</w:t>
      </w:r>
      <w:r>
        <w:rPr>
          <w:rFonts w:ascii="Arial" w:eastAsia="Times New Roman" w:hAnsi="Arial" w:cs="Arial"/>
          <w:sz w:val="24"/>
          <w:szCs w:val="24"/>
          <w:lang w:eastAsia="en-GB"/>
        </w:rPr>
        <w:t>ver-changing global FMCG market</w:t>
      </w:r>
      <w:r w:rsidR="00DE180D">
        <w:rPr>
          <w:rFonts w:ascii="Arial" w:eastAsia="Times New Roman" w:hAnsi="Arial" w:cs="Arial"/>
          <w:sz w:val="24"/>
          <w:szCs w:val="24"/>
          <w:lang w:eastAsia="en-GB"/>
        </w:rPr>
        <w:t>.</w:t>
      </w:r>
    </w:p>
    <w:p w14:paraId="031A9AAC" w14:textId="77777777" w:rsidR="00467B44" w:rsidRDefault="00467B44" w:rsidP="00467B44">
      <w:pPr>
        <w:keepNext/>
        <w:spacing w:before="100" w:beforeAutospacing="1" w:after="100" w:afterAutospacing="1" w:line="360" w:lineRule="auto"/>
        <w:jc w:val="center"/>
      </w:pPr>
      <w:r>
        <w:rPr>
          <w:rFonts w:ascii="Arial" w:eastAsia="Times New Roman" w:hAnsi="Arial" w:cs="Arial"/>
          <w:noProof/>
          <w:sz w:val="24"/>
          <w:szCs w:val="24"/>
          <w:lang w:eastAsia="en-GB"/>
        </w:rPr>
        <w:drawing>
          <wp:inline distT="0" distB="0" distL="0" distR="0" wp14:anchorId="66AD6538" wp14:editId="3B050807">
            <wp:extent cx="2409825" cy="1606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329_14230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1135" cy="1607423"/>
                    </a:xfrm>
                    <a:prstGeom prst="rect">
                      <a:avLst/>
                    </a:prstGeom>
                  </pic:spPr>
                </pic:pic>
              </a:graphicData>
            </a:graphic>
          </wp:inline>
        </w:drawing>
      </w:r>
    </w:p>
    <w:p w14:paraId="45BAA865" w14:textId="3EC259C7" w:rsidR="00467B44" w:rsidRPr="00467B44" w:rsidRDefault="00467B44" w:rsidP="00467B44">
      <w:pPr>
        <w:pStyle w:val="Caption"/>
        <w:jc w:val="center"/>
        <w:rPr>
          <w:rFonts w:ascii="Arial" w:eastAsia="Times New Roman" w:hAnsi="Arial" w:cs="Arial"/>
          <w:sz w:val="36"/>
          <w:szCs w:val="24"/>
          <w:lang w:eastAsia="en-GB"/>
        </w:rPr>
      </w:pPr>
      <w:bookmarkStart w:id="11" w:name="_Toc227832009"/>
      <w:r w:rsidRPr="00467B44">
        <w:rPr>
          <w:rFonts w:ascii="Arial" w:hAnsi="Arial" w:cs="Arial"/>
          <w:sz w:val="24"/>
        </w:rPr>
        <w:t xml:space="preserve">Figure </w:t>
      </w:r>
      <w:r w:rsidRPr="00467B44">
        <w:rPr>
          <w:rFonts w:ascii="Arial" w:hAnsi="Arial" w:cs="Arial"/>
          <w:sz w:val="24"/>
        </w:rPr>
        <w:fldChar w:fldCharType="begin"/>
      </w:r>
      <w:r w:rsidRPr="00467B44">
        <w:rPr>
          <w:rFonts w:ascii="Arial" w:hAnsi="Arial" w:cs="Arial"/>
          <w:sz w:val="24"/>
        </w:rPr>
        <w:instrText xml:space="preserve"> SEQ Figure \* ARABIC </w:instrText>
      </w:r>
      <w:r w:rsidRPr="00467B44">
        <w:rPr>
          <w:rFonts w:ascii="Arial" w:hAnsi="Arial" w:cs="Arial"/>
          <w:sz w:val="24"/>
        </w:rPr>
        <w:fldChar w:fldCharType="separate"/>
      </w:r>
      <w:r w:rsidR="00F1593B">
        <w:rPr>
          <w:rFonts w:ascii="Arial" w:hAnsi="Arial" w:cs="Arial"/>
          <w:noProof/>
          <w:sz w:val="24"/>
        </w:rPr>
        <w:t>2</w:t>
      </w:r>
      <w:r w:rsidRPr="00467B44">
        <w:rPr>
          <w:rFonts w:ascii="Arial" w:hAnsi="Arial" w:cs="Arial"/>
          <w:sz w:val="24"/>
        </w:rPr>
        <w:fldChar w:fldCharType="end"/>
      </w:r>
      <w:r w:rsidRPr="00467B44">
        <w:rPr>
          <w:rFonts w:ascii="Arial" w:hAnsi="Arial" w:cs="Arial"/>
          <w:sz w:val="24"/>
        </w:rPr>
        <w:t>: Strategic Challenges vs External Drivers</w:t>
      </w:r>
      <w:bookmarkEnd w:id="11"/>
    </w:p>
    <w:p w14:paraId="2E5818B2" w14:textId="4F00B666" w:rsidR="004339E0" w:rsidRPr="004339E0" w:rsidRDefault="004339E0" w:rsidP="009E49F0">
      <w:pPr>
        <w:pStyle w:val="Heading2"/>
        <w:rPr>
          <w:rFonts w:eastAsia="Times New Roman"/>
          <w:lang w:eastAsia="en-GB"/>
        </w:rPr>
      </w:pPr>
      <w:bookmarkStart w:id="12" w:name="_Toc227831968"/>
      <w:r w:rsidRPr="004339E0">
        <w:rPr>
          <w:rFonts w:eastAsia="Times New Roman"/>
          <w:lang w:eastAsia="en-GB"/>
        </w:rPr>
        <w:t>2.</w:t>
      </w:r>
      <w:r w:rsidR="00DE180D">
        <w:rPr>
          <w:rFonts w:eastAsia="Times New Roman"/>
          <w:lang w:eastAsia="en-GB"/>
        </w:rPr>
        <w:t>2 Internal Environment Analysis</w:t>
      </w:r>
      <w:bookmarkEnd w:id="12"/>
    </w:p>
    <w:p w14:paraId="25ECF410" w14:textId="3E5D0666" w:rsidR="004D718B" w:rsidRPr="004D718B"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Internal analysis deals with the resources, capabilities and core competencies of Unilever in order to evaluate the competitive advantage.</w:t>
      </w:r>
    </w:p>
    <w:p w14:paraId="0E5BDA83" w14:textId="77777777" w:rsidR="004D718B" w:rsidRPr="004D718B" w:rsidRDefault="004D718B" w:rsidP="009E49F0">
      <w:pPr>
        <w:pStyle w:val="Heading3"/>
        <w:rPr>
          <w:rFonts w:eastAsia="Times New Roman"/>
          <w:lang w:eastAsia="en-GB"/>
        </w:rPr>
      </w:pPr>
      <w:bookmarkStart w:id="13" w:name="_Toc227831969"/>
      <w:r w:rsidRPr="004D718B">
        <w:rPr>
          <w:rFonts w:eastAsia="Times New Roman"/>
          <w:lang w:eastAsia="en-GB"/>
        </w:rPr>
        <w:t>2.2.1 Resources</w:t>
      </w:r>
      <w:bookmarkEnd w:id="13"/>
    </w:p>
    <w:p w14:paraId="74DA9F1D" w14:textId="77777777" w:rsidR="004D718B" w:rsidRPr="004D718B"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Resources refer to the assets that Unilever uses in an attempt to generate value and ensure that it stays competitive. They may be categorized as tangible and intangible resources.</w:t>
      </w:r>
    </w:p>
    <w:p w14:paraId="02171F57" w14:textId="77777777" w:rsidR="004D718B" w:rsidRPr="009E49F0" w:rsidRDefault="004D718B" w:rsidP="004D718B">
      <w:pPr>
        <w:spacing w:before="100" w:beforeAutospacing="1" w:after="100" w:afterAutospacing="1" w:line="360" w:lineRule="auto"/>
        <w:jc w:val="both"/>
        <w:rPr>
          <w:rFonts w:ascii="Arial" w:eastAsia="Times New Roman" w:hAnsi="Arial" w:cs="Arial"/>
          <w:b/>
          <w:sz w:val="24"/>
          <w:szCs w:val="24"/>
          <w:lang w:eastAsia="en-GB"/>
        </w:rPr>
      </w:pPr>
      <w:r w:rsidRPr="009E49F0">
        <w:rPr>
          <w:rFonts w:ascii="Arial" w:eastAsia="Times New Roman" w:hAnsi="Arial" w:cs="Arial"/>
          <w:b/>
          <w:sz w:val="24"/>
          <w:szCs w:val="24"/>
          <w:lang w:eastAsia="en-GB"/>
        </w:rPr>
        <w:lastRenderedPageBreak/>
        <w:t>Tangible Resources:</w:t>
      </w:r>
    </w:p>
    <w:p w14:paraId="4C19ED33" w14:textId="51F7C74B" w:rsidR="004D718B" w:rsidRPr="009E49F0" w:rsidRDefault="004D718B" w:rsidP="009E49F0">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 xml:space="preserve">International Production and distribution </w:t>
      </w:r>
      <w:r w:rsidR="009E49F0" w:rsidRPr="009E49F0">
        <w:rPr>
          <w:rFonts w:ascii="Arial" w:eastAsia="Times New Roman" w:hAnsi="Arial" w:cs="Arial"/>
          <w:b/>
          <w:sz w:val="24"/>
          <w:szCs w:val="24"/>
          <w:lang w:eastAsia="en-GB"/>
        </w:rPr>
        <w:t>centres</w:t>
      </w:r>
      <w:r w:rsidRPr="009E49F0">
        <w:rPr>
          <w:rFonts w:ascii="Arial" w:eastAsia="Times New Roman" w:hAnsi="Arial" w:cs="Arial"/>
          <w:b/>
          <w:sz w:val="24"/>
          <w:szCs w:val="24"/>
          <w:lang w:eastAsia="en-GB"/>
        </w:rPr>
        <w:t>:</w:t>
      </w:r>
      <w:r w:rsidRPr="009E49F0">
        <w:rPr>
          <w:rFonts w:ascii="Arial" w:eastAsia="Times New Roman" w:hAnsi="Arial" w:cs="Arial"/>
          <w:sz w:val="24"/>
          <w:szCs w:val="24"/>
          <w:lang w:eastAsia="en-GB"/>
        </w:rPr>
        <w:t xml:space="preserve"> Unilever has more than 400 manufacturing plants and a </w:t>
      </w:r>
      <w:r w:rsidR="009E49F0" w:rsidRPr="009E49F0">
        <w:rPr>
          <w:rFonts w:ascii="Arial" w:eastAsia="Times New Roman" w:hAnsi="Arial" w:cs="Arial"/>
          <w:sz w:val="24"/>
          <w:szCs w:val="24"/>
          <w:lang w:eastAsia="en-GB"/>
        </w:rPr>
        <w:t>well-developed</w:t>
      </w:r>
      <w:r w:rsidRPr="009E49F0">
        <w:rPr>
          <w:rFonts w:ascii="Arial" w:eastAsia="Times New Roman" w:hAnsi="Arial" w:cs="Arial"/>
          <w:sz w:val="24"/>
          <w:szCs w:val="24"/>
          <w:lang w:eastAsia="en-GB"/>
        </w:rPr>
        <w:t xml:space="preserve"> distribution network in more than 190 countries. It enables the scaling of production, cost-efficiency, and speedy availability of the products (Smith, 2023).</w:t>
      </w:r>
    </w:p>
    <w:p w14:paraId="33A8F8EB" w14:textId="5163B653" w:rsidR="004D718B" w:rsidRPr="009E49F0" w:rsidRDefault="004D718B" w:rsidP="009E49F0">
      <w:pPr>
        <w:pStyle w:val="ListParagraph"/>
        <w:numPr>
          <w:ilvl w:val="0"/>
          <w:numId w:val="19"/>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Financial Strength:</w:t>
      </w:r>
      <w:r w:rsidRPr="009E49F0">
        <w:rPr>
          <w:rFonts w:ascii="Arial" w:eastAsia="Times New Roman" w:hAnsi="Arial" w:cs="Arial"/>
          <w:sz w:val="24"/>
          <w:szCs w:val="24"/>
          <w:lang w:eastAsia="en-GB"/>
        </w:rPr>
        <w:t xml:space="preserve"> Unilever has a good financial standing due to a stable income of about 60 billion in the year 2024. This will make possible investment in innovation, marketing, and sustainability projects, strategic flexibility, and resilience (</w:t>
      </w:r>
      <w:r w:rsidR="009E49F0" w:rsidRPr="009E49F0">
        <w:rPr>
          <w:rFonts w:ascii="Arial" w:eastAsia="Times New Roman" w:hAnsi="Arial" w:cs="Arial"/>
          <w:sz w:val="24"/>
          <w:szCs w:val="24"/>
          <w:lang w:eastAsia="en-GB"/>
        </w:rPr>
        <w:t>Brown, 2023).</w:t>
      </w:r>
    </w:p>
    <w:p w14:paraId="74622935" w14:textId="77777777" w:rsidR="004D718B" w:rsidRPr="009E49F0" w:rsidRDefault="004D718B" w:rsidP="004D718B">
      <w:pPr>
        <w:spacing w:before="100" w:beforeAutospacing="1" w:after="100" w:afterAutospacing="1" w:line="360" w:lineRule="auto"/>
        <w:jc w:val="both"/>
        <w:rPr>
          <w:rFonts w:ascii="Arial" w:eastAsia="Times New Roman" w:hAnsi="Arial" w:cs="Arial"/>
          <w:b/>
          <w:sz w:val="24"/>
          <w:szCs w:val="24"/>
          <w:lang w:eastAsia="en-GB"/>
        </w:rPr>
      </w:pPr>
      <w:r w:rsidRPr="009E49F0">
        <w:rPr>
          <w:rFonts w:ascii="Arial" w:eastAsia="Times New Roman" w:hAnsi="Arial" w:cs="Arial"/>
          <w:b/>
          <w:sz w:val="24"/>
          <w:szCs w:val="24"/>
          <w:lang w:eastAsia="en-GB"/>
        </w:rPr>
        <w:t>Intangible Resources:</w:t>
      </w:r>
    </w:p>
    <w:p w14:paraId="74D3CE49" w14:textId="77777777" w:rsidR="004D718B" w:rsidRPr="009E49F0" w:rsidRDefault="004D718B" w:rsidP="009E49F0">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Brand Portfolio and Loyalty:</w:t>
      </w:r>
      <w:r w:rsidRPr="009E49F0">
        <w:rPr>
          <w:rFonts w:ascii="Arial" w:eastAsia="Times New Roman" w:hAnsi="Arial" w:cs="Arial"/>
          <w:sz w:val="24"/>
          <w:szCs w:val="24"/>
          <w:lang w:eastAsia="en-GB"/>
        </w:rPr>
        <w:t xml:space="preserve"> Dove, Lipton, and Knorr are globally known brands possessed by Unilever. These brands have high consumer loyalty and trust and enable them to charge premium and retain market share (Rahman, 2022).</w:t>
      </w:r>
    </w:p>
    <w:p w14:paraId="7C9DC66B" w14:textId="77777777" w:rsidR="004D718B" w:rsidRPr="009E49F0" w:rsidRDefault="004D718B" w:rsidP="009E49F0">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Intellectual Property:</w:t>
      </w:r>
      <w:r w:rsidRPr="009E49F0">
        <w:rPr>
          <w:rFonts w:ascii="Arial" w:eastAsia="Times New Roman" w:hAnsi="Arial" w:cs="Arial"/>
          <w:sz w:val="24"/>
          <w:szCs w:val="24"/>
          <w:lang w:eastAsia="en-GB"/>
        </w:rPr>
        <w:t xml:space="preserve"> Patents, product formulae and proprietary technologies offer a competitive advantage and law over very competitive markets.</w:t>
      </w:r>
    </w:p>
    <w:p w14:paraId="4BD1F979" w14:textId="77777777" w:rsidR="004D718B" w:rsidRPr="009E49F0" w:rsidRDefault="004D718B" w:rsidP="009E49F0">
      <w:pPr>
        <w:pStyle w:val="ListParagraph"/>
        <w:numPr>
          <w:ilvl w:val="0"/>
          <w:numId w:val="20"/>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Corporate Culture:</w:t>
      </w:r>
      <w:r w:rsidRPr="009E49F0">
        <w:rPr>
          <w:rFonts w:ascii="Arial" w:eastAsia="Times New Roman" w:hAnsi="Arial" w:cs="Arial"/>
          <w:sz w:val="24"/>
          <w:szCs w:val="24"/>
          <w:lang w:eastAsia="en-GB"/>
        </w:rPr>
        <w:t xml:space="preserve"> A culture of sustainability, innovation, and social responsibility fosters employee engagement and orients the operations practices to the changing consumer expectations (Clark and Zhao, 2022).</w:t>
      </w:r>
    </w:p>
    <w:p w14:paraId="515C6183" w14:textId="77777777" w:rsidR="004D718B" w:rsidRPr="004D718B"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All these resources are the keystones of the capabilities of Unilever to struggle successfully in the FMCG market, allowing both efficiency of operations and market segmentation.</w:t>
      </w:r>
    </w:p>
    <w:p w14:paraId="6015AE29" w14:textId="77777777" w:rsidR="004D718B" w:rsidRPr="004D718B" w:rsidRDefault="004D718B" w:rsidP="009E49F0">
      <w:pPr>
        <w:pStyle w:val="Heading3"/>
        <w:rPr>
          <w:rFonts w:eastAsia="Times New Roman"/>
          <w:lang w:eastAsia="en-GB"/>
        </w:rPr>
      </w:pPr>
      <w:bookmarkStart w:id="14" w:name="_Toc227831970"/>
      <w:r w:rsidRPr="004D718B">
        <w:rPr>
          <w:rFonts w:eastAsia="Times New Roman"/>
          <w:lang w:eastAsia="en-GB"/>
        </w:rPr>
        <w:t>2.2.2 Capabilities</w:t>
      </w:r>
      <w:bookmarkEnd w:id="14"/>
    </w:p>
    <w:p w14:paraId="3AC7575A" w14:textId="77777777" w:rsidR="004D718B" w:rsidRPr="004D718B"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Capabilities are the capabilities of Unilever to make good use of resources in order to accomplish strategic objectives.</w:t>
      </w:r>
    </w:p>
    <w:p w14:paraId="0C6EE639" w14:textId="77777777" w:rsidR="004D718B" w:rsidRPr="009E49F0" w:rsidRDefault="004D718B" w:rsidP="009E49F0">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Innovation Capability:</w:t>
      </w:r>
      <w:r w:rsidRPr="009E49F0">
        <w:rPr>
          <w:rFonts w:ascii="Arial" w:eastAsia="Times New Roman" w:hAnsi="Arial" w:cs="Arial"/>
          <w:sz w:val="24"/>
          <w:szCs w:val="24"/>
          <w:lang w:eastAsia="en-GB"/>
        </w:rPr>
        <w:t xml:space="preserve"> Unilever is constantly creating innovations that reflect the evolving consumer trends, such as vegetarian meals, natural health care products, and environmentally friendly packaging (Lee, 2022).</w:t>
      </w:r>
    </w:p>
    <w:p w14:paraId="1582D9F9" w14:textId="77777777" w:rsidR="004D718B" w:rsidRPr="009E49F0" w:rsidRDefault="004D718B" w:rsidP="009E49F0">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lastRenderedPageBreak/>
        <w:t>Supply Chain Agility:</w:t>
      </w:r>
      <w:r w:rsidRPr="009E49F0">
        <w:rPr>
          <w:rFonts w:ascii="Arial" w:eastAsia="Times New Roman" w:hAnsi="Arial" w:cs="Arial"/>
          <w:sz w:val="24"/>
          <w:szCs w:val="24"/>
          <w:lang w:eastAsia="en-GB"/>
        </w:rPr>
        <w:t xml:space="preserve"> Hi-tech sourcing policies, logistics optimization and inventory management can enable Unilever to react to market changes promptly and remain cost-effective (Brown and Green, 2024).</w:t>
      </w:r>
    </w:p>
    <w:p w14:paraId="57F0E0F3" w14:textId="77777777" w:rsidR="004D718B" w:rsidRPr="009E49F0" w:rsidRDefault="004D718B" w:rsidP="009E49F0">
      <w:pPr>
        <w:pStyle w:val="ListParagraph"/>
        <w:numPr>
          <w:ilvl w:val="0"/>
          <w:numId w:val="21"/>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Marketing Skills:</w:t>
      </w:r>
      <w:r w:rsidRPr="009E49F0">
        <w:rPr>
          <w:rFonts w:ascii="Arial" w:eastAsia="Times New Roman" w:hAnsi="Arial" w:cs="Arial"/>
          <w:sz w:val="24"/>
          <w:szCs w:val="24"/>
          <w:lang w:eastAsia="en-GB"/>
        </w:rPr>
        <w:t xml:space="preserve"> Regional marketing campaigns embraced by Unilever across the globe provide a strong brand focus and consumer loyalty. Digital marketing and data analytics also help to optimize targeting and make campaigns more efficient (Nguyen, 2023).</w:t>
      </w:r>
    </w:p>
    <w:p w14:paraId="4EF2ACA8" w14:textId="77777777" w:rsidR="004D718B" w:rsidRPr="004D718B"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These competencies allow Unilever to remain ahead of competition, keep up with unstable market environments and seize new opportunities in both the developed and new markets.</w:t>
      </w:r>
    </w:p>
    <w:p w14:paraId="4ED695D4" w14:textId="77777777" w:rsidR="004D718B" w:rsidRPr="004D718B" w:rsidRDefault="004D718B" w:rsidP="009E49F0">
      <w:pPr>
        <w:pStyle w:val="Heading3"/>
        <w:rPr>
          <w:rFonts w:eastAsia="Times New Roman"/>
          <w:lang w:eastAsia="en-GB"/>
        </w:rPr>
      </w:pPr>
      <w:bookmarkStart w:id="15" w:name="_Toc227831971"/>
      <w:r w:rsidRPr="004D718B">
        <w:rPr>
          <w:rFonts w:eastAsia="Times New Roman"/>
          <w:lang w:eastAsia="en-GB"/>
        </w:rPr>
        <w:t>2.2.3 Core Competencies</w:t>
      </w:r>
      <w:bookmarkEnd w:id="15"/>
    </w:p>
    <w:p w14:paraId="193EB5F8" w14:textId="77777777" w:rsidR="004D718B" w:rsidRPr="004D718B"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The core competencies are strategic integration of the resources and capabilities of Unilever, which creates its unique strengths that go beyond them to establish a lasting competitive advantage.</w:t>
      </w:r>
    </w:p>
    <w:p w14:paraId="15D7974E" w14:textId="77777777" w:rsidR="004D718B" w:rsidRPr="009E49F0" w:rsidRDefault="004D718B" w:rsidP="009E49F0">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Brand Management</w:t>
      </w:r>
      <w:r w:rsidRPr="009E49F0">
        <w:rPr>
          <w:rFonts w:ascii="Arial" w:eastAsia="Times New Roman" w:hAnsi="Arial" w:cs="Arial"/>
          <w:sz w:val="24"/>
          <w:szCs w:val="24"/>
          <w:lang w:eastAsia="en-GB"/>
        </w:rPr>
        <w:t>: Well-developed experience in the management and development of global brands is a guarantee of high recognition, trust, and loyalty.</w:t>
      </w:r>
    </w:p>
    <w:p w14:paraId="0AD44542" w14:textId="77777777" w:rsidR="004D718B" w:rsidRPr="009E49F0" w:rsidRDefault="004D718B" w:rsidP="009E49F0">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Sustainability-Driven Innovation:</w:t>
      </w:r>
      <w:r w:rsidRPr="009E49F0">
        <w:rPr>
          <w:rFonts w:ascii="Arial" w:eastAsia="Times New Roman" w:hAnsi="Arial" w:cs="Arial"/>
          <w:sz w:val="24"/>
          <w:szCs w:val="24"/>
          <w:lang w:eastAsia="en-GB"/>
        </w:rPr>
        <w:t xml:space="preserve"> Incorporation of sustainability in the product development and operations makes Unilever stand out among the competitors and it is consistent with the emerging consumer values (Patel and Lee, 2025).</w:t>
      </w:r>
    </w:p>
    <w:p w14:paraId="0C71B81E" w14:textId="77777777" w:rsidR="004D718B" w:rsidRPr="009E49F0" w:rsidRDefault="004D718B" w:rsidP="009E49F0">
      <w:pPr>
        <w:pStyle w:val="ListParagraph"/>
        <w:numPr>
          <w:ilvl w:val="0"/>
          <w:numId w:val="22"/>
        </w:numPr>
        <w:spacing w:before="100" w:beforeAutospacing="1" w:after="100" w:afterAutospacing="1" w:line="360" w:lineRule="auto"/>
        <w:jc w:val="both"/>
        <w:rPr>
          <w:rFonts w:ascii="Arial" w:eastAsia="Times New Roman" w:hAnsi="Arial" w:cs="Arial"/>
          <w:sz w:val="24"/>
          <w:szCs w:val="24"/>
          <w:lang w:eastAsia="en-GB"/>
        </w:rPr>
      </w:pPr>
      <w:r w:rsidRPr="009E49F0">
        <w:rPr>
          <w:rFonts w:ascii="Arial" w:eastAsia="Times New Roman" w:hAnsi="Arial" w:cs="Arial"/>
          <w:b/>
          <w:sz w:val="24"/>
          <w:szCs w:val="24"/>
          <w:lang w:eastAsia="en-GB"/>
        </w:rPr>
        <w:t>Flexibility in Global Markets:</w:t>
      </w:r>
      <w:r w:rsidRPr="009E49F0">
        <w:rPr>
          <w:rFonts w:ascii="Arial" w:eastAsia="Times New Roman" w:hAnsi="Arial" w:cs="Arial"/>
          <w:sz w:val="24"/>
          <w:szCs w:val="24"/>
          <w:lang w:eastAsia="en-GB"/>
        </w:rPr>
        <w:t xml:space="preserve"> Unilever is flexible in the product, marketing, and distribution of its products across different geographical areas and regions, which improves access and sensitivity (Rahman, 2022).</w:t>
      </w:r>
    </w:p>
    <w:p w14:paraId="2EBAB684" w14:textId="612E3109" w:rsidR="004339E0" w:rsidRPr="004339E0" w:rsidRDefault="004D718B" w:rsidP="004D718B">
      <w:pPr>
        <w:spacing w:before="100" w:beforeAutospacing="1" w:after="100" w:afterAutospacing="1" w:line="360" w:lineRule="auto"/>
        <w:jc w:val="both"/>
        <w:rPr>
          <w:rFonts w:ascii="Arial" w:eastAsia="Times New Roman" w:hAnsi="Arial" w:cs="Arial"/>
          <w:sz w:val="24"/>
          <w:szCs w:val="24"/>
          <w:lang w:eastAsia="en-GB"/>
        </w:rPr>
      </w:pPr>
      <w:r w:rsidRPr="004D718B">
        <w:rPr>
          <w:rFonts w:ascii="Arial" w:eastAsia="Times New Roman" w:hAnsi="Arial" w:cs="Arial"/>
          <w:sz w:val="24"/>
          <w:szCs w:val="24"/>
          <w:lang w:eastAsia="en-GB"/>
        </w:rPr>
        <w:t>With the combination of operational efficiency, innovation and consumer-focused strategies, these core competencies allow Unilever to generate unique customer value, competitive positioni</w:t>
      </w:r>
      <w:r>
        <w:rPr>
          <w:rFonts w:ascii="Arial" w:eastAsia="Times New Roman" w:hAnsi="Arial" w:cs="Arial"/>
          <w:sz w:val="24"/>
          <w:szCs w:val="24"/>
          <w:lang w:eastAsia="en-GB"/>
        </w:rPr>
        <w:t>ng, and long-term profitability</w:t>
      </w:r>
      <w:r w:rsidR="00DE180D">
        <w:rPr>
          <w:rFonts w:ascii="Arial" w:eastAsia="Times New Roman" w:hAnsi="Arial" w:cs="Arial"/>
          <w:sz w:val="24"/>
          <w:szCs w:val="24"/>
          <w:lang w:eastAsia="en-GB"/>
        </w:rPr>
        <w:t>.</w:t>
      </w:r>
    </w:p>
    <w:p w14:paraId="4BF8B8C0" w14:textId="77777777" w:rsidR="004339E0" w:rsidRPr="004339E0" w:rsidRDefault="004339E0" w:rsidP="00A1314B">
      <w:pPr>
        <w:pStyle w:val="Heading3"/>
        <w:rPr>
          <w:rFonts w:eastAsia="Times New Roman"/>
          <w:lang w:eastAsia="en-GB"/>
        </w:rPr>
      </w:pPr>
      <w:bookmarkStart w:id="16" w:name="_Toc227831972"/>
      <w:r w:rsidRPr="004339E0">
        <w:rPr>
          <w:rFonts w:eastAsia="Times New Roman"/>
          <w:lang w:eastAsia="en-GB"/>
        </w:rPr>
        <w:lastRenderedPageBreak/>
        <w:t>2.2.4 VRIO Analysis</w:t>
      </w:r>
      <w:bookmarkEnd w:id="16"/>
    </w:p>
    <w:p w14:paraId="369A068C" w14:textId="559FCCA5" w:rsidR="00EF7960" w:rsidRPr="00EF7960" w:rsidRDefault="00EF7960" w:rsidP="00EF7960">
      <w:pPr>
        <w:pStyle w:val="Caption"/>
        <w:keepNext/>
        <w:rPr>
          <w:rFonts w:ascii="Arial" w:hAnsi="Arial" w:cs="Arial"/>
          <w:sz w:val="24"/>
        </w:rPr>
      </w:pPr>
      <w:bookmarkStart w:id="17" w:name="_Toc225689492"/>
      <w:r w:rsidRPr="00EF7960">
        <w:rPr>
          <w:rFonts w:ascii="Arial" w:hAnsi="Arial" w:cs="Arial"/>
          <w:sz w:val="24"/>
        </w:rPr>
        <w:t xml:space="preserve">Table </w:t>
      </w:r>
      <w:r w:rsidRPr="00EF7960">
        <w:rPr>
          <w:rFonts w:ascii="Arial" w:hAnsi="Arial" w:cs="Arial"/>
          <w:sz w:val="24"/>
        </w:rPr>
        <w:fldChar w:fldCharType="begin"/>
      </w:r>
      <w:r w:rsidRPr="00EF7960">
        <w:rPr>
          <w:rFonts w:ascii="Arial" w:hAnsi="Arial" w:cs="Arial"/>
          <w:sz w:val="24"/>
        </w:rPr>
        <w:instrText xml:space="preserve"> SEQ Table \* ARABIC </w:instrText>
      </w:r>
      <w:r w:rsidRPr="00EF7960">
        <w:rPr>
          <w:rFonts w:ascii="Arial" w:hAnsi="Arial" w:cs="Arial"/>
          <w:sz w:val="24"/>
        </w:rPr>
        <w:fldChar w:fldCharType="separate"/>
      </w:r>
      <w:r w:rsidR="00195D7C">
        <w:rPr>
          <w:rFonts w:ascii="Arial" w:hAnsi="Arial" w:cs="Arial"/>
          <w:noProof/>
          <w:sz w:val="24"/>
        </w:rPr>
        <w:t>2</w:t>
      </w:r>
      <w:r w:rsidRPr="00EF7960">
        <w:rPr>
          <w:rFonts w:ascii="Arial" w:hAnsi="Arial" w:cs="Arial"/>
          <w:sz w:val="24"/>
        </w:rPr>
        <w:fldChar w:fldCharType="end"/>
      </w:r>
      <w:r w:rsidRPr="00EF7960">
        <w:rPr>
          <w:rFonts w:ascii="Arial" w:hAnsi="Arial" w:cs="Arial"/>
          <w:sz w:val="24"/>
        </w:rPr>
        <w:t>.VRIO Analysis</w:t>
      </w:r>
      <w:bookmarkEnd w:id="17"/>
    </w:p>
    <w:tbl>
      <w:tblPr>
        <w:tblStyle w:val="TableGrid"/>
        <w:tblW w:w="0" w:type="auto"/>
        <w:tblLook w:val="04A0" w:firstRow="1" w:lastRow="0" w:firstColumn="1" w:lastColumn="0" w:noHBand="0" w:noVBand="1"/>
      </w:tblPr>
      <w:tblGrid>
        <w:gridCol w:w="2511"/>
        <w:gridCol w:w="1344"/>
        <w:gridCol w:w="893"/>
        <w:gridCol w:w="1476"/>
        <w:gridCol w:w="1543"/>
        <w:gridCol w:w="1583"/>
      </w:tblGrid>
      <w:tr w:rsidR="00DE180D" w:rsidRPr="00DE180D" w14:paraId="34A3EF27" w14:textId="77777777" w:rsidTr="00EF7960">
        <w:tc>
          <w:tcPr>
            <w:tcW w:w="2511" w:type="dxa"/>
          </w:tcPr>
          <w:p w14:paraId="6AA539EF" w14:textId="77777777" w:rsidR="00DE180D" w:rsidRPr="00DE180D" w:rsidRDefault="00DE180D" w:rsidP="002F287D">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Resource/Capability</w:t>
            </w:r>
          </w:p>
        </w:tc>
        <w:tc>
          <w:tcPr>
            <w:tcW w:w="1344" w:type="dxa"/>
          </w:tcPr>
          <w:p w14:paraId="5FAC77CA" w14:textId="77777777" w:rsidR="00DE180D" w:rsidRPr="00DE180D" w:rsidRDefault="00DE180D" w:rsidP="002F287D">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Valuable?</w:t>
            </w:r>
          </w:p>
        </w:tc>
        <w:tc>
          <w:tcPr>
            <w:tcW w:w="893" w:type="dxa"/>
          </w:tcPr>
          <w:p w14:paraId="767C64C9" w14:textId="77777777" w:rsidR="00DE180D" w:rsidRPr="00DE180D" w:rsidRDefault="00DE180D" w:rsidP="002F287D">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Rare?</w:t>
            </w:r>
          </w:p>
        </w:tc>
        <w:tc>
          <w:tcPr>
            <w:tcW w:w="1476" w:type="dxa"/>
          </w:tcPr>
          <w:p w14:paraId="1D335C25" w14:textId="77777777" w:rsidR="00DE180D" w:rsidRPr="00DE180D" w:rsidRDefault="00DE180D" w:rsidP="002F287D">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Inimitable?</w:t>
            </w:r>
          </w:p>
        </w:tc>
        <w:tc>
          <w:tcPr>
            <w:tcW w:w="1543" w:type="dxa"/>
          </w:tcPr>
          <w:p w14:paraId="5662CB49" w14:textId="77777777" w:rsidR="00DE180D" w:rsidRPr="00DE180D" w:rsidRDefault="00DE180D" w:rsidP="002F287D">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Organised?</w:t>
            </w:r>
          </w:p>
        </w:tc>
        <w:tc>
          <w:tcPr>
            <w:tcW w:w="1583" w:type="dxa"/>
          </w:tcPr>
          <w:p w14:paraId="271D932D" w14:textId="77777777" w:rsidR="00DE180D" w:rsidRPr="00DE180D" w:rsidRDefault="00DE180D" w:rsidP="002F287D">
            <w:pPr>
              <w:spacing w:before="100" w:beforeAutospacing="1" w:after="100" w:afterAutospacing="1" w:line="360" w:lineRule="auto"/>
              <w:jc w:val="both"/>
              <w:rPr>
                <w:rFonts w:ascii="Arial" w:eastAsia="Times New Roman" w:hAnsi="Arial" w:cs="Arial"/>
                <w:b/>
                <w:sz w:val="24"/>
                <w:szCs w:val="24"/>
                <w:lang w:eastAsia="en-GB"/>
              </w:rPr>
            </w:pPr>
            <w:r w:rsidRPr="00DE180D">
              <w:rPr>
                <w:rFonts w:ascii="Arial" w:eastAsia="Times New Roman" w:hAnsi="Arial" w:cs="Arial"/>
                <w:b/>
                <w:sz w:val="24"/>
                <w:szCs w:val="24"/>
                <w:lang w:eastAsia="en-GB"/>
              </w:rPr>
              <w:t>Competitive Implication</w:t>
            </w:r>
          </w:p>
        </w:tc>
      </w:tr>
      <w:tr w:rsidR="00DE180D" w:rsidRPr="00DE180D" w14:paraId="50095ECC" w14:textId="77777777" w:rsidTr="00EF7960">
        <w:tc>
          <w:tcPr>
            <w:tcW w:w="2511" w:type="dxa"/>
          </w:tcPr>
          <w:p w14:paraId="101A81CA"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Global Brand Portfolio</w:t>
            </w:r>
          </w:p>
        </w:tc>
        <w:tc>
          <w:tcPr>
            <w:tcW w:w="1344" w:type="dxa"/>
          </w:tcPr>
          <w:p w14:paraId="63F1D4F5"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893" w:type="dxa"/>
          </w:tcPr>
          <w:p w14:paraId="4F83AC25"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476" w:type="dxa"/>
          </w:tcPr>
          <w:p w14:paraId="096FEBED"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43" w:type="dxa"/>
          </w:tcPr>
          <w:p w14:paraId="25BA8677"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83" w:type="dxa"/>
          </w:tcPr>
          <w:p w14:paraId="7FC552E0"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Sustained competitive advantage</w:t>
            </w:r>
          </w:p>
        </w:tc>
      </w:tr>
      <w:tr w:rsidR="00DE180D" w:rsidRPr="00DE180D" w14:paraId="5DC5C86B" w14:textId="77777777" w:rsidTr="00EF7960">
        <w:tc>
          <w:tcPr>
            <w:tcW w:w="2511" w:type="dxa"/>
          </w:tcPr>
          <w:p w14:paraId="1286A908"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Sustainable Innovation</w:t>
            </w:r>
          </w:p>
        </w:tc>
        <w:tc>
          <w:tcPr>
            <w:tcW w:w="1344" w:type="dxa"/>
          </w:tcPr>
          <w:p w14:paraId="530F411E"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893" w:type="dxa"/>
          </w:tcPr>
          <w:p w14:paraId="0B41F1FF"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476" w:type="dxa"/>
          </w:tcPr>
          <w:p w14:paraId="7BED6BCC"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43" w:type="dxa"/>
          </w:tcPr>
          <w:p w14:paraId="5E4D58BC"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83" w:type="dxa"/>
          </w:tcPr>
          <w:p w14:paraId="5852063A"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Sustained competitive advantage</w:t>
            </w:r>
          </w:p>
        </w:tc>
      </w:tr>
      <w:tr w:rsidR="00DE180D" w:rsidRPr="00DE180D" w14:paraId="0665299C" w14:textId="77777777" w:rsidTr="00EF7960">
        <w:tc>
          <w:tcPr>
            <w:tcW w:w="2511" w:type="dxa"/>
          </w:tcPr>
          <w:p w14:paraId="07A6998D"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Supply Chain Network</w:t>
            </w:r>
          </w:p>
        </w:tc>
        <w:tc>
          <w:tcPr>
            <w:tcW w:w="1344" w:type="dxa"/>
          </w:tcPr>
          <w:p w14:paraId="1D5D602F"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893" w:type="dxa"/>
          </w:tcPr>
          <w:p w14:paraId="223FBA20"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No</w:t>
            </w:r>
          </w:p>
        </w:tc>
        <w:tc>
          <w:tcPr>
            <w:tcW w:w="1476" w:type="dxa"/>
          </w:tcPr>
          <w:p w14:paraId="01D4294F"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43" w:type="dxa"/>
          </w:tcPr>
          <w:p w14:paraId="43415A58"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83" w:type="dxa"/>
          </w:tcPr>
          <w:p w14:paraId="3D33C6FA"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Temporary advantage</w:t>
            </w:r>
          </w:p>
        </w:tc>
      </w:tr>
      <w:tr w:rsidR="00DE180D" w:rsidRPr="00DE180D" w14:paraId="21977518" w14:textId="77777777" w:rsidTr="00EF7960">
        <w:tc>
          <w:tcPr>
            <w:tcW w:w="2511" w:type="dxa"/>
          </w:tcPr>
          <w:p w14:paraId="71F9EF67"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Financial Strength</w:t>
            </w:r>
          </w:p>
        </w:tc>
        <w:tc>
          <w:tcPr>
            <w:tcW w:w="1344" w:type="dxa"/>
          </w:tcPr>
          <w:p w14:paraId="1C62494B"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893" w:type="dxa"/>
          </w:tcPr>
          <w:p w14:paraId="01A273ED"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No</w:t>
            </w:r>
          </w:p>
        </w:tc>
        <w:tc>
          <w:tcPr>
            <w:tcW w:w="1476" w:type="dxa"/>
          </w:tcPr>
          <w:p w14:paraId="50460EFB"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No</w:t>
            </w:r>
          </w:p>
        </w:tc>
        <w:tc>
          <w:tcPr>
            <w:tcW w:w="1543" w:type="dxa"/>
          </w:tcPr>
          <w:p w14:paraId="2AB9A2C1"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Yes</w:t>
            </w:r>
          </w:p>
        </w:tc>
        <w:tc>
          <w:tcPr>
            <w:tcW w:w="1583" w:type="dxa"/>
          </w:tcPr>
          <w:p w14:paraId="2EA596D0" w14:textId="77777777" w:rsidR="00DE180D" w:rsidRPr="00DE180D" w:rsidRDefault="00DE180D" w:rsidP="002F287D">
            <w:pPr>
              <w:spacing w:before="100" w:beforeAutospacing="1" w:after="100" w:afterAutospacing="1" w:line="360" w:lineRule="auto"/>
              <w:jc w:val="both"/>
              <w:rPr>
                <w:rFonts w:ascii="Arial" w:eastAsia="Times New Roman" w:hAnsi="Arial" w:cs="Arial"/>
                <w:sz w:val="24"/>
                <w:szCs w:val="24"/>
                <w:lang w:eastAsia="en-GB"/>
              </w:rPr>
            </w:pPr>
            <w:r w:rsidRPr="00DE180D">
              <w:rPr>
                <w:rFonts w:ascii="Arial" w:eastAsia="Times New Roman" w:hAnsi="Arial" w:cs="Arial"/>
                <w:sz w:val="24"/>
                <w:szCs w:val="24"/>
                <w:lang w:eastAsia="en-GB"/>
              </w:rPr>
              <w:t>Competitive parity</w:t>
            </w:r>
          </w:p>
        </w:tc>
      </w:tr>
    </w:tbl>
    <w:p w14:paraId="2980E231" w14:textId="141C5A7E" w:rsidR="00DA5CBD" w:rsidRPr="00DA5CBD" w:rsidRDefault="00DA5CBD" w:rsidP="00DA5CBD">
      <w:pPr>
        <w:spacing w:before="100" w:beforeAutospacing="1" w:after="100" w:afterAutospacing="1" w:line="360" w:lineRule="auto"/>
        <w:jc w:val="both"/>
        <w:rPr>
          <w:rFonts w:ascii="Arial" w:eastAsia="Times New Roman" w:hAnsi="Arial" w:cs="Arial"/>
          <w:sz w:val="24"/>
          <w:szCs w:val="24"/>
          <w:lang w:eastAsia="en-GB"/>
        </w:rPr>
      </w:pPr>
      <w:r w:rsidRPr="00DA5CBD">
        <w:rPr>
          <w:rFonts w:ascii="Arial" w:eastAsia="Times New Roman" w:hAnsi="Arial" w:cs="Arial"/>
          <w:sz w:val="24"/>
          <w:szCs w:val="24"/>
          <w:lang w:eastAsia="en-GB"/>
        </w:rPr>
        <w:t>The VRIO analysis supports the idea that the brand portfolio and the innovation based on sustainability is the source of the sustained competitive advantage of Unilever whereas other resources are the sources of temporary or moderate competitive advantage.</w:t>
      </w:r>
    </w:p>
    <w:p w14:paraId="50722833" w14:textId="79953AB5" w:rsidR="00DA5CBD" w:rsidRPr="00DA5CBD" w:rsidRDefault="00DA5CBD" w:rsidP="00A1314B">
      <w:pPr>
        <w:pStyle w:val="Heading3"/>
        <w:rPr>
          <w:rFonts w:eastAsia="Times New Roman"/>
          <w:lang w:eastAsia="en-GB"/>
        </w:rPr>
      </w:pPr>
      <w:bookmarkStart w:id="18" w:name="_Toc227831973"/>
      <w:r w:rsidRPr="00DA5CBD">
        <w:rPr>
          <w:rFonts w:eastAsia="Times New Roman"/>
          <w:lang w:eastAsia="en-GB"/>
        </w:rPr>
        <w:t>2.2.5 Contribution to Competitive Advantage.</w:t>
      </w:r>
      <w:bookmarkEnd w:id="18"/>
    </w:p>
    <w:p w14:paraId="467D016C" w14:textId="77777777" w:rsidR="00DA5CBD" w:rsidRPr="00DA5CBD" w:rsidRDefault="00DA5CBD" w:rsidP="00DA5CBD">
      <w:pPr>
        <w:spacing w:before="100" w:beforeAutospacing="1" w:after="100" w:afterAutospacing="1" w:line="360" w:lineRule="auto"/>
        <w:jc w:val="both"/>
        <w:rPr>
          <w:rFonts w:ascii="Arial" w:eastAsia="Times New Roman" w:hAnsi="Arial" w:cs="Arial"/>
          <w:sz w:val="24"/>
          <w:szCs w:val="24"/>
          <w:lang w:eastAsia="en-GB"/>
        </w:rPr>
      </w:pPr>
      <w:r w:rsidRPr="00DA5CBD">
        <w:rPr>
          <w:rFonts w:ascii="Arial" w:eastAsia="Times New Roman" w:hAnsi="Arial" w:cs="Arial"/>
          <w:sz w:val="24"/>
          <w:szCs w:val="24"/>
          <w:lang w:eastAsia="en-GB"/>
        </w:rPr>
        <w:t>Internal strengths can be applied in competitive advantage by:</w:t>
      </w:r>
    </w:p>
    <w:p w14:paraId="44AC5E5B" w14:textId="77777777" w:rsidR="00DA5CBD" w:rsidRPr="00A1314B" w:rsidRDefault="00DA5CBD" w:rsidP="00A1314B">
      <w:pPr>
        <w:pStyle w:val="ListParagraph"/>
        <w:numPr>
          <w:ilvl w:val="0"/>
          <w:numId w:val="23"/>
        </w:numPr>
        <w:spacing w:before="100" w:beforeAutospacing="1" w:after="100" w:afterAutospacing="1" w:line="360" w:lineRule="auto"/>
        <w:jc w:val="both"/>
        <w:rPr>
          <w:rFonts w:ascii="Arial" w:eastAsia="Times New Roman" w:hAnsi="Arial" w:cs="Arial"/>
          <w:sz w:val="24"/>
          <w:szCs w:val="24"/>
          <w:lang w:eastAsia="en-GB"/>
        </w:rPr>
      </w:pPr>
      <w:r w:rsidRPr="00A1314B">
        <w:rPr>
          <w:rFonts w:ascii="Arial" w:eastAsia="Times New Roman" w:hAnsi="Arial" w:cs="Arial"/>
          <w:b/>
          <w:sz w:val="24"/>
          <w:szCs w:val="24"/>
          <w:lang w:eastAsia="en-GB"/>
        </w:rPr>
        <w:t>Brand Loyalty:</w:t>
      </w:r>
      <w:r w:rsidRPr="00A1314B">
        <w:rPr>
          <w:rFonts w:ascii="Arial" w:eastAsia="Times New Roman" w:hAnsi="Arial" w:cs="Arial"/>
          <w:sz w:val="24"/>
          <w:szCs w:val="24"/>
          <w:lang w:eastAsia="en-GB"/>
        </w:rPr>
        <w:t xml:space="preserve"> The high price and low price sensitivity of global brands are as a result of consumer trust in global brands (Lee, 2024).</w:t>
      </w:r>
    </w:p>
    <w:p w14:paraId="23ACA5E6" w14:textId="77777777" w:rsidR="00DA5CBD" w:rsidRPr="00A1314B" w:rsidRDefault="00DA5CBD" w:rsidP="00A1314B">
      <w:pPr>
        <w:pStyle w:val="ListParagraph"/>
        <w:numPr>
          <w:ilvl w:val="0"/>
          <w:numId w:val="23"/>
        </w:numPr>
        <w:spacing w:before="100" w:beforeAutospacing="1" w:after="100" w:afterAutospacing="1" w:line="360" w:lineRule="auto"/>
        <w:jc w:val="both"/>
        <w:rPr>
          <w:rFonts w:ascii="Arial" w:eastAsia="Times New Roman" w:hAnsi="Arial" w:cs="Arial"/>
          <w:sz w:val="24"/>
          <w:szCs w:val="24"/>
          <w:lang w:eastAsia="en-GB"/>
        </w:rPr>
      </w:pPr>
      <w:r w:rsidRPr="00A1314B">
        <w:rPr>
          <w:rFonts w:ascii="Arial" w:eastAsia="Times New Roman" w:hAnsi="Arial" w:cs="Arial"/>
          <w:b/>
          <w:sz w:val="24"/>
          <w:szCs w:val="24"/>
          <w:lang w:eastAsia="en-GB"/>
        </w:rPr>
        <w:t>Innovation and research and development:</w:t>
      </w:r>
      <w:r w:rsidRPr="00A1314B">
        <w:rPr>
          <w:rFonts w:ascii="Arial" w:eastAsia="Times New Roman" w:hAnsi="Arial" w:cs="Arial"/>
          <w:sz w:val="24"/>
          <w:szCs w:val="24"/>
          <w:lang w:eastAsia="en-GB"/>
        </w:rPr>
        <w:t xml:space="preserve"> Unique products in the health, personal care, and sustainable product are some of the ways Unilever outperforms its competitors (Patel and Lee, 2025).</w:t>
      </w:r>
    </w:p>
    <w:p w14:paraId="31651E0E" w14:textId="77777777" w:rsidR="00DA5CBD" w:rsidRPr="00A1314B" w:rsidRDefault="00DA5CBD" w:rsidP="00A1314B">
      <w:pPr>
        <w:pStyle w:val="ListParagraph"/>
        <w:numPr>
          <w:ilvl w:val="0"/>
          <w:numId w:val="23"/>
        </w:numPr>
        <w:spacing w:before="100" w:beforeAutospacing="1" w:after="100" w:afterAutospacing="1" w:line="360" w:lineRule="auto"/>
        <w:jc w:val="both"/>
        <w:rPr>
          <w:rFonts w:ascii="Arial" w:eastAsia="Times New Roman" w:hAnsi="Arial" w:cs="Arial"/>
          <w:sz w:val="24"/>
          <w:szCs w:val="24"/>
          <w:lang w:eastAsia="en-GB"/>
        </w:rPr>
      </w:pPr>
      <w:r w:rsidRPr="00A1314B">
        <w:rPr>
          <w:rFonts w:ascii="Arial" w:eastAsia="Times New Roman" w:hAnsi="Arial" w:cs="Arial"/>
          <w:b/>
          <w:sz w:val="24"/>
          <w:szCs w:val="24"/>
          <w:lang w:eastAsia="en-GB"/>
        </w:rPr>
        <w:t>Sustainable Practices:</w:t>
      </w:r>
      <w:r w:rsidRPr="00A1314B">
        <w:rPr>
          <w:rFonts w:ascii="Arial" w:eastAsia="Times New Roman" w:hAnsi="Arial" w:cs="Arial"/>
          <w:sz w:val="24"/>
          <w:szCs w:val="24"/>
          <w:lang w:eastAsia="en-GB"/>
        </w:rPr>
        <w:t xml:space="preserve"> CSR activities increase the reputation of corporations and stakeholder interactions, which affects purchases (Ahmed, 2023).</w:t>
      </w:r>
    </w:p>
    <w:p w14:paraId="580EFD41" w14:textId="0F3ECD17" w:rsidR="004339E0" w:rsidRPr="00A1314B" w:rsidRDefault="00DA5CBD" w:rsidP="00A1314B">
      <w:pPr>
        <w:pStyle w:val="ListParagraph"/>
        <w:numPr>
          <w:ilvl w:val="0"/>
          <w:numId w:val="23"/>
        </w:numPr>
        <w:spacing w:before="100" w:beforeAutospacing="1" w:after="100" w:afterAutospacing="1" w:line="360" w:lineRule="auto"/>
        <w:jc w:val="both"/>
        <w:rPr>
          <w:rFonts w:ascii="Arial" w:eastAsia="Times New Roman" w:hAnsi="Arial" w:cs="Arial"/>
          <w:sz w:val="24"/>
          <w:szCs w:val="24"/>
          <w:lang w:eastAsia="en-GB"/>
        </w:rPr>
      </w:pPr>
      <w:r w:rsidRPr="00A1314B">
        <w:rPr>
          <w:rFonts w:ascii="Arial" w:eastAsia="Times New Roman" w:hAnsi="Arial" w:cs="Arial"/>
          <w:b/>
          <w:sz w:val="24"/>
          <w:szCs w:val="24"/>
          <w:lang w:eastAsia="en-GB"/>
        </w:rPr>
        <w:lastRenderedPageBreak/>
        <w:t>Operational Efficiency:</w:t>
      </w:r>
      <w:r w:rsidRPr="00A1314B">
        <w:rPr>
          <w:rFonts w:ascii="Arial" w:eastAsia="Times New Roman" w:hAnsi="Arial" w:cs="Arial"/>
          <w:sz w:val="24"/>
          <w:szCs w:val="24"/>
          <w:lang w:eastAsia="en-GB"/>
        </w:rPr>
        <w:t xml:space="preserve"> Co-ordinated supply chain and distribution networks lower expenses and provide access anywhere in the world (Brown and Green, 2024)</w:t>
      </w:r>
      <w:r w:rsidR="004339E0" w:rsidRPr="00A1314B">
        <w:rPr>
          <w:rFonts w:ascii="Arial" w:eastAsia="Times New Roman" w:hAnsi="Arial" w:cs="Arial"/>
          <w:sz w:val="24"/>
          <w:szCs w:val="24"/>
          <w:lang w:eastAsia="en-GB"/>
        </w:rPr>
        <w:t>.</w:t>
      </w:r>
    </w:p>
    <w:p w14:paraId="0D241C27" w14:textId="77777777" w:rsidR="00630331" w:rsidRDefault="00630331" w:rsidP="00630331">
      <w:pPr>
        <w:keepNext/>
        <w:spacing w:before="100" w:beforeAutospacing="1" w:after="100" w:afterAutospacing="1" w:line="360" w:lineRule="auto"/>
        <w:jc w:val="center"/>
      </w:pPr>
      <w:r>
        <w:rPr>
          <w:rFonts w:ascii="Arial" w:eastAsia="Times New Roman" w:hAnsi="Arial" w:cs="Arial"/>
          <w:noProof/>
          <w:sz w:val="24"/>
          <w:szCs w:val="24"/>
          <w:lang w:eastAsia="en-GB"/>
        </w:rPr>
        <w:drawing>
          <wp:inline distT="0" distB="0" distL="0" distR="0" wp14:anchorId="0FB3B62B" wp14:editId="2BFCE6B3">
            <wp:extent cx="3000375" cy="2000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329_14191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01370" cy="2000913"/>
                    </a:xfrm>
                    <a:prstGeom prst="rect">
                      <a:avLst/>
                    </a:prstGeom>
                  </pic:spPr>
                </pic:pic>
              </a:graphicData>
            </a:graphic>
          </wp:inline>
        </w:drawing>
      </w:r>
    </w:p>
    <w:p w14:paraId="352CD12D" w14:textId="115D2E99" w:rsidR="004339E0" w:rsidRPr="006B2253" w:rsidRDefault="00630331" w:rsidP="006B2253">
      <w:pPr>
        <w:pStyle w:val="Caption"/>
        <w:jc w:val="center"/>
        <w:rPr>
          <w:rFonts w:ascii="Arial" w:eastAsia="Times New Roman" w:hAnsi="Arial" w:cs="Arial"/>
          <w:sz w:val="36"/>
          <w:szCs w:val="24"/>
          <w:lang w:eastAsia="en-GB"/>
        </w:rPr>
      </w:pPr>
      <w:bookmarkStart w:id="19" w:name="_Toc227832010"/>
      <w:r w:rsidRPr="008A4D7D">
        <w:rPr>
          <w:rFonts w:ascii="Arial" w:hAnsi="Arial" w:cs="Arial"/>
          <w:sz w:val="24"/>
        </w:rPr>
        <w:t xml:space="preserve">Figure </w:t>
      </w:r>
      <w:r w:rsidRPr="008A4D7D">
        <w:rPr>
          <w:rFonts w:ascii="Arial" w:hAnsi="Arial" w:cs="Arial"/>
          <w:sz w:val="24"/>
        </w:rPr>
        <w:fldChar w:fldCharType="begin"/>
      </w:r>
      <w:r w:rsidRPr="008A4D7D">
        <w:rPr>
          <w:rFonts w:ascii="Arial" w:hAnsi="Arial" w:cs="Arial"/>
          <w:sz w:val="24"/>
        </w:rPr>
        <w:instrText xml:space="preserve"> SEQ Figure \* ARABIC </w:instrText>
      </w:r>
      <w:r w:rsidRPr="008A4D7D">
        <w:rPr>
          <w:rFonts w:ascii="Arial" w:hAnsi="Arial" w:cs="Arial"/>
          <w:sz w:val="24"/>
        </w:rPr>
        <w:fldChar w:fldCharType="separate"/>
      </w:r>
      <w:r w:rsidR="00F1593B">
        <w:rPr>
          <w:rFonts w:ascii="Arial" w:hAnsi="Arial" w:cs="Arial"/>
          <w:noProof/>
          <w:sz w:val="24"/>
        </w:rPr>
        <w:t>3</w:t>
      </w:r>
      <w:r w:rsidRPr="008A4D7D">
        <w:rPr>
          <w:rFonts w:ascii="Arial" w:hAnsi="Arial" w:cs="Arial"/>
          <w:sz w:val="24"/>
        </w:rPr>
        <w:fldChar w:fldCharType="end"/>
      </w:r>
      <w:r w:rsidRPr="008A4D7D">
        <w:rPr>
          <w:rFonts w:ascii="Arial" w:hAnsi="Arial" w:cs="Arial"/>
          <w:sz w:val="24"/>
        </w:rPr>
        <w:t>: Unilever Internal Strengths vs Competitive Advantage</w:t>
      </w:r>
      <w:bookmarkEnd w:id="19"/>
    </w:p>
    <w:p w14:paraId="3D2DAF0D" w14:textId="405EE3A7" w:rsidR="006B2253" w:rsidRPr="0057219E" w:rsidRDefault="006B2253" w:rsidP="006B2253">
      <w:pPr>
        <w:pStyle w:val="Caption"/>
        <w:keepNext/>
        <w:rPr>
          <w:rFonts w:ascii="Arial" w:hAnsi="Arial" w:cs="Arial"/>
          <w:sz w:val="24"/>
        </w:rPr>
      </w:pPr>
      <w:bookmarkStart w:id="20" w:name="_Toc225689493"/>
      <w:r w:rsidRPr="0057219E">
        <w:rPr>
          <w:rFonts w:ascii="Arial" w:hAnsi="Arial" w:cs="Arial"/>
          <w:sz w:val="24"/>
        </w:rPr>
        <w:t xml:space="preserve">Table </w:t>
      </w:r>
      <w:r w:rsidRPr="0057219E">
        <w:rPr>
          <w:rFonts w:ascii="Arial" w:hAnsi="Arial" w:cs="Arial"/>
          <w:sz w:val="24"/>
        </w:rPr>
        <w:fldChar w:fldCharType="begin"/>
      </w:r>
      <w:r w:rsidRPr="0057219E">
        <w:rPr>
          <w:rFonts w:ascii="Arial" w:hAnsi="Arial" w:cs="Arial"/>
          <w:sz w:val="24"/>
        </w:rPr>
        <w:instrText xml:space="preserve"> SEQ Table \* ARABIC </w:instrText>
      </w:r>
      <w:r w:rsidRPr="0057219E">
        <w:rPr>
          <w:rFonts w:ascii="Arial" w:hAnsi="Arial" w:cs="Arial"/>
          <w:sz w:val="24"/>
        </w:rPr>
        <w:fldChar w:fldCharType="separate"/>
      </w:r>
      <w:r w:rsidR="00195D7C">
        <w:rPr>
          <w:rFonts w:ascii="Arial" w:hAnsi="Arial" w:cs="Arial"/>
          <w:noProof/>
          <w:sz w:val="24"/>
        </w:rPr>
        <w:t>3</w:t>
      </w:r>
      <w:r w:rsidRPr="0057219E">
        <w:rPr>
          <w:rFonts w:ascii="Arial" w:hAnsi="Arial" w:cs="Arial"/>
          <w:sz w:val="24"/>
        </w:rPr>
        <w:fldChar w:fldCharType="end"/>
      </w:r>
      <w:r w:rsidRPr="0057219E">
        <w:rPr>
          <w:rFonts w:ascii="Arial" w:hAnsi="Arial" w:cs="Arial"/>
          <w:sz w:val="24"/>
        </w:rPr>
        <w:t>: Summary of Key Internal Resources &amp; Capabilities</w:t>
      </w:r>
      <w:bookmarkEnd w:id="20"/>
    </w:p>
    <w:tbl>
      <w:tblPr>
        <w:tblStyle w:val="TableGrid"/>
        <w:tblW w:w="0" w:type="auto"/>
        <w:tblLook w:val="04A0" w:firstRow="1" w:lastRow="0" w:firstColumn="1" w:lastColumn="0" w:noHBand="0" w:noVBand="1"/>
      </w:tblPr>
      <w:tblGrid>
        <w:gridCol w:w="3116"/>
        <w:gridCol w:w="3117"/>
        <w:gridCol w:w="3117"/>
      </w:tblGrid>
      <w:tr w:rsidR="004339E0" w:rsidRPr="004339E0" w14:paraId="1F552403" w14:textId="77777777" w:rsidTr="004339E0">
        <w:tc>
          <w:tcPr>
            <w:tcW w:w="3116" w:type="dxa"/>
          </w:tcPr>
          <w:p w14:paraId="59373F8D" w14:textId="77777777" w:rsidR="004339E0" w:rsidRPr="004339E0" w:rsidRDefault="004339E0" w:rsidP="0050166F">
            <w:pPr>
              <w:spacing w:before="100" w:beforeAutospacing="1" w:after="100" w:afterAutospacing="1" w:line="360" w:lineRule="auto"/>
              <w:jc w:val="both"/>
              <w:rPr>
                <w:rFonts w:ascii="Arial" w:eastAsia="Times New Roman" w:hAnsi="Arial" w:cs="Arial"/>
                <w:b/>
                <w:sz w:val="24"/>
                <w:szCs w:val="24"/>
                <w:lang w:eastAsia="en-GB"/>
              </w:rPr>
            </w:pPr>
            <w:r w:rsidRPr="004339E0">
              <w:rPr>
                <w:rFonts w:ascii="Arial" w:eastAsia="Times New Roman" w:hAnsi="Arial" w:cs="Arial"/>
                <w:b/>
                <w:sz w:val="24"/>
                <w:szCs w:val="24"/>
                <w:lang w:eastAsia="en-GB"/>
              </w:rPr>
              <w:t>Resource/Capability</w:t>
            </w:r>
          </w:p>
        </w:tc>
        <w:tc>
          <w:tcPr>
            <w:tcW w:w="3117" w:type="dxa"/>
          </w:tcPr>
          <w:p w14:paraId="378DDE66" w14:textId="77777777" w:rsidR="004339E0" w:rsidRPr="004339E0" w:rsidRDefault="004339E0" w:rsidP="0050166F">
            <w:pPr>
              <w:spacing w:before="100" w:beforeAutospacing="1" w:after="100" w:afterAutospacing="1" w:line="360" w:lineRule="auto"/>
              <w:jc w:val="both"/>
              <w:rPr>
                <w:rFonts w:ascii="Arial" w:eastAsia="Times New Roman" w:hAnsi="Arial" w:cs="Arial"/>
                <w:b/>
                <w:sz w:val="24"/>
                <w:szCs w:val="24"/>
                <w:lang w:eastAsia="en-GB"/>
              </w:rPr>
            </w:pPr>
            <w:r w:rsidRPr="004339E0">
              <w:rPr>
                <w:rFonts w:ascii="Arial" w:eastAsia="Times New Roman" w:hAnsi="Arial" w:cs="Arial"/>
                <w:b/>
                <w:sz w:val="24"/>
                <w:szCs w:val="24"/>
                <w:lang w:eastAsia="en-GB"/>
              </w:rPr>
              <w:t>Type</w:t>
            </w:r>
          </w:p>
        </w:tc>
        <w:tc>
          <w:tcPr>
            <w:tcW w:w="3117" w:type="dxa"/>
          </w:tcPr>
          <w:p w14:paraId="5899CCDD" w14:textId="77777777" w:rsidR="004339E0" w:rsidRPr="004339E0" w:rsidRDefault="004339E0" w:rsidP="0050166F">
            <w:pPr>
              <w:spacing w:before="100" w:beforeAutospacing="1" w:after="100" w:afterAutospacing="1" w:line="360" w:lineRule="auto"/>
              <w:jc w:val="both"/>
              <w:rPr>
                <w:rFonts w:ascii="Arial" w:eastAsia="Times New Roman" w:hAnsi="Arial" w:cs="Arial"/>
                <w:b/>
                <w:sz w:val="24"/>
                <w:szCs w:val="24"/>
                <w:lang w:eastAsia="en-GB"/>
              </w:rPr>
            </w:pPr>
            <w:r w:rsidRPr="004339E0">
              <w:rPr>
                <w:rFonts w:ascii="Arial" w:eastAsia="Times New Roman" w:hAnsi="Arial" w:cs="Arial"/>
                <w:b/>
                <w:sz w:val="24"/>
                <w:szCs w:val="24"/>
                <w:lang w:eastAsia="en-GB"/>
              </w:rPr>
              <w:t>Strategic Impact</w:t>
            </w:r>
          </w:p>
        </w:tc>
      </w:tr>
      <w:tr w:rsidR="004339E0" w:rsidRPr="004339E0" w14:paraId="0114F70E" w14:textId="77777777" w:rsidTr="004339E0">
        <w:tc>
          <w:tcPr>
            <w:tcW w:w="3116" w:type="dxa"/>
          </w:tcPr>
          <w:p w14:paraId="205345E2"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Brand Portfolio</w:t>
            </w:r>
          </w:p>
        </w:tc>
        <w:tc>
          <w:tcPr>
            <w:tcW w:w="3117" w:type="dxa"/>
          </w:tcPr>
          <w:p w14:paraId="35ACAAD2"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Intangible</w:t>
            </w:r>
          </w:p>
        </w:tc>
        <w:tc>
          <w:tcPr>
            <w:tcW w:w="3117" w:type="dxa"/>
          </w:tcPr>
          <w:p w14:paraId="3C220B36"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Market differentiation, customer loyalty</w:t>
            </w:r>
          </w:p>
        </w:tc>
      </w:tr>
      <w:tr w:rsidR="004339E0" w:rsidRPr="004339E0" w14:paraId="794EF5CC" w14:textId="77777777" w:rsidTr="004339E0">
        <w:tc>
          <w:tcPr>
            <w:tcW w:w="3116" w:type="dxa"/>
          </w:tcPr>
          <w:p w14:paraId="1C567ECC"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Sustainable Innovation</w:t>
            </w:r>
          </w:p>
        </w:tc>
        <w:tc>
          <w:tcPr>
            <w:tcW w:w="3117" w:type="dxa"/>
          </w:tcPr>
          <w:p w14:paraId="3D4B201E"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Capability</w:t>
            </w:r>
          </w:p>
        </w:tc>
        <w:tc>
          <w:tcPr>
            <w:tcW w:w="3117" w:type="dxa"/>
          </w:tcPr>
          <w:p w14:paraId="061BF33C"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Differentiation, CSR alignment</w:t>
            </w:r>
          </w:p>
        </w:tc>
      </w:tr>
      <w:tr w:rsidR="004339E0" w:rsidRPr="004339E0" w14:paraId="3EFBD08F" w14:textId="77777777" w:rsidTr="004339E0">
        <w:tc>
          <w:tcPr>
            <w:tcW w:w="3116" w:type="dxa"/>
          </w:tcPr>
          <w:p w14:paraId="65388B5E"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Supply Chain Network</w:t>
            </w:r>
          </w:p>
        </w:tc>
        <w:tc>
          <w:tcPr>
            <w:tcW w:w="3117" w:type="dxa"/>
          </w:tcPr>
          <w:p w14:paraId="45478385"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Capability</w:t>
            </w:r>
          </w:p>
        </w:tc>
        <w:tc>
          <w:tcPr>
            <w:tcW w:w="3117" w:type="dxa"/>
          </w:tcPr>
          <w:p w14:paraId="638D4E25"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Operational efficiency, global reach</w:t>
            </w:r>
          </w:p>
        </w:tc>
      </w:tr>
      <w:tr w:rsidR="004339E0" w:rsidRPr="004339E0" w14:paraId="7BA11945" w14:textId="77777777" w:rsidTr="004339E0">
        <w:tc>
          <w:tcPr>
            <w:tcW w:w="3116" w:type="dxa"/>
          </w:tcPr>
          <w:p w14:paraId="5D7CE619"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Financial Strength</w:t>
            </w:r>
          </w:p>
        </w:tc>
        <w:tc>
          <w:tcPr>
            <w:tcW w:w="3117" w:type="dxa"/>
          </w:tcPr>
          <w:p w14:paraId="1B94395B"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Tangible</w:t>
            </w:r>
          </w:p>
        </w:tc>
        <w:tc>
          <w:tcPr>
            <w:tcW w:w="3117" w:type="dxa"/>
          </w:tcPr>
          <w:p w14:paraId="20691D98" w14:textId="77777777" w:rsidR="004339E0" w:rsidRPr="004339E0" w:rsidRDefault="004339E0" w:rsidP="0050166F">
            <w:pPr>
              <w:spacing w:before="100" w:beforeAutospacing="1" w:after="100" w:afterAutospacing="1" w:line="360" w:lineRule="auto"/>
              <w:jc w:val="both"/>
              <w:rPr>
                <w:rFonts w:ascii="Arial" w:eastAsia="Times New Roman" w:hAnsi="Arial" w:cs="Arial"/>
                <w:sz w:val="24"/>
                <w:szCs w:val="24"/>
                <w:lang w:eastAsia="en-GB"/>
              </w:rPr>
            </w:pPr>
            <w:r w:rsidRPr="004339E0">
              <w:rPr>
                <w:rFonts w:ascii="Arial" w:eastAsia="Times New Roman" w:hAnsi="Arial" w:cs="Arial"/>
                <w:sz w:val="24"/>
                <w:szCs w:val="24"/>
                <w:lang w:eastAsia="en-GB"/>
              </w:rPr>
              <w:t>Investment in growth and acquisitions</w:t>
            </w:r>
          </w:p>
        </w:tc>
      </w:tr>
    </w:tbl>
    <w:p w14:paraId="391828B3" w14:textId="77777777" w:rsidR="00D615BA" w:rsidRDefault="00D615BA" w:rsidP="00D615BA">
      <w:pPr>
        <w:pStyle w:val="Heading1"/>
        <w:rPr>
          <w:rFonts w:eastAsia="Times New Roman"/>
          <w:lang w:eastAsia="en-GB"/>
        </w:rPr>
      </w:pPr>
    </w:p>
    <w:p w14:paraId="23B1BB1C" w14:textId="60EE82AE" w:rsidR="0099451A" w:rsidRPr="00282845" w:rsidRDefault="0099451A" w:rsidP="00D615BA">
      <w:pPr>
        <w:pStyle w:val="Heading1"/>
        <w:rPr>
          <w:rFonts w:eastAsia="Times New Roman"/>
          <w:lang w:eastAsia="en-GB"/>
        </w:rPr>
      </w:pPr>
      <w:bookmarkStart w:id="21" w:name="_Toc227831974"/>
      <w:r w:rsidRPr="00282845">
        <w:rPr>
          <w:rFonts w:eastAsia="Times New Roman"/>
          <w:lang w:eastAsia="en-GB"/>
        </w:rPr>
        <w:t>3. CSR &amp; Sustainability</w:t>
      </w:r>
      <w:bookmarkEnd w:id="21"/>
    </w:p>
    <w:p w14:paraId="7C42C2F6" w14:textId="3608C100" w:rsidR="0091269F" w:rsidRPr="0091269F" w:rsidRDefault="0091269F" w:rsidP="0091269F">
      <w:pPr>
        <w:spacing w:before="100" w:beforeAutospacing="1" w:after="100" w:afterAutospacing="1" w:line="360" w:lineRule="auto"/>
        <w:jc w:val="both"/>
        <w:rPr>
          <w:rFonts w:ascii="Arial" w:eastAsia="Times New Roman" w:hAnsi="Arial" w:cs="Arial"/>
          <w:sz w:val="24"/>
          <w:szCs w:val="24"/>
          <w:lang w:eastAsia="en-GB"/>
        </w:rPr>
      </w:pPr>
      <w:r w:rsidRPr="0091269F">
        <w:rPr>
          <w:rFonts w:ascii="Arial" w:eastAsia="Times New Roman" w:hAnsi="Arial" w:cs="Arial"/>
          <w:sz w:val="24"/>
          <w:szCs w:val="24"/>
          <w:lang w:eastAsia="en-GB"/>
        </w:rPr>
        <w:t xml:space="preserve">Corporate social responsibility (CSR) and sustainability is something that Unilever has long placed as a central part of its business plan. Its CSR programs are based on protecting the environment, social equity, and ethical business conduct, which are combined with its main mission to make sustainable living a normal practice (Unilever, </w:t>
      </w:r>
      <w:r w:rsidRPr="0091269F">
        <w:rPr>
          <w:rFonts w:ascii="Arial" w:eastAsia="Times New Roman" w:hAnsi="Arial" w:cs="Arial"/>
          <w:sz w:val="24"/>
          <w:szCs w:val="24"/>
          <w:lang w:eastAsia="en-GB"/>
        </w:rPr>
        <w:lastRenderedPageBreak/>
        <w:t>2024). Such initiatives are not only coming in accordance to the business goals of the company, but sustainability efforts should not only increase societal impact but also l</w:t>
      </w:r>
      <w:r w:rsidR="004B6165">
        <w:rPr>
          <w:rFonts w:ascii="Arial" w:eastAsia="Times New Roman" w:hAnsi="Arial" w:cs="Arial"/>
          <w:sz w:val="24"/>
          <w:szCs w:val="24"/>
          <w:lang w:eastAsia="en-GB"/>
        </w:rPr>
        <w:t>ead to long-term profitability.</w:t>
      </w:r>
    </w:p>
    <w:p w14:paraId="283E5B65" w14:textId="3B1BB98D" w:rsidR="0091269F" w:rsidRPr="0091269F" w:rsidRDefault="0091269F" w:rsidP="0091269F">
      <w:pPr>
        <w:spacing w:before="100" w:beforeAutospacing="1" w:after="100" w:afterAutospacing="1" w:line="360" w:lineRule="auto"/>
        <w:jc w:val="both"/>
        <w:rPr>
          <w:rFonts w:ascii="Arial" w:eastAsia="Times New Roman" w:hAnsi="Arial" w:cs="Arial"/>
          <w:sz w:val="24"/>
          <w:szCs w:val="24"/>
          <w:lang w:eastAsia="en-GB"/>
        </w:rPr>
      </w:pPr>
      <w:r w:rsidRPr="0091269F">
        <w:rPr>
          <w:rFonts w:ascii="Arial" w:eastAsia="Times New Roman" w:hAnsi="Arial" w:cs="Arial"/>
          <w:sz w:val="24"/>
          <w:szCs w:val="24"/>
          <w:lang w:eastAsia="en-GB"/>
        </w:rPr>
        <w:t>This alignment can be portrayed through the Sustainable Living Plan of the company that has three key pillars, namely, improving health and well-being, reducing environmental impact, as well as improving livelihoods along the value chain (Patel and Lee, 2025). Indicatively, Unilever has invested in the reduction of greenhouse gas emission in its production plants and procurement of raw materials that are sustainably certified to produce its brands like Lipton and Dove. (Smith, 2023).</w:t>
      </w:r>
    </w:p>
    <w:p w14:paraId="7B44E743" w14:textId="0F99F4D2" w:rsidR="0091269F" w:rsidRPr="0091269F" w:rsidRDefault="0091269F" w:rsidP="0091269F">
      <w:pPr>
        <w:spacing w:before="100" w:beforeAutospacing="1" w:after="100" w:afterAutospacing="1" w:line="360" w:lineRule="auto"/>
        <w:jc w:val="both"/>
        <w:rPr>
          <w:rFonts w:ascii="Arial" w:eastAsia="Times New Roman" w:hAnsi="Arial" w:cs="Arial"/>
          <w:sz w:val="24"/>
          <w:szCs w:val="24"/>
          <w:lang w:eastAsia="en-GB"/>
        </w:rPr>
      </w:pPr>
      <w:r w:rsidRPr="0091269F">
        <w:rPr>
          <w:rFonts w:ascii="Arial" w:eastAsia="Times New Roman" w:hAnsi="Arial" w:cs="Arial"/>
          <w:sz w:val="24"/>
          <w:szCs w:val="24"/>
          <w:lang w:eastAsia="en-GB"/>
        </w:rPr>
        <w:t xml:space="preserve">Brand equity and employee engagement are also achieved through social responsibility activities. Empowerment programs to support women, decent wages within the supply network, and programs that support community health help in improving the reputation of Unilever and align better with its stakeholders (Brown and Green, 2024). </w:t>
      </w:r>
    </w:p>
    <w:p w14:paraId="1D68F0AD" w14:textId="2060D4AD" w:rsidR="0091269F" w:rsidRDefault="0091269F" w:rsidP="0091269F">
      <w:pPr>
        <w:spacing w:before="100" w:beforeAutospacing="1" w:after="100" w:afterAutospacing="1" w:line="360" w:lineRule="auto"/>
        <w:jc w:val="both"/>
        <w:rPr>
          <w:rFonts w:ascii="Arial" w:eastAsia="Times New Roman" w:hAnsi="Arial" w:cs="Arial"/>
          <w:sz w:val="24"/>
          <w:szCs w:val="24"/>
          <w:lang w:eastAsia="en-GB"/>
        </w:rPr>
      </w:pPr>
      <w:r w:rsidRPr="0091269F">
        <w:rPr>
          <w:rFonts w:ascii="Arial" w:eastAsia="Times New Roman" w:hAnsi="Arial" w:cs="Arial"/>
          <w:sz w:val="24"/>
          <w:szCs w:val="24"/>
          <w:lang w:eastAsia="en-GB"/>
        </w:rPr>
        <w:t xml:space="preserve">To conclude, the CSR and sustainability strategy of Unilever is strongly embedded in the company operations, which provides a synergy between social contribution and success. This not only enhances the brand and consumer loyalty of the company but also offers a competitive advantage over the long term since it can predict and respond to regulatory trends by responding to the expectations of the stakeholders and facilitating the innovation of sustainable products (Rahman, 2022). </w:t>
      </w:r>
    </w:p>
    <w:p w14:paraId="3DCBAD77" w14:textId="63BBAC2B" w:rsidR="00F1593B" w:rsidRDefault="00F1593B" w:rsidP="0091269F">
      <w:pPr>
        <w:spacing w:before="100" w:beforeAutospacing="1" w:after="100" w:afterAutospacing="1" w:line="360" w:lineRule="auto"/>
        <w:jc w:val="both"/>
        <w:rPr>
          <w:rFonts w:ascii="Arial" w:eastAsia="Times New Roman" w:hAnsi="Arial" w:cs="Arial"/>
          <w:sz w:val="24"/>
          <w:szCs w:val="24"/>
          <w:lang w:eastAsia="en-GB"/>
        </w:rPr>
      </w:pPr>
    </w:p>
    <w:p w14:paraId="31C8EAFA" w14:textId="7C48E6A3" w:rsidR="00F1593B" w:rsidRDefault="00F1593B" w:rsidP="0091269F">
      <w:pPr>
        <w:spacing w:before="100" w:beforeAutospacing="1" w:after="100" w:afterAutospacing="1" w:line="360" w:lineRule="auto"/>
        <w:jc w:val="both"/>
        <w:rPr>
          <w:rFonts w:ascii="Arial" w:eastAsia="Times New Roman" w:hAnsi="Arial" w:cs="Arial"/>
          <w:sz w:val="24"/>
          <w:szCs w:val="24"/>
          <w:lang w:eastAsia="en-GB"/>
        </w:rPr>
      </w:pPr>
    </w:p>
    <w:p w14:paraId="13C4FFC4" w14:textId="63BC7E40" w:rsidR="00F1593B" w:rsidRDefault="00F1593B" w:rsidP="0091269F">
      <w:pPr>
        <w:spacing w:before="100" w:beforeAutospacing="1" w:after="100" w:afterAutospacing="1" w:line="360" w:lineRule="auto"/>
        <w:jc w:val="both"/>
        <w:rPr>
          <w:rFonts w:ascii="Arial" w:eastAsia="Times New Roman" w:hAnsi="Arial" w:cs="Arial"/>
          <w:sz w:val="24"/>
          <w:szCs w:val="24"/>
          <w:lang w:eastAsia="en-GB"/>
        </w:rPr>
      </w:pPr>
    </w:p>
    <w:p w14:paraId="5144427A" w14:textId="33E1D88E" w:rsidR="00F1593B" w:rsidRDefault="00F1593B" w:rsidP="0091269F">
      <w:pPr>
        <w:spacing w:before="100" w:beforeAutospacing="1" w:after="100" w:afterAutospacing="1" w:line="360" w:lineRule="auto"/>
        <w:jc w:val="both"/>
        <w:rPr>
          <w:rFonts w:ascii="Arial" w:eastAsia="Times New Roman" w:hAnsi="Arial" w:cs="Arial"/>
          <w:sz w:val="24"/>
          <w:szCs w:val="24"/>
          <w:lang w:eastAsia="en-GB"/>
        </w:rPr>
      </w:pPr>
    </w:p>
    <w:p w14:paraId="7A3D8D6F" w14:textId="22311C4B" w:rsidR="00F1593B" w:rsidRDefault="00F1593B" w:rsidP="0091269F">
      <w:pPr>
        <w:spacing w:before="100" w:beforeAutospacing="1" w:after="100" w:afterAutospacing="1" w:line="360" w:lineRule="auto"/>
        <w:jc w:val="both"/>
        <w:rPr>
          <w:rFonts w:ascii="Arial" w:eastAsia="Times New Roman" w:hAnsi="Arial" w:cs="Arial"/>
          <w:sz w:val="24"/>
          <w:szCs w:val="24"/>
          <w:lang w:eastAsia="en-GB"/>
        </w:rPr>
      </w:pPr>
    </w:p>
    <w:p w14:paraId="51172FAE" w14:textId="77777777" w:rsidR="00F1593B" w:rsidRPr="0091269F" w:rsidRDefault="00F1593B" w:rsidP="0091269F">
      <w:pPr>
        <w:spacing w:before="100" w:beforeAutospacing="1" w:after="100" w:afterAutospacing="1" w:line="360" w:lineRule="auto"/>
        <w:jc w:val="both"/>
        <w:rPr>
          <w:rFonts w:ascii="Arial" w:eastAsia="Times New Roman" w:hAnsi="Arial" w:cs="Arial"/>
          <w:sz w:val="24"/>
          <w:szCs w:val="24"/>
          <w:lang w:eastAsia="en-GB"/>
        </w:rPr>
      </w:pPr>
    </w:p>
    <w:p w14:paraId="5DE5CFB9" w14:textId="093BA05E" w:rsidR="0091269F" w:rsidRPr="0091269F" w:rsidRDefault="0091269F" w:rsidP="0091269F">
      <w:pPr>
        <w:spacing w:before="100" w:beforeAutospacing="1" w:after="100" w:afterAutospacing="1" w:line="360" w:lineRule="auto"/>
        <w:jc w:val="both"/>
        <w:rPr>
          <w:rFonts w:ascii="Arial" w:eastAsia="Times New Roman" w:hAnsi="Arial" w:cs="Arial"/>
          <w:sz w:val="24"/>
          <w:szCs w:val="24"/>
          <w:lang w:eastAsia="en-GB"/>
        </w:rPr>
      </w:pPr>
      <w:bookmarkStart w:id="22" w:name="_Toc227831975"/>
      <w:r w:rsidRPr="00D615BA">
        <w:rPr>
          <w:rStyle w:val="Heading1Char"/>
          <w:lang w:eastAsia="en-GB"/>
        </w:rPr>
        <w:lastRenderedPageBreak/>
        <w:t xml:space="preserve">4. </w:t>
      </w:r>
      <w:r w:rsidR="008C6BFF" w:rsidRPr="00D615BA">
        <w:rPr>
          <w:rStyle w:val="Heading1Char"/>
          <w:lang w:eastAsia="en-GB"/>
        </w:rPr>
        <w:t>Holistic Organisational View</w:t>
      </w:r>
      <w:bookmarkEnd w:id="22"/>
      <w:r w:rsidRPr="0091269F">
        <w:rPr>
          <w:rFonts w:ascii="Arial" w:eastAsia="Times New Roman" w:hAnsi="Arial" w:cs="Arial"/>
          <w:sz w:val="24"/>
          <w:szCs w:val="24"/>
          <w:lang w:eastAsia="en-GB"/>
        </w:rPr>
        <w:t>.</w:t>
      </w:r>
    </w:p>
    <w:p w14:paraId="4A06925D" w14:textId="77777777" w:rsidR="00F1593B" w:rsidRDefault="00F1593B" w:rsidP="00F1593B">
      <w:pPr>
        <w:keepNext/>
        <w:spacing w:before="100" w:beforeAutospacing="1" w:after="100" w:afterAutospacing="1" w:line="360" w:lineRule="auto"/>
        <w:jc w:val="center"/>
      </w:pPr>
      <w:r>
        <w:rPr>
          <w:rFonts w:ascii="Arial" w:eastAsia="Times New Roman" w:hAnsi="Arial" w:cs="Arial"/>
          <w:noProof/>
          <w:sz w:val="24"/>
          <w:szCs w:val="24"/>
          <w:lang w:eastAsia="en-GB"/>
        </w:rPr>
        <w:drawing>
          <wp:inline distT="0" distB="0" distL="0" distR="0" wp14:anchorId="45235430" wp14:editId="34338B4F">
            <wp:extent cx="4300538" cy="286702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lot_20260423_10174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04753" cy="2869835"/>
                    </a:xfrm>
                    <a:prstGeom prst="rect">
                      <a:avLst/>
                    </a:prstGeom>
                  </pic:spPr>
                </pic:pic>
              </a:graphicData>
            </a:graphic>
          </wp:inline>
        </w:drawing>
      </w:r>
    </w:p>
    <w:p w14:paraId="1598AD8B" w14:textId="431D59F0" w:rsidR="00F1593B" w:rsidRPr="00F1593B" w:rsidRDefault="00F1593B" w:rsidP="00F1593B">
      <w:pPr>
        <w:pStyle w:val="Caption"/>
        <w:jc w:val="center"/>
        <w:rPr>
          <w:rFonts w:ascii="Arial" w:eastAsia="Times New Roman" w:hAnsi="Arial" w:cs="Arial"/>
          <w:sz w:val="36"/>
          <w:szCs w:val="24"/>
          <w:lang w:eastAsia="en-GB"/>
        </w:rPr>
      </w:pPr>
      <w:bookmarkStart w:id="23" w:name="_Toc227832011"/>
      <w:r w:rsidRPr="00F1593B">
        <w:rPr>
          <w:sz w:val="24"/>
        </w:rPr>
        <w:t xml:space="preserve">Figure </w:t>
      </w:r>
      <w:r w:rsidRPr="00F1593B">
        <w:rPr>
          <w:sz w:val="24"/>
        </w:rPr>
        <w:fldChar w:fldCharType="begin"/>
      </w:r>
      <w:r w:rsidRPr="00F1593B">
        <w:rPr>
          <w:sz w:val="24"/>
        </w:rPr>
        <w:instrText xml:space="preserve"> SEQ Figure \* ARABIC </w:instrText>
      </w:r>
      <w:r w:rsidRPr="00F1593B">
        <w:rPr>
          <w:sz w:val="24"/>
        </w:rPr>
        <w:fldChar w:fldCharType="separate"/>
      </w:r>
      <w:r w:rsidRPr="00F1593B">
        <w:rPr>
          <w:noProof/>
          <w:sz w:val="24"/>
        </w:rPr>
        <w:t>4</w:t>
      </w:r>
      <w:r w:rsidRPr="00F1593B">
        <w:rPr>
          <w:sz w:val="24"/>
        </w:rPr>
        <w:fldChar w:fldCharType="end"/>
      </w:r>
      <w:r w:rsidRPr="00F1593B">
        <w:rPr>
          <w:sz w:val="24"/>
        </w:rPr>
        <w:t>. Balanced Scorecard Framework. Adapted from Kaplan &amp; Norton (1992).</w:t>
      </w:r>
      <w:bookmarkEnd w:id="23"/>
    </w:p>
    <w:p w14:paraId="6BD8C9D1" w14:textId="4AF78AE7" w:rsidR="00F1593B" w:rsidRPr="00256900" w:rsidRDefault="0091269F" w:rsidP="0091269F">
      <w:pPr>
        <w:spacing w:before="100" w:beforeAutospacing="1" w:after="100" w:afterAutospacing="1" w:line="360" w:lineRule="auto"/>
        <w:jc w:val="both"/>
        <w:rPr>
          <w:rFonts w:ascii="Arial" w:eastAsia="Times New Roman" w:hAnsi="Arial" w:cs="Arial"/>
          <w:sz w:val="24"/>
          <w:szCs w:val="24"/>
          <w:lang w:eastAsia="en-GB"/>
        </w:rPr>
      </w:pPr>
      <w:r w:rsidRPr="0091269F">
        <w:rPr>
          <w:rFonts w:ascii="Arial" w:eastAsia="Times New Roman" w:hAnsi="Arial" w:cs="Arial"/>
          <w:sz w:val="24"/>
          <w:szCs w:val="24"/>
          <w:lang w:eastAsia="en-GB"/>
        </w:rPr>
        <w:t>The Balanced Scorecard (BSC) is a multidimensional tool that was created by Kaplan and Norton (1992) to evaluate the performance of organisations other than through financial criteria. Using the framework to interpret the situation of Unilever allows one to have a comprehensive perspective on its strategic goals, key performance indicators (KPIs), goals, and initiatives in four lenses Financial, Customer, Internal Pro</w:t>
      </w:r>
      <w:r>
        <w:rPr>
          <w:rFonts w:ascii="Arial" w:eastAsia="Times New Roman" w:hAnsi="Arial" w:cs="Arial"/>
          <w:sz w:val="24"/>
          <w:szCs w:val="24"/>
          <w:lang w:eastAsia="en-GB"/>
        </w:rPr>
        <w:t>cesses, and Learning and Growth</w:t>
      </w:r>
      <w:r w:rsidR="000A78A5" w:rsidRPr="000A78A5">
        <w:rPr>
          <w:rFonts w:ascii="Arial" w:eastAsia="Times New Roman" w:hAnsi="Arial" w:cs="Arial"/>
          <w:sz w:val="24"/>
          <w:szCs w:val="24"/>
          <w:lang w:eastAsia="en-GB"/>
        </w:rPr>
        <w:t>.</w:t>
      </w:r>
    </w:p>
    <w:p w14:paraId="3F2E4598" w14:textId="5A614454" w:rsidR="00256900" w:rsidRPr="00256900" w:rsidRDefault="00256900" w:rsidP="00256900">
      <w:pPr>
        <w:pStyle w:val="Caption"/>
        <w:keepNext/>
        <w:rPr>
          <w:rFonts w:ascii="Arial" w:hAnsi="Arial" w:cs="Arial"/>
          <w:sz w:val="24"/>
        </w:rPr>
      </w:pPr>
      <w:bookmarkStart w:id="24" w:name="_Toc225689494"/>
      <w:r w:rsidRPr="00256900">
        <w:rPr>
          <w:rFonts w:ascii="Arial" w:hAnsi="Arial" w:cs="Arial"/>
          <w:sz w:val="24"/>
        </w:rPr>
        <w:t xml:space="preserve">Table </w:t>
      </w:r>
      <w:r w:rsidRPr="00256900">
        <w:rPr>
          <w:rFonts w:ascii="Arial" w:hAnsi="Arial" w:cs="Arial"/>
          <w:sz w:val="24"/>
        </w:rPr>
        <w:fldChar w:fldCharType="begin"/>
      </w:r>
      <w:r w:rsidRPr="00256900">
        <w:rPr>
          <w:rFonts w:ascii="Arial" w:hAnsi="Arial" w:cs="Arial"/>
          <w:sz w:val="24"/>
        </w:rPr>
        <w:instrText xml:space="preserve"> SEQ Table \* ARABIC </w:instrText>
      </w:r>
      <w:r w:rsidRPr="00256900">
        <w:rPr>
          <w:rFonts w:ascii="Arial" w:hAnsi="Arial" w:cs="Arial"/>
          <w:sz w:val="24"/>
        </w:rPr>
        <w:fldChar w:fldCharType="separate"/>
      </w:r>
      <w:r w:rsidR="00195D7C">
        <w:rPr>
          <w:rFonts w:ascii="Arial" w:hAnsi="Arial" w:cs="Arial"/>
          <w:noProof/>
          <w:sz w:val="24"/>
        </w:rPr>
        <w:t>4</w:t>
      </w:r>
      <w:r w:rsidRPr="00256900">
        <w:rPr>
          <w:rFonts w:ascii="Arial" w:hAnsi="Arial" w:cs="Arial"/>
          <w:sz w:val="24"/>
        </w:rPr>
        <w:fldChar w:fldCharType="end"/>
      </w:r>
      <w:r w:rsidRPr="00256900">
        <w:rPr>
          <w:rFonts w:ascii="Arial" w:hAnsi="Arial" w:cs="Arial"/>
          <w:sz w:val="24"/>
        </w:rPr>
        <w:t>: Unilever Balanced Scorecard</w:t>
      </w:r>
      <w:bookmarkEnd w:id="24"/>
    </w:p>
    <w:tbl>
      <w:tblPr>
        <w:tblStyle w:val="TableGrid"/>
        <w:tblW w:w="0" w:type="auto"/>
        <w:tblLook w:val="04A0" w:firstRow="1" w:lastRow="0" w:firstColumn="1" w:lastColumn="0" w:noHBand="0" w:noVBand="1"/>
      </w:tblPr>
      <w:tblGrid>
        <w:gridCol w:w="1870"/>
        <w:gridCol w:w="1870"/>
        <w:gridCol w:w="1870"/>
        <w:gridCol w:w="1870"/>
        <w:gridCol w:w="1870"/>
      </w:tblGrid>
      <w:tr w:rsidR="00256900" w:rsidRPr="00256900" w14:paraId="629F7758" w14:textId="77777777" w:rsidTr="00256900">
        <w:tc>
          <w:tcPr>
            <w:tcW w:w="1870" w:type="dxa"/>
          </w:tcPr>
          <w:p w14:paraId="7D73CC28"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Perspective</w:t>
            </w:r>
          </w:p>
        </w:tc>
        <w:tc>
          <w:tcPr>
            <w:tcW w:w="1870" w:type="dxa"/>
          </w:tcPr>
          <w:p w14:paraId="5E6C15DD"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Strategic Objectives</w:t>
            </w:r>
          </w:p>
        </w:tc>
        <w:tc>
          <w:tcPr>
            <w:tcW w:w="1870" w:type="dxa"/>
          </w:tcPr>
          <w:p w14:paraId="738F9886"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KPIs</w:t>
            </w:r>
          </w:p>
        </w:tc>
        <w:tc>
          <w:tcPr>
            <w:tcW w:w="1870" w:type="dxa"/>
          </w:tcPr>
          <w:p w14:paraId="66DB3354"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Targets</w:t>
            </w:r>
          </w:p>
        </w:tc>
        <w:tc>
          <w:tcPr>
            <w:tcW w:w="1870" w:type="dxa"/>
          </w:tcPr>
          <w:p w14:paraId="024D1807"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Key Initiatives</w:t>
            </w:r>
          </w:p>
        </w:tc>
      </w:tr>
      <w:tr w:rsidR="00256900" w:rsidRPr="00256900" w14:paraId="54AA55A0" w14:textId="77777777" w:rsidTr="00256900">
        <w:tc>
          <w:tcPr>
            <w:tcW w:w="1870" w:type="dxa"/>
          </w:tcPr>
          <w:p w14:paraId="1AB24AA8"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Financial</w:t>
            </w:r>
          </w:p>
        </w:tc>
        <w:tc>
          <w:tcPr>
            <w:tcW w:w="1870" w:type="dxa"/>
          </w:tcPr>
          <w:p w14:paraId="44E6D7C9"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Revenue growth, profitability, cost efficiency</w:t>
            </w:r>
          </w:p>
        </w:tc>
        <w:tc>
          <w:tcPr>
            <w:tcW w:w="1870" w:type="dxa"/>
          </w:tcPr>
          <w:p w14:paraId="66F1222B"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Net profit margin, ROI, Cost-to-revenue ratio</w:t>
            </w:r>
          </w:p>
        </w:tc>
        <w:tc>
          <w:tcPr>
            <w:tcW w:w="1870" w:type="dxa"/>
          </w:tcPr>
          <w:p w14:paraId="4BB8B7E4"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Double-digit revenue growth in emerging markets; 5% cost reduction</w:t>
            </w:r>
          </w:p>
        </w:tc>
        <w:tc>
          <w:tcPr>
            <w:tcW w:w="1870" w:type="dxa"/>
          </w:tcPr>
          <w:p w14:paraId="087391BB"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 xml:space="preserve">Lean manufacturing programs; digital supply chain optimisation; </w:t>
            </w:r>
            <w:r w:rsidRPr="00256900">
              <w:rPr>
                <w:rFonts w:ascii="Arial" w:eastAsia="Times New Roman" w:hAnsi="Arial" w:cs="Arial"/>
                <w:sz w:val="24"/>
                <w:szCs w:val="24"/>
                <w:lang w:eastAsia="en-GB"/>
              </w:rPr>
              <w:lastRenderedPageBreak/>
              <w:t>high-margin product portfolio expansion</w:t>
            </w:r>
          </w:p>
        </w:tc>
      </w:tr>
      <w:tr w:rsidR="00256900" w:rsidRPr="00256900" w14:paraId="121135E7" w14:textId="77777777" w:rsidTr="00256900">
        <w:tc>
          <w:tcPr>
            <w:tcW w:w="1870" w:type="dxa"/>
          </w:tcPr>
          <w:p w14:paraId="25A3B8CA"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lastRenderedPageBreak/>
              <w:t>Customer</w:t>
            </w:r>
          </w:p>
        </w:tc>
        <w:tc>
          <w:tcPr>
            <w:tcW w:w="1870" w:type="dxa"/>
          </w:tcPr>
          <w:p w14:paraId="14F4D2CF"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Brand loyalty, satisfaction, market share</w:t>
            </w:r>
          </w:p>
        </w:tc>
        <w:tc>
          <w:tcPr>
            <w:tcW w:w="1870" w:type="dxa"/>
          </w:tcPr>
          <w:p w14:paraId="0F48163C"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Brand equity scores, customer satisfaction index, repeat purchase rate</w:t>
            </w:r>
          </w:p>
        </w:tc>
        <w:tc>
          <w:tcPr>
            <w:tcW w:w="1870" w:type="dxa"/>
          </w:tcPr>
          <w:p w14:paraId="5B89B6C4"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Top-tier global brand recognition; increase sustainable product engagement</w:t>
            </w:r>
          </w:p>
        </w:tc>
        <w:tc>
          <w:tcPr>
            <w:tcW w:w="1870" w:type="dxa"/>
          </w:tcPr>
          <w:p w14:paraId="4D35552B"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Personalised marketing campaigns; multi-channel distribution; eco-friendly product innovation</w:t>
            </w:r>
          </w:p>
        </w:tc>
      </w:tr>
      <w:tr w:rsidR="00256900" w:rsidRPr="00256900" w14:paraId="75B1A702" w14:textId="77777777" w:rsidTr="00256900">
        <w:tc>
          <w:tcPr>
            <w:tcW w:w="1870" w:type="dxa"/>
          </w:tcPr>
          <w:p w14:paraId="394DAC3F"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Internal Processes</w:t>
            </w:r>
          </w:p>
        </w:tc>
        <w:tc>
          <w:tcPr>
            <w:tcW w:w="1870" w:type="dxa"/>
          </w:tcPr>
          <w:p w14:paraId="73D5B1BE"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Operational efficiency, quality, innovation</w:t>
            </w:r>
          </w:p>
        </w:tc>
        <w:tc>
          <w:tcPr>
            <w:tcW w:w="1870" w:type="dxa"/>
          </w:tcPr>
          <w:p w14:paraId="6810C374"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Production cycle time, supply chain lead time, defect rates, innovation pipeline throughput</w:t>
            </w:r>
          </w:p>
        </w:tc>
        <w:tc>
          <w:tcPr>
            <w:tcW w:w="1870" w:type="dxa"/>
          </w:tcPr>
          <w:p w14:paraId="662715AD"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10% reduction in production waste; 15% faster product-to-market cycle</w:t>
            </w:r>
          </w:p>
        </w:tc>
        <w:tc>
          <w:tcPr>
            <w:tcW w:w="1870" w:type="dxa"/>
          </w:tcPr>
          <w:p w14:paraId="04777434"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Industry 4.0 adoption; advanced analytics for inventory; cross-functional collaboration</w:t>
            </w:r>
          </w:p>
        </w:tc>
      </w:tr>
      <w:tr w:rsidR="00256900" w:rsidRPr="00256900" w14:paraId="0FF7ACE0" w14:textId="77777777" w:rsidTr="00256900">
        <w:tc>
          <w:tcPr>
            <w:tcW w:w="1870" w:type="dxa"/>
          </w:tcPr>
          <w:p w14:paraId="3B60F9CD" w14:textId="77777777" w:rsidR="00256900" w:rsidRPr="00256900" w:rsidRDefault="00256900" w:rsidP="000526FD">
            <w:pPr>
              <w:spacing w:before="100" w:beforeAutospacing="1" w:after="100" w:afterAutospacing="1" w:line="360" w:lineRule="auto"/>
              <w:jc w:val="both"/>
              <w:rPr>
                <w:rFonts w:ascii="Arial" w:eastAsia="Times New Roman" w:hAnsi="Arial" w:cs="Arial"/>
                <w:b/>
                <w:sz w:val="24"/>
                <w:szCs w:val="24"/>
                <w:lang w:eastAsia="en-GB"/>
              </w:rPr>
            </w:pPr>
            <w:r w:rsidRPr="00256900">
              <w:rPr>
                <w:rFonts w:ascii="Arial" w:eastAsia="Times New Roman" w:hAnsi="Arial" w:cs="Arial"/>
                <w:b/>
                <w:sz w:val="24"/>
                <w:szCs w:val="24"/>
                <w:lang w:eastAsia="en-GB"/>
              </w:rPr>
              <w:t>Learning &amp; Growth</w:t>
            </w:r>
          </w:p>
        </w:tc>
        <w:tc>
          <w:tcPr>
            <w:tcW w:w="1870" w:type="dxa"/>
          </w:tcPr>
          <w:p w14:paraId="125C13E7"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Employee engagement, talent development, innovation capability</w:t>
            </w:r>
          </w:p>
        </w:tc>
        <w:tc>
          <w:tcPr>
            <w:tcW w:w="1870" w:type="dxa"/>
          </w:tcPr>
          <w:p w14:paraId="71744401"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Employee retention rate, training hours per employee, number of new products launched</w:t>
            </w:r>
          </w:p>
        </w:tc>
        <w:tc>
          <w:tcPr>
            <w:tcW w:w="1870" w:type="dxa"/>
          </w:tcPr>
          <w:p w14:paraId="1461D852"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Increase workforce competency; launch 20 sustainable products annually</w:t>
            </w:r>
          </w:p>
        </w:tc>
        <w:tc>
          <w:tcPr>
            <w:tcW w:w="1870" w:type="dxa"/>
          </w:tcPr>
          <w:p w14:paraId="08B4824E" w14:textId="77777777" w:rsidR="00256900" w:rsidRPr="00256900" w:rsidRDefault="00256900" w:rsidP="000526FD">
            <w:pPr>
              <w:spacing w:before="100" w:beforeAutospacing="1" w:after="100" w:afterAutospacing="1" w:line="360" w:lineRule="auto"/>
              <w:jc w:val="both"/>
              <w:rPr>
                <w:rFonts w:ascii="Arial" w:eastAsia="Times New Roman" w:hAnsi="Arial" w:cs="Arial"/>
                <w:sz w:val="24"/>
                <w:szCs w:val="24"/>
                <w:lang w:eastAsia="en-GB"/>
              </w:rPr>
            </w:pPr>
            <w:r w:rsidRPr="00256900">
              <w:rPr>
                <w:rFonts w:ascii="Arial" w:eastAsia="Times New Roman" w:hAnsi="Arial" w:cs="Arial"/>
                <w:sz w:val="24"/>
                <w:szCs w:val="24"/>
                <w:lang w:eastAsia="en-GB"/>
              </w:rPr>
              <w:t>Leadership programs; digital skill training; innovation incentives</w:t>
            </w:r>
          </w:p>
        </w:tc>
      </w:tr>
    </w:tbl>
    <w:p w14:paraId="7AF6BF8A" w14:textId="77777777" w:rsidR="00D615BA" w:rsidRDefault="00D615BA" w:rsidP="00D615BA">
      <w:pPr>
        <w:pStyle w:val="Heading2"/>
        <w:rPr>
          <w:rFonts w:eastAsia="Times New Roman"/>
          <w:lang w:eastAsia="en-GB"/>
        </w:rPr>
      </w:pPr>
    </w:p>
    <w:p w14:paraId="02AE8387" w14:textId="785549A2" w:rsidR="000A78A5" w:rsidRPr="000A78A5" w:rsidRDefault="00AA4DFD" w:rsidP="00D615BA">
      <w:pPr>
        <w:pStyle w:val="Heading2"/>
        <w:rPr>
          <w:rFonts w:eastAsia="Times New Roman"/>
          <w:lang w:eastAsia="en-GB"/>
        </w:rPr>
      </w:pPr>
      <w:bookmarkStart w:id="25" w:name="_Toc227831976"/>
      <w:r>
        <w:rPr>
          <w:rFonts w:eastAsia="Times New Roman"/>
          <w:lang w:eastAsia="en-GB"/>
        </w:rPr>
        <w:t>4.1 Financial Perspective</w:t>
      </w:r>
      <w:bookmarkEnd w:id="25"/>
    </w:p>
    <w:p w14:paraId="6537CE7A" w14:textId="0713ADCD" w:rsidR="00A530DD" w:rsidRPr="00A530DD"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The financial view measures the ability of Unilever to create shareholder value. The important targets are expansion of revenues, profitability, and cost-efficiency. Unilever has been experiencing steady growth globally with revenues of about 60 billion Euros in 2024 (Brown, 2023). KPIs involve the net profit margin, the ROI, and the ratio of cost to revenue. The goals are to sustain over-10 percent growth in revenue in the emerging markets and increase operational efficiency by 5 percent per year.</w:t>
      </w:r>
    </w:p>
    <w:p w14:paraId="28F90DAA" w14:textId="77777777" w:rsidR="00A530DD" w:rsidRPr="00A530DD" w:rsidRDefault="00A530DD" w:rsidP="00D615BA">
      <w:pPr>
        <w:pStyle w:val="Heading2"/>
        <w:rPr>
          <w:rFonts w:eastAsia="Times New Roman"/>
          <w:lang w:eastAsia="en-GB"/>
        </w:rPr>
      </w:pPr>
      <w:bookmarkStart w:id="26" w:name="_Toc227831977"/>
      <w:r w:rsidRPr="00A530DD">
        <w:rPr>
          <w:rFonts w:eastAsia="Times New Roman"/>
          <w:lang w:eastAsia="en-GB"/>
        </w:rPr>
        <w:t>4.2 Customer Perspective</w:t>
      </w:r>
      <w:bookmarkEnd w:id="26"/>
    </w:p>
    <w:p w14:paraId="650D60AF" w14:textId="344BB109" w:rsidR="00A530DD" w:rsidRPr="00A530DD"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 xml:space="preserve">Customer-based goals aim at improving the market share, satisfaction as well as brand loyalty. KPIs would consist of brand equity scores, customer satisfaction indices and repeat purchase rates. Unilever aims to reach the highest level of brand awareness in the major markets in the world and gain more consumer interest in its sustainable product categories. </w:t>
      </w:r>
      <w:r w:rsidR="00D615BA">
        <w:rPr>
          <w:rFonts w:ascii="Arial" w:eastAsia="Times New Roman" w:hAnsi="Arial" w:cs="Arial"/>
          <w:sz w:val="24"/>
          <w:szCs w:val="24"/>
          <w:lang w:eastAsia="en-GB"/>
        </w:rPr>
        <w:t>(Nguyen, 2023).</w:t>
      </w:r>
    </w:p>
    <w:p w14:paraId="4D430698" w14:textId="77777777" w:rsidR="00A530DD" w:rsidRPr="00A530DD" w:rsidRDefault="00A530DD" w:rsidP="00D615BA">
      <w:pPr>
        <w:pStyle w:val="Heading2"/>
        <w:rPr>
          <w:rFonts w:eastAsia="Times New Roman"/>
          <w:lang w:eastAsia="en-GB"/>
        </w:rPr>
      </w:pPr>
      <w:bookmarkStart w:id="27" w:name="_Toc227831978"/>
      <w:r w:rsidRPr="00A530DD">
        <w:rPr>
          <w:rFonts w:eastAsia="Times New Roman"/>
          <w:lang w:eastAsia="en-GB"/>
        </w:rPr>
        <w:t>4.3 Internal Processes Perspective.</w:t>
      </w:r>
      <w:bookmarkEnd w:id="27"/>
    </w:p>
    <w:p w14:paraId="1F60DA13" w14:textId="47C44029" w:rsidR="00A530DD" w:rsidRPr="00A530DD"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The internal processes perspective evaluates the effectiveness and efficiency of the operations of Unilever. The important goals are the streamlining of production, optimisation of supply chains and quality control. KPIs are production cycle time, Supply chain lead time, defect rates and innovation pipeline throughput. Targets include the 10 percent reduction in waste in the production process and an increase in the product-to-market cycle by 15 percent. (Smith, 2023).</w:t>
      </w:r>
    </w:p>
    <w:p w14:paraId="6392F4FD" w14:textId="7C498CAB" w:rsidR="00942C68" w:rsidRDefault="00A530DD" w:rsidP="00D615BA">
      <w:pPr>
        <w:pStyle w:val="Heading2"/>
        <w:rPr>
          <w:rFonts w:eastAsia="Times New Roman"/>
          <w:lang w:eastAsia="en-GB"/>
        </w:rPr>
      </w:pPr>
      <w:bookmarkStart w:id="28" w:name="_Toc227831979"/>
      <w:r w:rsidRPr="00A530DD">
        <w:rPr>
          <w:rFonts w:eastAsia="Times New Roman"/>
          <w:lang w:eastAsia="en-GB"/>
        </w:rPr>
        <w:t>4.4 Learning &amp; Growth Perspective</w:t>
      </w:r>
      <w:bookmarkEnd w:id="28"/>
      <w:r w:rsidRPr="00A530DD">
        <w:rPr>
          <w:rFonts w:eastAsia="Times New Roman"/>
          <w:lang w:eastAsia="en-GB"/>
        </w:rPr>
        <w:t xml:space="preserve"> </w:t>
      </w:r>
    </w:p>
    <w:p w14:paraId="619AD11C" w14:textId="3B73C680" w:rsidR="00A530DD" w:rsidRPr="00A530DD"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 xml:space="preserve"> The learner might experience contradiction and unfair treatment because of the few connections with the members of his or her community.</w:t>
      </w:r>
    </w:p>
    <w:p w14:paraId="0B550095" w14:textId="77777777" w:rsidR="00A530DD" w:rsidRPr="00A530DD"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 xml:space="preserve">Learning &amp; growth is interested in human capital, organisational culture and innovation capacities development. The objectives will be staff involvement, talent, and a culture of </w:t>
      </w:r>
      <w:r w:rsidRPr="00A530DD">
        <w:rPr>
          <w:rFonts w:ascii="Arial" w:eastAsia="Times New Roman" w:hAnsi="Arial" w:cs="Arial"/>
          <w:sz w:val="24"/>
          <w:szCs w:val="24"/>
          <w:lang w:eastAsia="en-GB"/>
        </w:rPr>
        <w:lastRenderedPageBreak/>
        <w:t>continuous improvement. KPIs include employee retention levels, number of hours spent on training employees and new product launches. The goals include enhancing the competency of the workforce via constant learning alternations and spur creativity by introducing over 20 new sustainable products each year. The major programs are leadership development programs, training in digital skills and incentives of innovative projects (Rahman, 2022).</w:t>
      </w:r>
    </w:p>
    <w:p w14:paraId="57040CB3" w14:textId="77777777" w:rsidR="00A530DD" w:rsidRPr="00A530DD" w:rsidRDefault="00A530DD" w:rsidP="00D615BA">
      <w:pPr>
        <w:pStyle w:val="Heading2"/>
        <w:rPr>
          <w:rFonts w:eastAsia="Times New Roman"/>
          <w:lang w:eastAsia="en-GB"/>
        </w:rPr>
      </w:pPr>
      <w:bookmarkStart w:id="29" w:name="_Toc227831980"/>
      <w:r w:rsidRPr="00A530DD">
        <w:rPr>
          <w:rFonts w:eastAsia="Times New Roman"/>
          <w:lang w:eastAsia="en-GB"/>
        </w:rPr>
        <w:t>4.5 Strategic Integration</w:t>
      </w:r>
      <w:bookmarkEnd w:id="29"/>
    </w:p>
    <w:p w14:paraId="51680E2F" w14:textId="2A2CF609" w:rsidR="00A530DD" w:rsidRPr="00A530DD"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 xml:space="preserve">Unilever combines these four perspectives to make operations performance in line with the strategic objectives. Efficient internal processes lead to better customer experiences and loyalty as well as financial performance. Workforce competency through learning and development efforts is the ability to support the sustenance of innovation and adaptability to market trends, and this strengthens competitiveness in the long-term. </w:t>
      </w:r>
    </w:p>
    <w:p w14:paraId="14A83E2D" w14:textId="6AF28FB9" w:rsidR="000A78A5" w:rsidRDefault="00A530DD" w:rsidP="00A530DD">
      <w:pPr>
        <w:spacing w:before="100" w:beforeAutospacing="1" w:after="100" w:afterAutospacing="1" w:line="360" w:lineRule="auto"/>
        <w:jc w:val="both"/>
        <w:rPr>
          <w:rFonts w:ascii="Arial" w:eastAsia="Times New Roman" w:hAnsi="Arial" w:cs="Arial"/>
          <w:sz w:val="24"/>
          <w:szCs w:val="24"/>
          <w:lang w:eastAsia="en-GB"/>
        </w:rPr>
      </w:pPr>
      <w:r w:rsidRPr="00A530DD">
        <w:rPr>
          <w:rFonts w:ascii="Arial" w:eastAsia="Times New Roman" w:hAnsi="Arial" w:cs="Arial"/>
          <w:sz w:val="24"/>
          <w:szCs w:val="24"/>
          <w:lang w:eastAsia="en-GB"/>
        </w:rPr>
        <w:t>To sum up, the implementation of the Balanced Scorecard provides an integrated perspective on the organisational performance of Unilever linking strategic goals with quantifiable results. It makes sure that financial gains are reinforced with healthy customer relations, effective running of processes and organisational learning. This combination strategy enhances the capability of Unilever to continue taking the lead globally in the market, as well as ensuring sustain</w:t>
      </w:r>
      <w:r>
        <w:rPr>
          <w:rFonts w:ascii="Arial" w:eastAsia="Times New Roman" w:hAnsi="Arial" w:cs="Arial"/>
          <w:sz w:val="24"/>
          <w:szCs w:val="24"/>
          <w:lang w:eastAsia="en-GB"/>
        </w:rPr>
        <w:t>able development and innovation</w:t>
      </w:r>
      <w:r w:rsidR="000A78A5" w:rsidRPr="000A78A5">
        <w:rPr>
          <w:rFonts w:ascii="Arial" w:eastAsia="Times New Roman" w:hAnsi="Arial" w:cs="Arial"/>
          <w:sz w:val="24"/>
          <w:szCs w:val="24"/>
          <w:lang w:eastAsia="en-GB"/>
        </w:rPr>
        <w:t>.</w:t>
      </w:r>
    </w:p>
    <w:p w14:paraId="69056719" w14:textId="46E27D45" w:rsidR="00195D7C" w:rsidRPr="00195D7C" w:rsidRDefault="00195D7C" w:rsidP="00D615BA">
      <w:pPr>
        <w:pStyle w:val="Heading1"/>
        <w:rPr>
          <w:rFonts w:eastAsia="Times New Roman"/>
          <w:lang w:eastAsia="en-GB"/>
        </w:rPr>
      </w:pPr>
      <w:bookmarkStart w:id="30" w:name="_Toc227831981"/>
      <w:r>
        <w:rPr>
          <w:rFonts w:eastAsia="Times New Roman"/>
          <w:lang w:eastAsia="en-GB"/>
        </w:rPr>
        <w:t xml:space="preserve">5. </w:t>
      </w:r>
      <w:r w:rsidR="005770B0" w:rsidRPr="005770B0">
        <w:rPr>
          <w:rFonts w:eastAsia="Times New Roman"/>
          <w:lang w:eastAsia="en-GB"/>
        </w:rPr>
        <w:t>Str</w:t>
      </w:r>
      <w:r w:rsidR="00905174">
        <w:rPr>
          <w:rFonts w:eastAsia="Times New Roman"/>
          <w:lang w:eastAsia="en-GB"/>
        </w:rPr>
        <w:t>ategic Choices &amp; Implementation</w:t>
      </w:r>
      <w:bookmarkEnd w:id="30"/>
    </w:p>
    <w:p w14:paraId="4C8C6A15" w14:textId="044C8145" w:rsidR="00195D7C" w:rsidRPr="00195D7C" w:rsidRDefault="00195D7C" w:rsidP="00195D7C">
      <w:pPr>
        <w:pStyle w:val="Caption"/>
        <w:keepNext/>
        <w:rPr>
          <w:rFonts w:ascii="Arial" w:hAnsi="Arial" w:cs="Arial"/>
          <w:sz w:val="24"/>
        </w:rPr>
      </w:pPr>
      <w:bookmarkStart w:id="31" w:name="_Toc225689495"/>
      <w:r w:rsidRPr="00195D7C">
        <w:rPr>
          <w:rFonts w:ascii="Arial" w:hAnsi="Arial" w:cs="Arial"/>
          <w:sz w:val="24"/>
        </w:rPr>
        <w:t xml:space="preserve">Table </w:t>
      </w:r>
      <w:r w:rsidRPr="00195D7C">
        <w:rPr>
          <w:rFonts w:ascii="Arial" w:hAnsi="Arial" w:cs="Arial"/>
          <w:sz w:val="24"/>
        </w:rPr>
        <w:fldChar w:fldCharType="begin"/>
      </w:r>
      <w:r w:rsidRPr="00195D7C">
        <w:rPr>
          <w:rFonts w:ascii="Arial" w:hAnsi="Arial" w:cs="Arial"/>
          <w:sz w:val="24"/>
        </w:rPr>
        <w:instrText xml:space="preserve"> SEQ Table \* ARABIC </w:instrText>
      </w:r>
      <w:r w:rsidRPr="00195D7C">
        <w:rPr>
          <w:rFonts w:ascii="Arial" w:hAnsi="Arial" w:cs="Arial"/>
          <w:sz w:val="24"/>
        </w:rPr>
        <w:fldChar w:fldCharType="separate"/>
      </w:r>
      <w:r w:rsidRPr="00195D7C">
        <w:rPr>
          <w:rFonts w:ascii="Arial" w:hAnsi="Arial" w:cs="Arial"/>
          <w:noProof/>
          <w:sz w:val="24"/>
        </w:rPr>
        <w:t>5</w:t>
      </w:r>
      <w:r w:rsidRPr="00195D7C">
        <w:rPr>
          <w:rFonts w:ascii="Arial" w:hAnsi="Arial" w:cs="Arial"/>
          <w:sz w:val="24"/>
        </w:rPr>
        <w:fldChar w:fldCharType="end"/>
      </w:r>
      <w:r w:rsidRPr="00195D7C">
        <w:rPr>
          <w:rFonts w:ascii="Arial" w:hAnsi="Arial" w:cs="Arial"/>
          <w:sz w:val="24"/>
        </w:rPr>
        <w:t>: Unilever’s Business-Level and Corporate-Level Strategies</w:t>
      </w:r>
      <w:bookmarkEnd w:id="3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7"/>
        <w:gridCol w:w="1570"/>
        <w:gridCol w:w="2561"/>
        <w:gridCol w:w="1711"/>
        <w:gridCol w:w="2251"/>
      </w:tblGrid>
      <w:tr w:rsidR="00195D7C" w:rsidRPr="00195D7C" w14:paraId="3577550E" w14:textId="77777777" w:rsidTr="00195D7C">
        <w:trPr>
          <w:tblHeader/>
          <w:tblCellSpacing w:w="15" w:type="dxa"/>
        </w:trPr>
        <w:tc>
          <w:tcPr>
            <w:tcW w:w="0" w:type="auto"/>
            <w:vAlign w:val="center"/>
            <w:hideMark/>
          </w:tcPr>
          <w:p w14:paraId="1C9A2EEB" w14:textId="77777777" w:rsidR="00195D7C" w:rsidRPr="00195D7C" w:rsidRDefault="00195D7C" w:rsidP="00195D7C">
            <w:pPr>
              <w:spacing w:after="0" w:line="240" w:lineRule="auto"/>
              <w:jc w:val="center"/>
              <w:rPr>
                <w:rFonts w:ascii="Times New Roman" w:eastAsia="Times New Roman" w:hAnsi="Times New Roman" w:cs="Times New Roman"/>
                <w:b/>
                <w:bCs/>
                <w:sz w:val="24"/>
                <w:szCs w:val="24"/>
                <w:lang w:eastAsia="en-GB"/>
              </w:rPr>
            </w:pPr>
            <w:r w:rsidRPr="00195D7C">
              <w:rPr>
                <w:rFonts w:ascii="Times New Roman" w:eastAsia="Times New Roman" w:hAnsi="Times New Roman" w:cs="Times New Roman"/>
                <w:b/>
                <w:bCs/>
                <w:sz w:val="24"/>
                <w:szCs w:val="24"/>
                <w:lang w:eastAsia="en-GB"/>
              </w:rPr>
              <w:t>Strategy Type</w:t>
            </w:r>
          </w:p>
        </w:tc>
        <w:tc>
          <w:tcPr>
            <w:tcW w:w="0" w:type="auto"/>
            <w:vAlign w:val="center"/>
            <w:hideMark/>
          </w:tcPr>
          <w:p w14:paraId="6206AC75" w14:textId="77777777" w:rsidR="00195D7C" w:rsidRPr="00195D7C" w:rsidRDefault="00195D7C" w:rsidP="00195D7C">
            <w:pPr>
              <w:spacing w:after="0" w:line="240" w:lineRule="auto"/>
              <w:jc w:val="center"/>
              <w:rPr>
                <w:rFonts w:ascii="Times New Roman" w:eastAsia="Times New Roman" w:hAnsi="Times New Roman" w:cs="Times New Roman"/>
                <w:b/>
                <w:bCs/>
                <w:sz w:val="24"/>
                <w:szCs w:val="24"/>
                <w:lang w:eastAsia="en-GB"/>
              </w:rPr>
            </w:pPr>
            <w:r w:rsidRPr="00195D7C">
              <w:rPr>
                <w:rFonts w:ascii="Times New Roman" w:eastAsia="Times New Roman" w:hAnsi="Times New Roman" w:cs="Times New Roman"/>
                <w:b/>
                <w:bCs/>
                <w:sz w:val="24"/>
                <w:szCs w:val="24"/>
                <w:lang w:eastAsia="en-GB"/>
              </w:rPr>
              <w:t>Approach</w:t>
            </w:r>
          </w:p>
        </w:tc>
        <w:tc>
          <w:tcPr>
            <w:tcW w:w="0" w:type="auto"/>
            <w:vAlign w:val="center"/>
            <w:hideMark/>
          </w:tcPr>
          <w:p w14:paraId="35130276" w14:textId="77777777" w:rsidR="00195D7C" w:rsidRPr="00195D7C" w:rsidRDefault="00195D7C" w:rsidP="00195D7C">
            <w:pPr>
              <w:spacing w:after="0" w:line="240" w:lineRule="auto"/>
              <w:jc w:val="center"/>
              <w:rPr>
                <w:rFonts w:ascii="Times New Roman" w:eastAsia="Times New Roman" w:hAnsi="Times New Roman" w:cs="Times New Roman"/>
                <w:b/>
                <w:bCs/>
                <w:sz w:val="24"/>
                <w:szCs w:val="24"/>
                <w:lang w:eastAsia="en-GB"/>
              </w:rPr>
            </w:pPr>
            <w:r w:rsidRPr="00195D7C">
              <w:rPr>
                <w:rFonts w:ascii="Times New Roman" w:eastAsia="Times New Roman" w:hAnsi="Times New Roman" w:cs="Times New Roman"/>
                <w:b/>
                <w:bCs/>
                <w:sz w:val="24"/>
                <w:szCs w:val="24"/>
                <w:lang w:eastAsia="en-GB"/>
              </w:rPr>
              <w:t>Key Actions / Initiatives</w:t>
            </w:r>
          </w:p>
        </w:tc>
        <w:tc>
          <w:tcPr>
            <w:tcW w:w="0" w:type="auto"/>
            <w:vAlign w:val="center"/>
            <w:hideMark/>
          </w:tcPr>
          <w:p w14:paraId="3552294E" w14:textId="77777777" w:rsidR="00195D7C" w:rsidRPr="00195D7C" w:rsidRDefault="00195D7C" w:rsidP="00195D7C">
            <w:pPr>
              <w:spacing w:after="0" w:line="240" w:lineRule="auto"/>
              <w:jc w:val="center"/>
              <w:rPr>
                <w:rFonts w:ascii="Times New Roman" w:eastAsia="Times New Roman" w:hAnsi="Times New Roman" w:cs="Times New Roman"/>
                <w:b/>
                <w:bCs/>
                <w:sz w:val="24"/>
                <w:szCs w:val="24"/>
                <w:lang w:eastAsia="en-GB"/>
              </w:rPr>
            </w:pPr>
            <w:r w:rsidRPr="00195D7C">
              <w:rPr>
                <w:rFonts w:ascii="Times New Roman" w:eastAsia="Times New Roman" w:hAnsi="Times New Roman" w:cs="Times New Roman"/>
                <w:b/>
                <w:bCs/>
                <w:sz w:val="24"/>
                <w:szCs w:val="24"/>
                <w:lang w:eastAsia="en-GB"/>
              </w:rPr>
              <w:t>KPIs / Measures</w:t>
            </w:r>
          </w:p>
        </w:tc>
        <w:tc>
          <w:tcPr>
            <w:tcW w:w="0" w:type="auto"/>
            <w:vAlign w:val="center"/>
            <w:hideMark/>
          </w:tcPr>
          <w:p w14:paraId="2C077745" w14:textId="77777777" w:rsidR="00195D7C" w:rsidRPr="00195D7C" w:rsidRDefault="00195D7C" w:rsidP="00195D7C">
            <w:pPr>
              <w:spacing w:after="0" w:line="240" w:lineRule="auto"/>
              <w:jc w:val="center"/>
              <w:rPr>
                <w:rFonts w:ascii="Times New Roman" w:eastAsia="Times New Roman" w:hAnsi="Times New Roman" w:cs="Times New Roman"/>
                <w:b/>
                <w:bCs/>
                <w:sz w:val="24"/>
                <w:szCs w:val="24"/>
                <w:lang w:eastAsia="en-GB"/>
              </w:rPr>
            </w:pPr>
            <w:r w:rsidRPr="00195D7C">
              <w:rPr>
                <w:rFonts w:ascii="Times New Roman" w:eastAsia="Times New Roman" w:hAnsi="Times New Roman" w:cs="Times New Roman"/>
                <w:b/>
                <w:bCs/>
                <w:sz w:val="24"/>
                <w:szCs w:val="24"/>
                <w:lang w:eastAsia="en-GB"/>
              </w:rPr>
              <w:t>Impact on Competitive Advantage</w:t>
            </w:r>
          </w:p>
        </w:tc>
      </w:tr>
      <w:tr w:rsidR="00195D7C" w:rsidRPr="00195D7C" w14:paraId="37F822CB" w14:textId="77777777" w:rsidTr="00195D7C">
        <w:trPr>
          <w:tblCellSpacing w:w="15" w:type="dxa"/>
        </w:trPr>
        <w:tc>
          <w:tcPr>
            <w:tcW w:w="0" w:type="auto"/>
            <w:vAlign w:val="center"/>
            <w:hideMark/>
          </w:tcPr>
          <w:p w14:paraId="3E06BC66"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b/>
                <w:bCs/>
                <w:sz w:val="24"/>
                <w:szCs w:val="24"/>
                <w:lang w:eastAsia="en-GB"/>
              </w:rPr>
              <w:t>Business-Level</w:t>
            </w:r>
          </w:p>
        </w:tc>
        <w:tc>
          <w:tcPr>
            <w:tcW w:w="0" w:type="auto"/>
            <w:vAlign w:val="center"/>
            <w:hideMark/>
          </w:tcPr>
          <w:p w14:paraId="23766561"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Cost Leadership</w:t>
            </w:r>
          </w:p>
        </w:tc>
        <w:tc>
          <w:tcPr>
            <w:tcW w:w="0" w:type="auto"/>
            <w:vAlign w:val="center"/>
            <w:hideMark/>
          </w:tcPr>
          <w:p w14:paraId="101C094A"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Operational efficiency across 100+ production sites• Regional sourcing to reduce costs• Scale economies</w:t>
            </w:r>
          </w:p>
        </w:tc>
        <w:tc>
          <w:tcPr>
            <w:tcW w:w="0" w:type="auto"/>
            <w:vAlign w:val="center"/>
            <w:hideMark/>
          </w:tcPr>
          <w:p w14:paraId="1E9D2790"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Production cost per unit• Operating margin</w:t>
            </w:r>
          </w:p>
        </w:tc>
        <w:tc>
          <w:tcPr>
            <w:tcW w:w="0" w:type="auto"/>
            <w:vAlign w:val="center"/>
            <w:hideMark/>
          </w:tcPr>
          <w:p w14:paraId="0E038453"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Lowers costs, maintains price competitiveness, supports profitability</w:t>
            </w:r>
          </w:p>
        </w:tc>
      </w:tr>
      <w:tr w:rsidR="00195D7C" w:rsidRPr="00195D7C" w14:paraId="6BF8FDFB" w14:textId="77777777" w:rsidTr="00195D7C">
        <w:trPr>
          <w:tblCellSpacing w:w="15" w:type="dxa"/>
        </w:trPr>
        <w:tc>
          <w:tcPr>
            <w:tcW w:w="0" w:type="auto"/>
            <w:vAlign w:val="center"/>
            <w:hideMark/>
          </w:tcPr>
          <w:p w14:paraId="455B99E4"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b/>
                <w:bCs/>
                <w:sz w:val="24"/>
                <w:szCs w:val="24"/>
                <w:lang w:eastAsia="en-GB"/>
              </w:rPr>
              <w:t>Business-Level</w:t>
            </w:r>
          </w:p>
        </w:tc>
        <w:tc>
          <w:tcPr>
            <w:tcW w:w="0" w:type="auto"/>
            <w:vAlign w:val="center"/>
            <w:hideMark/>
          </w:tcPr>
          <w:p w14:paraId="662B98FE"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Differentiation</w:t>
            </w:r>
          </w:p>
        </w:tc>
        <w:tc>
          <w:tcPr>
            <w:tcW w:w="0" w:type="auto"/>
            <w:vAlign w:val="center"/>
            <w:hideMark/>
          </w:tcPr>
          <w:p w14:paraId="319927F5"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xml:space="preserve">• Innovation in products (plant-based, biodegradable)• Strong brand portfolio (Dove, </w:t>
            </w:r>
            <w:r w:rsidRPr="00195D7C">
              <w:rPr>
                <w:rFonts w:ascii="Times New Roman" w:eastAsia="Times New Roman" w:hAnsi="Times New Roman" w:cs="Times New Roman"/>
                <w:sz w:val="24"/>
                <w:szCs w:val="24"/>
                <w:lang w:eastAsia="en-GB"/>
              </w:rPr>
              <w:lastRenderedPageBreak/>
              <w:t>Lipton)• Marketing campaigns tailored to local markets</w:t>
            </w:r>
          </w:p>
        </w:tc>
        <w:tc>
          <w:tcPr>
            <w:tcW w:w="0" w:type="auto"/>
            <w:vAlign w:val="center"/>
            <w:hideMark/>
          </w:tcPr>
          <w:p w14:paraId="5B9EBA1E"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lastRenderedPageBreak/>
              <w:t xml:space="preserve">• Brand loyalty metrics• Market share growth• </w:t>
            </w:r>
            <w:r w:rsidRPr="00195D7C">
              <w:rPr>
                <w:rFonts w:ascii="Times New Roman" w:eastAsia="Times New Roman" w:hAnsi="Times New Roman" w:cs="Times New Roman"/>
                <w:sz w:val="24"/>
                <w:szCs w:val="24"/>
                <w:lang w:eastAsia="en-GB"/>
              </w:rPr>
              <w:lastRenderedPageBreak/>
              <w:t>Customer satisfaction</w:t>
            </w:r>
          </w:p>
        </w:tc>
        <w:tc>
          <w:tcPr>
            <w:tcW w:w="0" w:type="auto"/>
            <w:vAlign w:val="center"/>
            <w:hideMark/>
          </w:tcPr>
          <w:p w14:paraId="7357021D"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lastRenderedPageBreak/>
              <w:t xml:space="preserve">Builds strong brand equity, customer loyalty, and </w:t>
            </w:r>
            <w:r w:rsidRPr="00195D7C">
              <w:rPr>
                <w:rFonts w:ascii="Times New Roman" w:eastAsia="Times New Roman" w:hAnsi="Times New Roman" w:cs="Times New Roman"/>
                <w:sz w:val="24"/>
                <w:szCs w:val="24"/>
                <w:lang w:eastAsia="en-GB"/>
              </w:rPr>
              <w:lastRenderedPageBreak/>
              <w:t>sustainable differentiation</w:t>
            </w:r>
          </w:p>
        </w:tc>
      </w:tr>
      <w:tr w:rsidR="00195D7C" w:rsidRPr="00195D7C" w14:paraId="5889DF19" w14:textId="77777777" w:rsidTr="00195D7C">
        <w:trPr>
          <w:tblCellSpacing w:w="15" w:type="dxa"/>
        </w:trPr>
        <w:tc>
          <w:tcPr>
            <w:tcW w:w="0" w:type="auto"/>
            <w:vAlign w:val="center"/>
            <w:hideMark/>
          </w:tcPr>
          <w:p w14:paraId="4A34724E"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b/>
                <w:bCs/>
                <w:sz w:val="24"/>
                <w:szCs w:val="24"/>
                <w:lang w:eastAsia="en-GB"/>
              </w:rPr>
              <w:lastRenderedPageBreak/>
              <w:t>Corporate-Level</w:t>
            </w:r>
          </w:p>
        </w:tc>
        <w:tc>
          <w:tcPr>
            <w:tcW w:w="0" w:type="auto"/>
            <w:vAlign w:val="center"/>
            <w:hideMark/>
          </w:tcPr>
          <w:p w14:paraId="5911F85F"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International Expansion</w:t>
            </w:r>
          </w:p>
        </w:tc>
        <w:tc>
          <w:tcPr>
            <w:tcW w:w="0" w:type="auto"/>
            <w:vAlign w:val="center"/>
            <w:hideMark/>
          </w:tcPr>
          <w:p w14:paraId="21722CC8"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Presence in 190+ countries• Localized product adaptations• Strategic acquisitions in emerging markets</w:t>
            </w:r>
          </w:p>
        </w:tc>
        <w:tc>
          <w:tcPr>
            <w:tcW w:w="0" w:type="auto"/>
            <w:vAlign w:val="center"/>
            <w:hideMark/>
          </w:tcPr>
          <w:p w14:paraId="342CA716"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Revenue by region• Market penetration rate</w:t>
            </w:r>
          </w:p>
        </w:tc>
        <w:tc>
          <w:tcPr>
            <w:tcW w:w="0" w:type="auto"/>
            <w:vAlign w:val="center"/>
            <w:hideMark/>
          </w:tcPr>
          <w:p w14:paraId="3012B3D6"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Expands market reach, captures high-growth regions, diversifies risk</w:t>
            </w:r>
          </w:p>
        </w:tc>
      </w:tr>
      <w:tr w:rsidR="00195D7C" w:rsidRPr="00195D7C" w14:paraId="28BAA0A4" w14:textId="77777777" w:rsidTr="00195D7C">
        <w:trPr>
          <w:tblCellSpacing w:w="15" w:type="dxa"/>
        </w:trPr>
        <w:tc>
          <w:tcPr>
            <w:tcW w:w="0" w:type="auto"/>
            <w:vAlign w:val="center"/>
            <w:hideMark/>
          </w:tcPr>
          <w:p w14:paraId="3C40B16D"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b/>
                <w:bCs/>
                <w:sz w:val="24"/>
                <w:szCs w:val="24"/>
                <w:lang w:eastAsia="en-GB"/>
              </w:rPr>
              <w:t>Corporate-Level</w:t>
            </w:r>
          </w:p>
        </w:tc>
        <w:tc>
          <w:tcPr>
            <w:tcW w:w="0" w:type="auto"/>
            <w:vAlign w:val="center"/>
            <w:hideMark/>
          </w:tcPr>
          <w:p w14:paraId="18E3794B"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Related Diversification</w:t>
            </w:r>
          </w:p>
        </w:tc>
        <w:tc>
          <w:tcPr>
            <w:tcW w:w="0" w:type="auto"/>
            <w:vAlign w:val="center"/>
            <w:hideMark/>
          </w:tcPr>
          <w:p w14:paraId="69B0EBCA"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Focus on FMCG categories: Food, Home &amp; Personal Care• Cross-brand synergies</w:t>
            </w:r>
          </w:p>
        </w:tc>
        <w:tc>
          <w:tcPr>
            <w:tcW w:w="0" w:type="auto"/>
            <w:vAlign w:val="center"/>
            <w:hideMark/>
          </w:tcPr>
          <w:p w14:paraId="43529167"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 Revenue contribution by category• Product portfolio performance</w:t>
            </w:r>
          </w:p>
        </w:tc>
        <w:tc>
          <w:tcPr>
            <w:tcW w:w="0" w:type="auto"/>
            <w:vAlign w:val="center"/>
            <w:hideMark/>
          </w:tcPr>
          <w:p w14:paraId="51A10145" w14:textId="77777777" w:rsidR="00195D7C" w:rsidRPr="00195D7C" w:rsidRDefault="00195D7C" w:rsidP="00195D7C">
            <w:pPr>
              <w:spacing w:after="0" w:line="240" w:lineRule="auto"/>
              <w:rPr>
                <w:rFonts w:ascii="Times New Roman" w:eastAsia="Times New Roman" w:hAnsi="Times New Roman" w:cs="Times New Roman"/>
                <w:sz w:val="24"/>
                <w:szCs w:val="24"/>
                <w:lang w:eastAsia="en-GB"/>
              </w:rPr>
            </w:pPr>
            <w:r w:rsidRPr="00195D7C">
              <w:rPr>
                <w:rFonts w:ascii="Times New Roman" w:eastAsia="Times New Roman" w:hAnsi="Times New Roman" w:cs="Times New Roman"/>
                <w:sz w:val="24"/>
                <w:szCs w:val="24"/>
                <w:lang w:eastAsia="en-GB"/>
              </w:rPr>
              <w:t>Reduces dependence on single segment, enhances resilience and innovation opportunities</w:t>
            </w:r>
          </w:p>
        </w:tc>
      </w:tr>
    </w:tbl>
    <w:p w14:paraId="1D9FA958" w14:textId="60C8A608"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 xml:space="preserve">Unilever operates in the highly competitive fast-moving consumer goods (FMCG) sector, which demands a combination of cost efficiency, innovation, and global reach. To maintain market leadership, Unilever has adopted both business-level </w:t>
      </w:r>
      <w:r w:rsidR="00A530DD">
        <w:rPr>
          <w:rFonts w:ascii="Arial" w:eastAsia="Times New Roman" w:hAnsi="Arial" w:cs="Arial"/>
          <w:sz w:val="24"/>
          <w:szCs w:val="24"/>
          <w:lang w:eastAsia="en-GB"/>
        </w:rPr>
        <w:t>and corporate-level strategies.</w:t>
      </w:r>
    </w:p>
    <w:p w14:paraId="07C1E7C6" w14:textId="4206BFCB" w:rsidR="005770B0" w:rsidRPr="00D615BA" w:rsidRDefault="00D615BA" w:rsidP="00D615BA">
      <w:pPr>
        <w:pStyle w:val="Heading2"/>
        <w:rPr>
          <w:rFonts w:eastAsia="Times New Roman"/>
          <w:lang w:eastAsia="en-GB"/>
        </w:rPr>
      </w:pPr>
      <w:bookmarkStart w:id="32" w:name="_Toc227831982"/>
      <w:r>
        <w:rPr>
          <w:rFonts w:eastAsia="Times New Roman"/>
          <w:lang w:eastAsia="en-GB"/>
        </w:rPr>
        <w:t xml:space="preserve">5.1 </w:t>
      </w:r>
      <w:r w:rsidR="00A530DD" w:rsidRPr="00D615BA">
        <w:rPr>
          <w:rFonts w:eastAsia="Times New Roman"/>
          <w:lang w:eastAsia="en-GB"/>
        </w:rPr>
        <w:t>Business-Level Strategies</w:t>
      </w:r>
      <w:bookmarkEnd w:id="32"/>
    </w:p>
    <w:p w14:paraId="5D4CF377" w14:textId="574BCE42"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At the business level, Unilever follows a hybrid strategy combining cost leadership and differentiation. Cost leadership is achieved through operational efficiencies in manufacturing, supply chain optimisation, and scale economies across its global network of over 100 production facilities (Smith, 2023). By leveraging advanced production technologies and regional sourcing strategies, Unilever reduces unit costs whi</w:t>
      </w:r>
      <w:r w:rsidR="00D615BA">
        <w:rPr>
          <w:rFonts w:ascii="Arial" w:eastAsia="Times New Roman" w:hAnsi="Arial" w:cs="Arial"/>
          <w:sz w:val="24"/>
          <w:szCs w:val="24"/>
          <w:lang w:eastAsia="en-GB"/>
        </w:rPr>
        <w:t>le maintaining product quality.</w:t>
      </w:r>
    </w:p>
    <w:p w14:paraId="652E321A" w14:textId="37385B41"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 xml:space="preserve">Differentiation, on the other hand, focuses on product innovation, brand equity, and sustainability. Unilever’s strong portfolio of brands such as Dove, Ben &amp; Jerry’s, and Lipton allows it to target diverse consumer segments with premium and value offerings (Brown, 2023). Recent initiatives like the launch of biodegradable packaging and plant-based product lines reflect the company’s commitment to sustainable differentiation, enhancing customer loyalty and supporting long-term </w:t>
      </w:r>
      <w:r w:rsidR="00D615BA">
        <w:rPr>
          <w:rFonts w:ascii="Arial" w:eastAsia="Times New Roman" w:hAnsi="Arial" w:cs="Arial"/>
          <w:sz w:val="24"/>
          <w:szCs w:val="24"/>
          <w:lang w:eastAsia="en-GB"/>
        </w:rPr>
        <w:t>competitiveness (Nguyen, 2023).</w:t>
      </w:r>
    </w:p>
    <w:p w14:paraId="46E4651F" w14:textId="759C5304" w:rsidR="005770B0" w:rsidRPr="00D615BA" w:rsidRDefault="00D615BA" w:rsidP="00D615BA">
      <w:pPr>
        <w:pStyle w:val="Heading2"/>
        <w:rPr>
          <w:rFonts w:eastAsia="Times New Roman"/>
          <w:lang w:eastAsia="en-GB"/>
        </w:rPr>
      </w:pPr>
      <w:bookmarkStart w:id="33" w:name="_Toc227831983"/>
      <w:r>
        <w:rPr>
          <w:rFonts w:eastAsia="Times New Roman"/>
          <w:lang w:eastAsia="en-GB"/>
        </w:rPr>
        <w:lastRenderedPageBreak/>
        <w:t>5.2 Corporate-Level Strategies</w:t>
      </w:r>
      <w:bookmarkEnd w:id="33"/>
    </w:p>
    <w:p w14:paraId="2DB6D546" w14:textId="2B3B007D"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 xml:space="preserve">Unilever pursues several corporate-level strategies, primarily international expansion and related diversification. Operating in over 190 countries, the company </w:t>
      </w:r>
      <w:r w:rsidR="00D615BA" w:rsidRPr="005770B0">
        <w:rPr>
          <w:rFonts w:ascii="Arial" w:eastAsia="Times New Roman" w:hAnsi="Arial" w:cs="Arial"/>
          <w:sz w:val="24"/>
          <w:szCs w:val="24"/>
          <w:lang w:eastAsia="en-GB"/>
        </w:rPr>
        <w:t>tailors’</w:t>
      </w:r>
      <w:r w:rsidRPr="005770B0">
        <w:rPr>
          <w:rFonts w:ascii="Arial" w:eastAsia="Times New Roman" w:hAnsi="Arial" w:cs="Arial"/>
          <w:sz w:val="24"/>
          <w:szCs w:val="24"/>
          <w:lang w:eastAsia="en-GB"/>
        </w:rPr>
        <w:t xml:space="preserve"> products to local consumer preferences while maintaining global brand consistency (Rahman, 2022). Its related diversification strategy focuses on complementary FMCG segments, including food, personal care, and home care products. This approach reduces risk by spreading revenue streams across markets and categories, allowing the firm to capitalize on cross-brand synerg</w:t>
      </w:r>
      <w:r w:rsidR="00D615BA">
        <w:rPr>
          <w:rFonts w:ascii="Arial" w:eastAsia="Times New Roman" w:hAnsi="Arial" w:cs="Arial"/>
          <w:sz w:val="24"/>
          <w:szCs w:val="24"/>
          <w:lang w:eastAsia="en-GB"/>
        </w:rPr>
        <w:t>ies and marketing capabilities.</w:t>
      </w:r>
    </w:p>
    <w:p w14:paraId="2F7BB817" w14:textId="53A6ED68"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 xml:space="preserve">International expansion has been accompanied by strategic acquisitions in emerging markets, enabling Unilever to penetrate high-growth regions with established local brands (Brown, 2023). </w:t>
      </w:r>
    </w:p>
    <w:p w14:paraId="420FA62A" w14:textId="7823E23B" w:rsidR="005770B0" w:rsidRPr="00D615BA" w:rsidRDefault="00D615BA" w:rsidP="00D615BA">
      <w:pPr>
        <w:pStyle w:val="Heading2"/>
        <w:rPr>
          <w:rFonts w:eastAsia="Times New Roman"/>
          <w:lang w:eastAsia="en-GB"/>
        </w:rPr>
      </w:pPr>
      <w:bookmarkStart w:id="34" w:name="_Toc227831984"/>
      <w:r>
        <w:rPr>
          <w:rFonts w:eastAsia="Times New Roman"/>
          <w:lang w:eastAsia="en-GB"/>
        </w:rPr>
        <w:t xml:space="preserve">5.3 </w:t>
      </w:r>
      <w:r w:rsidR="005770B0" w:rsidRPr="00D615BA">
        <w:rPr>
          <w:rFonts w:eastAsia="Times New Roman"/>
          <w:lang w:eastAsia="en-GB"/>
        </w:rPr>
        <w:t>Recommended Strategies</w:t>
      </w:r>
      <w:bookmarkEnd w:id="34"/>
    </w:p>
    <w:p w14:paraId="0DE75CEE" w14:textId="08FD97CD"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To sustain growth and competitive advantage, Unilever should continue a focused differentiation strategy combined with digital transformation. Expanding direct-to-consumer channels, leveraging AI-driven analytics for personalized marketing, and increasing investment in sustainable packaging and product innovation are critical for long-term differentiation. At the corporate level, targeted acquisitions in emerging markets and strategic partnerships in health and wellness segments can strengthen its market position while enhancing resilience agai</w:t>
      </w:r>
      <w:r w:rsidR="00D615BA">
        <w:rPr>
          <w:rFonts w:ascii="Arial" w:eastAsia="Times New Roman" w:hAnsi="Arial" w:cs="Arial"/>
          <w:sz w:val="24"/>
          <w:szCs w:val="24"/>
          <w:lang w:eastAsia="en-GB"/>
        </w:rPr>
        <w:t>nst global economic volatility.</w:t>
      </w:r>
    </w:p>
    <w:p w14:paraId="08CD3AB9" w14:textId="19731565" w:rsidR="005770B0" w:rsidRPr="00D615BA" w:rsidRDefault="00D615BA" w:rsidP="00D615BA">
      <w:pPr>
        <w:pStyle w:val="Heading2"/>
        <w:rPr>
          <w:rFonts w:eastAsia="Times New Roman"/>
          <w:lang w:eastAsia="en-GB"/>
        </w:rPr>
      </w:pPr>
      <w:bookmarkStart w:id="35" w:name="_Toc227831985"/>
      <w:r>
        <w:rPr>
          <w:rFonts w:eastAsia="Times New Roman"/>
          <w:lang w:eastAsia="en-GB"/>
        </w:rPr>
        <w:t xml:space="preserve">5.4 </w:t>
      </w:r>
      <w:r w:rsidR="005770B0" w:rsidRPr="00D615BA">
        <w:rPr>
          <w:rFonts w:eastAsia="Times New Roman"/>
          <w:lang w:eastAsia="en-GB"/>
        </w:rPr>
        <w:t>Change Management and Implementation Effectiveness</w:t>
      </w:r>
      <w:bookmarkEnd w:id="35"/>
    </w:p>
    <w:p w14:paraId="2C5CCB0A" w14:textId="265A1F14"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 xml:space="preserve">Unilever’s effectiveness in implementing strategic changes is largely supported by its robust change management framework. Initiatives such as the Unilever Sustainable Living Plan and agile product development processes have demonstrated adaptability to evolving consumer preferences (Nguyen, 2023). Leadership commitment, employee engagement, and cross-functional collaboration are central to executing transformation successfully. </w:t>
      </w:r>
    </w:p>
    <w:p w14:paraId="5B4E76C0" w14:textId="50136AA4" w:rsidR="005770B0" w:rsidRP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lastRenderedPageBreak/>
        <w:t>To improve change management, Unilever could adopt enhanced communication strategies, performance-based incentives, and digital project management tools to align global teams and accelerate execution. Additionally, continuous monitoring of KPIs related to sustainability, innovation, and market share will ensure that strategic initiati</w:t>
      </w:r>
      <w:r w:rsidR="00D615BA">
        <w:rPr>
          <w:rFonts w:ascii="Arial" w:eastAsia="Times New Roman" w:hAnsi="Arial" w:cs="Arial"/>
          <w:sz w:val="24"/>
          <w:szCs w:val="24"/>
          <w:lang w:eastAsia="en-GB"/>
        </w:rPr>
        <w:t>ves deliver measurable results.</w:t>
      </w:r>
    </w:p>
    <w:p w14:paraId="505CCFBE" w14:textId="265311F0" w:rsidR="005770B0" w:rsidRDefault="005770B0" w:rsidP="005770B0">
      <w:pPr>
        <w:spacing w:before="100" w:beforeAutospacing="1" w:after="100" w:afterAutospacing="1" w:line="360" w:lineRule="auto"/>
        <w:jc w:val="both"/>
        <w:rPr>
          <w:rFonts w:ascii="Arial" w:eastAsia="Times New Roman" w:hAnsi="Arial" w:cs="Arial"/>
          <w:sz w:val="24"/>
          <w:szCs w:val="24"/>
          <w:lang w:eastAsia="en-GB"/>
        </w:rPr>
      </w:pPr>
      <w:r w:rsidRPr="005770B0">
        <w:rPr>
          <w:rFonts w:ascii="Arial" w:eastAsia="Times New Roman" w:hAnsi="Arial" w:cs="Arial"/>
          <w:sz w:val="24"/>
          <w:szCs w:val="24"/>
          <w:lang w:eastAsia="en-GB"/>
        </w:rPr>
        <w:t>In conclusion, Unilever’s combination of cost leadership, differentiation, international expansion, and related diversification positions it well for sustainable growth. By reinforcing change management practices and investing in digital and sustainable initiatives, the company can maintain competitive advantage while navigating dynamic global markets.</w:t>
      </w:r>
    </w:p>
    <w:p w14:paraId="7A969984" w14:textId="6022DEE3" w:rsidR="002617AC" w:rsidRDefault="002617AC" w:rsidP="00D615BA">
      <w:pPr>
        <w:pStyle w:val="Heading1"/>
        <w:rPr>
          <w:rFonts w:eastAsia="Times New Roman"/>
          <w:lang w:eastAsia="en-GB"/>
        </w:rPr>
      </w:pPr>
      <w:bookmarkStart w:id="36" w:name="_Toc227831986"/>
      <w:r>
        <w:rPr>
          <w:rFonts w:eastAsia="Times New Roman"/>
          <w:lang w:eastAsia="en-GB"/>
        </w:rPr>
        <w:t xml:space="preserve">6. </w:t>
      </w:r>
      <w:r w:rsidRPr="002617AC">
        <w:rPr>
          <w:rFonts w:eastAsia="Times New Roman"/>
          <w:lang w:eastAsia="en-GB"/>
        </w:rPr>
        <w:t>Strategic Evaluation &amp; Recommendations</w:t>
      </w:r>
      <w:bookmarkEnd w:id="36"/>
    </w:p>
    <w:p w14:paraId="3823AB67" w14:textId="77777777" w:rsidR="005D04E5" w:rsidRDefault="005D04E5" w:rsidP="005D04E5">
      <w:pPr>
        <w:keepNext/>
        <w:spacing w:before="100" w:beforeAutospacing="1" w:after="100" w:afterAutospacing="1" w:line="360" w:lineRule="auto"/>
        <w:jc w:val="center"/>
      </w:pPr>
      <w:r>
        <w:rPr>
          <w:rFonts w:ascii="Arial" w:eastAsia="Times New Roman" w:hAnsi="Arial" w:cs="Arial"/>
          <w:noProof/>
          <w:sz w:val="24"/>
          <w:szCs w:val="24"/>
          <w:lang w:eastAsia="en-GB"/>
        </w:rPr>
        <w:drawing>
          <wp:inline distT="0" distB="0" distL="0" distR="0" wp14:anchorId="73309930" wp14:editId="77E4061D">
            <wp:extent cx="2647950" cy="17653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pilot_20260329_1436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7950" cy="1765300"/>
                    </a:xfrm>
                    <a:prstGeom prst="rect">
                      <a:avLst/>
                    </a:prstGeom>
                  </pic:spPr>
                </pic:pic>
              </a:graphicData>
            </a:graphic>
          </wp:inline>
        </w:drawing>
      </w:r>
    </w:p>
    <w:p w14:paraId="34CD86DA" w14:textId="6BED8BB0" w:rsidR="005D04E5" w:rsidRPr="005D04E5" w:rsidRDefault="005D04E5" w:rsidP="005D04E5">
      <w:pPr>
        <w:pStyle w:val="Caption"/>
        <w:jc w:val="center"/>
        <w:rPr>
          <w:rFonts w:ascii="Arial" w:eastAsia="Times New Roman" w:hAnsi="Arial" w:cs="Arial"/>
          <w:sz w:val="36"/>
          <w:szCs w:val="24"/>
          <w:lang w:eastAsia="en-GB"/>
        </w:rPr>
      </w:pPr>
      <w:bookmarkStart w:id="37" w:name="_Toc227832012"/>
      <w:r w:rsidRPr="005D04E5">
        <w:rPr>
          <w:rFonts w:ascii="Arial" w:hAnsi="Arial" w:cs="Arial"/>
          <w:sz w:val="24"/>
        </w:rPr>
        <w:t xml:space="preserve">Figure </w:t>
      </w:r>
      <w:r w:rsidRPr="005D04E5">
        <w:rPr>
          <w:rFonts w:ascii="Arial" w:hAnsi="Arial" w:cs="Arial"/>
          <w:sz w:val="24"/>
        </w:rPr>
        <w:fldChar w:fldCharType="begin"/>
      </w:r>
      <w:r w:rsidRPr="005D04E5">
        <w:rPr>
          <w:rFonts w:ascii="Arial" w:hAnsi="Arial" w:cs="Arial"/>
          <w:sz w:val="24"/>
        </w:rPr>
        <w:instrText xml:space="preserve"> SEQ Figure \* ARABIC </w:instrText>
      </w:r>
      <w:r w:rsidRPr="005D04E5">
        <w:rPr>
          <w:rFonts w:ascii="Arial" w:hAnsi="Arial" w:cs="Arial"/>
          <w:sz w:val="24"/>
        </w:rPr>
        <w:fldChar w:fldCharType="separate"/>
      </w:r>
      <w:r w:rsidR="00F1593B">
        <w:rPr>
          <w:rFonts w:ascii="Arial" w:hAnsi="Arial" w:cs="Arial"/>
          <w:noProof/>
          <w:sz w:val="24"/>
        </w:rPr>
        <w:t>5</w:t>
      </w:r>
      <w:r w:rsidRPr="005D04E5">
        <w:rPr>
          <w:rFonts w:ascii="Arial" w:hAnsi="Arial" w:cs="Arial"/>
          <w:sz w:val="24"/>
        </w:rPr>
        <w:fldChar w:fldCharType="end"/>
      </w:r>
      <w:r w:rsidRPr="005D04E5">
        <w:rPr>
          <w:rFonts w:ascii="Arial" w:hAnsi="Arial" w:cs="Arial"/>
          <w:sz w:val="24"/>
        </w:rPr>
        <w:t>: Strategic Implementation Framework</w:t>
      </w:r>
      <w:bookmarkEnd w:id="37"/>
    </w:p>
    <w:p w14:paraId="670FF99C" w14:textId="21BD0921" w:rsidR="002617AC" w:rsidRPr="00D615BA" w:rsidRDefault="00D615BA" w:rsidP="00D615BA">
      <w:pPr>
        <w:pStyle w:val="Heading2"/>
        <w:rPr>
          <w:rFonts w:eastAsia="Times New Roman"/>
          <w:lang w:eastAsia="en-GB"/>
        </w:rPr>
      </w:pPr>
      <w:bookmarkStart w:id="38" w:name="_Toc227831987"/>
      <w:r>
        <w:rPr>
          <w:rFonts w:eastAsia="Times New Roman"/>
          <w:lang w:eastAsia="en-GB"/>
        </w:rPr>
        <w:t xml:space="preserve">6.1 </w:t>
      </w:r>
      <w:r w:rsidRPr="00D615BA">
        <w:rPr>
          <w:rFonts w:eastAsia="Times New Roman"/>
          <w:lang w:eastAsia="en-GB"/>
        </w:rPr>
        <w:t>Evaluation of Current Strategy</w:t>
      </w:r>
      <w:bookmarkEnd w:id="38"/>
    </w:p>
    <w:p w14:paraId="556D4473" w14:textId="420698BF" w:rsidR="002617AC" w:rsidRPr="002617AC" w:rsidRDefault="002617AC" w:rsidP="002617AC">
      <w:pPr>
        <w:spacing w:before="100" w:beforeAutospacing="1" w:after="100" w:afterAutospacing="1" w:line="360" w:lineRule="auto"/>
        <w:jc w:val="both"/>
        <w:rPr>
          <w:rFonts w:ascii="Arial" w:eastAsia="Times New Roman" w:hAnsi="Arial" w:cs="Arial"/>
          <w:sz w:val="24"/>
          <w:szCs w:val="24"/>
          <w:lang w:eastAsia="en-GB"/>
        </w:rPr>
      </w:pPr>
      <w:r w:rsidRPr="002617AC">
        <w:rPr>
          <w:rFonts w:ascii="Arial" w:eastAsia="Times New Roman" w:hAnsi="Arial" w:cs="Arial"/>
          <w:sz w:val="24"/>
          <w:szCs w:val="24"/>
          <w:lang w:eastAsia="en-GB"/>
        </w:rPr>
        <w:t xml:space="preserve">Unilever’s strategy combines cost leadership, differentiation, and international expansion, supported by its strong brand portfolio and innovation capabilities. To critically evaluate these strategies, established strategic frameworks such as SWOT Analysis, </w:t>
      </w:r>
      <w:proofErr w:type="spellStart"/>
      <w:r w:rsidRPr="002617AC">
        <w:rPr>
          <w:rFonts w:ascii="Arial" w:eastAsia="Times New Roman" w:hAnsi="Arial" w:cs="Arial"/>
          <w:sz w:val="24"/>
          <w:szCs w:val="24"/>
          <w:lang w:eastAsia="en-GB"/>
        </w:rPr>
        <w:t>Ansoff</w:t>
      </w:r>
      <w:proofErr w:type="spellEnd"/>
      <w:r w:rsidRPr="002617AC">
        <w:rPr>
          <w:rFonts w:ascii="Arial" w:eastAsia="Times New Roman" w:hAnsi="Arial" w:cs="Arial"/>
          <w:sz w:val="24"/>
          <w:szCs w:val="24"/>
          <w:lang w:eastAsia="en-GB"/>
        </w:rPr>
        <w:t xml:space="preserve"> Matrix,</w:t>
      </w:r>
      <w:r w:rsidR="00D615BA">
        <w:rPr>
          <w:rFonts w:ascii="Arial" w:eastAsia="Times New Roman" w:hAnsi="Arial" w:cs="Arial"/>
          <w:sz w:val="24"/>
          <w:szCs w:val="24"/>
          <w:lang w:eastAsia="en-GB"/>
        </w:rPr>
        <w:t xml:space="preserve"> and BCG Matrix can be applied.</w:t>
      </w:r>
    </w:p>
    <w:p w14:paraId="68F763FF" w14:textId="562AC2F8" w:rsidR="002617AC" w:rsidRPr="00D615BA" w:rsidRDefault="00D615BA" w:rsidP="00D615BA">
      <w:pPr>
        <w:pStyle w:val="Heading2"/>
        <w:rPr>
          <w:rFonts w:eastAsia="Times New Roman"/>
          <w:lang w:eastAsia="en-GB"/>
        </w:rPr>
      </w:pPr>
      <w:bookmarkStart w:id="39" w:name="_Toc227831988"/>
      <w:r>
        <w:rPr>
          <w:rFonts w:eastAsia="Times New Roman"/>
          <w:lang w:eastAsia="en-GB"/>
        </w:rPr>
        <w:t xml:space="preserve">6.2 </w:t>
      </w:r>
      <w:r w:rsidR="002617AC" w:rsidRPr="002617AC">
        <w:rPr>
          <w:rFonts w:eastAsia="Times New Roman"/>
          <w:lang w:eastAsia="en-GB"/>
        </w:rPr>
        <w:t>SWOT Analysis:</w:t>
      </w:r>
      <w:bookmarkEnd w:id="39"/>
    </w:p>
    <w:p w14:paraId="75C414CF" w14:textId="77777777" w:rsidR="002617AC" w:rsidRPr="00D615BA" w:rsidRDefault="002617AC" w:rsidP="00D615BA">
      <w:pPr>
        <w:pStyle w:val="ListParagraph"/>
        <w:numPr>
          <w:ilvl w:val="0"/>
          <w:numId w:val="25"/>
        </w:numPr>
        <w:spacing w:before="100" w:beforeAutospacing="1" w:after="100" w:afterAutospacing="1" w:line="360" w:lineRule="auto"/>
        <w:jc w:val="both"/>
        <w:rPr>
          <w:rFonts w:ascii="Arial" w:eastAsia="Times New Roman" w:hAnsi="Arial" w:cs="Arial"/>
          <w:sz w:val="24"/>
          <w:szCs w:val="24"/>
          <w:lang w:eastAsia="en-GB"/>
        </w:rPr>
      </w:pPr>
      <w:r w:rsidRPr="00D615BA">
        <w:rPr>
          <w:rFonts w:ascii="Arial" w:eastAsia="Times New Roman" w:hAnsi="Arial" w:cs="Arial"/>
          <w:b/>
          <w:sz w:val="24"/>
          <w:szCs w:val="24"/>
          <w:lang w:eastAsia="en-GB"/>
        </w:rPr>
        <w:t>Strengths:</w:t>
      </w:r>
      <w:r w:rsidRPr="00D615BA">
        <w:rPr>
          <w:rFonts w:ascii="Arial" w:eastAsia="Times New Roman" w:hAnsi="Arial" w:cs="Arial"/>
          <w:sz w:val="24"/>
          <w:szCs w:val="24"/>
          <w:lang w:eastAsia="en-GB"/>
        </w:rPr>
        <w:t xml:space="preserve"> Unilever has strong brand equity (Dove, Lipton, Axe), extensive global presence (190+ countries), and robust R&amp;D capabilities driving sustainable </w:t>
      </w:r>
      <w:r w:rsidRPr="00D615BA">
        <w:rPr>
          <w:rFonts w:ascii="Arial" w:eastAsia="Times New Roman" w:hAnsi="Arial" w:cs="Arial"/>
          <w:sz w:val="24"/>
          <w:szCs w:val="24"/>
          <w:lang w:eastAsia="en-GB"/>
        </w:rPr>
        <w:lastRenderedPageBreak/>
        <w:t>product innovation (Rahman, 2022). Its financial stability (~€60 billion revenue in 2024) enables investment in marketing and expansion (Brown, 2023).</w:t>
      </w:r>
    </w:p>
    <w:p w14:paraId="7E5F4DF8" w14:textId="77777777" w:rsidR="002617AC" w:rsidRPr="00D615BA" w:rsidRDefault="002617AC" w:rsidP="00D615BA">
      <w:pPr>
        <w:pStyle w:val="ListParagraph"/>
        <w:numPr>
          <w:ilvl w:val="0"/>
          <w:numId w:val="25"/>
        </w:numPr>
        <w:spacing w:before="100" w:beforeAutospacing="1" w:after="100" w:afterAutospacing="1" w:line="360" w:lineRule="auto"/>
        <w:jc w:val="both"/>
        <w:rPr>
          <w:rFonts w:ascii="Arial" w:eastAsia="Times New Roman" w:hAnsi="Arial" w:cs="Arial"/>
          <w:sz w:val="24"/>
          <w:szCs w:val="24"/>
          <w:lang w:eastAsia="en-GB"/>
        </w:rPr>
      </w:pPr>
      <w:r w:rsidRPr="00D615BA">
        <w:rPr>
          <w:rFonts w:ascii="Arial" w:eastAsia="Times New Roman" w:hAnsi="Arial" w:cs="Arial"/>
          <w:b/>
          <w:sz w:val="24"/>
          <w:szCs w:val="24"/>
          <w:lang w:eastAsia="en-GB"/>
        </w:rPr>
        <w:t>Weaknesses:</w:t>
      </w:r>
      <w:r w:rsidRPr="00D615BA">
        <w:rPr>
          <w:rFonts w:ascii="Arial" w:eastAsia="Times New Roman" w:hAnsi="Arial" w:cs="Arial"/>
          <w:sz w:val="24"/>
          <w:szCs w:val="24"/>
          <w:lang w:eastAsia="en-GB"/>
        </w:rPr>
        <w:t xml:space="preserve"> Dependence on mature markets in Europe and North America makes growth slower in saturated regions. Some product lines face reputational risk from environmental concerns (Smith, 2023).</w:t>
      </w:r>
    </w:p>
    <w:p w14:paraId="293F1E34" w14:textId="77777777" w:rsidR="002617AC" w:rsidRPr="00D615BA" w:rsidRDefault="002617AC" w:rsidP="00D615BA">
      <w:pPr>
        <w:pStyle w:val="ListParagraph"/>
        <w:numPr>
          <w:ilvl w:val="0"/>
          <w:numId w:val="25"/>
        </w:numPr>
        <w:spacing w:before="100" w:beforeAutospacing="1" w:after="100" w:afterAutospacing="1" w:line="360" w:lineRule="auto"/>
        <w:jc w:val="both"/>
        <w:rPr>
          <w:rFonts w:ascii="Arial" w:eastAsia="Times New Roman" w:hAnsi="Arial" w:cs="Arial"/>
          <w:sz w:val="24"/>
          <w:szCs w:val="24"/>
          <w:lang w:eastAsia="en-GB"/>
        </w:rPr>
      </w:pPr>
      <w:r w:rsidRPr="00D615BA">
        <w:rPr>
          <w:rFonts w:ascii="Arial" w:eastAsia="Times New Roman" w:hAnsi="Arial" w:cs="Arial"/>
          <w:b/>
          <w:sz w:val="24"/>
          <w:szCs w:val="24"/>
          <w:lang w:eastAsia="en-GB"/>
        </w:rPr>
        <w:t>Opportunities:</w:t>
      </w:r>
      <w:r w:rsidRPr="00D615BA">
        <w:rPr>
          <w:rFonts w:ascii="Arial" w:eastAsia="Times New Roman" w:hAnsi="Arial" w:cs="Arial"/>
          <w:sz w:val="24"/>
          <w:szCs w:val="24"/>
          <w:lang w:eastAsia="en-GB"/>
        </w:rPr>
        <w:t xml:space="preserve"> Rising demand for sustainable and plant-based products provides avenues for product diversification. Emerging markets in Asia and Africa offer growth potential due to rising middle-class consumption (Nguyen, 2023).</w:t>
      </w:r>
    </w:p>
    <w:p w14:paraId="5C791EDA" w14:textId="6F230A28" w:rsidR="002617AC" w:rsidRPr="00D615BA" w:rsidRDefault="002617AC" w:rsidP="002617AC">
      <w:pPr>
        <w:pStyle w:val="ListParagraph"/>
        <w:numPr>
          <w:ilvl w:val="0"/>
          <w:numId w:val="25"/>
        </w:numPr>
        <w:spacing w:before="100" w:beforeAutospacing="1" w:after="100" w:afterAutospacing="1" w:line="360" w:lineRule="auto"/>
        <w:jc w:val="both"/>
        <w:rPr>
          <w:rFonts w:ascii="Arial" w:eastAsia="Times New Roman" w:hAnsi="Arial" w:cs="Arial"/>
          <w:sz w:val="24"/>
          <w:szCs w:val="24"/>
          <w:lang w:eastAsia="en-GB"/>
        </w:rPr>
      </w:pPr>
      <w:r w:rsidRPr="00D615BA">
        <w:rPr>
          <w:rFonts w:ascii="Arial" w:eastAsia="Times New Roman" w:hAnsi="Arial" w:cs="Arial"/>
          <w:b/>
          <w:sz w:val="24"/>
          <w:szCs w:val="24"/>
          <w:lang w:eastAsia="en-GB"/>
        </w:rPr>
        <w:t>Threats:</w:t>
      </w:r>
      <w:r w:rsidRPr="00D615BA">
        <w:rPr>
          <w:rFonts w:ascii="Arial" w:eastAsia="Times New Roman" w:hAnsi="Arial" w:cs="Arial"/>
          <w:sz w:val="24"/>
          <w:szCs w:val="24"/>
          <w:lang w:eastAsia="en-GB"/>
        </w:rPr>
        <w:t xml:space="preserve"> Intense competition from Nestlé, P&amp;G, and regional FMCG brands, coupled with fluctuating commodity prices and regulatory changes, poses challenges to cost efficiency and profitability.</w:t>
      </w:r>
    </w:p>
    <w:p w14:paraId="2DA16857" w14:textId="1C97958A" w:rsidR="002617AC" w:rsidRPr="00D615BA" w:rsidRDefault="00D615BA" w:rsidP="00D615BA">
      <w:pPr>
        <w:pStyle w:val="Heading2"/>
        <w:rPr>
          <w:rFonts w:eastAsia="Times New Roman"/>
          <w:lang w:eastAsia="en-GB"/>
        </w:rPr>
      </w:pPr>
      <w:bookmarkStart w:id="40" w:name="_Toc227831989"/>
      <w:r>
        <w:rPr>
          <w:rFonts w:eastAsia="Times New Roman"/>
          <w:lang w:eastAsia="en-GB"/>
        </w:rPr>
        <w:t xml:space="preserve">6.3 </w:t>
      </w:r>
      <w:proofErr w:type="spellStart"/>
      <w:r w:rsidR="002617AC" w:rsidRPr="00D615BA">
        <w:rPr>
          <w:rFonts w:eastAsia="Times New Roman"/>
          <w:lang w:eastAsia="en-GB"/>
        </w:rPr>
        <w:t>Ansoff</w:t>
      </w:r>
      <w:proofErr w:type="spellEnd"/>
      <w:r w:rsidR="002617AC" w:rsidRPr="00D615BA">
        <w:rPr>
          <w:rFonts w:eastAsia="Times New Roman"/>
          <w:lang w:eastAsia="en-GB"/>
        </w:rPr>
        <w:t xml:space="preserve"> Matrix:</w:t>
      </w:r>
      <w:bookmarkEnd w:id="40"/>
    </w:p>
    <w:p w14:paraId="5C6757E0" w14:textId="03AC7975" w:rsidR="002617AC" w:rsidRPr="002617AC" w:rsidRDefault="002617AC" w:rsidP="002617AC">
      <w:pPr>
        <w:spacing w:before="100" w:beforeAutospacing="1" w:after="100" w:afterAutospacing="1" w:line="360" w:lineRule="auto"/>
        <w:jc w:val="both"/>
        <w:rPr>
          <w:rFonts w:ascii="Arial" w:eastAsia="Times New Roman" w:hAnsi="Arial" w:cs="Arial"/>
          <w:sz w:val="24"/>
          <w:szCs w:val="24"/>
          <w:lang w:eastAsia="en-GB"/>
        </w:rPr>
      </w:pPr>
      <w:r w:rsidRPr="002617AC">
        <w:rPr>
          <w:rFonts w:ascii="Arial" w:eastAsia="Times New Roman" w:hAnsi="Arial" w:cs="Arial"/>
          <w:sz w:val="24"/>
          <w:szCs w:val="24"/>
          <w:lang w:eastAsia="en-GB"/>
        </w:rPr>
        <w:t xml:space="preserve">Unilever’s current strategy reflects both market penetration and product development. It penetrates existing markets through brand loyalty campaigns and pricing strategies while innovating with plant-based products and sustainable packaging. Market development is seen in emerging markets, and diversification occurs via related FMCG products (home and personal care). This balanced approach mitigates risks while </w:t>
      </w:r>
      <w:r w:rsidR="00D615BA">
        <w:rPr>
          <w:rFonts w:ascii="Arial" w:eastAsia="Times New Roman" w:hAnsi="Arial" w:cs="Arial"/>
          <w:sz w:val="24"/>
          <w:szCs w:val="24"/>
          <w:lang w:eastAsia="en-GB"/>
        </w:rPr>
        <w:t>promoting growth (Brown, 2023).</w:t>
      </w:r>
    </w:p>
    <w:p w14:paraId="03A3137B" w14:textId="269D19C7" w:rsidR="002617AC" w:rsidRPr="002617AC" w:rsidRDefault="00D615BA" w:rsidP="00D615BA">
      <w:pPr>
        <w:pStyle w:val="Heading2"/>
        <w:rPr>
          <w:rFonts w:eastAsia="Times New Roman"/>
          <w:lang w:eastAsia="en-GB"/>
        </w:rPr>
      </w:pPr>
      <w:bookmarkStart w:id="41" w:name="_Toc227831990"/>
      <w:r>
        <w:rPr>
          <w:rFonts w:eastAsia="Times New Roman"/>
          <w:lang w:eastAsia="en-GB"/>
        </w:rPr>
        <w:t xml:space="preserve">6.4 </w:t>
      </w:r>
      <w:r w:rsidR="002617AC" w:rsidRPr="002617AC">
        <w:rPr>
          <w:rFonts w:eastAsia="Times New Roman"/>
          <w:lang w:eastAsia="en-GB"/>
        </w:rPr>
        <w:t>BCG Matrix:</w:t>
      </w:r>
      <w:bookmarkEnd w:id="41"/>
    </w:p>
    <w:p w14:paraId="01233FB5" w14:textId="766111E7" w:rsidR="002617AC" w:rsidRPr="002617AC" w:rsidRDefault="002617AC" w:rsidP="002617AC">
      <w:pPr>
        <w:spacing w:before="100" w:beforeAutospacing="1" w:after="100" w:afterAutospacing="1" w:line="360" w:lineRule="auto"/>
        <w:jc w:val="both"/>
        <w:rPr>
          <w:rFonts w:ascii="Arial" w:eastAsia="Times New Roman" w:hAnsi="Arial" w:cs="Arial"/>
          <w:sz w:val="24"/>
          <w:szCs w:val="24"/>
          <w:lang w:eastAsia="en-GB"/>
        </w:rPr>
      </w:pPr>
      <w:r w:rsidRPr="002617AC">
        <w:rPr>
          <w:rFonts w:ascii="Arial" w:eastAsia="Times New Roman" w:hAnsi="Arial" w:cs="Arial"/>
          <w:sz w:val="24"/>
          <w:szCs w:val="24"/>
          <w:lang w:eastAsia="en-GB"/>
        </w:rPr>
        <w:t>Unilever’s product portfolio demonstrates a clear mix of Stars, Cash Cows, and Question Marks. For example, Dove and Lipton are Stars due to high growth and market share, while long-established brands like Surf operate as Cash Cows, generating stable revenue with lower investment. Strategic investment in emerging brands ensures long-term mar</w:t>
      </w:r>
      <w:r w:rsidR="00D615BA">
        <w:rPr>
          <w:rFonts w:ascii="Arial" w:eastAsia="Times New Roman" w:hAnsi="Arial" w:cs="Arial"/>
          <w:sz w:val="24"/>
          <w:szCs w:val="24"/>
          <w:lang w:eastAsia="en-GB"/>
        </w:rPr>
        <w:t>ket positioning (Rahman, 2022).</w:t>
      </w:r>
    </w:p>
    <w:p w14:paraId="404FC690" w14:textId="63DBA554" w:rsidR="002617AC" w:rsidRPr="002617AC" w:rsidRDefault="00D615BA" w:rsidP="00D615BA">
      <w:pPr>
        <w:pStyle w:val="Heading2"/>
        <w:rPr>
          <w:rFonts w:eastAsia="Times New Roman"/>
          <w:lang w:eastAsia="en-GB"/>
        </w:rPr>
      </w:pPr>
      <w:bookmarkStart w:id="42" w:name="_Toc227831991"/>
      <w:r>
        <w:rPr>
          <w:rFonts w:eastAsia="Times New Roman"/>
          <w:lang w:eastAsia="en-GB"/>
        </w:rPr>
        <w:t xml:space="preserve">6.5 </w:t>
      </w:r>
      <w:r w:rsidR="002617AC" w:rsidRPr="002617AC">
        <w:rPr>
          <w:rFonts w:eastAsia="Times New Roman"/>
          <w:lang w:eastAsia="en-GB"/>
        </w:rPr>
        <w:t>Recommendations</w:t>
      </w:r>
      <w:bookmarkEnd w:id="42"/>
    </w:p>
    <w:p w14:paraId="32EF67D4" w14:textId="27F22FAB" w:rsidR="002617AC" w:rsidRPr="00D615BA" w:rsidRDefault="00D615BA" w:rsidP="00D615BA">
      <w:pPr>
        <w:pStyle w:val="ListParagraph"/>
        <w:numPr>
          <w:ilvl w:val="0"/>
          <w:numId w:val="26"/>
        </w:numPr>
        <w:spacing w:before="100" w:beforeAutospacing="1" w:after="100" w:afterAutospacing="1" w:line="360" w:lineRule="auto"/>
        <w:jc w:val="both"/>
        <w:rPr>
          <w:rFonts w:ascii="Arial" w:eastAsia="Times New Roman" w:hAnsi="Arial" w:cs="Arial"/>
          <w:b/>
          <w:sz w:val="24"/>
          <w:szCs w:val="24"/>
          <w:lang w:eastAsia="en-GB"/>
        </w:rPr>
      </w:pPr>
      <w:r w:rsidRPr="00D615BA">
        <w:rPr>
          <w:rFonts w:ascii="Arial" w:eastAsia="Times New Roman" w:hAnsi="Arial" w:cs="Arial"/>
          <w:b/>
          <w:sz w:val="24"/>
          <w:szCs w:val="24"/>
          <w:lang w:eastAsia="en-GB"/>
        </w:rPr>
        <w:t xml:space="preserve">Enhance Sustainable Innovation: </w:t>
      </w:r>
      <w:r w:rsidR="002617AC" w:rsidRPr="00D615BA">
        <w:rPr>
          <w:rFonts w:ascii="Arial" w:eastAsia="Times New Roman" w:hAnsi="Arial" w:cs="Arial"/>
          <w:sz w:val="24"/>
          <w:szCs w:val="24"/>
          <w:lang w:eastAsia="en-GB"/>
        </w:rPr>
        <w:t xml:space="preserve">Unilever should accelerate R&amp;D in eco-friendly and plant-based products. Studies show sustainability-focused innovation improves brand loyalty and supports differentiation (Nguyen, 2023). For instance, </w:t>
      </w:r>
      <w:r w:rsidR="002617AC" w:rsidRPr="00D615BA">
        <w:rPr>
          <w:rFonts w:ascii="Arial" w:eastAsia="Times New Roman" w:hAnsi="Arial" w:cs="Arial"/>
          <w:sz w:val="24"/>
          <w:szCs w:val="24"/>
          <w:lang w:eastAsia="en-GB"/>
        </w:rPr>
        <w:lastRenderedPageBreak/>
        <w:t>expanding biodegradable packaging and low-carbon production processes will strengthen environmental credentials.</w:t>
      </w:r>
    </w:p>
    <w:p w14:paraId="2DA68194" w14:textId="3A40B113" w:rsidR="002617AC" w:rsidRPr="00D615BA" w:rsidRDefault="00D615BA" w:rsidP="00D615BA">
      <w:pPr>
        <w:pStyle w:val="ListParagraph"/>
        <w:numPr>
          <w:ilvl w:val="0"/>
          <w:numId w:val="26"/>
        </w:numPr>
        <w:spacing w:before="100" w:beforeAutospacing="1" w:after="100" w:afterAutospacing="1" w:line="360" w:lineRule="auto"/>
        <w:jc w:val="both"/>
        <w:rPr>
          <w:rFonts w:ascii="Arial" w:eastAsia="Times New Roman" w:hAnsi="Arial" w:cs="Arial"/>
          <w:b/>
          <w:sz w:val="24"/>
          <w:szCs w:val="24"/>
          <w:lang w:eastAsia="en-GB"/>
        </w:rPr>
      </w:pPr>
      <w:r w:rsidRPr="00D615BA">
        <w:rPr>
          <w:rFonts w:ascii="Arial" w:eastAsia="Times New Roman" w:hAnsi="Arial" w:cs="Arial"/>
          <w:b/>
          <w:sz w:val="24"/>
          <w:szCs w:val="24"/>
          <w:lang w:eastAsia="en-GB"/>
        </w:rPr>
        <w:t xml:space="preserve">Focus on Emerging Markets: </w:t>
      </w:r>
      <w:r w:rsidR="002617AC" w:rsidRPr="00D615BA">
        <w:rPr>
          <w:rFonts w:ascii="Arial" w:eastAsia="Times New Roman" w:hAnsi="Arial" w:cs="Arial"/>
          <w:sz w:val="24"/>
          <w:szCs w:val="24"/>
          <w:lang w:eastAsia="en-GB"/>
        </w:rPr>
        <w:t>Unilever must increase market penetration in Asia and Africa through localized products and distribution partnerships. Companies like Nestlé have successfully leveraged local consumer insights to drive growth in similar markets, suggesting this as a viable strategy.</w:t>
      </w:r>
    </w:p>
    <w:p w14:paraId="2E1F1D23" w14:textId="14FBD7E8" w:rsidR="002617AC" w:rsidRPr="00D615BA" w:rsidRDefault="002617AC" w:rsidP="00D615BA">
      <w:pPr>
        <w:pStyle w:val="ListParagraph"/>
        <w:numPr>
          <w:ilvl w:val="0"/>
          <w:numId w:val="26"/>
        </w:numPr>
        <w:spacing w:before="100" w:beforeAutospacing="1" w:after="100" w:afterAutospacing="1" w:line="360" w:lineRule="auto"/>
        <w:jc w:val="both"/>
        <w:rPr>
          <w:rFonts w:ascii="Arial" w:eastAsia="Times New Roman" w:hAnsi="Arial" w:cs="Arial"/>
          <w:b/>
          <w:sz w:val="24"/>
          <w:szCs w:val="24"/>
          <w:lang w:eastAsia="en-GB"/>
        </w:rPr>
      </w:pPr>
      <w:r w:rsidRPr="00D615BA">
        <w:rPr>
          <w:rFonts w:ascii="Arial" w:eastAsia="Times New Roman" w:hAnsi="Arial" w:cs="Arial"/>
          <w:b/>
          <w:sz w:val="24"/>
          <w:szCs w:val="24"/>
          <w:lang w:eastAsia="en-GB"/>
        </w:rPr>
        <w:t>Digital Transform</w:t>
      </w:r>
      <w:r w:rsidR="00D615BA" w:rsidRPr="00D615BA">
        <w:rPr>
          <w:rFonts w:ascii="Arial" w:eastAsia="Times New Roman" w:hAnsi="Arial" w:cs="Arial"/>
          <w:b/>
          <w:sz w:val="24"/>
          <w:szCs w:val="24"/>
          <w:lang w:eastAsia="en-GB"/>
        </w:rPr>
        <w:t xml:space="preserve">ation and E-Commerce Expansion: </w:t>
      </w:r>
      <w:r w:rsidRPr="00D615BA">
        <w:rPr>
          <w:rFonts w:ascii="Arial" w:eastAsia="Times New Roman" w:hAnsi="Arial" w:cs="Arial"/>
          <w:sz w:val="24"/>
          <w:szCs w:val="24"/>
          <w:lang w:eastAsia="en-GB"/>
        </w:rPr>
        <w:t>Investing in AI-driven supply chain management, online sales platforms, and personalized marketing campaigns will enhance operational efficiency and customer engagement, aligning with global trends in FMCG retail.</w:t>
      </w:r>
    </w:p>
    <w:p w14:paraId="6FF3AF16" w14:textId="76B49FF5" w:rsidR="002617AC" w:rsidRPr="00D615BA" w:rsidRDefault="00D615BA" w:rsidP="00D615BA">
      <w:pPr>
        <w:pStyle w:val="ListParagraph"/>
        <w:numPr>
          <w:ilvl w:val="0"/>
          <w:numId w:val="27"/>
        </w:numPr>
        <w:spacing w:before="100" w:beforeAutospacing="1" w:after="100" w:afterAutospacing="1" w:line="360" w:lineRule="auto"/>
        <w:jc w:val="both"/>
        <w:rPr>
          <w:rFonts w:ascii="Arial" w:eastAsia="Times New Roman" w:hAnsi="Arial" w:cs="Arial"/>
          <w:b/>
          <w:sz w:val="24"/>
          <w:szCs w:val="24"/>
          <w:lang w:eastAsia="en-GB"/>
        </w:rPr>
      </w:pPr>
      <w:r w:rsidRPr="00D615BA">
        <w:rPr>
          <w:rFonts w:ascii="Arial" w:eastAsia="Times New Roman" w:hAnsi="Arial" w:cs="Arial"/>
          <w:b/>
          <w:sz w:val="24"/>
          <w:szCs w:val="24"/>
          <w:lang w:eastAsia="en-GB"/>
        </w:rPr>
        <w:t xml:space="preserve">Portfolio Optimization: </w:t>
      </w:r>
      <w:r w:rsidR="002617AC" w:rsidRPr="00D615BA">
        <w:rPr>
          <w:rFonts w:ascii="Arial" w:eastAsia="Times New Roman" w:hAnsi="Arial" w:cs="Arial"/>
          <w:sz w:val="24"/>
          <w:szCs w:val="24"/>
          <w:lang w:eastAsia="en-GB"/>
        </w:rPr>
        <w:t>Regularly review low-performing product lines and either revamp or divest them. Using BCG insights, resources can be reallocated to high-potential brands, ensuring sustainable revenue growth and competitiveness.</w:t>
      </w:r>
    </w:p>
    <w:p w14:paraId="50C38282" w14:textId="1BEE7136" w:rsidR="002617AC" w:rsidRPr="00D615BA" w:rsidRDefault="002617AC" w:rsidP="002617AC">
      <w:pPr>
        <w:pStyle w:val="ListParagraph"/>
        <w:numPr>
          <w:ilvl w:val="0"/>
          <w:numId w:val="27"/>
        </w:numPr>
        <w:spacing w:before="100" w:beforeAutospacing="1" w:after="100" w:afterAutospacing="1" w:line="360" w:lineRule="auto"/>
        <w:jc w:val="both"/>
        <w:rPr>
          <w:rFonts w:ascii="Arial" w:eastAsia="Times New Roman" w:hAnsi="Arial" w:cs="Arial"/>
          <w:b/>
          <w:sz w:val="24"/>
          <w:szCs w:val="24"/>
          <w:lang w:eastAsia="en-GB"/>
        </w:rPr>
      </w:pPr>
      <w:r w:rsidRPr="00D615BA">
        <w:rPr>
          <w:rFonts w:ascii="Arial" w:eastAsia="Times New Roman" w:hAnsi="Arial" w:cs="Arial"/>
          <w:b/>
          <w:sz w:val="24"/>
          <w:szCs w:val="24"/>
          <w:lang w:eastAsia="en-GB"/>
        </w:rPr>
        <w:t>Strengthen Corporate Social Re</w:t>
      </w:r>
      <w:r w:rsidR="00D615BA" w:rsidRPr="00D615BA">
        <w:rPr>
          <w:rFonts w:ascii="Arial" w:eastAsia="Times New Roman" w:hAnsi="Arial" w:cs="Arial"/>
          <w:b/>
          <w:sz w:val="24"/>
          <w:szCs w:val="24"/>
          <w:lang w:eastAsia="en-GB"/>
        </w:rPr>
        <w:t xml:space="preserve">sponsibility (CSR) Initiatives: </w:t>
      </w:r>
      <w:r w:rsidRPr="00D615BA">
        <w:rPr>
          <w:rFonts w:ascii="Arial" w:eastAsia="Times New Roman" w:hAnsi="Arial" w:cs="Arial"/>
          <w:sz w:val="24"/>
          <w:szCs w:val="24"/>
          <w:lang w:eastAsia="en-GB"/>
        </w:rPr>
        <w:t>While Unilever has a strong CSR profile, further integrating sustainability KPIs into business strategy—such as linking executive bonuses to carbon reduction targets—can reinforce the brand’s market positioning and attract socially conscious consumers.</w:t>
      </w:r>
    </w:p>
    <w:p w14:paraId="5BE3E659" w14:textId="69048167" w:rsidR="002617AC" w:rsidRDefault="002617AC" w:rsidP="002617AC">
      <w:pPr>
        <w:spacing w:before="100" w:beforeAutospacing="1" w:after="100" w:afterAutospacing="1" w:line="360" w:lineRule="auto"/>
        <w:jc w:val="both"/>
        <w:rPr>
          <w:rFonts w:ascii="Arial" w:eastAsia="Times New Roman" w:hAnsi="Arial" w:cs="Arial"/>
          <w:sz w:val="24"/>
          <w:szCs w:val="24"/>
          <w:lang w:eastAsia="en-GB"/>
        </w:rPr>
      </w:pPr>
      <w:r w:rsidRPr="002617AC">
        <w:rPr>
          <w:rFonts w:ascii="Arial" w:eastAsia="Times New Roman" w:hAnsi="Arial" w:cs="Arial"/>
          <w:sz w:val="24"/>
          <w:szCs w:val="24"/>
          <w:lang w:eastAsia="en-GB"/>
        </w:rPr>
        <w:t xml:space="preserve">By leveraging its strong brand portfolio, global presence, and innovation capabilities, Unilever can sustain its competitive advantage. </w:t>
      </w:r>
    </w:p>
    <w:p w14:paraId="45BC014D" w14:textId="3C7A4D2A" w:rsidR="00714E60" w:rsidRDefault="00714E60" w:rsidP="00A62D98">
      <w:pPr>
        <w:pStyle w:val="Heading1"/>
        <w:jc w:val="center"/>
        <w:rPr>
          <w:rFonts w:eastAsia="Times New Roman"/>
          <w:lang w:eastAsia="en-GB"/>
        </w:rPr>
      </w:pPr>
      <w:bookmarkStart w:id="43" w:name="_Toc227831992"/>
      <w:r w:rsidRPr="00714E60">
        <w:rPr>
          <w:rFonts w:eastAsia="Times New Roman"/>
          <w:lang w:eastAsia="en-GB"/>
        </w:rPr>
        <w:t>Section 2: Reflective Account</w:t>
      </w:r>
      <w:bookmarkEnd w:id="43"/>
    </w:p>
    <w:p w14:paraId="105FBD66" w14:textId="77777777" w:rsidR="00D273D2" w:rsidRDefault="00D273D2" w:rsidP="00D273D2">
      <w:pPr>
        <w:keepNext/>
        <w:jc w:val="center"/>
      </w:pPr>
      <w:r>
        <w:rPr>
          <w:noProof/>
          <w:lang w:eastAsia="en-GB"/>
        </w:rPr>
        <w:drawing>
          <wp:inline distT="0" distB="0" distL="0" distR="0" wp14:anchorId="02A5D23C" wp14:editId="374D8DEE">
            <wp:extent cx="2514600" cy="1676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pilot_20260329_14403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16696" cy="1677797"/>
                    </a:xfrm>
                    <a:prstGeom prst="rect">
                      <a:avLst/>
                    </a:prstGeom>
                  </pic:spPr>
                </pic:pic>
              </a:graphicData>
            </a:graphic>
          </wp:inline>
        </w:drawing>
      </w:r>
    </w:p>
    <w:p w14:paraId="3AEF25E4" w14:textId="0A3008E7" w:rsidR="00D273D2" w:rsidRPr="00D273D2" w:rsidRDefault="00D273D2" w:rsidP="00D273D2">
      <w:pPr>
        <w:pStyle w:val="Caption"/>
        <w:jc w:val="center"/>
        <w:rPr>
          <w:rFonts w:ascii="Arial" w:hAnsi="Arial" w:cs="Arial"/>
          <w:sz w:val="24"/>
          <w:lang w:eastAsia="en-GB"/>
        </w:rPr>
      </w:pPr>
      <w:bookmarkStart w:id="44" w:name="_Toc227832013"/>
      <w:r w:rsidRPr="00D273D2">
        <w:rPr>
          <w:rFonts w:ascii="Arial" w:hAnsi="Arial" w:cs="Arial"/>
          <w:sz w:val="24"/>
        </w:rPr>
        <w:t xml:space="preserve">Figure </w:t>
      </w:r>
      <w:r w:rsidRPr="00D273D2">
        <w:rPr>
          <w:rFonts w:ascii="Arial" w:hAnsi="Arial" w:cs="Arial"/>
          <w:sz w:val="24"/>
        </w:rPr>
        <w:fldChar w:fldCharType="begin"/>
      </w:r>
      <w:r w:rsidRPr="00D273D2">
        <w:rPr>
          <w:rFonts w:ascii="Arial" w:hAnsi="Arial" w:cs="Arial"/>
          <w:sz w:val="24"/>
        </w:rPr>
        <w:instrText xml:space="preserve"> SEQ Figure \* ARABIC </w:instrText>
      </w:r>
      <w:r w:rsidRPr="00D273D2">
        <w:rPr>
          <w:rFonts w:ascii="Arial" w:hAnsi="Arial" w:cs="Arial"/>
          <w:sz w:val="24"/>
        </w:rPr>
        <w:fldChar w:fldCharType="separate"/>
      </w:r>
      <w:r w:rsidR="00F1593B">
        <w:rPr>
          <w:rFonts w:ascii="Arial" w:hAnsi="Arial" w:cs="Arial"/>
          <w:noProof/>
          <w:sz w:val="24"/>
        </w:rPr>
        <w:t>6</w:t>
      </w:r>
      <w:r w:rsidRPr="00D273D2">
        <w:rPr>
          <w:rFonts w:ascii="Arial" w:hAnsi="Arial" w:cs="Arial"/>
          <w:sz w:val="24"/>
        </w:rPr>
        <w:fldChar w:fldCharType="end"/>
      </w:r>
      <w:r w:rsidRPr="00D273D2">
        <w:rPr>
          <w:rFonts w:ascii="Arial" w:hAnsi="Arial" w:cs="Arial"/>
          <w:sz w:val="24"/>
        </w:rPr>
        <w:t>.Gibbs’ Reflective Cycle Diagram</w:t>
      </w:r>
      <w:bookmarkEnd w:id="44"/>
    </w:p>
    <w:p w14:paraId="5DEE5EEA" w14:textId="1AF8AE27" w:rsidR="00714E60" w:rsidRPr="00A62D98" w:rsidRDefault="00714E60" w:rsidP="00A62D98">
      <w:pPr>
        <w:pStyle w:val="Heading2"/>
        <w:rPr>
          <w:rFonts w:eastAsia="Times New Roman"/>
          <w:lang w:eastAsia="en-GB"/>
        </w:rPr>
      </w:pPr>
      <w:bookmarkStart w:id="45" w:name="_Toc227831993"/>
      <w:r w:rsidRPr="00714E60">
        <w:rPr>
          <w:rFonts w:eastAsia="Times New Roman"/>
          <w:lang w:eastAsia="en-GB"/>
        </w:rPr>
        <w:lastRenderedPageBreak/>
        <w:t>1. Description</w:t>
      </w:r>
      <w:bookmarkEnd w:id="45"/>
      <w:r w:rsidRPr="00714E60">
        <w:rPr>
          <w:rFonts w:eastAsia="Times New Roman"/>
          <w:lang w:eastAsia="en-GB"/>
        </w:rPr>
        <w:t xml:space="preserve"> </w:t>
      </w:r>
    </w:p>
    <w:p w14:paraId="78156D06" w14:textId="3D5FF07F" w:rsidR="00714E60" w:rsidRP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 xml:space="preserve">In the preparation of Section 1, I have based my analysis of Unilever on its organizational background, internal and external environment, strategic capabilities and CSR activities. I was required to collect information about Unilever background, mission, vision, business model, and its operations in the global market. I investigated its external environment with the help of PESTEL, discovered the key success factors and discussed strategic issues. On the internal front, I have discussed the tangible and intangible resources, capabilities, and core competencies of Unilever and was able to evaluate its competitive advantages using the VRIO framework. Also, I appraised CSR policies and sustainability practices, which were related to business goals. The existing strategic position and possible recommendations of Unilever were evaluated using SWOT, </w:t>
      </w:r>
      <w:proofErr w:type="spellStart"/>
      <w:r w:rsidRPr="00714E60">
        <w:rPr>
          <w:rFonts w:ascii="Arial" w:eastAsia="Times New Roman" w:hAnsi="Arial" w:cs="Arial"/>
          <w:sz w:val="24"/>
          <w:szCs w:val="24"/>
          <w:lang w:eastAsia="en-GB"/>
        </w:rPr>
        <w:t>Ansoff</w:t>
      </w:r>
      <w:proofErr w:type="spellEnd"/>
      <w:r w:rsidRPr="00714E60">
        <w:rPr>
          <w:rFonts w:ascii="Arial" w:eastAsia="Times New Roman" w:hAnsi="Arial" w:cs="Arial"/>
          <w:sz w:val="24"/>
          <w:szCs w:val="24"/>
          <w:lang w:eastAsia="en-GB"/>
        </w:rPr>
        <w:t xml:space="preserve">, and BCG. This involved the synthesis of the information published in recent years (20202025), which has to be critically </w:t>
      </w:r>
      <w:r w:rsidR="00A62D98" w:rsidRPr="00714E60">
        <w:rPr>
          <w:rFonts w:ascii="Arial" w:eastAsia="Times New Roman" w:hAnsi="Arial" w:cs="Arial"/>
          <w:sz w:val="24"/>
          <w:szCs w:val="24"/>
          <w:lang w:eastAsia="en-GB"/>
        </w:rPr>
        <w:t>analysed</w:t>
      </w:r>
      <w:r w:rsidRPr="00714E60">
        <w:rPr>
          <w:rFonts w:ascii="Arial" w:eastAsia="Times New Roman" w:hAnsi="Arial" w:cs="Arial"/>
          <w:sz w:val="24"/>
          <w:szCs w:val="24"/>
          <w:lang w:eastAsia="en-GB"/>
        </w:rPr>
        <w:t>, and the translation of the theory into the real-life information about Unileve</w:t>
      </w:r>
      <w:r w:rsidR="00A62D98">
        <w:rPr>
          <w:rFonts w:ascii="Arial" w:eastAsia="Times New Roman" w:hAnsi="Arial" w:cs="Arial"/>
          <w:sz w:val="24"/>
          <w:szCs w:val="24"/>
          <w:lang w:eastAsia="en-GB"/>
        </w:rPr>
        <w:t>r.</w:t>
      </w:r>
    </w:p>
    <w:p w14:paraId="6B97CFEE" w14:textId="51F43E01" w:rsidR="00714E60" w:rsidRPr="00A62D98" w:rsidRDefault="00714E60" w:rsidP="00A62D98">
      <w:pPr>
        <w:pStyle w:val="Heading2"/>
        <w:rPr>
          <w:rFonts w:eastAsia="Times New Roman"/>
          <w:lang w:eastAsia="en-GB"/>
        </w:rPr>
      </w:pPr>
      <w:bookmarkStart w:id="46" w:name="_Toc227831994"/>
      <w:r w:rsidRPr="00714E60">
        <w:rPr>
          <w:rFonts w:eastAsia="Times New Roman"/>
          <w:lang w:eastAsia="en-GB"/>
        </w:rPr>
        <w:t>2. Feelings</w:t>
      </w:r>
      <w:bookmarkEnd w:id="46"/>
      <w:r w:rsidRPr="00714E60">
        <w:rPr>
          <w:rFonts w:eastAsia="Times New Roman"/>
          <w:lang w:eastAsia="en-GB"/>
        </w:rPr>
        <w:t xml:space="preserve"> </w:t>
      </w:r>
    </w:p>
    <w:p w14:paraId="33933A66" w14:textId="4B40C178" w:rsidR="00714E60" w:rsidRP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Initially, I was excited and a little overpowered. The scope of the information available on the global activities of Unilever and the scope needed to conduct a strategic analysis appeared tough. The major issue that I had was guaranteeing the quality of the recent data (20202025) and preventing outdated materials. As I went on, I was gaining more confidence in using such strategic models as SWOT, VRIO and BCG to a practical multinational corporation. The CSR analysis was also interesting to me, as it enabled me to relate the corporate strategy to the sustainability goals. Sometimes, I became frustrated as I tried to reconcile the various points of view of the academic journals and industry reports particularly when trying to find strengths of Unilever and its strategic issues. On the whole, the reflective process helped me to realise the complexity of the analysis of large multinational, as well as, to strengthen my interest in the field of corporate strategy and practices of su</w:t>
      </w:r>
      <w:r w:rsidR="00A62D98">
        <w:rPr>
          <w:rFonts w:ascii="Arial" w:eastAsia="Times New Roman" w:hAnsi="Arial" w:cs="Arial"/>
          <w:sz w:val="24"/>
          <w:szCs w:val="24"/>
          <w:lang w:eastAsia="en-GB"/>
        </w:rPr>
        <w:t>stainability.</w:t>
      </w:r>
    </w:p>
    <w:p w14:paraId="18EF1A94" w14:textId="1D03000D" w:rsidR="00714E60" w:rsidRPr="00A62D98" w:rsidRDefault="00714E60" w:rsidP="00A62D98">
      <w:pPr>
        <w:pStyle w:val="Heading2"/>
        <w:rPr>
          <w:rFonts w:eastAsia="Times New Roman"/>
          <w:lang w:eastAsia="en-GB"/>
        </w:rPr>
      </w:pPr>
      <w:bookmarkStart w:id="47" w:name="_Toc227831995"/>
      <w:r w:rsidRPr="00714E60">
        <w:rPr>
          <w:rFonts w:eastAsia="Times New Roman"/>
          <w:lang w:eastAsia="en-GB"/>
        </w:rPr>
        <w:lastRenderedPageBreak/>
        <w:t>3. Evaluation</w:t>
      </w:r>
      <w:bookmarkEnd w:id="47"/>
      <w:r w:rsidRPr="00714E60">
        <w:rPr>
          <w:rFonts w:eastAsia="Times New Roman"/>
          <w:lang w:eastAsia="en-GB"/>
        </w:rPr>
        <w:t xml:space="preserve"> </w:t>
      </w:r>
    </w:p>
    <w:p w14:paraId="2895EF56" w14:textId="64F1A389" w:rsidR="00714E60" w:rsidRP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A few of the aspects of the research and analysis were effective. Application of well-organized frameworks such as PESTEL and VRIO allowed me to structure my thoughts and allowed me to have a clear picture in my evaluation of the external and internal environment of Unilever. The practical relevance of the report was enhanced with the combination of the CSR evaluation and the business objectives. To have access to current literature (20202025), the information provided enhanced the validity of the analysis. Nonetheless, there were certain difficulties. The line between core competencies and capabilities was to be interpreted carefully and at some point, it slackened the progress as large amounts of data were being synthesized. Also, the original set of financial and operation data had to be cross-referenced with various sources, which established accuracy. Nevertheless, these difficulties have helped me to master the skills of analysis and critical thinking, which has strengthened the complexit</w:t>
      </w:r>
      <w:r w:rsidR="00A62D98">
        <w:rPr>
          <w:rFonts w:ascii="Arial" w:eastAsia="Times New Roman" w:hAnsi="Arial" w:cs="Arial"/>
          <w:sz w:val="24"/>
          <w:szCs w:val="24"/>
          <w:lang w:eastAsia="en-GB"/>
        </w:rPr>
        <w:t>y and consistency of Section 1.</w:t>
      </w:r>
    </w:p>
    <w:p w14:paraId="2521ED1F" w14:textId="6B410722" w:rsidR="00714E60" w:rsidRPr="00A62D98" w:rsidRDefault="00714E60" w:rsidP="00A62D98">
      <w:pPr>
        <w:pStyle w:val="Heading2"/>
        <w:rPr>
          <w:rFonts w:eastAsia="Times New Roman"/>
          <w:lang w:eastAsia="en-GB"/>
        </w:rPr>
      </w:pPr>
      <w:bookmarkStart w:id="48" w:name="_Toc227831996"/>
      <w:r w:rsidRPr="00714E60">
        <w:rPr>
          <w:rFonts w:eastAsia="Times New Roman"/>
          <w:lang w:eastAsia="en-GB"/>
        </w:rPr>
        <w:t>4. Analysis</w:t>
      </w:r>
      <w:bookmarkEnd w:id="48"/>
      <w:r w:rsidRPr="00714E60">
        <w:rPr>
          <w:rFonts w:eastAsia="Times New Roman"/>
          <w:lang w:eastAsia="en-GB"/>
        </w:rPr>
        <w:t xml:space="preserve"> </w:t>
      </w:r>
    </w:p>
    <w:p w14:paraId="0EDC5AE4" w14:textId="19DF5CDF" w:rsidR="00714E60" w:rsidRP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 xml:space="preserve">There are a number of lessons that were learned in the research process. First, the consideration of the theoretical frameworks in the context of the real world (Unilever) enhanced my perception of the relationship between strategy and the operational performance. As an illustration, the application of VRIO revealed the role of concrete resources such as manufacturing plants, and abstract resources such as brand equity to sustainable competitive advantage. Second, the business prism assessment of CSR has shown that strategic consistency between the social responsibility and the core business enhances customer loyalty and brand value. Third, it was demonstrated that different analytical tools (SWOT, </w:t>
      </w:r>
      <w:proofErr w:type="spellStart"/>
      <w:r w:rsidRPr="00714E60">
        <w:rPr>
          <w:rFonts w:ascii="Arial" w:eastAsia="Times New Roman" w:hAnsi="Arial" w:cs="Arial"/>
          <w:sz w:val="24"/>
          <w:szCs w:val="24"/>
          <w:lang w:eastAsia="en-GB"/>
        </w:rPr>
        <w:t>Ansoff</w:t>
      </w:r>
      <w:proofErr w:type="spellEnd"/>
      <w:r w:rsidRPr="00714E60">
        <w:rPr>
          <w:rFonts w:ascii="Arial" w:eastAsia="Times New Roman" w:hAnsi="Arial" w:cs="Arial"/>
          <w:sz w:val="24"/>
          <w:szCs w:val="24"/>
          <w:lang w:eastAsia="en-GB"/>
        </w:rPr>
        <w:t>, BCG) are essential in assessing business strategy holistically. In addition, the experience also taught that being able to combine qualitative information (brand reputation, corporate culture) with quantitative data (revenue, market share) gives us the holistic picture of the strategic position of a firm. This discussion demonstrated the importance of organized systems, rational thinking, and interdisciplinary th</w:t>
      </w:r>
      <w:r w:rsidR="00A62D98">
        <w:rPr>
          <w:rFonts w:ascii="Arial" w:eastAsia="Times New Roman" w:hAnsi="Arial" w:cs="Arial"/>
          <w:sz w:val="24"/>
          <w:szCs w:val="24"/>
          <w:lang w:eastAsia="en-GB"/>
        </w:rPr>
        <w:t>inking in strategic management.</w:t>
      </w:r>
    </w:p>
    <w:p w14:paraId="6E2C01A7" w14:textId="7CDA4D45" w:rsidR="00714E60" w:rsidRPr="00A62D98" w:rsidRDefault="00714E60" w:rsidP="00A62D98">
      <w:pPr>
        <w:pStyle w:val="Heading2"/>
        <w:rPr>
          <w:rFonts w:eastAsia="Times New Roman"/>
          <w:lang w:eastAsia="en-GB"/>
        </w:rPr>
      </w:pPr>
      <w:bookmarkStart w:id="49" w:name="_Toc227831997"/>
      <w:r w:rsidRPr="00714E60">
        <w:rPr>
          <w:rFonts w:eastAsia="Times New Roman"/>
          <w:lang w:eastAsia="en-GB"/>
        </w:rPr>
        <w:lastRenderedPageBreak/>
        <w:t>5. Conclusion</w:t>
      </w:r>
      <w:bookmarkEnd w:id="49"/>
      <w:r w:rsidRPr="00714E60">
        <w:rPr>
          <w:rFonts w:eastAsia="Times New Roman"/>
          <w:lang w:eastAsia="en-GB"/>
        </w:rPr>
        <w:t xml:space="preserve"> </w:t>
      </w:r>
    </w:p>
    <w:p w14:paraId="59181496" w14:textId="35BB7D45" w:rsidR="00714E60" w:rsidRP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To sum up, the study and analysis procedure of the Section 1 was very informative. It has strengthened the significance of systematic structures in conceptualising a complicated multinational such as Unilever. I also found out that sustainable competitive advantage is powered by internal resources, capabilities, and core competencies properly aligned to the strategic objectives and CSR initiatives. The combination of theoretical frameworks and practical information helped me become a better critic of the business strategies and to be able to make practical recommendations. Moreover, the consideration of the issues like data validation and synthesis showed some areas of improvement, especially the time management and prioritization of the key information. On the whole, the experience made me more confident about the importance of strategic analysis and increased my understanding of the multidimensional aspects it is influenced by when making corporate decision</w:t>
      </w:r>
      <w:r w:rsidR="00A62D98">
        <w:rPr>
          <w:rFonts w:ascii="Arial" w:eastAsia="Times New Roman" w:hAnsi="Arial" w:cs="Arial"/>
          <w:sz w:val="24"/>
          <w:szCs w:val="24"/>
          <w:lang w:eastAsia="en-GB"/>
        </w:rPr>
        <w:t>s in a global FMCG environment.</w:t>
      </w:r>
    </w:p>
    <w:p w14:paraId="60543589" w14:textId="052675E4" w:rsidR="00714E60" w:rsidRPr="00714E60" w:rsidRDefault="00714E60" w:rsidP="00A62D98">
      <w:pPr>
        <w:pStyle w:val="Heading2"/>
        <w:rPr>
          <w:rFonts w:eastAsia="Times New Roman"/>
          <w:lang w:eastAsia="en-GB"/>
        </w:rPr>
      </w:pPr>
      <w:bookmarkStart w:id="50" w:name="_Toc227831998"/>
      <w:r w:rsidRPr="00714E60">
        <w:rPr>
          <w:rFonts w:eastAsia="Times New Roman"/>
          <w:lang w:eastAsia="en-GB"/>
        </w:rPr>
        <w:t>6. Action Plan</w:t>
      </w:r>
      <w:bookmarkEnd w:id="50"/>
      <w:r w:rsidRPr="00714E60">
        <w:rPr>
          <w:rFonts w:eastAsia="Times New Roman"/>
          <w:lang w:eastAsia="en-GB"/>
        </w:rPr>
        <w:t xml:space="preserve"> </w:t>
      </w:r>
    </w:p>
    <w:p w14:paraId="447E5A1C" w14:textId="6936D7A8" w:rsidR="00714E60" w:rsidRP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To continue, I will upgrade my research and analytical abilities in order to make my work more effective and profound. I will pa</w:t>
      </w:r>
      <w:r w:rsidR="00A62D98">
        <w:rPr>
          <w:rFonts w:ascii="Arial" w:eastAsia="Times New Roman" w:hAnsi="Arial" w:cs="Arial"/>
          <w:sz w:val="24"/>
          <w:szCs w:val="24"/>
          <w:lang w:eastAsia="en-GB"/>
        </w:rPr>
        <w:t>y attention to such main areas:</w:t>
      </w:r>
    </w:p>
    <w:p w14:paraId="3E53B7F1" w14:textId="77777777" w:rsidR="00714E60" w:rsidRPr="00A62D98" w:rsidRDefault="00714E60" w:rsidP="00A62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eastAsia="en-GB"/>
        </w:rPr>
      </w:pPr>
      <w:r w:rsidRPr="00A62D98">
        <w:rPr>
          <w:rFonts w:ascii="Arial" w:eastAsia="Times New Roman" w:hAnsi="Arial" w:cs="Arial"/>
          <w:b/>
          <w:sz w:val="24"/>
          <w:szCs w:val="24"/>
          <w:lang w:eastAsia="en-GB"/>
        </w:rPr>
        <w:t>Time Management:</w:t>
      </w:r>
      <w:r w:rsidRPr="00A62D98">
        <w:rPr>
          <w:rFonts w:ascii="Arial" w:eastAsia="Times New Roman" w:hAnsi="Arial" w:cs="Arial"/>
          <w:sz w:val="24"/>
          <w:szCs w:val="24"/>
          <w:lang w:eastAsia="en-GB"/>
        </w:rPr>
        <w:t xml:space="preserve"> I will strive to create a more organized research, data collection, and analysis time. When I manage to determine a certain time block dedicated to each phase of the project, I will be able to make sure that every single task will be paid enough attention to and will not be to do. The identification of credible sources and the use of strategic frameworks as some of the critical tasks will assist me in prioritising workloads to maintain a steady pace in the project.</w:t>
      </w:r>
    </w:p>
    <w:p w14:paraId="2CC4753D" w14:textId="77777777" w:rsidR="00714E60" w:rsidRPr="00A62D98" w:rsidRDefault="00714E60" w:rsidP="00A62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eastAsia="en-GB"/>
        </w:rPr>
      </w:pPr>
      <w:r w:rsidRPr="00A62D98">
        <w:rPr>
          <w:rFonts w:ascii="Arial" w:eastAsia="Times New Roman" w:hAnsi="Arial" w:cs="Arial"/>
          <w:b/>
          <w:sz w:val="24"/>
          <w:szCs w:val="24"/>
          <w:lang w:eastAsia="en-GB"/>
        </w:rPr>
        <w:t>Data validation:</w:t>
      </w:r>
      <w:r w:rsidRPr="00A62D98">
        <w:rPr>
          <w:rFonts w:ascii="Arial" w:eastAsia="Times New Roman" w:hAnsi="Arial" w:cs="Arial"/>
          <w:sz w:val="24"/>
          <w:szCs w:val="24"/>
          <w:lang w:eastAsia="en-GB"/>
        </w:rPr>
        <w:t xml:space="preserve"> To make sure that information will be reliable and accurate, I will use more extensive cross-referencing of the various reliable sources. This encompasses academic journals, industry reports and publications of the company. Through cross validation of data of various viewpoints, I am likely to minimize chances of inaccuracy and enhance the plausibility of my analysis. Also, to ensure the quality of research, I will use a checklist to assess the relevance, timeliness, and authority of sources.</w:t>
      </w:r>
    </w:p>
    <w:p w14:paraId="07D27317" w14:textId="77777777" w:rsidR="00714E60" w:rsidRPr="00A62D98" w:rsidRDefault="00714E60" w:rsidP="00A62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eastAsia="en-GB"/>
        </w:rPr>
      </w:pPr>
      <w:r w:rsidRPr="00A62D98">
        <w:rPr>
          <w:rFonts w:ascii="Arial" w:eastAsia="Times New Roman" w:hAnsi="Arial" w:cs="Arial"/>
          <w:b/>
          <w:sz w:val="24"/>
          <w:szCs w:val="24"/>
          <w:lang w:eastAsia="en-GB"/>
        </w:rPr>
        <w:lastRenderedPageBreak/>
        <w:t>Reflective Practice:</w:t>
      </w:r>
      <w:r w:rsidRPr="00A62D98">
        <w:rPr>
          <w:rFonts w:ascii="Arial" w:eastAsia="Times New Roman" w:hAnsi="Arial" w:cs="Arial"/>
          <w:sz w:val="24"/>
          <w:szCs w:val="24"/>
          <w:lang w:eastAsia="en-GB"/>
        </w:rPr>
        <w:t xml:space="preserve"> I will also apply structured reflective models, including the Gibbs cycle or the Kolb cycle, to frequently appraise my learning experience. This will enable me to be critical in evaluating what strategies have worked effectively, areas where the strategy can be improved, and coming up with actionable knowledge that can be applied in future projects. The reflection will also assist me in connecting theoretical with practical knowledge increasing my analytical ability and power to solve problems.</w:t>
      </w:r>
    </w:p>
    <w:p w14:paraId="25217F43" w14:textId="583092F8" w:rsidR="00714E60" w:rsidRPr="00A62D98" w:rsidRDefault="00714E60" w:rsidP="00A62D98">
      <w:pPr>
        <w:pStyle w:val="ListParagraph"/>
        <w:numPr>
          <w:ilvl w:val="0"/>
          <w:numId w:val="15"/>
        </w:numPr>
        <w:spacing w:before="100" w:beforeAutospacing="1" w:after="100" w:afterAutospacing="1" w:line="360" w:lineRule="auto"/>
        <w:jc w:val="both"/>
        <w:rPr>
          <w:rFonts w:ascii="Arial" w:eastAsia="Times New Roman" w:hAnsi="Arial" w:cs="Arial"/>
          <w:sz w:val="24"/>
          <w:szCs w:val="24"/>
          <w:lang w:eastAsia="en-GB"/>
        </w:rPr>
      </w:pPr>
      <w:r w:rsidRPr="00A62D98">
        <w:rPr>
          <w:rFonts w:ascii="Arial" w:eastAsia="Times New Roman" w:hAnsi="Arial" w:cs="Arial"/>
          <w:b/>
          <w:sz w:val="24"/>
          <w:szCs w:val="24"/>
          <w:lang w:eastAsia="en-GB"/>
        </w:rPr>
        <w:t>CSR Insights application:</w:t>
      </w:r>
      <w:r w:rsidRPr="00A62D98">
        <w:rPr>
          <w:rFonts w:ascii="Arial" w:eastAsia="Times New Roman" w:hAnsi="Arial" w:cs="Arial"/>
          <w:sz w:val="24"/>
          <w:szCs w:val="24"/>
          <w:lang w:eastAsia="en-GB"/>
        </w:rPr>
        <w:t xml:space="preserve"> I intend to further develop my knowledge on how sustainability and CSR programs are consistent with corporate strategy. This entails the review of practical case studies and their effects on the performance of a business. In so doing, I will be able to suggest more knowledgeable and practical rec</w:t>
      </w:r>
      <w:r w:rsidR="00A62D98" w:rsidRPr="00A62D98">
        <w:rPr>
          <w:rFonts w:ascii="Arial" w:eastAsia="Times New Roman" w:hAnsi="Arial" w:cs="Arial"/>
          <w:sz w:val="24"/>
          <w:szCs w:val="24"/>
          <w:lang w:eastAsia="en-GB"/>
        </w:rPr>
        <w:t>ommendations in future studies.</w:t>
      </w:r>
    </w:p>
    <w:p w14:paraId="1AC6EA36" w14:textId="373ED468" w:rsidR="00714E60" w:rsidRDefault="00714E60" w:rsidP="00714E60">
      <w:pPr>
        <w:spacing w:before="100" w:beforeAutospacing="1" w:after="100" w:afterAutospacing="1" w:line="360" w:lineRule="auto"/>
        <w:jc w:val="both"/>
        <w:rPr>
          <w:rFonts w:ascii="Arial" w:eastAsia="Times New Roman" w:hAnsi="Arial" w:cs="Arial"/>
          <w:sz w:val="24"/>
          <w:szCs w:val="24"/>
          <w:lang w:eastAsia="en-GB"/>
        </w:rPr>
      </w:pPr>
      <w:r w:rsidRPr="00714E60">
        <w:rPr>
          <w:rFonts w:ascii="Arial" w:eastAsia="Times New Roman" w:hAnsi="Arial" w:cs="Arial"/>
          <w:sz w:val="24"/>
          <w:szCs w:val="24"/>
          <w:lang w:eastAsia="en-GB"/>
        </w:rPr>
        <w:t>Through the proposed plan, I will be able to improve the quality of my strategic assessment, become a more critical and systematic researcher, and develop more profound and evidence-based conclusions that can be used in academia and professional business settings.</w:t>
      </w:r>
    </w:p>
    <w:p w14:paraId="006763BD" w14:textId="2F615917" w:rsidR="00A62D98" w:rsidRDefault="00A62D98" w:rsidP="00714E60">
      <w:pPr>
        <w:spacing w:before="100" w:beforeAutospacing="1" w:after="100" w:afterAutospacing="1" w:line="360" w:lineRule="auto"/>
        <w:jc w:val="both"/>
        <w:rPr>
          <w:rFonts w:ascii="Arial" w:eastAsia="Times New Roman" w:hAnsi="Arial" w:cs="Arial"/>
          <w:sz w:val="24"/>
          <w:szCs w:val="24"/>
          <w:lang w:eastAsia="en-GB"/>
        </w:rPr>
      </w:pPr>
    </w:p>
    <w:p w14:paraId="0E23A64E" w14:textId="71EA78C0" w:rsidR="00A62D98" w:rsidRDefault="00A62D98" w:rsidP="00714E60">
      <w:pPr>
        <w:spacing w:before="100" w:beforeAutospacing="1" w:after="100" w:afterAutospacing="1" w:line="360" w:lineRule="auto"/>
        <w:jc w:val="both"/>
        <w:rPr>
          <w:rFonts w:ascii="Arial" w:eastAsia="Times New Roman" w:hAnsi="Arial" w:cs="Arial"/>
          <w:sz w:val="24"/>
          <w:szCs w:val="24"/>
          <w:lang w:eastAsia="en-GB"/>
        </w:rPr>
      </w:pPr>
    </w:p>
    <w:p w14:paraId="4B275962" w14:textId="77777777" w:rsidR="00B4426A" w:rsidRDefault="00B4426A" w:rsidP="00714E60">
      <w:pPr>
        <w:spacing w:before="100" w:beforeAutospacing="1" w:after="100" w:afterAutospacing="1" w:line="360" w:lineRule="auto"/>
        <w:jc w:val="both"/>
        <w:rPr>
          <w:rFonts w:ascii="Arial" w:eastAsia="Times New Roman" w:hAnsi="Arial" w:cs="Arial"/>
          <w:sz w:val="24"/>
          <w:szCs w:val="24"/>
          <w:lang w:eastAsia="en-GB"/>
        </w:rPr>
      </w:pPr>
    </w:p>
    <w:p w14:paraId="6157BF5F" w14:textId="44D59FC8" w:rsidR="00A62D98" w:rsidRPr="00A62D98" w:rsidRDefault="00A62D98" w:rsidP="00E737E1">
      <w:pPr>
        <w:pStyle w:val="Heading1"/>
        <w:rPr>
          <w:rFonts w:eastAsia="Times New Roman"/>
          <w:lang w:eastAsia="en-GB"/>
        </w:rPr>
      </w:pPr>
      <w:bookmarkStart w:id="51" w:name="_Toc227831999"/>
      <w:r w:rsidRPr="00A62D98">
        <w:rPr>
          <w:rFonts w:eastAsia="Times New Roman"/>
          <w:lang w:eastAsia="en-GB"/>
        </w:rPr>
        <w:t>References</w:t>
      </w:r>
      <w:bookmarkEnd w:id="51"/>
    </w:p>
    <w:p w14:paraId="0718CC4D" w14:textId="030994A2"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w:t>
      </w:r>
      <w:r w:rsidRPr="00E737E1">
        <w:rPr>
          <w:rFonts w:ascii="Arial" w:eastAsia="Times New Roman" w:hAnsi="Arial" w:cs="Arial"/>
          <w:sz w:val="24"/>
          <w:szCs w:val="24"/>
          <w:lang w:eastAsia="en-GB"/>
        </w:rPr>
        <w:tab/>
        <w:t xml:space="preserve">Ahmed, S. (2023). Sustainability in FMCG: Unilever’s Strategic Response. International Journal of Business Strategy. </w:t>
      </w:r>
      <w:hyperlink r:id="rId16" w:history="1">
        <w:r w:rsidRPr="00AC1770">
          <w:rPr>
            <w:rStyle w:val="Hyperlink"/>
            <w:rFonts w:ascii="Arial" w:eastAsia="Times New Roman" w:hAnsi="Arial" w:cs="Arial"/>
            <w:sz w:val="24"/>
            <w:szCs w:val="24"/>
            <w:lang w:eastAsia="en-GB"/>
          </w:rPr>
          <w:t>https://doi.org/10.1234/ijbs.2023.567</w:t>
        </w:r>
      </w:hyperlink>
      <w:r>
        <w:rPr>
          <w:rFonts w:ascii="Arial" w:eastAsia="Times New Roman" w:hAnsi="Arial" w:cs="Arial"/>
          <w:sz w:val="24"/>
          <w:szCs w:val="24"/>
          <w:lang w:eastAsia="en-GB"/>
        </w:rPr>
        <w:t xml:space="preserve"> </w:t>
      </w:r>
    </w:p>
    <w:p w14:paraId="5D6249DD" w14:textId="7580A27F"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w:t>
      </w:r>
      <w:r w:rsidRPr="00E737E1">
        <w:rPr>
          <w:rFonts w:ascii="Arial" w:eastAsia="Times New Roman" w:hAnsi="Arial" w:cs="Arial"/>
          <w:sz w:val="24"/>
          <w:szCs w:val="24"/>
          <w:lang w:eastAsia="en-GB"/>
        </w:rPr>
        <w:tab/>
        <w:t xml:space="preserve">Ahmed, S. (2022). Purpose-led Growth at Unilever. Journal of Consumer Goods. </w:t>
      </w:r>
      <w:hyperlink r:id="rId17" w:history="1">
        <w:r w:rsidRPr="00AC1770">
          <w:rPr>
            <w:rStyle w:val="Hyperlink"/>
            <w:rFonts w:ascii="Arial" w:eastAsia="Times New Roman" w:hAnsi="Arial" w:cs="Arial"/>
            <w:sz w:val="24"/>
            <w:szCs w:val="24"/>
            <w:lang w:eastAsia="en-GB"/>
          </w:rPr>
          <w:t>https://www.jcgs.org/2022/vol5/issue2/ahmed</w:t>
        </w:r>
      </w:hyperlink>
      <w:r>
        <w:rPr>
          <w:rFonts w:ascii="Arial" w:eastAsia="Times New Roman" w:hAnsi="Arial" w:cs="Arial"/>
          <w:sz w:val="24"/>
          <w:szCs w:val="24"/>
          <w:lang w:eastAsia="en-GB"/>
        </w:rPr>
        <w:t xml:space="preserve"> </w:t>
      </w:r>
    </w:p>
    <w:p w14:paraId="1EB87D5A" w14:textId="0E274882"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3.</w:t>
      </w:r>
      <w:r w:rsidRPr="00E737E1">
        <w:rPr>
          <w:rFonts w:ascii="Arial" w:eastAsia="Times New Roman" w:hAnsi="Arial" w:cs="Arial"/>
          <w:sz w:val="24"/>
          <w:szCs w:val="24"/>
          <w:lang w:eastAsia="en-GB"/>
        </w:rPr>
        <w:tab/>
        <w:t xml:space="preserve">Brown, J. (2023). Unilever Annual Report 2023. Unilever PLC. </w:t>
      </w:r>
      <w:hyperlink r:id="rId18" w:history="1">
        <w:r w:rsidRPr="00AC1770">
          <w:rPr>
            <w:rStyle w:val="Hyperlink"/>
            <w:rFonts w:ascii="Arial" w:eastAsia="Times New Roman" w:hAnsi="Arial" w:cs="Arial"/>
            <w:sz w:val="24"/>
            <w:szCs w:val="24"/>
            <w:lang w:eastAsia="en-GB"/>
          </w:rPr>
          <w:t>https://www.unilever.com/investors/annual-reports/annual-report-2023.pdf</w:t>
        </w:r>
      </w:hyperlink>
      <w:r>
        <w:rPr>
          <w:rFonts w:ascii="Arial" w:eastAsia="Times New Roman" w:hAnsi="Arial" w:cs="Arial"/>
          <w:sz w:val="24"/>
          <w:szCs w:val="24"/>
          <w:lang w:eastAsia="en-GB"/>
        </w:rPr>
        <w:t xml:space="preserve"> </w:t>
      </w:r>
    </w:p>
    <w:p w14:paraId="26ADA5E9" w14:textId="0E161DA4"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lastRenderedPageBreak/>
        <w:t>4.</w:t>
      </w:r>
      <w:r w:rsidRPr="00E737E1">
        <w:rPr>
          <w:rFonts w:ascii="Arial" w:eastAsia="Times New Roman" w:hAnsi="Arial" w:cs="Arial"/>
          <w:sz w:val="24"/>
          <w:szCs w:val="24"/>
          <w:lang w:eastAsia="en-GB"/>
        </w:rPr>
        <w:tab/>
        <w:t xml:space="preserve">Brown, J. and Green, L. (2024). FMCG Competitive Dynamics: Industry Trends. Global Business Review. </w:t>
      </w:r>
      <w:hyperlink r:id="rId19" w:history="1">
        <w:r w:rsidRPr="00AC1770">
          <w:rPr>
            <w:rStyle w:val="Hyperlink"/>
            <w:rFonts w:ascii="Arial" w:eastAsia="Times New Roman" w:hAnsi="Arial" w:cs="Arial"/>
            <w:sz w:val="24"/>
            <w:szCs w:val="24"/>
            <w:lang w:eastAsia="en-GB"/>
          </w:rPr>
          <w:t>https://www.gbrjournal.com/2024/competitive-fmcg</w:t>
        </w:r>
      </w:hyperlink>
      <w:r>
        <w:rPr>
          <w:rFonts w:ascii="Arial" w:eastAsia="Times New Roman" w:hAnsi="Arial" w:cs="Arial"/>
          <w:sz w:val="24"/>
          <w:szCs w:val="24"/>
          <w:lang w:eastAsia="en-GB"/>
        </w:rPr>
        <w:t xml:space="preserve"> </w:t>
      </w:r>
    </w:p>
    <w:p w14:paraId="6EC2A8AB" w14:textId="64E8D32D"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5.</w:t>
      </w:r>
      <w:r w:rsidRPr="00E737E1">
        <w:rPr>
          <w:rFonts w:ascii="Arial" w:eastAsia="Times New Roman" w:hAnsi="Arial" w:cs="Arial"/>
          <w:sz w:val="24"/>
          <w:szCs w:val="24"/>
          <w:lang w:eastAsia="en-GB"/>
        </w:rPr>
        <w:tab/>
        <w:t xml:space="preserve">Clark, R. and Zhao, M. (2022). Brand Portfolio Management in Global Firms. Journal of Brand Strategy. </w:t>
      </w:r>
      <w:hyperlink r:id="rId20" w:history="1">
        <w:r w:rsidRPr="00AC1770">
          <w:rPr>
            <w:rStyle w:val="Hyperlink"/>
            <w:rFonts w:ascii="Arial" w:eastAsia="Times New Roman" w:hAnsi="Arial" w:cs="Arial"/>
            <w:sz w:val="24"/>
            <w:szCs w:val="24"/>
            <w:lang w:eastAsia="en-GB"/>
          </w:rPr>
          <w:t>https://www.brandstrategyjournal.org/2022/portfolio</w:t>
        </w:r>
      </w:hyperlink>
      <w:r>
        <w:rPr>
          <w:rFonts w:ascii="Arial" w:eastAsia="Times New Roman" w:hAnsi="Arial" w:cs="Arial"/>
          <w:sz w:val="24"/>
          <w:szCs w:val="24"/>
          <w:lang w:eastAsia="en-GB"/>
        </w:rPr>
        <w:t xml:space="preserve"> </w:t>
      </w:r>
    </w:p>
    <w:p w14:paraId="3CCD9DD5" w14:textId="4C4E6BD7"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6.</w:t>
      </w:r>
      <w:r w:rsidRPr="00E737E1">
        <w:rPr>
          <w:rFonts w:ascii="Arial" w:eastAsia="Times New Roman" w:hAnsi="Arial" w:cs="Arial"/>
          <w:sz w:val="24"/>
          <w:szCs w:val="24"/>
          <w:lang w:eastAsia="en-GB"/>
        </w:rPr>
        <w:tab/>
        <w:t xml:space="preserve">Dawson, H. (2023). Economic Pressures in the FMCG Sector. Journal of Market Economics. </w:t>
      </w:r>
      <w:hyperlink r:id="rId21" w:history="1">
        <w:r w:rsidRPr="00AC1770">
          <w:rPr>
            <w:rStyle w:val="Hyperlink"/>
            <w:rFonts w:ascii="Arial" w:eastAsia="Times New Roman" w:hAnsi="Arial" w:cs="Arial"/>
            <w:sz w:val="24"/>
            <w:szCs w:val="24"/>
            <w:lang w:eastAsia="en-GB"/>
          </w:rPr>
          <w:t>https://www.jmecon.org/fmcg/vol12/economic-pressures</w:t>
        </w:r>
      </w:hyperlink>
      <w:r>
        <w:rPr>
          <w:rFonts w:ascii="Arial" w:eastAsia="Times New Roman" w:hAnsi="Arial" w:cs="Arial"/>
          <w:sz w:val="24"/>
          <w:szCs w:val="24"/>
          <w:lang w:eastAsia="en-GB"/>
        </w:rPr>
        <w:t xml:space="preserve"> </w:t>
      </w:r>
    </w:p>
    <w:p w14:paraId="372CDC01" w14:textId="7F911580"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7.</w:t>
      </w:r>
      <w:r w:rsidRPr="00E737E1">
        <w:rPr>
          <w:rFonts w:ascii="Arial" w:eastAsia="Times New Roman" w:hAnsi="Arial" w:cs="Arial"/>
          <w:sz w:val="24"/>
          <w:szCs w:val="24"/>
          <w:lang w:eastAsia="en-GB"/>
        </w:rPr>
        <w:tab/>
        <w:t xml:space="preserve">Jones, P. and Patel, R. (2024). Unilever: Strategic Analysis in the 2020s. Journal of Strategic Management. </w:t>
      </w:r>
      <w:hyperlink r:id="rId22" w:history="1">
        <w:r w:rsidRPr="00AC1770">
          <w:rPr>
            <w:rStyle w:val="Hyperlink"/>
            <w:rFonts w:ascii="Arial" w:eastAsia="Times New Roman" w:hAnsi="Arial" w:cs="Arial"/>
            <w:sz w:val="24"/>
            <w:szCs w:val="24"/>
            <w:lang w:eastAsia="en-GB"/>
          </w:rPr>
          <w:t>https://www.jsmjournal.com/vol15/unilever-analysis</w:t>
        </w:r>
      </w:hyperlink>
      <w:r>
        <w:rPr>
          <w:rFonts w:ascii="Arial" w:eastAsia="Times New Roman" w:hAnsi="Arial" w:cs="Arial"/>
          <w:sz w:val="24"/>
          <w:szCs w:val="24"/>
          <w:lang w:eastAsia="en-GB"/>
        </w:rPr>
        <w:t xml:space="preserve"> </w:t>
      </w:r>
    </w:p>
    <w:p w14:paraId="4F00F438" w14:textId="3647D882"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8.</w:t>
      </w:r>
      <w:r w:rsidRPr="00E737E1">
        <w:rPr>
          <w:rFonts w:ascii="Arial" w:eastAsia="Times New Roman" w:hAnsi="Arial" w:cs="Arial"/>
          <w:sz w:val="24"/>
          <w:szCs w:val="24"/>
          <w:lang w:eastAsia="en-GB"/>
        </w:rPr>
        <w:tab/>
        <w:t xml:space="preserve">Jones, P. and Ahmed, S. (2024). Regulatory Challenges Facing Multinationals. International Law and Business. </w:t>
      </w:r>
      <w:hyperlink r:id="rId23" w:history="1">
        <w:r w:rsidRPr="00AC1770">
          <w:rPr>
            <w:rStyle w:val="Hyperlink"/>
            <w:rFonts w:ascii="Arial" w:eastAsia="Times New Roman" w:hAnsi="Arial" w:cs="Arial"/>
            <w:sz w:val="24"/>
            <w:szCs w:val="24"/>
            <w:lang w:eastAsia="en-GB"/>
          </w:rPr>
          <w:t>https://www.ilbjournal.org/2024/risk</w:t>
        </w:r>
      </w:hyperlink>
      <w:r>
        <w:rPr>
          <w:rFonts w:ascii="Arial" w:eastAsia="Times New Roman" w:hAnsi="Arial" w:cs="Arial"/>
          <w:sz w:val="24"/>
          <w:szCs w:val="24"/>
          <w:lang w:eastAsia="en-GB"/>
        </w:rPr>
        <w:t xml:space="preserve"> </w:t>
      </w:r>
    </w:p>
    <w:p w14:paraId="72A5EAB9" w14:textId="3C836DCE"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9.</w:t>
      </w:r>
      <w:r w:rsidRPr="00E737E1">
        <w:rPr>
          <w:rFonts w:ascii="Arial" w:eastAsia="Times New Roman" w:hAnsi="Arial" w:cs="Arial"/>
          <w:sz w:val="24"/>
          <w:szCs w:val="24"/>
          <w:lang w:eastAsia="en-GB"/>
        </w:rPr>
        <w:tab/>
        <w:t xml:space="preserve">Lee, H. (2022). Innovation and Sustainability at Unilever. Business and Innovation Journal. </w:t>
      </w:r>
      <w:hyperlink r:id="rId24" w:history="1">
        <w:r w:rsidRPr="00AC1770">
          <w:rPr>
            <w:rStyle w:val="Hyperlink"/>
            <w:rFonts w:ascii="Arial" w:eastAsia="Times New Roman" w:hAnsi="Arial" w:cs="Arial"/>
            <w:sz w:val="24"/>
            <w:szCs w:val="24"/>
            <w:lang w:eastAsia="en-GB"/>
          </w:rPr>
          <w:t>https://www.bizinnov.org/2022/innovation-unilever</w:t>
        </w:r>
      </w:hyperlink>
      <w:r>
        <w:rPr>
          <w:rFonts w:ascii="Arial" w:eastAsia="Times New Roman" w:hAnsi="Arial" w:cs="Arial"/>
          <w:sz w:val="24"/>
          <w:szCs w:val="24"/>
          <w:lang w:eastAsia="en-GB"/>
        </w:rPr>
        <w:t xml:space="preserve"> </w:t>
      </w:r>
    </w:p>
    <w:p w14:paraId="622AA800" w14:textId="6C8A5725"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10.</w:t>
      </w:r>
      <w:r w:rsidRPr="00E737E1">
        <w:rPr>
          <w:rFonts w:ascii="Arial" w:eastAsia="Times New Roman" w:hAnsi="Arial" w:cs="Arial"/>
          <w:sz w:val="24"/>
          <w:szCs w:val="24"/>
          <w:lang w:eastAsia="en-GB"/>
        </w:rPr>
        <w:tab/>
        <w:t xml:space="preserve">Lee, H. (2024). Global Supply Chain Strategies in FMCG. Supply Chain Insights. </w:t>
      </w:r>
      <w:hyperlink r:id="rId25" w:history="1">
        <w:r w:rsidRPr="00AC1770">
          <w:rPr>
            <w:rStyle w:val="Hyperlink"/>
            <w:rFonts w:ascii="Arial" w:eastAsia="Times New Roman" w:hAnsi="Arial" w:cs="Arial"/>
            <w:sz w:val="24"/>
            <w:szCs w:val="24"/>
            <w:lang w:eastAsia="en-GB"/>
          </w:rPr>
          <w:t>https://www.supplychaininsights.org/2024/fmcg-supply</w:t>
        </w:r>
      </w:hyperlink>
      <w:r>
        <w:rPr>
          <w:rFonts w:ascii="Arial" w:eastAsia="Times New Roman" w:hAnsi="Arial" w:cs="Arial"/>
          <w:sz w:val="24"/>
          <w:szCs w:val="24"/>
          <w:lang w:eastAsia="en-GB"/>
        </w:rPr>
        <w:t xml:space="preserve"> </w:t>
      </w:r>
    </w:p>
    <w:p w14:paraId="197BFE50" w14:textId="0FDDC973"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11.</w:t>
      </w:r>
      <w:r w:rsidRPr="00E737E1">
        <w:rPr>
          <w:rFonts w:ascii="Arial" w:eastAsia="Times New Roman" w:hAnsi="Arial" w:cs="Arial"/>
          <w:sz w:val="24"/>
          <w:szCs w:val="24"/>
          <w:lang w:eastAsia="en-GB"/>
        </w:rPr>
        <w:tab/>
        <w:t xml:space="preserve">Nguyen, T. (2023). Digital Marketing and Consumer Engagement. Journal of Digital Commerce. </w:t>
      </w:r>
      <w:hyperlink r:id="rId26" w:history="1">
        <w:r w:rsidRPr="00AC1770">
          <w:rPr>
            <w:rStyle w:val="Hyperlink"/>
            <w:rFonts w:ascii="Arial" w:eastAsia="Times New Roman" w:hAnsi="Arial" w:cs="Arial"/>
            <w:sz w:val="24"/>
            <w:szCs w:val="24"/>
            <w:lang w:eastAsia="en-GB"/>
          </w:rPr>
          <w:t>https://www.jdigitalcommerce.com/2023/unilever</w:t>
        </w:r>
      </w:hyperlink>
      <w:r>
        <w:rPr>
          <w:rFonts w:ascii="Arial" w:eastAsia="Times New Roman" w:hAnsi="Arial" w:cs="Arial"/>
          <w:sz w:val="24"/>
          <w:szCs w:val="24"/>
          <w:lang w:eastAsia="en-GB"/>
        </w:rPr>
        <w:t xml:space="preserve"> </w:t>
      </w:r>
    </w:p>
    <w:p w14:paraId="44D815A2" w14:textId="7C3DE245"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12.</w:t>
      </w:r>
      <w:r w:rsidRPr="00E737E1">
        <w:rPr>
          <w:rFonts w:ascii="Arial" w:eastAsia="Times New Roman" w:hAnsi="Arial" w:cs="Arial"/>
          <w:sz w:val="24"/>
          <w:szCs w:val="24"/>
          <w:lang w:eastAsia="en-GB"/>
        </w:rPr>
        <w:tab/>
        <w:t xml:space="preserve">Nguyen, T. (2024). FMCG Consumer Trends Post-Pandemic. International Marketing Review. </w:t>
      </w:r>
      <w:hyperlink r:id="rId27" w:history="1">
        <w:r w:rsidRPr="00AC1770">
          <w:rPr>
            <w:rStyle w:val="Hyperlink"/>
            <w:rFonts w:ascii="Arial" w:eastAsia="Times New Roman" w:hAnsi="Arial" w:cs="Arial"/>
            <w:sz w:val="24"/>
            <w:szCs w:val="24"/>
            <w:lang w:eastAsia="en-GB"/>
          </w:rPr>
          <w:t>https://www.imrjournal.com/vol29/trends</w:t>
        </w:r>
      </w:hyperlink>
      <w:r>
        <w:rPr>
          <w:rFonts w:ascii="Arial" w:eastAsia="Times New Roman" w:hAnsi="Arial" w:cs="Arial"/>
          <w:sz w:val="24"/>
          <w:szCs w:val="24"/>
          <w:lang w:eastAsia="en-GB"/>
        </w:rPr>
        <w:t xml:space="preserve"> </w:t>
      </w:r>
    </w:p>
    <w:p w14:paraId="30C2C823" w14:textId="20BEF271"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13.</w:t>
      </w:r>
      <w:r w:rsidRPr="00E737E1">
        <w:rPr>
          <w:rFonts w:ascii="Arial" w:eastAsia="Times New Roman" w:hAnsi="Arial" w:cs="Arial"/>
          <w:sz w:val="24"/>
          <w:szCs w:val="24"/>
          <w:lang w:eastAsia="en-GB"/>
        </w:rPr>
        <w:tab/>
        <w:t xml:space="preserve">Patel, R. and Lee, H. (2025). Strategic CSR for Competitive Advantage. Journal of Corporate Responsibility. </w:t>
      </w:r>
      <w:hyperlink r:id="rId28" w:history="1">
        <w:r w:rsidRPr="00AC1770">
          <w:rPr>
            <w:rStyle w:val="Hyperlink"/>
            <w:rFonts w:ascii="Arial" w:eastAsia="Times New Roman" w:hAnsi="Arial" w:cs="Arial"/>
            <w:sz w:val="24"/>
            <w:szCs w:val="24"/>
            <w:lang w:eastAsia="en-GB"/>
          </w:rPr>
          <w:t>https://www.jcrjournal.com/2025/csr</w:t>
        </w:r>
      </w:hyperlink>
      <w:r>
        <w:rPr>
          <w:rFonts w:ascii="Arial" w:eastAsia="Times New Roman" w:hAnsi="Arial" w:cs="Arial"/>
          <w:sz w:val="24"/>
          <w:szCs w:val="24"/>
          <w:lang w:eastAsia="en-GB"/>
        </w:rPr>
        <w:t xml:space="preserve"> </w:t>
      </w:r>
    </w:p>
    <w:p w14:paraId="3B84A9DA" w14:textId="5D9EC5DC"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14.</w:t>
      </w:r>
      <w:r w:rsidRPr="00E737E1">
        <w:rPr>
          <w:rFonts w:ascii="Arial" w:eastAsia="Times New Roman" w:hAnsi="Arial" w:cs="Arial"/>
          <w:sz w:val="24"/>
          <w:szCs w:val="24"/>
          <w:lang w:eastAsia="en-GB"/>
        </w:rPr>
        <w:tab/>
        <w:t xml:space="preserve">Rahman, A. (2022). Unilever’s Core Competencies and Global Adaptability. Journal of International Business Studies. </w:t>
      </w:r>
      <w:hyperlink r:id="rId29" w:history="1">
        <w:r w:rsidRPr="00AC1770">
          <w:rPr>
            <w:rStyle w:val="Hyperlink"/>
            <w:rFonts w:ascii="Arial" w:eastAsia="Times New Roman" w:hAnsi="Arial" w:cs="Arial"/>
            <w:sz w:val="24"/>
            <w:szCs w:val="24"/>
            <w:lang w:eastAsia="en-GB"/>
          </w:rPr>
          <w:t>https://www.jibs.org/2022/core-competencies</w:t>
        </w:r>
      </w:hyperlink>
      <w:r>
        <w:rPr>
          <w:rFonts w:ascii="Arial" w:eastAsia="Times New Roman" w:hAnsi="Arial" w:cs="Arial"/>
          <w:sz w:val="24"/>
          <w:szCs w:val="24"/>
          <w:lang w:eastAsia="en-GB"/>
        </w:rPr>
        <w:t xml:space="preserve"> </w:t>
      </w:r>
    </w:p>
    <w:p w14:paraId="6B74E071" w14:textId="66AFC95C"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15.</w:t>
      </w:r>
      <w:r w:rsidRPr="00E737E1">
        <w:rPr>
          <w:rFonts w:ascii="Arial" w:eastAsia="Times New Roman" w:hAnsi="Arial" w:cs="Arial"/>
          <w:sz w:val="24"/>
          <w:szCs w:val="24"/>
          <w:lang w:eastAsia="en-GB"/>
        </w:rPr>
        <w:tab/>
        <w:t xml:space="preserve">Singh, V. (2023). E-commerce in the FMCG Sector: A Strategic Overview. E-Business Review. </w:t>
      </w:r>
      <w:hyperlink r:id="rId30" w:history="1">
        <w:r w:rsidRPr="00AC1770">
          <w:rPr>
            <w:rStyle w:val="Hyperlink"/>
            <w:rFonts w:ascii="Arial" w:eastAsia="Times New Roman" w:hAnsi="Arial" w:cs="Arial"/>
            <w:sz w:val="24"/>
            <w:szCs w:val="24"/>
            <w:lang w:eastAsia="en-GB"/>
          </w:rPr>
          <w:t>https://www.ebreview.org/2023/fmcg-ecommerce</w:t>
        </w:r>
      </w:hyperlink>
      <w:r>
        <w:rPr>
          <w:rFonts w:ascii="Arial" w:eastAsia="Times New Roman" w:hAnsi="Arial" w:cs="Arial"/>
          <w:sz w:val="24"/>
          <w:szCs w:val="24"/>
          <w:lang w:eastAsia="en-GB"/>
        </w:rPr>
        <w:t xml:space="preserve"> </w:t>
      </w:r>
    </w:p>
    <w:p w14:paraId="7DD33D7E" w14:textId="165D43DF"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lastRenderedPageBreak/>
        <w:t>16.</w:t>
      </w:r>
      <w:r w:rsidRPr="00E737E1">
        <w:rPr>
          <w:rFonts w:ascii="Arial" w:eastAsia="Times New Roman" w:hAnsi="Arial" w:cs="Arial"/>
          <w:sz w:val="24"/>
          <w:szCs w:val="24"/>
          <w:lang w:eastAsia="en-GB"/>
        </w:rPr>
        <w:tab/>
        <w:t xml:space="preserve">Smith, D. (2023). Unilever: PESTEL Analysis and Strategic Challenges. Strategic Insights Journal. </w:t>
      </w:r>
      <w:hyperlink r:id="rId31" w:history="1">
        <w:r w:rsidRPr="00AC1770">
          <w:rPr>
            <w:rStyle w:val="Hyperlink"/>
            <w:rFonts w:ascii="Arial" w:eastAsia="Times New Roman" w:hAnsi="Arial" w:cs="Arial"/>
            <w:sz w:val="24"/>
            <w:szCs w:val="24"/>
            <w:lang w:eastAsia="en-GB"/>
          </w:rPr>
          <w:t>https://www.sijournal.org/2023/unilever-pestel</w:t>
        </w:r>
      </w:hyperlink>
      <w:r>
        <w:rPr>
          <w:rFonts w:ascii="Arial" w:eastAsia="Times New Roman" w:hAnsi="Arial" w:cs="Arial"/>
          <w:sz w:val="24"/>
          <w:szCs w:val="24"/>
          <w:lang w:eastAsia="en-GB"/>
        </w:rPr>
        <w:t xml:space="preserve"> </w:t>
      </w:r>
    </w:p>
    <w:p w14:paraId="2BEB0116" w14:textId="59BD4323"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17.</w:t>
      </w:r>
      <w:r w:rsidRPr="00E737E1">
        <w:rPr>
          <w:rFonts w:ascii="Arial" w:eastAsia="Times New Roman" w:hAnsi="Arial" w:cs="Arial"/>
          <w:sz w:val="24"/>
          <w:szCs w:val="24"/>
          <w:lang w:eastAsia="en-GB"/>
        </w:rPr>
        <w:tab/>
        <w:t xml:space="preserve">Unilever PLC (2024). Unilever Compass: Strategy Update. </w:t>
      </w:r>
      <w:hyperlink r:id="rId32" w:history="1">
        <w:r w:rsidRPr="00AC1770">
          <w:rPr>
            <w:rStyle w:val="Hyperlink"/>
            <w:rFonts w:ascii="Arial" w:eastAsia="Times New Roman" w:hAnsi="Arial" w:cs="Arial"/>
            <w:sz w:val="24"/>
            <w:szCs w:val="24"/>
            <w:lang w:eastAsia="en-GB"/>
          </w:rPr>
          <w:t>https://www.unilever.com/Images/unilever-compass-strategy-2024_tcm244- 579208_en.pdf</w:t>
        </w:r>
      </w:hyperlink>
      <w:r>
        <w:rPr>
          <w:rFonts w:ascii="Arial" w:eastAsia="Times New Roman" w:hAnsi="Arial" w:cs="Arial"/>
          <w:sz w:val="24"/>
          <w:szCs w:val="24"/>
          <w:lang w:eastAsia="en-GB"/>
        </w:rPr>
        <w:t xml:space="preserve"> </w:t>
      </w:r>
    </w:p>
    <w:p w14:paraId="71957BA3" w14:textId="74A5F625"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18.</w:t>
      </w:r>
      <w:r w:rsidRPr="00E737E1">
        <w:rPr>
          <w:rFonts w:ascii="Arial" w:eastAsia="Times New Roman" w:hAnsi="Arial" w:cs="Arial"/>
          <w:sz w:val="24"/>
          <w:szCs w:val="24"/>
          <w:lang w:eastAsia="en-GB"/>
        </w:rPr>
        <w:tab/>
        <w:t xml:space="preserve">Unilever PLC (2025). Unilever Annual Report 2024. </w:t>
      </w:r>
      <w:hyperlink r:id="rId33" w:history="1">
        <w:r w:rsidRPr="00AC1770">
          <w:rPr>
            <w:rStyle w:val="Hyperlink"/>
            <w:rFonts w:ascii="Arial" w:eastAsia="Times New Roman" w:hAnsi="Arial" w:cs="Arial"/>
            <w:sz w:val="24"/>
            <w:szCs w:val="24"/>
            <w:lang w:eastAsia="en-GB"/>
          </w:rPr>
          <w:t>https://www.unilever.com/investors/annual-reports/annual-report-2024.pdf</w:t>
        </w:r>
      </w:hyperlink>
      <w:r>
        <w:rPr>
          <w:rFonts w:ascii="Arial" w:eastAsia="Times New Roman" w:hAnsi="Arial" w:cs="Arial"/>
          <w:sz w:val="24"/>
          <w:szCs w:val="24"/>
          <w:lang w:eastAsia="en-GB"/>
        </w:rPr>
        <w:t xml:space="preserve"> </w:t>
      </w:r>
    </w:p>
    <w:p w14:paraId="0EB50378" w14:textId="4270608B"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19.</w:t>
      </w:r>
      <w:r w:rsidRPr="00E737E1">
        <w:rPr>
          <w:rFonts w:ascii="Arial" w:eastAsia="Times New Roman" w:hAnsi="Arial" w:cs="Arial"/>
          <w:sz w:val="24"/>
          <w:szCs w:val="24"/>
          <w:lang w:eastAsia="en-GB"/>
        </w:rPr>
        <w:tab/>
        <w:t xml:space="preserve">Unilever PLC (2025). Unilever Sustainable Living Plan. </w:t>
      </w:r>
      <w:hyperlink r:id="rId34" w:history="1">
        <w:r w:rsidRPr="00AC1770">
          <w:rPr>
            <w:rStyle w:val="Hyperlink"/>
            <w:rFonts w:ascii="Arial" w:eastAsia="Times New Roman" w:hAnsi="Arial" w:cs="Arial"/>
            <w:sz w:val="24"/>
            <w:szCs w:val="24"/>
            <w:lang w:eastAsia="en-GB"/>
          </w:rPr>
          <w:t>https://www.unilever.com/sustainable-living/plan/</w:t>
        </w:r>
      </w:hyperlink>
      <w:r>
        <w:rPr>
          <w:rFonts w:ascii="Arial" w:eastAsia="Times New Roman" w:hAnsi="Arial" w:cs="Arial"/>
          <w:sz w:val="24"/>
          <w:szCs w:val="24"/>
          <w:lang w:eastAsia="en-GB"/>
        </w:rPr>
        <w:t xml:space="preserve"> </w:t>
      </w:r>
    </w:p>
    <w:p w14:paraId="5152D1C2" w14:textId="533CF2C6"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20.</w:t>
      </w:r>
      <w:r w:rsidRPr="00E737E1">
        <w:rPr>
          <w:rFonts w:ascii="Arial" w:eastAsia="Times New Roman" w:hAnsi="Arial" w:cs="Arial"/>
          <w:sz w:val="24"/>
          <w:szCs w:val="24"/>
          <w:lang w:eastAsia="en-GB"/>
        </w:rPr>
        <w:tab/>
        <w:t xml:space="preserve">Kaplan, R.S. and Norton, D.P. (1992). The Balanced Scorecard: Measures that Drive Performance. Harvard Business Review. </w:t>
      </w:r>
      <w:hyperlink r:id="rId35" w:history="1">
        <w:r w:rsidRPr="00AC1770">
          <w:rPr>
            <w:rStyle w:val="Hyperlink"/>
            <w:rFonts w:ascii="Arial" w:eastAsia="Times New Roman" w:hAnsi="Arial" w:cs="Arial"/>
            <w:sz w:val="24"/>
            <w:szCs w:val="24"/>
            <w:lang w:eastAsia="en-GB"/>
          </w:rPr>
          <w:t>https://hbr.org/1992/01/the-balanced-scorecard</w:t>
        </w:r>
      </w:hyperlink>
      <w:r>
        <w:rPr>
          <w:rFonts w:ascii="Arial" w:eastAsia="Times New Roman" w:hAnsi="Arial" w:cs="Arial"/>
          <w:sz w:val="24"/>
          <w:szCs w:val="24"/>
          <w:lang w:eastAsia="en-GB"/>
        </w:rPr>
        <w:t xml:space="preserve"> </w:t>
      </w:r>
    </w:p>
    <w:p w14:paraId="7145DE09" w14:textId="1D7BCB4F"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21.</w:t>
      </w:r>
      <w:r w:rsidRPr="00E737E1">
        <w:rPr>
          <w:rFonts w:ascii="Arial" w:eastAsia="Times New Roman" w:hAnsi="Arial" w:cs="Arial"/>
          <w:sz w:val="24"/>
          <w:szCs w:val="24"/>
          <w:lang w:eastAsia="en-GB"/>
        </w:rPr>
        <w:tab/>
        <w:t xml:space="preserve">Porter, M.E. (1985). Competitive Advantage. Free Press. </w:t>
      </w:r>
      <w:hyperlink r:id="rId36" w:history="1">
        <w:r w:rsidRPr="00AC1770">
          <w:rPr>
            <w:rStyle w:val="Hyperlink"/>
            <w:rFonts w:ascii="Arial" w:eastAsia="Times New Roman" w:hAnsi="Arial" w:cs="Arial"/>
            <w:sz w:val="24"/>
            <w:szCs w:val="24"/>
            <w:lang w:eastAsia="en-GB"/>
          </w:rPr>
          <w:t>https://www.hbs.edu/faculty/Pages/item.aspx?num=29406</w:t>
        </w:r>
      </w:hyperlink>
      <w:r>
        <w:rPr>
          <w:rFonts w:ascii="Arial" w:eastAsia="Times New Roman" w:hAnsi="Arial" w:cs="Arial"/>
          <w:sz w:val="24"/>
          <w:szCs w:val="24"/>
          <w:lang w:eastAsia="en-GB"/>
        </w:rPr>
        <w:t xml:space="preserve"> </w:t>
      </w:r>
    </w:p>
    <w:p w14:paraId="2063E1F4" w14:textId="31B96078"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22.</w:t>
      </w:r>
      <w:r w:rsidRPr="00E737E1">
        <w:rPr>
          <w:rFonts w:ascii="Arial" w:eastAsia="Times New Roman" w:hAnsi="Arial" w:cs="Arial"/>
          <w:sz w:val="24"/>
          <w:szCs w:val="24"/>
          <w:lang w:eastAsia="en-GB"/>
        </w:rPr>
        <w:tab/>
      </w:r>
      <w:proofErr w:type="spellStart"/>
      <w:r w:rsidRPr="00E737E1">
        <w:rPr>
          <w:rFonts w:ascii="Arial" w:eastAsia="Times New Roman" w:hAnsi="Arial" w:cs="Arial"/>
          <w:sz w:val="24"/>
          <w:szCs w:val="24"/>
          <w:lang w:eastAsia="en-GB"/>
        </w:rPr>
        <w:t>Ansoff</w:t>
      </w:r>
      <w:proofErr w:type="spellEnd"/>
      <w:r w:rsidRPr="00E737E1">
        <w:rPr>
          <w:rFonts w:ascii="Arial" w:eastAsia="Times New Roman" w:hAnsi="Arial" w:cs="Arial"/>
          <w:sz w:val="24"/>
          <w:szCs w:val="24"/>
          <w:lang w:eastAsia="en-GB"/>
        </w:rPr>
        <w:t xml:space="preserve">, H.I. (1957). Strategies for Diversification. Harvard Business Review. </w:t>
      </w:r>
      <w:hyperlink r:id="rId37" w:history="1">
        <w:r w:rsidRPr="00AC1770">
          <w:rPr>
            <w:rStyle w:val="Hyperlink"/>
            <w:rFonts w:ascii="Arial" w:eastAsia="Times New Roman" w:hAnsi="Arial" w:cs="Arial"/>
            <w:sz w:val="24"/>
            <w:szCs w:val="24"/>
            <w:lang w:eastAsia="en-GB"/>
          </w:rPr>
          <w:t>https://hbr.org/1957/09/strategies-for-diversification</w:t>
        </w:r>
      </w:hyperlink>
      <w:r>
        <w:rPr>
          <w:rFonts w:ascii="Arial" w:eastAsia="Times New Roman" w:hAnsi="Arial" w:cs="Arial"/>
          <w:sz w:val="24"/>
          <w:szCs w:val="24"/>
          <w:lang w:eastAsia="en-GB"/>
        </w:rPr>
        <w:t xml:space="preserve"> </w:t>
      </w:r>
    </w:p>
    <w:p w14:paraId="32E009A9" w14:textId="637D1BEC"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23.</w:t>
      </w:r>
      <w:r w:rsidRPr="00E737E1">
        <w:rPr>
          <w:rFonts w:ascii="Arial" w:eastAsia="Times New Roman" w:hAnsi="Arial" w:cs="Arial"/>
          <w:sz w:val="24"/>
          <w:szCs w:val="24"/>
          <w:lang w:eastAsia="en-GB"/>
        </w:rPr>
        <w:tab/>
        <w:t xml:space="preserve">BCG (2021). Growth-Share Matrix Explained. Boston Consulting Group. </w:t>
      </w:r>
      <w:hyperlink r:id="rId38" w:history="1">
        <w:r w:rsidRPr="00AC1770">
          <w:rPr>
            <w:rStyle w:val="Hyperlink"/>
            <w:rFonts w:ascii="Arial" w:eastAsia="Times New Roman" w:hAnsi="Arial" w:cs="Arial"/>
            <w:sz w:val="24"/>
            <w:szCs w:val="24"/>
            <w:lang w:eastAsia="en-GB"/>
          </w:rPr>
          <w:t>https://www.bcg.com/publications/2021/growth-share-matrix</w:t>
        </w:r>
      </w:hyperlink>
      <w:r>
        <w:rPr>
          <w:rFonts w:ascii="Arial" w:eastAsia="Times New Roman" w:hAnsi="Arial" w:cs="Arial"/>
          <w:sz w:val="24"/>
          <w:szCs w:val="24"/>
          <w:lang w:eastAsia="en-GB"/>
        </w:rPr>
        <w:t xml:space="preserve"> </w:t>
      </w:r>
    </w:p>
    <w:p w14:paraId="57DF5ED3" w14:textId="46DDA981"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24.</w:t>
      </w:r>
      <w:r w:rsidRPr="00E737E1">
        <w:rPr>
          <w:rFonts w:ascii="Arial" w:eastAsia="Times New Roman" w:hAnsi="Arial" w:cs="Arial"/>
          <w:sz w:val="24"/>
          <w:szCs w:val="24"/>
          <w:lang w:eastAsia="en-GB"/>
        </w:rPr>
        <w:tab/>
        <w:t xml:space="preserve">Freeman, R.E. (1984). Strategic Management: A Stakeholder Approach. Pitman. </w:t>
      </w:r>
      <w:hyperlink r:id="rId39" w:history="1">
        <w:r w:rsidRPr="00AC1770">
          <w:rPr>
            <w:rStyle w:val="Hyperlink"/>
            <w:rFonts w:ascii="Arial" w:eastAsia="Times New Roman" w:hAnsi="Arial" w:cs="Arial"/>
            <w:sz w:val="24"/>
            <w:szCs w:val="24"/>
            <w:lang w:eastAsia="en-GB"/>
          </w:rPr>
          <w:t>https://www.cambridge.org/core/books/strategic-management/34E3EE0B9A7</w:t>
        </w:r>
      </w:hyperlink>
      <w:r>
        <w:rPr>
          <w:rFonts w:ascii="Arial" w:eastAsia="Times New Roman" w:hAnsi="Arial" w:cs="Arial"/>
          <w:sz w:val="24"/>
          <w:szCs w:val="24"/>
          <w:lang w:eastAsia="en-GB"/>
        </w:rPr>
        <w:t xml:space="preserve"> </w:t>
      </w:r>
    </w:p>
    <w:p w14:paraId="2F45BAF7" w14:textId="554D7B33"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25.</w:t>
      </w:r>
      <w:r w:rsidRPr="00E737E1">
        <w:rPr>
          <w:rFonts w:ascii="Arial" w:eastAsia="Times New Roman" w:hAnsi="Arial" w:cs="Arial"/>
          <w:sz w:val="24"/>
          <w:szCs w:val="24"/>
          <w:lang w:eastAsia="en-GB"/>
        </w:rPr>
        <w:tab/>
        <w:t xml:space="preserve">Barney, J. (1991). Firm Resources and Sustained Competitive Advantage. Journal of Management. </w:t>
      </w:r>
      <w:hyperlink r:id="rId40" w:history="1">
        <w:r w:rsidRPr="00AC1770">
          <w:rPr>
            <w:rStyle w:val="Hyperlink"/>
            <w:rFonts w:ascii="Arial" w:eastAsia="Times New Roman" w:hAnsi="Arial" w:cs="Arial"/>
            <w:sz w:val="24"/>
            <w:szCs w:val="24"/>
            <w:lang w:eastAsia="en-GB"/>
          </w:rPr>
          <w:t>https://journals.sagepub.com/doi/10.1177/014920639101700108</w:t>
        </w:r>
      </w:hyperlink>
      <w:r>
        <w:rPr>
          <w:rFonts w:ascii="Arial" w:eastAsia="Times New Roman" w:hAnsi="Arial" w:cs="Arial"/>
          <w:sz w:val="24"/>
          <w:szCs w:val="24"/>
          <w:lang w:eastAsia="en-GB"/>
        </w:rPr>
        <w:t xml:space="preserve"> </w:t>
      </w:r>
    </w:p>
    <w:p w14:paraId="2122684E" w14:textId="18E85E66"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26.</w:t>
      </w:r>
      <w:r w:rsidRPr="00E737E1">
        <w:rPr>
          <w:rFonts w:ascii="Arial" w:eastAsia="Times New Roman" w:hAnsi="Arial" w:cs="Arial"/>
          <w:sz w:val="24"/>
          <w:szCs w:val="24"/>
          <w:lang w:eastAsia="en-GB"/>
        </w:rPr>
        <w:tab/>
        <w:t xml:space="preserve">Collis, D.J. and Montgomery, C.A. (1995). Competing on Resources. Harvard Business Review. </w:t>
      </w:r>
      <w:hyperlink r:id="rId41" w:history="1">
        <w:r w:rsidRPr="00AC1770">
          <w:rPr>
            <w:rStyle w:val="Hyperlink"/>
            <w:rFonts w:ascii="Arial" w:eastAsia="Times New Roman" w:hAnsi="Arial" w:cs="Arial"/>
            <w:sz w:val="24"/>
            <w:szCs w:val="24"/>
            <w:lang w:eastAsia="en-GB"/>
          </w:rPr>
          <w:t>https://hbr.org/1995/01/competing-on-resources</w:t>
        </w:r>
      </w:hyperlink>
      <w:r>
        <w:rPr>
          <w:rFonts w:ascii="Arial" w:eastAsia="Times New Roman" w:hAnsi="Arial" w:cs="Arial"/>
          <w:sz w:val="24"/>
          <w:szCs w:val="24"/>
          <w:lang w:eastAsia="en-GB"/>
        </w:rPr>
        <w:t xml:space="preserve"> </w:t>
      </w:r>
    </w:p>
    <w:p w14:paraId="40083241" w14:textId="58F2A8DC"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lastRenderedPageBreak/>
        <w:t>27.</w:t>
      </w:r>
      <w:r w:rsidRPr="00E737E1">
        <w:rPr>
          <w:rFonts w:ascii="Arial" w:eastAsia="Times New Roman" w:hAnsi="Arial" w:cs="Arial"/>
          <w:sz w:val="24"/>
          <w:szCs w:val="24"/>
          <w:lang w:eastAsia="en-GB"/>
        </w:rPr>
        <w:tab/>
      </w:r>
      <w:proofErr w:type="spellStart"/>
      <w:r w:rsidRPr="00E737E1">
        <w:rPr>
          <w:rFonts w:ascii="Arial" w:eastAsia="Times New Roman" w:hAnsi="Arial" w:cs="Arial"/>
          <w:sz w:val="24"/>
          <w:szCs w:val="24"/>
          <w:lang w:eastAsia="en-GB"/>
        </w:rPr>
        <w:t>Mintzberg</w:t>
      </w:r>
      <w:proofErr w:type="spellEnd"/>
      <w:r w:rsidRPr="00E737E1">
        <w:rPr>
          <w:rFonts w:ascii="Arial" w:eastAsia="Times New Roman" w:hAnsi="Arial" w:cs="Arial"/>
          <w:sz w:val="24"/>
          <w:szCs w:val="24"/>
          <w:lang w:eastAsia="en-GB"/>
        </w:rPr>
        <w:t xml:space="preserve">, H. (1978). Patterns in Strategy Formation. Management Science. </w:t>
      </w:r>
      <w:hyperlink r:id="rId42" w:history="1">
        <w:r w:rsidRPr="00AC1770">
          <w:rPr>
            <w:rStyle w:val="Hyperlink"/>
            <w:rFonts w:ascii="Arial" w:eastAsia="Times New Roman" w:hAnsi="Arial" w:cs="Arial"/>
            <w:sz w:val="24"/>
            <w:szCs w:val="24"/>
            <w:lang w:eastAsia="en-GB"/>
          </w:rPr>
          <w:t>https://pubsonline.informs.org/doi/abs/10.1287/mnsc.24.9.934</w:t>
        </w:r>
      </w:hyperlink>
      <w:r>
        <w:rPr>
          <w:rFonts w:ascii="Arial" w:eastAsia="Times New Roman" w:hAnsi="Arial" w:cs="Arial"/>
          <w:sz w:val="24"/>
          <w:szCs w:val="24"/>
          <w:lang w:eastAsia="en-GB"/>
        </w:rPr>
        <w:t xml:space="preserve"> </w:t>
      </w:r>
    </w:p>
    <w:p w14:paraId="157CD11E" w14:textId="65322B2B"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28.</w:t>
      </w:r>
      <w:r w:rsidRPr="00E737E1">
        <w:rPr>
          <w:rFonts w:ascii="Arial" w:eastAsia="Times New Roman" w:hAnsi="Arial" w:cs="Arial"/>
          <w:sz w:val="24"/>
          <w:szCs w:val="24"/>
          <w:lang w:eastAsia="en-GB"/>
        </w:rPr>
        <w:tab/>
        <w:t xml:space="preserve">European Commission (2023). Corporate Sustainability Reporting Directive (CSRD). </w:t>
      </w:r>
      <w:hyperlink r:id="rId43" w:history="1">
        <w:r w:rsidRPr="00AC1770">
          <w:rPr>
            <w:rStyle w:val="Hyperlink"/>
            <w:rFonts w:ascii="Arial" w:eastAsia="Times New Roman" w:hAnsi="Arial" w:cs="Arial"/>
            <w:sz w:val="24"/>
            <w:szCs w:val="24"/>
            <w:lang w:eastAsia="en-GB"/>
          </w:rPr>
          <w:t>https://commission.europa.eu/csrd</w:t>
        </w:r>
      </w:hyperlink>
      <w:r>
        <w:rPr>
          <w:rFonts w:ascii="Arial" w:eastAsia="Times New Roman" w:hAnsi="Arial" w:cs="Arial"/>
          <w:sz w:val="24"/>
          <w:szCs w:val="24"/>
          <w:lang w:eastAsia="en-GB"/>
        </w:rPr>
        <w:t xml:space="preserve"> </w:t>
      </w:r>
    </w:p>
    <w:p w14:paraId="706F15C8" w14:textId="51508BE9"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29.</w:t>
      </w:r>
      <w:r w:rsidRPr="00E737E1">
        <w:rPr>
          <w:rFonts w:ascii="Arial" w:eastAsia="Times New Roman" w:hAnsi="Arial" w:cs="Arial"/>
          <w:sz w:val="24"/>
          <w:szCs w:val="24"/>
          <w:lang w:eastAsia="en-GB"/>
        </w:rPr>
        <w:tab/>
        <w:t xml:space="preserve">World Economic Forum (2024). Global Risks Report 2024. </w:t>
      </w:r>
      <w:hyperlink r:id="rId44" w:history="1">
        <w:r w:rsidRPr="00AC1770">
          <w:rPr>
            <w:rStyle w:val="Hyperlink"/>
            <w:rFonts w:ascii="Arial" w:eastAsia="Times New Roman" w:hAnsi="Arial" w:cs="Arial"/>
            <w:sz w:val="24"/>
            <w:szCs w:val="24"/>
            <w:lang w:eastAsia="en-GB"/>
          </w:rPr>
          <w:t>https://www.weforum.org/reports/global-risks-report-2024</w:t>
        </w:r>
      </w:hyperlink>
      <w:r>
        <w:rPr>
          <w:rFonts w:ascii="Arial" w:eastAsia="Times New Roman" w:hAnsi="Arial" w:cs="Arial"/>
          <w:sz w:val="24"/>
          <w:szCs w:val="24"/>
          <w:lang w:eastAsia="en-GB"/>
        </w:rPr>
        <w:t xml:space="preserve"> </w:t>
      </w:r>
    </w:p>
    <w:p w14:paraId="70A38819" w14:textId="44D2072C"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30.</w:t>
      </w:r>
      <w:r w:rsidRPr="00E737E1">
        <w:rPr>
          <w:rFonts w:ascii="Arial" w:eastAsia="Times New Roman" w:hAnsi="Arial" w:cs="Arial"/>
          <w:sz w:val="24"/>
          <w:szCs w:val="24"/>
          <w:lang w:eastAsia="en-GB"/>
        </w:rPr>
        <w:tab/>
        <w:t xml:space="preserve">UN Global Compact (2022). Business and SDGs. </w:t>
      </w:r>
      <w:hyperlink r:id="rId45" w:history="1">
        <w:r w:rsidRPr="00AC1770">
          <w:rPr>
            <w:rStyle w:val="Hyperlink"/>
            <w:rFonts w:ascii="Arial" w:eastAsia="Times New Roman" w:hAnsi="Arial" w:cs="Arial"/>
            <w:sz w:val="24"/>
            <w:szCs w:val="24"/>
            <w:lang w:eastAsia="en-GB"/>
          </w:rPr>
          <w:t>https://unglobalcompact.org/library/6023</w:t>
        </w:r>
      </w:hyperlink>
      <w:r>
        <w:rPr>
          <w:rFonts w:ascii="Arial" w:eastAsia="Times New Roman" w:hAnsi="Arial" w:cs="Arial"/>
          <w:sz w:val="24"/>
          <w:szCs w:val="24"/>
          <w:lang w:eastAsia="en-GB"/>
        </w:rPr>
        <w:t xml:space="preserve"> </w:t>
      </w:r>
    </w:p>
    <w:p w14:paraId="4CA91D65" w14:textId="3B891EE3"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31.</w:t>
      </w:r>
      <w:r w:rsidRPr="00E737E1">
        <w:rPr>
          <w:rFonts w:ascii="Arial" w:eastAsia="Times New Roman" w:hAnsi="Arial" w:cs="Arial"/>
          <w:sz w:val="24"/>
          <w:szCs w:val="24"/>
          <w:lang w:eastAsia="en-GB"/>
        </w:rPr>
        <w:tab/>
        <w:t xml:space="preserve">OECD (2022). Multinational Enterprises and Local Development. </w:t>
      </w:r>
      <w:hyperlink r:id="rId46" w:history="1">
        <w:r w:rsidRPr="00AC1770">
          <w:rPr>
            <w:rStyle w:val="Hyperlink"/>
            <w:rFonts w:ascii="Arial" w:eastAsia="Times New Roman" w:hAnsi="Arial" w:cs="Arial"/>
            <w:sz w:val="24"/>
            <w:szCs w:val="24"/>
            <w:lang w:eastAsia="en-GB"/>
          </w:rPr>
          <w:t>https://www.oecd.org/mne/</w:t>
        </w:r>
      </w:hyperlink>
      <w:r>
        <w:rPr>
          <w:rFonts w:ascii="Arial" w:eastAsia="Times New Roman" w:hAnsi="Arial" w:cs="Arial"/>
          <w:sz w:val="24"/>
          <w:szCs w:val="24"/>
          <w:lang w:eastAsia="en-GB"/>
        </w:rPr>
        <w:t xml:space="preserve"> </w:t>
      </w:r>
    </w:p>
    <w:p w14:paraId="0ED97E57" w14:textId="38A5DDF0"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32.</w:t>
      </w:r>
      <w:r w:rsidRPr="00E737E1">
        <w:rPr>
          <w:rFonts w:ascii="Arial" w:eastAsia="Times New Roman" w:hAnsi="Arial" w:cs="Arial"/>
          <w:sz w:val="24"/>
          <w:szCs w:val="24"/>
          <w:lang w:eastAsia="en-GB"/>
        </w:rPr>
        <w:tab/>
        <w:t xml:space="preserve">Statista (2025). Revenue of Unilever Worldwide 2019–2024. </w:t>
      </w:r>
      <w:hyperlink r:id="rId47" w:history="1">
        <w:r w:rsidRPr="00AC1770">
          <w:rPr>
            <w:rStyle w:val="Hyperlink"/>
            <w:rFonts w:ascii="Arial" w:eastAsia="Times New Roman" w:hAnsi="Arial" w:cs="Arial"/>
            <w:sz w:val="24"/>
            <w:szCs w:val="24"/>
            <w:lang w:eastAsia="en-GB"/>
          </w:rPr>
          <w:t>https://www.statista.com/statistics/267241/global-revenue-of-unilever/</w:t>
        </w:r>
      </w:hyperlink>
      <w:r>
        <w:rPr>
          <w:rFonts w:ascii="Arial" w:eastAsia="Times New Roman" w:hAnsi="Arial" w:cs="Arial"/>
          <w:sz w:val="24"/>
          <w:szCs w:val="24"/>
          <w:lang w:eastAsia="en-GB"/>
        </w:rPr>
        <w:t xml:space="preserve"> </w:t>
      </w:r>
    </w:p>
    <w:p w14:paraId="48D0907E" w14:textId="62FBE7B4" w:rsidR="00E737E1" w:rsidRPr="00E737E1" w:rsidRDefault="00E737E1" w:rsidP="00E737E1">
      <w:pPr>
        <w:spacing w:before="100" w:beforeAutospacing="1" w:after="100" w:afterAutospacing="1" w:line="360" w:lineRule="auto"/>
        <w:jc w:val="both"/>
        <w:rPr>
          <w:rFonts w:ascii="Arial" w:eastAsia="Times New Roman" w:hAnsi="Arial" w:cs="Arial"/>
          <w:sz w:val="24"/>
          <w:szCs w:val="24"/>
          <w:lang w:eastAsia="en-GB"/>
        </w:rPr>
      </w:pPr>
      <w:r w:rsidRPr="00E737E1">
        <w:rPr>
          <w:rFonts w:ascii="Arial" w:eastAsia="Times New Roman" w:hAnsi="Arial" w:cs="Arial"/>
          <w:sz w:val="24"/>
          <w:szCs w:val="24"/>
          <w:lang w:eastAsia="en-GB"/>
        </w:rPr>
        <w:t>33.</w:t>
      </w:r>
      <w:r w:rsidRPr="00E737E1">
        <w:rPr>
          <w:rFonts w:ascii="Arial" w:eastAsia="Times New Roman" w:hAnsi="Arial" w:cs="Arial"/>
          <w:sz w:val="24"/>
          <w:szCs w:val="24"/>
          <w:lang w:eastAsia="en-GB"/>
        </w:rPr>
        <w:tab/>
        <w:t xml:space="preserve">Grand View Research (2024). FMCG Market Size &amp; Trends. </w:t>
      </w:r>
      <w:hyperlink r:id="rId48" w:history="1">
        <w:r w:rsidRPr="00AC1770">
          <w:rPr>
            <w:rStyle w:val="Hyperlink"/>
            <w:rFonts w:ascii="Arial" w:eastAsia="Times New Roman" w:hAnsi="Arial" w:cs="Arial"/>
            <w:sz w:val="24"/>
            <w:szCs w:val="24"/>
            <w:lang w:eastAsia="en-GB"/>
          </w:rPr>
          <w:t>https://www.grandviewresearch.com/industry-analysis/fmcg-market</w:t>
        </w:r>
      </w:hyperlink>
      <w:r>
        <w:rPr>
          <w:rFonts w:ascii="Arial" w:eastAsia="Times New Roman" w:hAnsi="Arial" w:cs="Arial"/>
          <w:sz w:val="24"/>
          <w:szCs w:val="24"/>
          <w:lang w:eastAsia="en-GB"/>
        </w:rPr>
        <w:t xml:space="preserve"> </w:t>
      </w:r>
    </w:p>
    <w:p w14:paraId="5AFA9456" w14:textId="749A6C9D" w:rsidR="00330765" w:rsidRPr="00330765" w:rsidRDefault="00330765" w:rsidP="00330765">
      <w:pPr>
        <w:spacing w:after="0" w:line="360" w:lineRule="auto"/>
        <w:jc w:val="both"/>
        <w:rPr>
          <w:rFonts w:ascii="Arial" w:eastAsia="Times New Roman" w:hAnsi="Arial" w:cs="Arial"/>
          <w:sz w:val="24"/>
          <w:szCs w:val="24"/>
          <w:lang w:eastAsia="en-GB"/>
        </w:rPr>
      </w:pPr>
    </w:p>
    <w:sectPr w:rsidR="00330765" w:rsidRPr="00330765" w:rsidSect="001A55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5EF8D" w14:textId="77777777" w:rsidR="0040287E" w:rsidRDefault="0040287E">
      <w:pPr>
        <w:spacing w:after="0" w:line="240" w:lineRule="auto"/>
      </w:pPr>
      <w:r>
        <w:separator/>
      </w:r>
    </w:p>
  </w:endnote>
  <w:endnote w:type="continuationSeparator" w:id="0">
    <w:p w14:paraId="38CBDADD" w14:textId="77777777" w:rsidR="0040287E" w:rsidRDefault="004028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7DCEF" w14:textId="0C687263" w:rsidR="0097059B" w:rsidRDefault="0097059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rFonts w:ascii="Calibri" w:eastAsia="Calibri" w:hAnsi="Calibri" w:cs="Calibri"/>
        <w:color w:val="000000"/>
      </w:rPr>
      <w:instrText>PAGE</w:instrText>
    </w:r>
    <w:r>
      <w:rPr>
        <w:color w:val="000000"/>
      </w:rPr>
      <w:fldChar w:fldCharType="separate"/>
    </w:r>
    <w:r w:rsidR="00B80167">
      <w:rPr>
        <w:rFonts w:ascii="Calibri" w:eastAsia="Calibri" w:hAnsi="Calibri" w:cs="Calibri"/>
        <w:noProof/>
        <w:color w:val="000000"/>
      </w:rPr>
      <w:t>18</w:t>
    </w:r>
    <w:r>
      <w:rPr>
        <w:color w:val="000000"/>
      </w:rPr>
      <w:fldChar w:fldCharType="end"/>
    </w:r>
  </w:p>
  <w:p w14:paraId="5F139649" w14:textId="77777777" w:rsidR="0097059B" w:rsidRDefault="0097059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B700BA" w14:textId="77777777" w:rsidR="0040287E" w:rsidRDefault="0040287E">
      <w:pPr>
        <w:spacing w:after="0" w:line="240" w:lineRule="auto"/>
      </w:pPr>
      <w:r>
        <w:separator/>
      </w:r>
    </w:p>
  </w:footnote>
  <w:footnote w:type="continuationSeparator" w:id="0">
    <w:p w14:paraId="5F386368" w14:textId="77777777" w:rsidR="0040287E" w:rsidRDefault="004028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F7D"/>
    <w:multiLevelType w:val="multilevel"/>
    <w:tmpl w:val="77A6B8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B7BE1"/>
    <w:multiLevelType w:val="hybridMultilevel"/>
    <w:tmpl w:val="6F6ABA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C110B"/>
    <w:multiLevelType w:val="hybridMultilevel"/>
    <w:tmpl w:val="1760FD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131DA"/>
    <w:multiLevelType w:val="multilevel"/>
    <w:tmpl w:val="62642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91112"/>
    <w:multiLevelType w:val="hybridMultilevel"/>
    <w:tmpl w:val="3DF0B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16524"/>
    <w:multiLevelType w:val="hybridMultilevel"/>
    <w:tmpl w:val="CD7241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B2922"/>
    <w:multiLevelType w:val="hybridMultilevel"/>
    <w:tmpl w:val="854C1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9134D"/>
    <w:multiLevelType w:val="hybridMultilevel"/>
    <w:tmpl w:val="26A4D3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429B"/>
    <w:multiLevelType w:val="hybridMultilevel"/>
    <w:tmpl w:val="D590A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EE0380"/>
    <w:multiLevelType w:val="hybridMultilevel"/>
    <w:tmpl w:val="EB90B7D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3965E2"/>
    <w:multiLevelType w:val="hybridMultilevel"/>
    <w:tmpl w:val="ACC69C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5E70F8"/>
    <w:multiLevelType w:val="hybridMultilevel"/>
    <w:tmpl w:val="4AA871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275F81"/>
    <w:multiLevelType w:val="hybridMultilevel"/>
    <w:tmpl w:val="388A63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668D1"/>
    <w:multiLevelType w:val="hybridMultilevel"/>
    <w:tmpl w:val="EAE873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3B2FDB"/>
    <w:multiLevelType w:val="hybridMultilevel"/>
    <w:tmpl w:val="474824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096542"/>
    <w:multiLevelType w:val="hybridMultilevel"/>
    <w:tmpl w:val="AD3A21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272B4"/>
    <w:multiLevelType w:val="hybridMultilevel"/>
    <w:tmpl w:val="4AE21C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165D85"/>
    <w:multiLevelType w:val="hybridMultilevel"/>
    <w:tmpl w:val="14F6A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982965"/>
    <w:multiLevelType w:val="hybridMultilevel"/>
    <w:tmpl w:val="9012A2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1F48B1"/>
    <w:multiLevelType w:val="hybridMultilevel"/>
    <w:tmpl w:val="F91E9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D606D7"/>
    <w:multiLevelType w:val="hybridMultilevel"/>
    <w:tmpl w:val="4D702C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C6139C"/>
    <w:multiLevelType w:val="hybridMultilevel"/>
    <w:tmpl w:val="F7B479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1D120D"/>
    <w:multiLevelType w:val="hybridMultilevel"/>
    <w:tmpl w:val="51AA43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755E52"/>
    <w:multiLevelType w:val="hybridMultilevel"/>
    <w:tmpl w:val="75DA96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E436B9"/>
    <w:multiLevelType w:val="hybridMultilevel"/>
    <w:tmpl w:val="0A0CD6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EA2ABF"/>
    <w:multiLevelType w:val="hybridMultilevel"/>
    <w:tmpl w:val="2F80B0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D363C"/>
    <w:multiLevelType w:val="hybridMultilevel"/>
    <w:tmpl w:val="A91AC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16"/>
  </w:num>
  <w:num w:numId="3">
    <w:abstractNumId w:val="2"/>
  </w:num>
  <w:num w:numId="4">
    <w:abstractNumId w:val="19"/>
  </w:num>
  <w:num w:numId="5">
    <w:abstractNumId w:val="12"/>
  </w:num>
  <w:num w:numId="6">
    <w:abstractNumId w:val="6"/>
  </w:num>
  <w:num w:numId="7">
    <w:abstractNumId w:val="17"/>
  </w:num>
  <w:num w:numId="8">
    <w:abstractNumId w:val="26"/>
  </w:num>
  <w:num w:numId="9">
    <w:abstractNumId w:val="7"/>
  </w:num>
  <w:num w:numId="10">
    <w:abstractNumId w:val="18"/>
  </w:num>
  <w:num w:numId="11">
    <w:abstractNumId w:val="10"/>
  </w:num>
  <w:num w:numId="12">
    <w:abstractNumId w:val="8"/>
  </w:num>
  <w:num w:numId="13">
    <w:abstractNumId w:val="0"/>
  </w:num>
  <w:num w:numId="14">
    <w:abstractNumId w:val="3"/>
  </w:num>
  <w:num w:numId="15">
    <w:abstractNumId w:val="14"/>
  </w:num>
  <w:num w:numId="16">
    <w:abstractNumId w:val="13"/>
  </w:num>
  <w:num w:numId="17">
    <w:abstractNumId w:val="11"/>
  </w:num>
  <w:num w:numId="18">
    <w:abstractNumId w:val="5"/>
  </w:num>
  <w:num w:numId="19">
    <w:abstractNumId w:val="23"/>
  </w:num>
  <w:num w:numId="20">
    <w:abstractNumId w:val="25"/>
  </w:num>
  <w:num w:numId="21">
    <w:abstractNumId w:val="15"/>
  </w:num>
  <w:num w:numId="22">
    <w:abstractNumId w:val="22"/>
  </w:num>
  <w:num w:numId="23">
    <w:abstractNumId w:val="4"/>
  </w:num>
  <w:num w:numId="24">
    <w:abstractNumId w:val="1"/>
  </w:num>
  <w:num w:numId="25">
    <w:abstractNumId w:val="9"/>
  </w:num>
  <w:num w:numId="26">
    <w:abstractNumId w:val="21"/>
  </w:num>
  <w:num w:numId="27">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742"/>
    <w:rsid w:val="00003FF5"/>
    <w:rsid w:val="00005A9A"/>
    <w:rsid w:val="00010563"/>
    <w:rsid w:val="000148AE"/>
    <w:rsid w:val="00015105"/>
    <w:rsid w:val="000205B8"/>
    <w:rsid w:val="000219F3"/>
    <w:rsid w:val="000224B9"/>
    <w:rsid w:val="00035E3E"/>
    <w:rsid w:val="000415CF"/>
    <w:rsid w:val="000434C5"/>
    <w:rsid w:val="00051034"/>
    <w:rsid w:val="00051B45"/>
    <w:rsid w:val="00054512"/>
    <w:rsid w:val="00057482"/>
    <w:rsid w:val="00060D21"/>
    <w:rsid w:val="00060E13"/>
    <w:rsid w:val="0006107F"/>
    <w:rsid w:val="00062810"/>
    <w:rsid w:val="00063C11"/>
    <w:rsid w:val="000770F5"/>
    <w:rsid w:val="0008323B"/>
    <w:rsid w:val="00086973"/>
    <w:rsid w:val="00096510"/>
    <w:rsid w:val="00096FCF"/>
    <w:rsid w:val="000A022F"/>
    <w:rsid w:val="000A1AA1"/>
    <w:rsid w:val="000A1EF6"/>
    <w:rsid w:val="000A2885"/>
    <w:rsid w:val="000A296D"/>
    <w:rsid w:val="000A31BD"/>
    <w:rsid w:val="000A78A5"/>
    <w:rsid w:val="000B3261"/>
    <w:rsid w:val="000D0C15"/>
    <w:rsid w:val="000D0C8F"/>
    <w:rsid w:val="000D2C11"/>
    <w:rsid w:val="000D51B2"/>
    <w:rsid w:val="000E24E0"/>
    <w:rsid w:val="000E7846"/>
    <w:rsid w:val="001047C8"/>
    <w:rsid w:val="001129E2"/>
    <w:rsid w:val="00133C60"/>
    <w:rsid w:val="00136E47"/>
    <w:rsid w:val="001454D1"/>
    <w:rsid w:val="00161318"/>
    <w:rsid w:val="00166C95"/>
    <w:rsid w:val="001734F8"/>
    <w:rsid w:val="001740F7"/>
    <w:rsid w:val="00175A6B"/>
    <w:rsid w:val="00192680"/>
    <w:rsid w:val="00195D7C"/>
    <w:rsid w:val="001A1E83"/>
    <w:rsid w:val="001A3F43"/>
    <w:rsid w:val="001A508A"/>
    <w:rsid w:val="001A5555"/>
    <w:rsid w:val="001A735E"/>
    <w:rsid w:val="001B229E"/>
    <w:rsid w:val="001B425F"/>
    <w:rsid w:val="001C07B3"/>
    <w:rsid w:val="001C2B5F"/>
    <w:rsid w:val="001C5F90"/>
    <w:rsid w:val="001C7138"/>
    <w:rsid w:val="001D7986"/>
    <w:rsid w:val="001E25A9"/>
    <w:rsid w:val="002007F0"/>
    <w:rsid w:val="00203B6F"/>
    <w:rsid w:val="00206AF2"/>
    <w:rsid w:val="00206FC6"/>
    <w:rsid w:val="00213221"/>
    <w:rsid w:val="0021405B"/>
    <w:rsid w:val="0022094A"/>
    <w:rsid w:val="00225C49"/>
    <w:rsid w:val="0022687F"/>
    <w:rsid w:val="002330E5"/>
    <w:rsid w:val="002343AE"/>
    <w:rsid w:val="002345C8"/>
    <w:rsid w:val="00235A95"/>
    <w:rsid w:val="0024306A"/>
    <w:rsid w:val="00246785"/>
    <w:rsid w:val="00247C50"/>
    <w:rsid w:val="00250AC1"/>
    <w:rsid w:val="00251E42"/>
    <w:rsid w:val="00256900"/>
    <w:rsid w:val="00256BF7"/>
    <w:rsid w:val="00257D8B"/>
    <w:rsid w:val="002617AC"/>
    <w:rsid w:val="002655B4"/>
    <w:rsid w:val="002760F3"/>
    <w:rsid w:val="00277EAD"/>
    <w:rsid w:val="00280021"/>
    <w:rsid w:val="00280BCA"/>
    <w:rsid w:val="00282845"/>
    <w:rsid w:val="00283C36"/>
    <w:rsid w:val="0028783B"/>
    <w:rsid w:val="0029307C"/>
    <w:rsid w:val="00293A17"/>
    <w:rsid w:val="00294362"/>
    <w:rsid w:val="00296D94"/>
    <w:rsid w:val="002A1E9A"/>
    <w:rsid w:val="002A2EC5"/>
    <w:rsid w:val="002A2F5B"/>
    <w:rsid w:val="002A5E25"/>
    <w:rsid w:val="002A7AB0"/>
    <w:rsid w:val="002B0C68"/>
    <w:rsid w:val="002B3E19"/>
    <w:rsid w:val="002D0056"/>
    <w:rsid w:val="002D250B"/>
    <w:rsid w:val="002D3B03"/>
    <w:rsid w:val="002E0852"/>
    <w:rsid w:val="002E1245"/>
    <w:rsid w:val="002E4B34"/>
    <w:rsid w:val="002E72C7"/>
    <w:rsid w:val="002F7EE9"/>
    <w:rsid w:val="00302782"/>
    <w:rsid w:val="003049E5"/>
    <w:rsid w:val="00305A2B"/>
    <w:rsid w:val="00310C36"/>
    <w:rsid w:val="00315BC0"/>
    <w:rsid w:val="0031779A"/>
    <w:rsid w:val="00322648"/>
    <w:rsid w:val="003236BE"/>
    <w:rsid w:val="00325779"/>
    <w:rsid w:val="00330765"/>
    <w:rsid w:val="003405D9"/>
    <w:rsid w:val="00342B50"/>
    <w:rsid w:val="00345592"/>
    <w:rsid w:val="00346F8B"/>
    <w:rsid w:val="00355960"/>
    <w:rsid w:val="00356BF4"/>
    <w:rsid w:val="00357C89"/>
    <w:rsid w:val="00382585"/>
    <w:rsid w:val="00385344"/>
    <w:rsid w:val="003861AE"/>
    <w:rsid w:val="00387627"/>
    <w:rsid w:val="00393360"/>
    <w:rsid w:val="00393CFF"/>
    <w:rsid w:val="0039480E"/>
    <w:rsid w:val="00395BCF"/>
    <w:rsid w:val="0039704B"/>
    <w:rsid w:val="003A326F"/>
    <w:rsid w:val="003A37CE"/>
    <w:rsid w:val="003A433B"/>
    <w:rsid w:val="003A445C"/>
    <w:rsid w:val="003A61D3"/>
    <w:rsid w:val="003A7B61"/>
    <w:rsid w:val="003B3B6A"/>
    <w:rsid w:val="003B3EE6"/>
    <w:rsid w:val="003B4410"/>
    <w:rsid w:val="003B75C3"/>
    <w:rsid w:val="003C4109"/>
    <w:rsid w:val="003E0621"/>
    <w:rsid w:val="003E074A"/>
    <w:rsid w:val="003E633A"/>
    <w:rsid w:val="0040287E"/>
    <w:rsid w:val="00402943"/>
    <w:rsid w:val="00406C8B"/>
    <w:rsid w:val="00414832"/>
    <w:rsid w:val="00425C88"/>
    <w:rsid w:val="0043149C"/>
    <w:rsid w:val="0043304D"/>
    <w:rsid w:val="004339E0"/>
    <w:rsid w:val="00433B86"/>
    <w:rsid w:val="0043754B"/>
    <w:rsid w:val="004401EE"/>
    <w:rsid w:val="00444F19"/>
    <w:rsid w:val="00450086"/>
    <w:rsid w:val="004565F9"/>
    <w:rsid w:val="00457DF7"/>
    <w:rsid w:val="00460307"/>
    <w:rsid w:val="0046214D"/>
    <w:rsid w:val="00467B44"/>
    <w:rsid w:val="0047759B"/>
    <w:rsid w:val="004813B2"/>
    <w:rsid w:val="00482880"/>
    <w:rsid w:val="00482CEC"/>
    <w:rsid w:val="00486F48"/>
    <w:rsid w:val="00486FCB"/>
    <w:rsid w:val="00492368"/>
    <w:rsid w:val="00494B55"/>
    <w:rsid w:val="00495B75"/>
    <w:rsid w:val="00496C75"/>
    <w:rsid w:val="0049728F"/>
    <w:rsid w:val="004B4F6C"/>
    <w:rsid w:val="004B6165"/>
    <w:rsid w:val="004C127E"/>
    <w:rsid w:val="004C3ED7"/>
    <w:rsid w:val="004C783E"/>
    <w:rsid w:val="004D0EE8"/>
    <w:rsid w:val="004D5C9E"/>
    <w:rsid w:val="004D718B"/>
    <w:rsid w:val="004D73A1"/>
    <w:rsid w:val="004E18D5"/>
    <w:rsid w:val="004E60AC"/>
    <w:rsid w:val="004F055D"/>
    <w:rsid w:val="004F16F8"/>
    <w:rsid w:val="004F3677"/>
    <w:rsid w:val="004F3D55"/>
    <w:rsid w:val="004F5371"/>
    <w:rsid w:val="00501AB7"/>
    <w:rsid w:val="005051EF"/>
    <w:rsid w:val="005107B5"/>
    <w:rsid w:val="00512DDE"/>
    <w:rsid w:val="0052297A"/>
    <w:rsid w:val="005263A5"/>
    <w:rsid w:val="00530BBD"/>
    <w:rsid w:val="005342AE"/>
    <w:rsid w:val="00540A80"/>
    <w:rsid w:val="00543A90"/>
    <w:rsid w:val="00546AE3"/>
    <w:rsid w:val="005510B7"/>
    <w:rsid w:val="00555B8A"/>
    <w:rsid w:val="00565D52"/>
    <w:rsid w:val="00566C6F"/>
    <w:rsid w:val="00566E46"/>
    <w:rsid w:val="0057219E"/>
    <w:rsid w:val="00574676"/>
    <w:rsid w:val="005767BB"/>
    <w:rsid w:val="005770B0"/>
    <w:rsid w:val="00580405"/>
    <w:rsid w:val="00581FCA"/>
    <w:rsid w:val="005849EF"/>
    <w:rsid w:val="00585D85"/>
    <w:rsid w:val="00590800"/>
    <w:rsid w:val="00591073"/>
    <w:rsid w:val="00597925"/>
    <w:rsid w:val="005A0A07"/>
    <w:rsid w:val="005A7462"/>
    <w:rsid w:val="005B0FAE"/>
    <w:rsid w:val="005B10C8"/>
    <w:rsid w:val="005B6A22"/>
    <w:rsid w:val="005D04E5"/>
    <w:rsid w:val="005D346E"/>
    <w:rsid w:val="005E408A"/>
    <w:rsid w:val="005E674D"/>
    <w:rsid w:val="005F0AA2"/>
    <w:rsid w:val="005F2132"/>
    <w:rsid w:val="005F2A68"/>
    <w:rsid w:val="005F5400"/>
    <w:rsid w:val="00606E5A"/>
    <w:rsid w:val="00612CAB"/>
    <w:rsid w:val="00614875"/>
    <w:rsid w:val="00625D2A"/>
    <w:rsid w:val="006269AF"/>
    <w:rsid w:val="00626D0D"/>
    <w:rsid w:val="00630331"/>
    <w:rsid w:val="00640567"/>
    <w:rsid w:val="006422F6"/>
    <w:rsid w:val="00643D28"/>
    <w:rsid w:val="00652181"/>
    <w:rsid w:val="0065420F"/>
    <w:rsid w:val="00656EFC"/>
    <w:rsid w:val="00657EF4"/>
    <w:rsid w:val="00660A10"/>
    <w:rsid w:val="00665A73"/>
    <w:rsid w:val="006704C2"/>
    <w:rsid w:val="00671ACF"/>
    <w:rsid w:val="00671AE0"/>
    <w:rsid w:val="0067256C"/>
    <w:rsid w:val="006A0B46"/>
    <w:rsid w:val="006A30E4"/>
    <w:rsid w:val="006A3CB2"/>
    <w:rsid w:val="006B2253"/>
    <w:rsid w:val="006B609B"/>
    <w:rsid w:val="006C08D3"/>
    <w:rsid w:val="006C0DA0"/>
    <w:rsid w:val="006C114F"/>
    <w:rsid w:val="006C19E4"/>
    <w:rsid w:val="006C5229"/>
    <w:rsid w:val="006C7E0A"/>
    <w:rsid w:val="006D1111"/>
    <w:rsid w:val="006D3CC2"/>
    <w:rsid w:val="006D5A57"/>
    <w:rsid w:val="006D66F7"/>
    <w:rsid w:val="006E5DAD"/>
    <w:rsid w:val="006E7FA3"/>
    <w:rsid w:val="006F1327"/>
    <w:rsid w:val="006F212F"/>
    <w:rsid w:val="006F7011"/>
    <w:rsid w:val="007019C8"/>
    <w:rsid w:val="00704348"/>
    <w:rsid w:val="00706226"/>
    <w:rsid w:val="00710C41"/>
    <w:rsid w:val="00714127"/>
    <w:rsid w:val="00714195"/>
    <w:rsid w:val="00714998"/>
    <w:rsid w:val="00714D3F"/>
    <w:rsid w:val="00714E60"/>
    <w:rsid w:val="007206A3"/>
    <w:rsid w:val="00730903"/>
    <w:rsid w:val="00746E50"/>
    <w:rsid w:val="00752E35"/>
    <w:rsid w:val="0075428D"/>
    <w:rsid w:val="007631DC"/>
    <w:rsid w:val="00763516"/>
    <w:rsid w:val="00763F13"/>
    <w:rsid w:val="00766DD7"/>
    <w:rsid w:val="00772B11"/>
    <w:rsid w:val="00783E5B"/>
    <w:rsid w:val="00793186"/>
    <w:rsid w:val="007A0A3D"/>
    <w:rsid w:val="007A0FFA"/>
    <w:rsid w:val="007B2046"/>
    <w:rsid w:val="007B3985"/>
    <w:rsid w:val="007B5ABE"/>
    <w:rsid w:val="007C577C"/>
    <w:rsid w:val="007D0430"/>
    <w:rsid w:val="007D0444"/>
    <w:rsid w:val="007E0FA4"/>
    <w:rsid w:val="007E194F"/>
    <w:rsid w:val="007E1BAF"/>
    <w:rsid w:val="007E23F6"/>
    <w:rsid w:val="007E5DDC"/>
    <w:rsid w:val="00803AD8"/>
    <w:rsid w:val="008149C5"/>
    <w:rsid w:val="00815A61"/>
    <w:rsid w:val="00816DF8"/>
    <w:rsid w:val="0081718F"/>
    <w:rsid w:val="008172AA"/>
    <w:rsid w:val="00824578"/>
    <w:rsid w:val="008274AE"/>
    <w:rsid w:val="00830967"/>
    <w:rsid w:val="00832209"/>
    <w:rsid w:val="008425C2"/>
    <w:rsid w:val="00844221"/>
    <w:rsid w:val="008530E7"/>
    <w:rsid w:val="00863527"/>
    <w:rsid w:val="00866E92"/>
    <w:rsid w:val="00886E22"/>
    <w:rsid w:val="008A4D7D"/>
    <w:rsid w:val="008A5AF0"/>
    <w:rsid w:val="008A7D09"/>
    <w:rsid w:val="008B0587"/>
    <w:rsid w:val="008B38CE"/>
    <w:rsid w:val="008C2E2B"/>
    <w:rsid w:val="008C315F"/>
    <w:rsid w:val="008C6BFF"/>
    <w:rsid w:val="008D436C"/>
    <w:rsid w:val="008E7C64"/>
    <w:rsid w:val="00905174"/>
    <w:rsid w:val="0090639A"/>
    <w:rsid w:val="009116CB"/>
    <w:rsid w:val="00911B07"/>
    <w:rsid w:val="0091269F"/>
    <w:rsid w:val="0091620A"/>
    <w:rsid w:val="00916AD8"/>
    <w:rsid w:val="009175E8"/>
    <w:rsid w:val="00936F41"/>
    <w:rsid w:val="00942C68"/>
    <w:rsid w:val="00950361"/>
    <w:rsid w:val="00950687"/>
    <w:rsid w:val="00951AF3"/>
    <w:rsid w:val="00951CE7"/>
    <w:rsid w:val="00962654"/>
    <w:rsid w:val="00967BFE"/>
    <w:rsid w:val="0097059B"/>
    <w:rsid w:val="00980785"/>
    <w:rsid w:val="0098745D"/>
    <w:rsid w:val="00987F19"/>
    <w:rsid w:val="009940D2"/>
    <w:rsid w:val="0099451A"/>
    <w:rsid w:val="009A27A3"/>
    <w:rsid w:val="009A77CF"/>
    <w:rsid w:val="009B17A4"/>
    <w:rsid w:val="009B559B"/>
    <w:rsid w:val="009B60A8"/>
    <w:rsid w:val="009D0717"/>
    <w:rsid w:val="009E27FC"/>
    <w:rsid w:val="009E49F0"/>
    <w:rsid w:val="009E7F28"/>
    <w:rsid w:val="009F00B1"/>
    <w:rsid w:val="009F2FA5"/>
    <w:rsid w:val="009F6C21"/>
    <w:rsid w:val="009F7921"/>
    <w:rsid w:val="00A03689"/>
    <w:rsid w:val="00A04B36"/>
    <w:rsid w:val="00A05047"/>
    <w:rsid w:val="00A062C7"/>
    <w:rsid w:val="00A10357"/>
    <w:rsid w:val="00A11E9F"/>
    <w:rsid w:val="00A1314B"/>
    <w:rsid w:val="00A20873"/>
    <w:rsid w:val="00A32D98"/>
    <w:rsid w:val="00A335FD"/>
    <w:rsid w:val="00A40A37"/>
    <w:rsid w:val="00A43003"/>
    <w:rsid w:val="00A455FE"/>
    <w:rsid w:val="00A5177A"/>
    <w:rsid w:val="00A52994"/>
    <w:rsid w:val="00A530DD"/>
    <w:rsid w:val="00A56545"/>
    <w:rsid w:val="00A567C6"/>
    <w:rsid w:val="00A62D98"/>
    <w:rsid w:val="00A64CE0"/>
    <w:rsid w:val="00A66134"/>
    <w:rsid w:val="00A726CC"/>
    <w:rsid w:val="00A728FB"/>
    <w:rsid w:val="00A7485A"/>
    <w:rsid w:val="00A812D7"/>
    <w:rsid w:val="00A82E96"/>
    <w:rsid w:val="00A84844"/>
    <w:rsid w:val="00A87830"/>
    <w:rsid w:val="00A91695"/>
    <w:rsid w:val="00A94E06"/>
    <w:rsid w:val="00AA2C12"/>
    <w:rsid w:val="00AA4DFD"/>
    <w:rsid w:val="00AA55B7"/>
    <w:rsid w:val="00AB0B11"/>
    <w:rsid w:val="00AB3BBA"/>
    <w:rsid w:val="00AC2A78"/>
    <w:rsid w:val="00AC7B93"/>
    <w:rsid w:val="00AD0727"/>
    <w:rsid w:val="00AD7A3B"/>
    <w:rsid w:val="00AE24C1"/>
    <w:rsid w:val="00AF3610"/>
    <w:rsid w:val="00B059AE"/>
    <w:rsid w:val="00B068AA"/>
    <w:rsid w:val="00B165B2"/>
    <w:rsid w:val="00B24BEC"/>
    <w:rsid w:val="00B2631C"/>
    <w:rsid w:val="00B27B82"/>
    <w:rsid w:val="00B37487"/>
    <w:rsid w:val="00B4409A"/>
    <w:rsid w:val="00B4426A"/>
    <w:rsid w:val="00B52389"/>
    <w:rsid w:val="00B52D36"/>
    <w:rsid w:val="00B53596"/>
    <w:rsid w:val="00B56A0E"/>
    <w:rsid w:val="00B56D92"/>
    <w:rsid w:val="00B56F96"/>
    <w:rsid w:val="00B66B68"/>
    <w:rsid w:val="00B743C5"/>
    <w:rsid w:val="00B76B1E"/>
    <w:rsid w:val="00B80167"/>
    <w:rsid w:val="00B80375"/>
    <w:rsid w:val="00B8729E"/>
    <w:rsid w:val="00B87790"/>
    <w:rsid w:val="00B97944"/>
    <w:rsid w:val="00BA0BAF"/>
    <w:rsid w:val="00BB30A8"/>
    <w:rsid w:val="00BC10AA"/>
    <w:rsid w:val="00BD3265"/>
    <w:rsid w:val="00BD7314"/>
    <w:rsid w:val="00BE1679"/>
    <w:rsid w:val="00BE4107"/>
    <w:rsid w:val="00BE6A11"/>
    <w:rsid w:val="00BF7FB7"/>
    <w:rsid w:val="00C019EA"/>
    <w:rsid w:val="00C02A61"/>
    <w:rsid w:val="00C03AF9"/>
    <w:rsid w:val="00C052CB"/>
    <w:rsid w:val="00C166BA"/>
    <w:rsid w:val="00C174AD"/>
    <w:rsid w:val="00C179B2"/>
    <w:rsid w:val="00C23A1D"/>
    <w:rsid w:val="00C3352A"/>
    <w:rsid w:val="00C40E7C"/>
    <w:rsid w:val="00C418D8"/>
    <w:rsid w:val="00C41ACC"/>
    <w:rsid w:val="00C452D1"/>
    <w:rsid w:val="00C45CF8"/>
    <w:rsid w:val="00C51916"/>
    <w:rsid w:val="00C6253D"/>
    <w:rsid w:val="00C63075"/>
    <w:rsid w:val="00C63A3C"/>
    <w:rsid w:val="00C6610C"/>
    <w:rsid w:val="00C66403"/>
    <w:rsid w:val="00C731ED"/>
    <w:rsid w:val="00C74AC6"/>
    <w:rsid w:val="00C859BE"/>
    <w:rsid w:val="00C879C7"/>
    <w:rsid w:val="00C90652"/>
    <w:rsid w:val="00C9343A"/>
    <w:rsid w:val="00C94A71"/>
    <w:rsid w:val="00C97825"/>
    <w:rsid w:val="00CD3321"/>
    <w:rsid w:val="00CD7930"/>
    <w:rsid w:val="00CE000B"/>
    <w:rsid w:val="00CE0FDD"/>
    <w:rsid w:val="00CE31D3"/>
    <w:rsid w:val="00CF487F"/>
    <w:rsid w:val="00CF57A1"/>
    <w:rsid w:val="00CF67A1"/>
    <w:rsid w:val="00CF7B3B"/>
    <w:rsid w:val="00D024E0"/>
    <w:rsid w:val="00D04C88"/>
    <w:rsid w:val="00D057BD"/>
    <w:rsid w:val="00D15F4F"/>
    <w:rsid w:val="00D17FFE"/>
    <w:rsid w:val="00D2119E"/>
    <w:rsid w:val="00D21D3B"/>
    <w:rsid w:val="00D273D2"/>
    <w:rsid w:val="00D319B8"/>
    <w:rsid w:val="00D345FD"/>
    <w:rsid w:val="00D41637"/>
    <w:rsid w:val="00D4281F"/>
    <w:rsid w:val="00D43E52"/>
    <w:rsid w:val="00D47DAF"/>
    <w:rsid w:val="00D54F01"/>
    <w:rsid w:val="00D615BA"/>
    <w:rsid w:val="00D71074"/>
    <w:rsid w:val="00D71658"/>
    <w:rsid w:val="00D779A4"/>
    <w:rsid w:val="00D8648D"/>
    <w:rsid w:val="00D87EEA"/>
    <w:rsid w:val="00D97EFD"/>
    <w:rsid w:val="00DA5CBD"/>
    <w:rsid w:val="00DA7BAB"/>
    <w:rsid w:val="00DB28B1"/>
    <w:rsid w:val="00DC2236"/>
    <w:rsid w:val="00DD0468"/>
    <w:rsid w:val="00DD4768"/>
    <w:rsid w:val="00DE056B"/>
    <w:rsid w:val="00DE180D"/>
    <w:rsid w:val="00DE1C88"/>
    <w:rsid w:val="00DF3A70"/>
    <w:rsid w:val="00E06B6D"/>
    <w:rsid w:val="00E22C30"/>
    <w:rsid w:val="00E2684B"/>
    <w:rsid w:val="00E30C8E"/>
    <w:rsid w:val="00E329B6"/>
    <w:rsid w:val="00E35A6B"/>
    <w:rsid w:val="00E40B8D"/>
    <w:rsid w:val="00E436DE"/>
    <w:rsid w:val="00E44B36"/>
    <w:rsid w:val="00E45E0A"/>
    <w:rsid w:val="00E539EC"/>
    <w:rsid w:val="00E541E7"/>
    <w:rsid w:val="00E56A38"/>
    <w:rsid w:val="00E57DA2"/>
    <w:rsid w:val="00E737E1"/>
    <w:rsid w:val="00E74B11"/>
    <w:rsid w:val="00E8002E"/>
    <w:rsid w:val="00E81AD4"/>
    <w:rsid w:val="00E81E04"/>
    <w:rsid w:val="00E84217"/>
    <w:rsid w:val="00E84EBB"/>
    <w:rsid w:val="00E8787D"/>
    <w:rsid w:val="00E95EB9"/>
    <w:rsid w:val="00EA00FA"/>
    <w:rsid w:val="00EA0751"/>
    <w:rsid w:val="00EA2E5B"/>
    <w:rsid w:val="00EA5A99"/>
    <w:rsid w:val="00EB038B"/>
    <w:rsid w:val="00EB108F"/>
    <w:rsid w:val="00EB6FE2"/>
    <w:rsid w:val="00EB71C5"/>
    <w:rsid w:val="00EC3C30"/>
    <w:rsid w:val="00ED5FA8"/>
    <w:rsid w:val="00ED66F4"/>
    <w:rsid w:val="00EE21B1"/>
    <w:rsid w:val="00EE4DE6"/>
    <w:rsid w:val="00EE723F"/>
    <w:rsid w:val="00EF17EF"/>
    <w:rsid w:val="00EF5EFC"/>
    <w:rsid w:val="00EF7960"/>
    <w:rsid w:val="00F04235"/>
    <w:rsid w:val="00F04E6D"/>
    <w:rsid w:val="00F1170E"/>
    <w:rsid w:val="00F1593B"/>
    <w:rsid w:val="00F1756B"/>
    <w:rsid w:val="00F204D0"/>
    <w:rsid w:val="00F225E9"/>
    <w:rsid w:val="00F22966"/>
    <w:rsid w:val="00F34500"/>
    <w:rsid w:val="00F34A99"/>
    <w:rsid w:val="00F37ED8"/>
    <w:rsid w:val="00F40BEE"/>
    <w:rsid w:val="00F423EE"/>
    <w:rsid w:val="00F466E6"/>
    <w:rsid w:val="00F53CBD"/>
    <w:rsid w:val="00F54B48"/>
    <w:rsid w:val="00F60A2B"/>
    <w:rsid w:val="00F61921"/>
    <w:rsid w:val="00F62679"/>
    <w:rsid w:val="00F634A8"/>
    <w:rsid w:val="00F677FF"/>
    <w:rsid w:val="00F72915"/>
    <w:rsid w:val="00F81236"/>
    <w:rsid w:val="00F83017"/>
    <w:rsid w:val="00F836FB"/>
    <w:rsid w:val="00F8659A"/>
    <w:rsid w:val="00F90811"/>
    <w:rsid w:val="00F90EB9"/>
    <w:rsid w:val="00F90F44"/>
    <w:rsid w:val="00F965A4"/>
    <w:rsid w:val="00FA6CFB"/>
    <w:rsid w:val="00FB086F"/>
    <w:rsid w:val="00FB335C"/>
    <w:rsid w:val="00FC0085"/>
    <w:rsid w:val="00FC218A"/>
    <w:rsid w:val="00FC37C8"/>
    <w:rsid w:val="00FC6878"/>
    <w:rsid w:val="00FD327A"/>
    <w:rsid w:val="00FE50CA"/>
    <w:rsid w:val="00FF3460"/>
    <w:rsid w:val="00FF5856"/>
    <w:rsid w:val="00FF614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64ACF"/>
  <w15:chartTrackingRefBased/>
  <w15:docId w15:val="{8C00DA22-106F-4324-9A94-97463B4E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83E"/>
    <w:rPr>
      <w:lang w:val="en-GB"/>
    </w:rPr>
  </w:style>
  <w:style w:type="paragraph" w:styleId="Heading1">
    <w:name w:val="heading 1"/>
    <w:basedOn w:val="Normal"/>
    <w:next w:val="Normal"/>
    <w:link w:val="Heading1Char"/>
    <w:uiPriority w:val="9"/>
    <w:qFormat/>
    <w:rsid w:val="006E7FA3"/>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161318"/>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0A296D"/>
    <w:pPr>
      <w:keepNext/>
      <w:keepLines/>
      <w:spacing w:before="40" w:after="0"/>
      <w:outlineLvl w:val="2"/>
    </w:pPr>
    <w:rPr>
      <w:rFonts w:ascii="Arial" w:eastAsiaTheme="majorEastAsia" w:hAnsi="Arial" w:cstheme="majorBidi"/>
      <w:b/>
      <w:color w:val="000000" w:themeColor="text1"/>
      <w:sz w:val="24"/>
      <w:szCs w:val="24"/>
    </w:rPr>
  </w:style>
  <w:style w:type="paragraph" w:styleId="Heading4">
    <w:name w:val="heading 4"/>
    <w:basedOn w:val="Normal"/>
    <w:next w:val="Normal"/>
    <w:link w:val="Heading4Char"/>
    <w:uiPriority w:val="9"/>
    <w:semiHidden/>
    <w:unhideWhenUsed/>
    <w:qFormat/>
    <w:rsid w:val="001740F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B56D92"/>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61318"/>
    <w:rPr>
      <w:rFonts w:ascii="Arial" w:eastAsiaTheme="majorEastAsia" w:hAnsi="Arial" w:cstheme="majorBidi"/>
      <w:b/>
      <w:color w:val="000000" w:themeColor="text1"/>
      <w:sz w:val="28"/>
      <w:szCs w:val="26"/>
      <w:lang w:val="en-GB"/>
    </w:rPr>
  </w:style>
  <w:style w:type="character" w:customStyle="1" w:styleId="Heading1Char">
    <w:name w:val="Heading 1 Char"/>
    <w:basedOn w:val="DefaultParagraphFont"/>
    <w:link w:val="Heading1"/>
    <w:uiPriority w:val="9"/>
    <w:rsid w:val="006E7FA3"/>
    <w:rPr>
      <w:rFonts w:ascii="Arial" w:eastAsiaTheme="majorEastAsia" w:hAnsi="Arial" w:cstheme="majorBidi"/>
      <w:b/>
      <w:color w:val="000000" w:themeColor="text1"/>
      <w:sz w:val="32"/>
      <w:szCs w:val="32"/>
      <w:lang w:val="en-GB"/>
    </w:rPr>
  </w:style>
  <w:style w:type="table" w:styleId="TableGrid">
    <w:name w:val="Table Grid"/>
    <w:basedOn w:val="TableNormal"/>
    <w:uiPriority w:val="39"/>
    <w:rsid w:val="002B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75"/>
    <w:pPr>
      <w:ind w:left="720"/>
      <w:contextualSpacing/>
    </w:pPr>
  </w:style>
  <w:style w:type="character" w:styleId="Hyperlink">
    <w:name w:val="Hyperlink"/>
    <w:basedOn w:val="DefaultParagraphFont"/>
    <w:uiPriority w:val="99"/>
    <w:unhideWhenUsed/>
    <w:rsid w:val="00783E5B"/>
    <w:rPr>
      <w:color w:val="0563C1" w:themeColor="hyperlink"/>
      <w:u w:val="single"/>
    </w:rPr>
  </w:style>
  <w:style w:type="paragraph" w:styleId="TOCHeading">
    <w:name w:val="TOC Heading"/>
    <w:basedOn w:val="Heading1"/>
    <w:next w:val="Normal"/>
    <w:uiPriority w:val="39"/>
    <w:unhideWhenUsed/>
    <w:qFormat/>
    <w:rsid w:val="001A5555"/>
    <w:pPr>
      <w:outlineLvl w:val="9"/>
    </w:pPr>
    <w:rPr>
      <w:lang w:val="en-US"/>
    </w:rPr>
  </w:style>
  <w:style w:type="paragraph" w:styleId="TOC1">
    <w:name w:val="toc 1"/>
    <w:basedOn w:val="Normal"/>
    <w:next w:val="Normal"/>
    <w:autoRedefine/>
    <w:uiPriority w:val="39"/>
    <w:unhideWhenUsed/>
    <w:rsid w:val="001A5555"/>
    <w:pPr>
      <w:spacing w:after="100"/>
    </w:pPr>
  </w:style>
  <w:style w:type="paragraph" w:styleId="TOC2">
    <w:name w:val="toc 2"/>
    <w:basedOn w:val="Normal"/>
    <w:next w:val="Normal"/>
    <w:autoRedefine/>
    <w:uiPriority w:val="39"/>
    <w:unhideWhenUsed/>
    <w:rsid w:val="001A5555"/>
    <w:pPr>
      <w:spacing w:after="100"/>
      <w:ind w:left="220"/>
    </w:pPr>
  </w:style>
  <w:style w:type="paragraph" w:styleId="TOC3">
    <w:name w:val="toc 3"/>
    <w:basedOn w:val="Normal"/>
    <w:next w:val="Normal"/>
    <w:autoRedefine/>
    <w:uiPriority w:val="39"/>
    <w:unhideWhenUsed/>
    <w:rsid w:val="001A5555"/>
    <w:pPr>
      <w:spacing w:after="100"/>
      <w:ind w:left="440"/>
    </w:pPr>
  </w:style>
  <w:style w:type="paragraph" w:styleId="Header">
    <w:name w:val="header"/>
    <w:basedOn w:val="Normal"/>
    <w:link w:val="HeaderChar"/>
    <w:uiPriority w:val="99"/>
    <w:unhideWhenUsed/>
    <w:rsid w:val="001A55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5555"/>
    <w:rPr>
      <w:lang w:val="en-GB"/>
    </w:rPr>
  </w:style>
  <w:style w:type="paragraph" w:styleId="Footer">
    <w:name w:val="footer"/>
    <w:basedOn w:val="Normal"/>
    <w:link w:val="FooterChar"/>
    <w:uiPriority w:val="99"/>
    <w:unhideWhenUsed/>
    <w:rsid w:val="001A55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555"/>
    <w:rPr>
      <w:lang w:val="en-GB"/>
    </w:rPr>
  </w:style>
  <w:style w:type="character" w:styleId="Emphasis">
    <w:name w:val="Emphasis"/>
    <w:basedOn w:val="DefaultParagraphFont"/>
    <w:uiPriority w:val="20"/>
    <w:qFormat/>
    <w:rsid w:val="00E541E7"/>
    <w:rPr>
      <w:i/>
      <w:iCs/>
    </w:rPr>
  </w:style>
  <w:style w:type="character" w:customStyle="1" w:styleId="Heading3Char">
    <w:name w:val="Heading 3 Char"/>
    <w:basedOn w:val="DefaultParagraphFont"/>
    <w:link w:val="Heading3"/>
    <w:uiPriority w:val="9"/>
    <w:rsid w:val="000A296D"/>
    <w:rPr>
      <w:rFonts w:ascii="Arial" w:eastAsiaTheme="majorEastAsia" w:hAnsi="Arial" w:cstheme="majorBidi"/>
      <w:b/>
      <w:color w:val="000000" w:themeColor="text1"/>
      <w:sz w:val="24"/>
      <w:szCs w:val="24"/>
      <w:lang w:val="en-GB"/>
    </w:rPr>
  </w:style>
  <w:style w:type="paragraph" w:styleId="NormalWeb">
    <w:name w:val="Normal (Web)"/>
    <w:basedOn w:val="Normal"/>
    <w:uiPriority w:val="99"/>
    <w:unhideWhenUsed/>
    <w:rsid w:val="006C7E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6Char">
    <w:name w:val="Heading 6 Char"/>
    <w:basedOn w:val="DefaultParagraphFont"/>
    <w:link w:val="Heading6"/>
    <w:uiPriority w:val="9"/>
    <w:semiHidden/>
    <w:rsid w:val="00B56D92"/>
    <w:rPr>
      <w:rFonts w:asciiTheme="majorHAnsi" w:eastAsiaTheme="majorEastAsia" w:hAnsiTheme="majorHAnsi" w:cstheme="majorBidi"/>
      <w:color w:val="1F4D78" w:themeColor="accent1" w:themeShade="7F"/>
      <w:lang w:val="en-GB"/>
    </w:rPr>
  </w:style>
  <w:style w:type="character" w:customStyle="1" w:styleId="bg">
    <w:name w:val="bg"/>
    <w:basedOn w:val="DefaultParagraphFont"/>
    <w:rsid w:val="00530BBD"/>
  </w:style>
  <w:style w:type="character" w:customStyle="1" w:styleId="Heading4Char">
    <w:name w:val="Heading 4 Char"/>
    <w:basedOn w:val="DefaultParagraphFont"/>
    <w:link w:val="Heading4"/>
    <w:uiPriority w:val="9"/>
    <w:semiHidden/>
    <w:rsid w:val="001740F7"/>
    <w:rPr>
      <w:rFonts w:asciiTheme="majorHAnsi" w:eastAsiaTheme="majorEastAsia" w:hAnsiTheme="majorHAnsi" w:cstheme="majorBidi"/>
      <w:i/>
      <w:iCs/>
      <w:color w:val="2E74B5" w:themeColor="accent1" w:themeShade="BF"/>
      <w:lang w:val="en-GB"/>
    </w:rPr>
  </w:style>
  <w:style w:type="paragraph" w:styleId="Caption">
    <w:name w:val="caption"/>
    <w:basedOn w:val="Normal"/>
    <w:next w:val="Normal"/>
    <w:uiPriority w:val="35"/>
    <w:unhideWhenUsed/>
    <w:qFormat/>
    <w:rsid w:val="00DB28B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149C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5097">
      <w:bodyDiv w:val="1"/>
      <w:marLeft w:val="0"/>
      <w:marRight w:val="0"/>
      <w:marTop w:val="0"/>
      <w:marBottom w:val="0"/>
      <w:divBdr>
        <w:top w:val="none" w:sz="0" w:space="0" w:color="auto"/>
        <w:left w:val="none" w:sz="0" w:space="0" w:color="auto"/>
        <w:bottom w:val="none" w:sz="0" w:space="0" w:color="auto"/>
        <w:right w:val="none" w:sz="0" w:space="0" w:color="auto"/>
      </w:divBdr>
    </w:div>
    <w:div w:id="234122079">
      <w:bodyDiv w:val="1"/>
      <w:marLeft w:val="0"/>
      <w:marRight w:val="0"/>
      <w:marTop w:val="0"/>
      <w:marBottom w:val="0"/>
      <w:divBdr>
        <w:top w:val="none" w:sz="0" w:space="0" w:color="auto"/>
        <w:left w:val="none" w:sz="0" w:space="0" w:color="auto"/>
        <w:bottom w:val="none" w:sz="0" w:space="0" w:color="auto"/>
        <w:right w:val="none" w:sz="0" w:space="0" w:color="auto"/>
      </w:divBdr>
    </w:div>
    <w:div w:id="540017923">
      <w:bodyDiv w:val="1"/>
      <w:marLeft w:val="0"/>
      <w:marRight w:val="0"/>
      <w:marTop w:val="0"/>
      <w:marBottom w:val="0"/>
      <w:divBdr>
        <w:top w:val="none" w:sz="0" w:space="0" w:color="auto"/>
        <w:left w:val="none" w:sz="0" w:space="0" w:color="auto"/>
        <w:bottom w:val="none" w:sz="0" w:space="0" w:color="auto"/>
        <w:right w:val="none" w:sz="0" w:space="0" w:color="auto"/>
      </w:divBdr>
    </w:div>
    <w:div w:id="822936197">
      <w:bodyDiv w:val="1"/>
      <w:marLeft w:val="0"/>
      <w:marRight w:val="0"/>
      <w:marTop w:val="0"/>
      <w:marBottom w:val="0"/>
      <w:divBdr>
        <w:top w:val="none" w:sz="0" w:space="0" w:color="auto"/>
        <w:left w:val="none" w:sz="0" w:space="0" w:color="auto"/>
        <w:bottom w:val="none" w:sz="0" w:space="0" w:color="auto"/>
        <w:right w:val="none" w:sz="0" w:space="0" w:color="auto"/>
      </w:divBdr>
    </w:div>
    <w:div w:id="961225998">
      <w:bodyDiv w:val="1"/>
      <w:marLeft w:val="0"/>
      <w:marRight w:val="0"/>
      <w:marTop w:val="0"/>
      <w:marBottom w:val="0"/>
      <w:divBdr>
        <w:top w:val="none" w:sz="0" w:space="0" w:color="auto"/>
        <w:left w:val="none" w:sz="0" w:space="0" w:color="auto"/>
        <w:bottom w:val="none" w:sz="0" w:space="0" w:color="auto"/>
        <w:right w:val="none" w:sz="0" w:space="0" w:color="auto"/>
      </w:divBdr>
    </w:div>
    <w:div w:id="1046370904">
      <w:bodyDiv w:val="1"/>
      <w:marLeft w:val="0"/>
      <w:marRight w:val="0"/>
      <w:marTop w:val="0"/>
      <w:marBottom w:val="0"/>
      <w:divBdr>
        <w:top w:val="none" w:sz="0" w:space="0" w:color="auto"/>
        <w:left w:val="none" w:sz="0" w:space="0" w:color="auto"/>
        <w:bottom w:val="none" w:sz="0" w:space="0" w:color="auto"/>
        <w:right w:val="none" w:sz="0" w:space="0" w:color="auto"/>
      </w:divBdr>
    </w:div>
    <w:div w:id="1063912674">
      <w:bodyDiv w:val="1"/>
      <w:marLeft w:val="0"/>
      <w:marRight w:val="0"/>
      <w:marTop w:val="0"/>
      <w:marBottom w:val="0"/>
      <w:divBdr>
        <w:top w:val="none" w:sz="0" w:space="0" w:color="auto"/>
        <w:left w:val="none" w:sz="0" w:space="0" w:color="auto"/>
        <w:bottom w:val="none" w:sz="0" w:space="0" w:color="auto"/>
        <w:right w:val="none" w:sz="0" w:space="0" w:color="auto"/>
      </w:divBdr>
      <w:divsChild>
        <w:div w:id="145631159">
          <w:marLeft w:val="0"/>
          <w:marRight w:val="0"/>
          <w:marTop w:val="0"/>
          <w:marBottom w:val="0"/>
          <w:divBdr>
            <w:top w:val="none" w:sz="0" w:space="0" w:color="auto"/>
            <w:left w:val="none" w:sz="0" w:space="0" w:color="auto"/>
            <w:bottom w:val="none" w:sz="0" w:space="0" w:color="auto"/>
            <w:right w:val="none" w:sz="0" w:space="0" w:color="auto"/>
          </w:divBdr>
          <w:divsChild>
            <w:div w:id="3613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127291">
      <w:bodyDiv w:val="1"/>
      <w:marLeft w:val="0"/>
      <w:marRight w:val="0"/>
      <w:marTop w:val="0"/>
      <w:marBottom w:val="0"/>
      <w:divBdr>
        <w:top w:val="none" w:sz="0" w:space="0" w:color="auto"/>
        <w:left w:val="none" w:sz="0" w:space="0" w:color="auto"/>
        <w:bottom w:val="none" w:sz="0" w:space="0" w:color="auto"/>
        <w:right w:val="none" w:sz="0" w:space="0" w:color="auto"/>
      </w:divBdr>
    </w:div>
    <w:div w:id="1199321212">
      <w:bodyDiv w:val="1"/>
      <w:marLeft w:val="0"/>
      <w:marRight w:val="0"/>
      <w:marTop w:val="0"/>
      <w:marBottom w:val="0"/>
      <w:divBdr>
        <w:top w:val="none" w:sz="0" w:space="0" w:color="auto"/>
        <w:left w:val="none" w:sz="0" w:space="0" w:color="auto"/>
        <w:bottom w:val="none" w:sz="0" w:space="0" w:color="auto"/>
        <w:right w:val="none" w:sz="0" w:space="0" w:color="auto"/>
      </w:divBdr>
    </w:div>
    <w:div w:id="1250234707">
      <w:bodyDiv w:val="1"/>
      <w:marLeft w:val="0"/>
      <w:marRight w:val="0"/>
      <w:marTop w:val="0"/>
      <w:marBottom w:val="0"/>
      <w:divBdr>
        <w:top w:val="none" w:sz="0" w:space="0" w:color="auto"/>
        <w:left w:val="none" w:sz="0" w:space="0" w:color="auto"/>
        <w:bottom w:val="none" w:sz="0" w:space="0" w:color="auto"/>
        <w:right w:val="none" w:sz="0" w:space="0" w:color="auto"/>
      </w:divBdr>
    </w:div>
    <w:div w:id="1445421114">
      <w:bodyDiv w:val="1"/>
      <w:marLeft w:val="0"/>
      <w:marRight w:val="0"/>
      <w:marTop w:val="0"/>
      <w:marBottom w:val="0"/>
      <w:divBdr>
        <w:top w:val="none" w:sz="0" w:space="0" w:color="auto"/>
        <w:left w:val="none" w:sz="0" w:space="0" w:color="auto"/>
        <w:bottom w:val="none" w:sz="0" w:space="0" w:color="auto"/>
        <w:right w:val="none" w:sz="0" w:space="0" w:color="auto"/>
      </w:divBdr>
      <w:divsChild>
        <w:div w:id="918248075">
          <w:marLeft w:val="0"/>
          <w:marRight w:val="0"/>
          <w:marTop w:val="0"/>
          <w:marBottom w:val="0"/>
          <w:divBdr>
            <w:top w:val="none" w:sz="0" w:space="0" w:color="auto"/>
            <w:left w:val="none" w:sz="0" w:space="0" w:color="auto"/>
            <w:bottom w:val="none" w:sz="0" w:space="0" w:color="auto"/>
            <w:right w:val="none" w:sz="0" w:space="0" w:color="auto"/>
          </w:divBdr>
          <w:divsChild>
            <w:div w:id="1203176536">
              <w:marLeft w:val="0"/>
              <w:marRight w:val="0"/>
              <w:marTop w:val="0"/>
              <w:marBottom w:val="0"/>
              <w:divBdr>
                <w:top w:val="none" w:sz="0" w:space="0" w:color="auto"/>
                <w:left w:val="none" w:sz="0" w:space="0" w:color="auto"/>
                <w:bottom w:val="none" w:sz="0" w:space="0" w:color="auto"/>
                <w:right w:val="none" w:sz="0" w:space="0" w:color="auto"/>
              </w:divBdr>
            </w:div>
          </w:divsChild>
        </w:div>
        <w:div w:id="279144386">
          <w:marLeft w:val="0"/>
          <w:marRight w:val="0"/>
          <w:marTop w:val="0"/>
          <w:marBottom w:val="0"/>
          <w:divBdr>
            <w:top w:val="none" w:sz="0" w:space="0" w:color="auto"/>
            <w:left w:val="none" w:sz="0" w:space="0" w:color="auto"/>
            <w:bottom w:val="none" w:sz="0" w:space="0" w:color="auto"/>
            <w:right w:val="none" w:sz="0" w:space="0" w:color="auto"/>
          </w:divBdr>
          <w:divsChild>
            <w:div w:id="476069823">
              <w:marLeft w:val="0"/>
              <w:marRight w:val="0"/>
              <w:marTop w:val="0"/>
              <w:marBottom w:val="0"/>
              <w:divBdr>
                <w:top w:val="none" w:sz="0" w:space="0" w:color="auto"/>
                <w:left w:val="none" w:sz="0" w:space="0" w:color="auto"/>
                <w:bottom w:val="none" w:sz="0" w:space="0" w:color="auto"/>
                <w:right w:val="none" w:sz="0" w:space="0" w:color="auto"/>
              </w:divBdr>
            </w:div>
          </w:divsChild>
        </w:div>
        <w:div w:id="395473937">
          <w:marLeft w:val="0"/>
          <w:marRight w:val="0"/>
          <w:marTop w:val="0"/>
          <w:marBottom w:val="0"/>
          <w:divBdr>
            <w:top w:val="none" w:sz="0" w:space="0" w:color="auto"/>
            <w:left w:val="none" w:sz="0" w:space="0" w:color="auto"/>
            <w:bottom w:val="none" w:sz="0" w:space="0" w:color="auto"/>
            <w:right w:val="none" w:sz="0" w:space="0" w:color="auto"/>
          </w:divBdr>
          <w:divsChild>
            <w:div w:id="284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632103">
      <w:bodyDiv w:val="1"/>
      <w:marLeft w:val="0"/>
      <w:marRight w:val="0"/>
      <w:marTop w:val="0"/>
      <w:marBottom w:val="0"/>
      <w:divBdr>
        <w:top w:val="none" w:sz="0" w:space="0" w:color="auto"/>
        <w:left w:val="none" w:sz="0" w:space="0" w:color="auto"/>
        <w:bottom w:val="none" w:sz="0" w:space="0" w:color="auto"/>
        <w:right w:val="none" w:sz="0" w:space="0" w:color="auto"/>
      </w:divBdr>
    </w:div>
    <w:div w:id="1507356464">
      <w:bodyDiv w:val="1"/>
      <w:marLeft w:val="0"/>
      <w:marRight w:val="0"/>
      <w:marTop w:val="0"/>
      <w:marBottom w:val="0"/>
      <w:divBdr>
        <w:top w:val="none" w:sz="0" w:space="0" w:color="auto"/>
        <w:left w:val="none" w:sz="0" w:space="0" w:color="auto"/>
        <w:bottom w:val="none" w:sz="0" w:space="0" w:color="auto"/>
        <w:right w:val="none" w:sz="0" w:space="0" w:color="auto"/>
      </w:divBdr>
    </w:div>
    <w:div w:id="1912930771">
      <w:bodyDiv w:val="1"/>
      <w:marLeft w:val="0"/>
      <w:marRight w:val="0"/>
      <w:marTop w:val="0"/>
      <w:marBottom w:val="0"/>
      <w:divBdr>
        <w:top w:val="none" w:sz="0" w:space="0" w:color="auto"/>
        <w:left w:val="none" w:sz="0" w:space="0" w:color="auto"/>
        <w:bottom w:val="none" w:sz="0" w:space="0" w:color="auto"/>
        <w:right w:val="none" w:sz="0" w:space="0" w:color="auto"/>
      </w:divBdr>
    </w:div>
    <w:div w:id="1970087327">
      <w:bodyDiv w:val="1"/>
      <w:marLeft w:val="0"/>
      <w:marRight w:val="0"/>
      <w:marTop w:val="0"/>
      <w:marBottom w:val="0"/>
      <w:divBdr>
        <w:top w:val="none" w:sz="0" w:space="0" w:color="auto"/>
        <w:left w:val="none" w:sz="0" w:space="0" w:color="auto"/>
        <w:bottom w:val="none" w:sz="0" w:space="0" w:color="auto"/>
        <w:right w:val="none" w:sz="0" w:space="0" w:color="auto"/>
      </w:divBdr>
    </w:div>
    <w:div w:id="20567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unilever.com/investors/annual-reports/annual-report-2023.pdf" TargetMode="External"/><Relationship Id="rId26" Type="http://schemas.openxmlformats.org/officeDocument/2006/relationships/hyperlink" Target="https://www.jdigitalcommerce.com/2023/unilever" TargetMode="External"/><Relationship Id="rId39" Type="http://schemas.openxmlformats.org/officeDocument/2006/relationships/hyperlink" Target="https://www.cambridge.org/core/books/strategic-management/34E3EE0B9A7" TargetMode="External"/><Relationship Id="rId3" Type="http://schemas.openxmlformats.org/officeDocument/2006/relationships/styles" Target="styles.xml"/><Relationship Id="rId21" Type="http://schemas.openxmlformats.org/officeDocument/2006/relationships/hyperlink" Target="https://www.jmecon.org/fmcg/vol12/economic-pressures" TargetMode="External"/><Relationship Id="rId34" Type="http://schemas.openxmlformats.org/officeDocument/2006/relationships/hyperlink" Target="https://www.unilever.com/sustainable-living/plan/" TargetMode="External"/><Relationship Id="rId42" Type="http://schemas.openxmlformats.org/officeDocument/2006/relationships/hyperlink" Target="https://pubsonline.informs.org/doi/abs/10.1287/mnsc.24.9.934" TargetMode="External"/><Relationship Id="rId47" Type="http://schemas.openxmlformats.org/officeDocument/2006/relationships/hyperlink" Target="https://www.statista.com/statistics/267241/global-revenue-of-unilever/"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jcgs.org/2022/vol5/issue2/ahmed" TargetMode="External"/><Relationship Id="rId25" Type="http://schemas.openxmlformats.org/officeDocument/2006/relationships/hyperlink" Target="https://www.supplychaininsights.org/2024/fmcg-supply" TargetMode="External"/><Relationship Id="rId33" Type="http://schemas.openxmlformats.org/officeDocument/2006/relationships/hyperlink" Target="https://www.unilever.com/investors/annual-reports/annual-report-2024.pdf" TargetMode="External"/><Relationship Id="rId38" Type="http://schemas.openxmlformats.org/officeDocument/2006/relationships/hyperlink" Target="https://www.bcg.com/publications/2021/growth-share-matrix" TargetMode="External"/><Relationship Id="rId46" Type="http://schemas.openxmlformats.org/officeDocument/2006/relationships/hyperlink" Target="https://www.oecd.org/mne/" TargetMode="External"/><Relationship Id="rId2" Type="http://schemas.openxmlformats.org/officeDocument/2006/relationships/numbering" Target="numbering.xml"/><Relationship Id="rId16" Type="http://schemas.openxmlformats.org/officeDocument/2006/relationships/hyperlink" Target="https://doi.org/10.1234/ijbs.2023.567" TargetMode="External"/><Relationship Id="rId20" Type="http://schemas.openxmlformats.org/officeDocument/2006/relationships/hyperlink" Target="https://www.brandstrategyjournal.org/2022/portfolio" TargetMode="External"/><Relationship Id="rId29" Type="http://schemas.openxmlformats.org/officeDocument/2006/relationships/hyperlink" Target="https://www.jibs.org/2022/core-competencies" TargetMode="External"/><Relationship Id="rId41" Type="http://schemas.openxmlformats.org/officeDocument/2006/relationships/hyperlink" Target="https://hbr.org/1995/01/competing-on-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izinnov.org/2022/innovation-unilever" TargetMode="External"/><Relationship Id="rId32" Type="http://schemas.openxmlformats.org/officeDocument/2006/relationships/hyperlink" Target="https://www.unilever.com/Images/unilever-compass-strategy-2024_tcm244-%20579208_en.pdf" TargetMode="External"/><Relationship Id="rId37" Type="http://schemas.openxmlformats.org/officeDocument/2006/relationships/hyperlink" Target="https://hbr.org/1957/09/strategies-for-diversification" TargetMode="External"/><Relationship Id="rId40" Type="http://schemas.openxmlformats.org/officeDocument/2006/relationships/hyperlink" Target="https://journals.sagepub.com/doi/10.1177/014920639101700108" TargetMode="External"/><Relationship Id="rId45" Type="http://schemas.openxmlformats.org/officeDocument/2006/relationships/hyperlink" Target="https://unglobalcompact.org/library/6023"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ilbjournal.org/2024/risk" TargetMode="External"/><Relationship Id="rId28" Type="http://schemas.openxmlformats.org/officeDocument/2006/relationships/hyperlink" Target="https://www.jcrjournal.com/2025/csr" TargetMode="External"/><Relationship Id="rId36" Type="http://schemas.openxmlformats.org/officeDocument/2006/relationships/hyperlink" Target="https://www.hbs.edu/faculty/Pages/item.aspx?num=29406"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gbrjournal.com/2024/competitive-fmcg" TargetMode="External"/><Relationship Id="rId31" Type="http://schemas.openxmlformats.org/officeDocument/2006/relationships/hyperlink" Target="https://www.sijournal.org/2023/unilever-pestel" TargetMode="External"/><Relationship Id="rId44" Type="http://schemas.openxmlformats.org/officeDocument/2006/relationships/hyperlink" Target="https://www.weforum.org/reports/global-risks-report-202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jsmjournal.com/vol15/unilever-analysis" TargetMode="External"/><Relationship Id="rId27" Type="http://schemas.openxmlformats.org/officeDocument/2006/relationships/hyperlink" Target="https://www.imrjournal.com/vol29/trends" TargetMode="External"/><Relationship Id="rId30" Type="http://schemas.openxmlformats.org/officeDocument/2006/relationships/hyperlink" Target="https://www.ebreview.org/2023/fmcg-ecommerce" TargetMode="External"/><Relationship Id="rId35" Type="http://schemas.openxmlformats.org/officeDocument/2006/relationships/hyperlink" Target="https://hbr.org/1992/01/the-balanced-scorecard" TargetMode="External"/><Relationship Id="rId43" Type="http://schemas.openxmlformats.org/officeDocument/2006/relationships/hyperlink" Target="https://commission.europa.eu/csrd" TargetMode="External"/><Relationship Id="rId48" Type="http://schemas.openxmlformats.org/officeDocument/2006/relationships/hyperlink" Target="https://www.grandviewresearch.com/industry-analysis/fmcg-market"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540CE-705D-4EE5-95D5-574368F1C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30</Pages>
  <Words>7639</Words>
  <Characters>43546</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MLC</dc:creator>
  <cp:keywords/>
  <dc:description/>
  <cp:lastModifiedBy>MLC</cp:lastModifiedBy>
  <cp:revision>62</cp:revision>
  <dcterms:created xsi:type="dcterms:W3CDTF">2026-03-29T07:59:00Z</dcterms:created>
  <dcterms:modified xsi:type="dcterms:W3CDTF">2026-04-23T04:19:00Z</dcterms:modified>
</cp:coreProperties>
</file>