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B5AFC" w14:textId="77777777" w:rsidR="00BC4AB1" w:rsidRDefault="00BC4AB1" w:rsidP="00BC4AB1">
      <w:pPr>
        <w:spacing w:line="480" w:lineRule="auto"/>
        <w:jc w:val="center"/>
        <w:rPr>
          <w:rFonts w:ascii="Arial" w:hAnsi="Arial" w:cs="Arial"/>
          <w:sz w:val="22"/>
          <w:szCs w:val="22"/>
        </w:rPr>
      </w:pPr>
    </w:p>
    <w:p w14:paraId="36EE1FF5" w14:textId="77777777" w:rsidR="00BC4AB1" w:rsidRPr="00AB3229" w:rsidRDefault="00BC4AB1" w:rsidP="00BC4AB1">
      <w:pPr>
        <w:spacing w:line="480" w:lineRule="auto"/>
        <w:jc w:val="center"/>
        <w:rPr>
          <w:rFonts w:ascii="Calibri" w:hAnsi="Calibri" w:cs="Calibri"/>
          <w:sz w:val="22"/>
          <w:szCs w:val="22"/>
        </w:rPr>
      </w:pPr>
    </w:p>
    <w:p w14:paraId="684CCC7F" w14:textId="77777777" w:rsidR="00BC4AB1" w:rsidRDefault="00BC4AB1" w:rsidP="00BC4AB1">
      <w:pPr>
        <w:spacing w:line="480" w:lineRule="auto"/>
        <w:jc w:val="center"/>
        <w:rPr>
          <w:rFonts w:ascii="Calibri" w:hAnsi="Calibri" w:cs="Calibri"/>
          <w:sz w:val="22"/>
          <w:szCs w:val="22"/>
        </w:rPr>
      </w:pPr>
    </w:p>
    <w:p w14:paraId="654E23D0" w14:textId="77777777" w:rsidR="00BC4AB1" w:rsidRDefault="00BC4AB1" w:rsidP="00BC4AB1">
      <w:pPr>
        <w:spacing w:line="480" w:lineRule="auto"/>
        <w:jc w:val="center"/>
        <w:rPr>
          <w:rFonts w:ascii="Calibri" w:hAnsi="Calibri" w:cs="Calibri"/>
          <w:sz w:val="22"/>
          <w:szCs w:val="22"/>
        </w:rPr>
      </w:pPr>
    </w:p>
    <w:p w14:paraId="01C0D030" w14:textId="77777777" w:rsidR="00BC4AB1" w:rsidRDefault="00BC4AB1" w:rsidP="00BC4AB1">
      <w:pPr>
        <w:spacing w:line="480" w:lineRule="auto"/>
        <w:jc w:val="center"/>
        <w:rPr>
          <w:rFonts w:ascii="Calibri" w:hAnsi="Calibri" w:cs="Calibri"/>
          <w:sz w:val="22"/>
          <w:szCs w:val="22"/>
        </w:rPr>
      </w:pPr>
    </w:p>
    <w:p w14:paraId="5CFF6AF2" w14:textId="77777777" w:rsidR="00BC4AB1" w:rsidRPr="00AB3229" w:rsidRDefault="00BC4AB1" w:rsidP="00BC4AB1">
      <w:pPr>
        <w:spacing w:line="480" w:lineRule="auto"/>
        <w:jc w:val="center"/>
        <w:rPr>
          <w:rFonts w:ascii="Calibri" w:hAnsi="Calibri" w:cs="Calibri"/>
          <w:sz w:val="22"/>
          <w:szCs w:val="22"/>
        </w:rPr>
      </w:pPr>
    </w:p>
    <w:p w14:paraId="4DB6B7E2" w14:textId="77777777" w:rsidR="00BC4AB1" w:rsidRPr="00AB3229" w:rsidRDefault="00BC4AB1" w:rsidP="00BC4AB1">
      <w:pPr>
        <w:pStyle w:val="NormalWeb"/>
        <w:shd w:val="clear" w:color="auto" w:fill="FFFFFF"/>
        <w:spacing w:line="480" w:lineRule="auto"/>
        <w:jc w:val="center"/>
        <w:rPr>
          <w:rFonts w:ascii="Calibri" w:hAnsi="Calibri" w:cs="Calibri"/>
          <w:sz w:val="22"/>
          <w:szCs w:val="22"/>
        </w:rPr>
      </w:pPr>
      <w:r w:rsidRPr="00AB3229">
        <w:rPr>
          <w:rFonts w:ascii="Calibri" w:hAnsi="Calibri" w:cs="Calibri"/>
          <w:sz w:val="22"/>
          <w:szCs w:val="22"/>
        </w:rPr>
        <w:t>Professional and Pedagogic Studies: Researching the Learning: what, how and why am I teaching?</w:t>
      </w:r>
    </w:p>
    <w:p w14:paraId="75B92E24" w14:textId="77777777" w:rsidR="00BC4AB1" w:rsidRPr="00AB3229" w:rsidRDefault="00BC4AB1" w:rsidP="00BC4AB1">
      <w:pPr>
        <w:spacing w:line="480" w:lineRule="auto"/>
        <w:jc w:val="center"/>
        <w:rPr>
          <w:rFonts w:ascii="Calibri" w:hAnsi="Calibri" w:cs="Calibri"/>
          <w:sz w:val="22"/>
          <w:szCs w:val="22"/>
        </w:rPr>
      </w:pPr>
    </w:p>
    <w:p w14:paraId="5C2C2180" w14:textId="77777777" w:rsidR="00BC4AB1" w:rsidRPr="00AB3229" w:rsidRDefault="00BC4AB1" w:rsidP="00BC4AB1">
      <w:pPr>
        <w:spacing w:line="480" w:lineRule="auto"/>
        <w:jc w:val="center"/>
        <w:rPr>
          <w:rFonts w:ascii="Calibri" w:hAnsi="Calibri" w:cs="Calibri"/>
          <w:sz w:val="22"/>
          <w:szCs w:val="22"/>
        </w:rPr>
      </w:pPr>
    </w:p>
    <w:p w14:paraId="240E003F" w14:textId="77777777" w:rsidR="00BC4AB1" w:rsidRPr="00AB3229" w:rsidRDefault="00BC4AB1" w:rsidP="00BC4AB1">
      <w:pPr>
        <w:spacing w:line="480" w:lineRule="auto"/>
        <w:jc w:val="center"/>
        <w:rPr>
          <w:rFonts w:ascii="Calibri" w:hAnsi="Calibri" w:cs="Calibri"/>
          <w:sz w:val="22"/>
          <w:szCs w:val="22"/>
        </w:rPr>
      </w:pPr>
      <w:r w:rsidRPr="00AB3229">
        <w:rPr>
          <w:rFonts w:ascii="Calibri" w:hAnsi="Calibri" w:cs="Calibri"/>
          <w:sz w:val="22"/>
          <w:szCs w:val="22"/>
        </w:rPr>
        <w:t>University of Wales Trinity Saint David</w:t>
      </w:r>
    </w:p>
    <w:p w14:paraId="482C3512" w14:textId="77777777" w:rsidR="00BC4AB1" w:rsidRPr="00AB3229" w:rsidRDefault="00BC4AB1" w:rsidP="00BC4AB1">
      <w:pPr>
        <w:spacing w:line="480" w:lineRule="auto"/>
        <w:jc w:val="center"/>
        <w:rPr>
          <w:rFonts w:ascii="Calibri" w:hAnsi="Calibri" w:cs="Calibri"/>
          <w:sz w:val="22"/>
          <w:szCs w:val="22"/>
        </w:rPr>
      </w:pPr>
      <w:r w:rsidRPr="00AB3229">
        <w:rPr>
          <w:rFonts w:ascii="Calibri" w:hAnsi="Calibri" w:cs="Calibri"/>
          <w:sz w:val="22"/>
          <w:szCs w:val="22"/>
        </w:rPr>
        <w:t>Georgia Amman 1650014</w:t>
      </w:r>
    </w:p>
    <w:p w14:paraId="62FCD89E" w14:textId="77777777" w:rsidR="00BC4AB1" w:rsidRPr="00AB3229" w:rsidRDefault="00BC4AB1" w:rsidP="00BC4AB1">
      <w:pPr>
        <w:spacing w:line="480" w:lineRule="auto"/>
        <w:jc w:val="center"/>
        <w:rPr>
          <w:rFonts w:ascii="Calibri" w:hAnsi="Calibri" w:cs="Calibri"/>
          <w:sz w:val="22"/>
          <w:szCs w:val="22"/>
        </w:rPr>
      </w:pPr>
      <w:r w:rsidRPr="00AB3229">
        <w:rPr>
          <w:rFonts w:ascii="Calibri" w:hAnsi="Calibri" w:cs="Calibri"/>
          <w:sz w:val="22"/>
          <w:szCs w:val="22"/>
        </w:rPr>
        <w:t>Word Count: 4454</w:t>
      </w:r>
    </w:p>
    <w:p w14:paraId="190F0084" w14:textId="77777777" w:rsidR="00BC4AB1" w:rsidRPr="00AB3229" w:rsidRDefault="00BC4AB1" w:rsidP="00BC4AB1">
      <w:pPr>
        <w:pStyle w:val="NormalWeb"/>
        <w:shd w:val="clear" w:color="auto" w:fill="FFFFFF"/>
        <w:spacing w:line="480" w:lineRule="auto"/>
        <w:rPr>
          <w:rFonts w:ascii="Calibri" w:hAnsi="Calibri" w:cs="Calibri"/>
          <w:sz w:val="22"/>
          <w:szCs w:val="22"/>
        </w:rPr>
      </w:pPr>
    </w:p>
    <w:p w14:paraId="6F9376A2" w14:textId="77777777" w:rsidR="00BC4AB1" w:rsidRPr="00AB3229" w:rsidRDefault="00BC4AB1" w:rsidP="00BC4AB1">
      <w:pPr>
        <w:spacing w:line="480" w:lineRule="auto"/>
        <w:rPr>
          <w:rFonts w:ascii="Calibri" w:hAnsi="Calibri" w:cs="Calibri"/>
          <w:sz w:val="22"/>
          <w:szCs w:val="22"/>
        </w:rPr>
      </w:pPr>
    </w:p>
    <w:p w14:paraId="073B04EA" w14:textId="77777777" w:rsidR="00BC4AB1" w:rsidRPr="00AB3229" w:rsidRDefault="00BC4AB1" w:rsidP="00BC4AB1">
      <w:pPr>
        <w:spacing w:line="480" w:lineRule="auto"/>
        <w:jc w:val="center"/>
        <w:rPr>
          <w:rFonts w:ascii="Calibri" w:hAnsi="Calibri" w:cs="Calibri"/>
          <w:sz w:val="22"/>
          <w:szCs w:val="22"/>
        </w:rPr>
      </w:pPr>
    </w:p>
    <w:p w14:paraId="7E383363" w14:textId="77777777" w:rsidR="00BC4AB1" w:rsidRPr="00AB3229" w:rsidRDefault="00BC4AB1" w:rsidP="00BC4AB1">
      <w:pPr>
        <w:spacing w:line="480" w:lineRule="auto"/>
        <w:jc w:val="center"/>
        <w:rPr>
          <w:rFonts w:ascii="Calibri" w:hAnsi="Calibri" w:cs="Calibri"/>
          <w:sz w:val="22"/>
          <w:szCs w:val="22"/>
        </w:rPr>
      </w:pPr>
    </w:p>
    <w:p w14:paraId="4D184783" w14:textId="77777777" w:rsidR="00BC4AB1" w:rsidRPr="00AB3229" w:rsidRDefault="00BC4AB1" w:rsidP="00BC4AB1">
      <w:pPr>
        <w:spacing w:line="480" w:lineRule="auto"/>
        <w:jc w:val="center"/>
        <w:rPr>
          <w:rFonts w:ascii="Calibri" w:hAnsi="Calibri" w:cs="Calibri"/>
          <w:sz w:val="22"/>
          <w:szCs w:val="22"/>
        </w:rPr>
      </w:pPr>
    </w:p>
    <w:p w14:paraId="377C51D2" w14:textId="77777777" w:rsidR="00BC4AB1" w:rsidRPr="00AB3229" w:rsidRDefault="00BC4AB1" w:rsidP="00BC4AB1">
      <w:pPr>
        <w:spacing w:line="480" w:lineRule="auto"/>
        <w:jc w:val="center"/>
        <w:rPr>
          <w:rFonts w:ascii="Calibri" w:hAnsi="Calibri" w:cs="Calibri"/>
          <w:sz w:val="22"/>
          <w:szCs w:val="22"/>
        </w:rPr>
      </w:pPr>
    </w:p>
    <w:p w14:paraId="375BA7FA" w14:textId="77777777" w:rsidR="00BC4AB1" w:rsidRPr="00AB3229" w:rsidRDefault="00BC4AB1" w:rsidP="00BC4AB1">
      <w:pPr>
        <w:spacing w:line="480" w:lineRule="auto"/>
        <w:jc w:val="center"/>
        <w:rPr>
          <w:rFonts w:ascii="Calibri" w:hAnsi="Calibri" w:cs="Calibri"/>
          <w:sz w:val="22"/>
          <w:szCs w:val="22"/>
        </w:rPr>
      </w:pPr>
    </w:p>
    <w:p w14:paraId="5247EE9F" w14:textId="77777777" w:rsidR="00BC4AB1" w:rsidRPr="00AB3229" w:rsidRDefault="00BC4AB1" w:rsidP="00BC4AB1">
      <w:pPr>
        <w:spacing w:line="480" w:lineRule="auto"/>
        <w:jc w:val="center"/>
        <w:rPr>
          <w:rFonts w:ascii="Calibri" w:hAnsi="Calibri" w:cs="Calibri"/>
          <w:sz w:val="22"/>
          <w:szCs w:val="22"/>
        </w:rPr>
      </w:pPr>
    </w:p>
    <w:p w14:paraId="2C9A2A92" w14:textId="77777777" w:rsidR="00BC4AB1" w:rsidRPr="00AB3229" w:rsidRDefault="00BC4AB1" w:rsidP="00BC4AB1">
      <w:pPr>
        <w:spacing w:line="480" w:lineRule="auto"/>
        <w:rPr>
          <w:rFonts w:ascii="Calibri" w:hAnsi="Calibri" w:cs="Calibri"/>
          <w:sz w:val="22"/>
          <w:szCs w:val="22"/>
        </w:rPr>
      </w:pPr>
    </w:p>
    <w:p w14:paraId="315FF097" w14:textId="77777777" w:rsidR="00BC4AB1" w:rsidRPr="00AB3229" w:rsidRDefault="00BC4AB1" w:rsidP="00BC4AB1">
      <w:pPr>
        <w:spacing w:line="480" w:lineRule="auto"/>
        <w:rPr>
          <w:rFonts w:ascii="Calibri" w:hAnsi="Calibri" w:cs="Calibri"/>
          <w:sz w:val="22"/>
          <w:szCs w:val="22"/>
        </w:rPr>
      </w:pPr>
    </w:p>
    <w:p w14:paraId="489DAA9F" w14:textId="77777777" w:rsidR="00BC4AB1" w:rsidRPr="00AB3229" w:rsidRDefault="00BC4AB1" w:rsidP="00BC4AB1">
      <w:pPr>
        <w:spacing w:line="480" w:lineRule="auto"/>
        <w:rPr>
          <w:rFonts w:ascii="Calibri" w:hAnsi="Calibri" w:cs="Calibri"/>
          <w:sz w:val="22"/>
          <w:szCs w:val="22"/>
        </w:rPr>
      </w:pPr>
    </w:p>
    <w:p w14:paraId="63A76077" w14:textId="77777777" w:rsidR="00BC4AB1" w:rsidRPr="00AB3229" w:rsidRDefault="00BC4AB1" w:rsidP="00BC4AB1">
      <w:pPr>
        <w:spacing w:line="480" w:lineRule="auto"/>
        <w:rPr>
          <w:rFonts w:ascii="Calibri" w:hAnsi="Calibri" w:cs="Calibri"/>
          <w:sz w:val="22"/>
          <w:szCs w:val="22"/>
        </w:rPr>
      </w:pPr>
    </w:p>
    <w:p w14:paraId="272C92BE"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Research Context</w:t>
      </w:r>
    </w:p>
    <w:p w14:paraId="740650DF" w14:textId="77777777" w:rsidR="00BC4AB1" w:rsidRPr="00AB3229" w:rsidRDefault="00BC4AB1" w:rsidP="00BC4AB1">
      <w:pPr>
        <w:spacing w:line="480" w:lineRule="auto"/>
        <w:jc w:val="center"/>
        <w:rPr>
          <w:rFonts w:ascii="Calibri" w:hAnsi="Calibri" w:cs="Calibri"/>
          <w:sz w:val="22"/>
          <w:szCs w:val="22"/>
          <w:u w:val="single"/>
        </w:rPr>
      </w:pPr>
    </w:p>
    <w:p w14:paraId="315970A6" w14:textId="77777777" w:rsidR="00BC4AB1" w:rsidRPr="00AB3229" w:rsidRDefault="00BC4AB1" w:rsidP="00BC4AB1">
      <w:pPr>
        <w:spacing w:line="480" w:lineRule="auto"/>
        <w:rPr>
          <w:rFonts w:ascii="Calibri" w:hAnsi="Calibri" w:cs="Calibri"/>
          <w:sz w:val="22"/>
          <w:szCs w:val="22"/>
        </w:rPr>
      </w:pPr>
      <w:r w:rsidRPr="00AB3229">
        <w:rPr>
          <w:rFonts w:ascii="Calibri" w:hAnsi="Calibri" w:cs="Calibri"/>
          <w:sz w:val="22"/>
          <w:szCs w:val="22"/>
        </w:rPr>
        <w:t>The aim of this assignment is to undergo a research project focusing on transformative teaching and the teacher’s role in enhancing practice, as well as the beneficial influence a specific intervention can have on the learners. During a Phase Swap and an Alternative Placement, it was observed that there is a significant emphasis on emotional well-being in primary school, which appears to be less noticeable in secondary school settings. This observation sparks interest, particularly considering the challenging hormonal development teenagers undergo (Smetana, 2010). It prompts curiosity about how emotional support is provided through education in secondary schools. The interest in well-being and emotional resilience within learners supports the Four Purposes of the new curriculum for Wales of “healthy, confident individuals, ready to lead fulfilling lives as valued members of society” (Welsh Gov, 2020). Within the strands of the Professional Learning Passport (PLP), it appears that the well-being of learners and their emotional resilience could be underlying in many of the strands (Welsh Gov, 2019). However, it is highly associated with “Influencing the Learning”, under the particular strands of “listening to learners” and “sustained effort and resilience in learners” (Welsh Gov, 2019).</w:t>
      </w:r>
    </w:p>
    <w:p w14:paraId="4F437109" w14:textId="77777777" w:rsidR="00BC4AB1" w:rsidRPr="00AB3229" w:rsidRDefault="00BC4AB1" w:rsidP="00BC4AB1">
      <w:pPr>
        <w:spacing w:line="480" w:lineRule="auto"/>
        <w:rPr>
          <w:rFonts w:ascii="Calibri" w:hAnsi="Calibri" w:cs="Calibri"/>
          <w:sz w:val="22"/>
          <w:szCs w:val="22"/>
        </w:rPr>
      </w:pPr>
    </w:p>
    <w:p w14:paraId="69545337" w14:textId="77777777" w:rsidR="00BC4AB1" w:rsidRPr="00AB3229" w:rsidRDefault="00BC4AB1" w:rsidP="00BC4AB1">
      <w:pPr>
        <w:spacing w:line="480" w:lineRule="auto"/>
        <w:rPr>
          <w:rFonts w:ascii="Calibri" w:hAnsi="Calibri" w:cs="Calibri"/>
          <w:sz w:val="22"/>
          <w:szCs w:val="22"/>
        </w:rPr>
      </w:pPr>
      <w:r w:rsidRPr="00AB3229">
        <w:rPr>
          <w:rFonts w:ascii="Calibri" w:hAnsi="Calibri" w:cs="Calibri"/>
          <w:color w:val="000000" w:themeColor="text1"/>
          <w:sz w:val="22"/>
          <w:szCs w:val="22"/>
        </w:rPr>
        <w:t xml:space="preserve">In adherence to ethical guidelines set by the British Educational Research Association (BERA), the school will be anonymised as School X, ensuring the confidentiality of its identity throughout the project (BERA, 2018). In School X, around 15% of pupils are eligible for free school meals, which is close to the national average of 16.4%. Around 6% live in the 20% most deprived areas of Wales. The proportion of pupils that have a special educational need is 27%, which is above the national average of 22.9% (Estyn, 2019). This information provides insights into the challenges and potential disparities that pupils may face, allowing for a more comprehensive analysis of factors influencing student welfare and the effectiveness of support systems in place. The research was conducted in a year 9 class consisting of fourteen male students and seven female students with Additional Learning </w:t>
      </w:r>
      <w:r w:rsidRPr="00AB3229">
        <w:rPr>
          <w:rFonts w:ascii="Calibri" w:hAnsi="Calibri" w:cs="Calibri"/>
          <w:color w:val="000000" w:themeColor="text1"/>
          <w:sz w:val="22"/>
          <w:szCs w:val="22"/>
        </w:rPr>
        <w:lastRenderedPageBreak/>
        <w:t>Needs (ALN) and who are Eligible for Free School Meals (EFSM). This assignment will focus on the question of h</w:t>
      </w:r>
      <w:r w:rsidRPr="00AB3229">
        <w:rPr>
          <w:rFonts w:ascii="Calibri" w:hAnsi="Calibri" w:cs="Calibri"/>
          <w:sz w:val="22"/>
          <w:szCs w:val="22"/>
        </w:rPr>
        <w:t xml:space="preserve">ow does participating in a morning mentor class contribute to improving the psychological well-being of secondary school students. </w:t>
      </w:r>
    </w:p>
    <w:p w14:paraId="630942DD" w14:textId="77777777" w:rsidR="00BC4AB1" w:rsidRPr="00AB3229" w:rsidRDefault="00BC4AB1" w:rsidP="00BC4AB1">
      <w:pPr>
        <w:spacing w:line="480" w:lineRule="auto"/>
        <w:rPr>
          <w:rFonts w:ascii="Calibri" w:hAnsi="Calibri" w:cs="Calibri"/>
          <w:color w:val="000000" w:themeColor="text1"/>
          <w:sz w:val="22"/>
          <w:szCs w:val="22"/>
        </w:rPr>
      </w:pPr>
    </w:p>
    <w:p w14:paraId="755708F9"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The research tools used in this study are labelled individually and</w:t>
      </w:r>
      <w:r>
        <w:rPr>
          <w:rFonts w:ascii="Calibri" w:hAnsi="Calibri" w:cs="Calibri"/>
          <w:color w:val="000000" w:themeColor="text1"/>
          <w:sz w:val="22"/>
          <w:szCs w:val="22"/>
        </w:rPr>
        <w:t xml:space="preserve"> are</w:t>
      </w:r>
      <w:r w:rsidRPr="00AB3229">
        <w:rPr>
          <w:rFonts w:ascii="Calibri" w:hAnsi="Calibri" w:cs="Calibri"/>
          <w:color w:val="000000" w:themeColor="text1"/>
          <w:sz w:val="22"/>
          <w:szCs w:val="22"/>
        </w:rPr>
        <w:t xml:space="preserve"> included in the appendices for reference</w:t>
      </w:r>
      <w:r>
        <w:rPr>
          <w:rFonts w:ascii="Calibri" w:hAnsi="Calibri" w:cs="Calibri"/>
          <w:color w:val="000000" w:themeColor="text1"/>
          <w:sz w:val="22"/>
          <w:szCs w:val="22"/>
        </w:rPr>
        <w:t>.</w:t>
      </w:r>
      <w:r w:rsidRPr="00AB3229">
        <w:rPr>
          <w:rFonts w:ascii="Calibri" w:hAnsi="Calibri" w:cs="Calibri"/>
          <w:color w:val="000000" w:themeColor="text1"/>
          <w:sz w:val="22"/>
          <w:szCs w:val="22"/>
        </w:rPr>
        <w:t xml:space="preserve"> (Appendix A: Questionnaire, Appendix B: Observation, Appendix C: Ethics Form, Appendix D: Consent Form, Appendix E: Assent Form). </w:t>
      </w:r>
    </w:p>
    <w:p w14:paraId="27003FDB" w14:textId="77777777" w:rsidR="00BC4AB1" w:rsidRPr="00AB3229" w:rsidRDefault="00BC4AB1" w:rsidP="00BC4AB1">
      <w:pPr>
        <w:spacing w:line="480" w:lineRule="auto"/>
        <w:rPr>
          <w:rFonts w:ascii="Calibri" w:hAnsi="Calibri" w:cs="Calibri"/>
          <w:color w:val="000000" w:themeColor="text1"/>
          <w:sz w:val="22"/>
          <w:szCs w:val="22"/>
        </w:rPr>
      </w:pPr>
    </w:p>
    <w:p w14:paraId="4F9E70BA" w14:textId="77777777" w:rsidR="00BC4AB1" w:rsidRPr="00AB3229" w:rsidRDefault="00BC4AB1" w:rsidP="00BC4AB1">
      <w:pPr>
        <w:spacing w:line="480" w:lineRule="auto"/>
        <w:jc w:val="center"/>
        <w:rPr>
          <w:rFonts w:ascii="Calibri" w:hAnsi="Calibri" w:cs="Calibri"/>
          <w:sz w:val="22"/>
          <w:szCs w:val="22"/>
          <w:u w:val="single"/>
        </w:rPr>
      </w:pPr>
    </w:p>
    <w:p w14:paraId="0C5763F1" w14:textId="77777777" w:rsidR="00BC4AB1" w:rsidRPr="00AB3229" w:rsidRDefault="00BC4AB1" w:rsidP="00BC4AB1">
      <w:pPr>
        <w:spacing w:line="480" w:lineRule="auto"/>
        <w:jc w:val="center"/>
        <w:rPr>
          <w:rFonts w:ascii="Calibri" w:hAnsi="Calibri" w:cs="Calibri"/>
          <w:sz w:val="22"/>
          <w:szCs w:val="22"/>
          <w:u w:val="single"/>
        </w:rPr>
      </w:pPr>
    </w:p>
    <w:p w14:paraId="0FA1DC43" w14:textId="77777777" w:rsidR="00BC4AB1" w:rsidRPr="00AB3229" w:rsidRDefault="00BC4AB1" w:rsidP="00BC4AB1">
      <w:pPr>
        <w:spacing w:line="480" w:lineRule="auto"/>
        <w:jc w:val="center"/>
        <w:rPr>
          <w:rFonts w:ascii="Calibri" w:hAnsi="Calibri" w:cs="Calibri"/>
          <w:sz w:val="22"/>
          <w:szCs w:val="22"/>
          <w:u w:val="single"/>
        </w:rPr>
      </w:pPr>
    </w:p>
    <w:p w14:paraId="4F8BA34C" w14:textId="77777777" w:rsidR="00BC4AB1" w:rsidRPr="00AB3229" w:rsidRDefault="00BC4AB1" w:rsidP="00BC4AB1">
      <w:pPr>
        <w:spacing w:line="480" w:lineRule="auto"/>
        <w:jc w:val="center"/>
        <w:rPr>
          <w:rFonts w:ascii="Calibri" w:hAnsi="Calibri" w:cs="Calibri"/>
          <w:sz w:val="22"/>
          <w:szCs w:val="22"/>
          <w:u w:val="single"/>
        </w:rPr>
      </w:pPr>
    </w:p>
    <w:p w14:paraId="3B0473D9" w14:textId="77777777" w:rsidR="00BC4AB1" w:rsidRPr="00AB3229" w:rsidRDefault="00BC4AB1" w:rsidP="00BC4AB1">
      <w:pPr>
        <w:spacing w:line="480" w:lineRule="auto"/>
        <w:jc w:val="center"/>
        <w:rPr>
          <w:rFonts w:ascii="Calibri" w:hAnsi="Calibri" w:cs="Calibri"/>
          <w:sz w:val="22"/>
          <w:szCs w:val="22"/>
          <w:u w:val="single"/>
        </w:rPr>
      </w:pPr>
    </w:p>
    <w:p w14:paraId="34DD327C" w14:textId="77777777" w:rsidR="00BC4AB1" w:rsidRPr="00AB3229" w:rsidRDefault="00BC4AB1" w:rsidP="00BC4AB1">
      <w:pPr>
        <w:spacing w:line="480" w:lineRule="auto"/>
        <w:jc w:val="center"/>
        <w:rPr>
          <w:rFonts w:ascii="Calibri" w:hAnsi="Calibri" w:cs="Calibri"/>
          <w:sz w:val="22"/>
          <w:szCs w:val="22"/>
          <w:u w:val="single"/>
        </w:rPr>
      </w:pPr>
    </w:p>
    <w:p w14:paraId="24E6930B" w14:textId="77777777" w:rsidR="00BC4AB1" w:rsidRPr="00AB3229" w:rsidRDefault="00BC4AB1" w:rsidP="00BC4AB1">
      <w:pPr>
        <w:spacing w:line="480" w:lineRule="auto"/>
        <w:jc w:val="center"/>
        <w:rPr>
          <w:rFonts w:ascii="Calibri" w:hAnsi="Calibri" w:cs="Calibri"/>
          <w:sz w:val="22"/>
          <w:szCs w:val="22"/>
          <w:u w:val="single"/>
        </w:rPr>
      </w:pPr>
    </w:p>
    <w:p w14:paraId="3CA3D83A" w14:textId="77777777" w:rsidR="00BC4AB1" w:rsidRPr="00AB3229" w:rsidRDefault="00BC4AB1" w:rsidP="00BC4AB1">
      <w:pPr>
        <w:spacing w:line="480" w:lineRule="auto"/>
        <w:jc w:val="center"/>
        <w:rPr>
          <w:rFonts w:ascii="Calibri" w:hAnsi="Calibri" w:cs="Calibri"/>
          <w:sz w:val="22"/>
          <w:szCs w:val="22"/>
          <w:u w:val="single"/>
        </w:rPr>
      </w:pPr>
    </w:p>
    <w:p w14:paraId="74AAEAA1" w14:textId="77777777" w:rsidR="00BC4AB1" w:rsidRPr="00AB3229" w:rsidRDefault="00BC4AB1" w:rsidP="00BC4AB1">
      <w:pPr>
        <w:spacing w:line="480" w:lineRule="auto"/>
        <w:jc w:val="center"/>
        <w:rPr>
          <w:rFonts w:ascii="Calibri" w:hAnsi="Calibri" w:cs="Calibri"/>
          <w:sz w:val="22"/>
          <w:szCs w:val="22"/>
          <w:u w:val="single"/>
        </w:rPr>
      </w:pPr>
    </w:p>
    <w:p w14:paraId="5BF82037" w14:textId="77777777" w:rsidR="00BC4AB1" w:rsidRPr="00AB3229" w:rsidRDefault="00BC4AB1" w:rsidP="00BC4AB1">
      <w:pPr>
        <w:spacing w:line="480" w:lineRule="auto"/>
        <w:jc w:val="center"/>
        <w:rPr>
          <w:rFonts w:ascii="Calibri" w:hAnsi="Calibri" w:cs="Calibri"/>
          <w:sz w:val="22"/>
          <w:szCs w:val="22"/>
          <w:u w:val="single"/>
        </w:rPr>
      </w:pPr>
    </w:p>
    <w:p w14:paraId="58F8D664" w14:textId="77777777" w:rsidR="00BC4AB1" w:rsidRPr="00AB3229" w:rsidRDefault="00BC4AB1" w:rsidP="00BC4AB1">
      <w:pPr>
        <w:spacing w:line="480" w:lineRule="auto"/>
        <w:jc w:val="center"/>
        <w:rPr>
          <w:rFonts w:ascii="Calibri" w:hAnsi="Calibri" w:cs="Calibri"/>
          <w:sz w:val="22"/>
          <w:szCs w:val="22"/>
          <w:u w:val="single"/>
        </w:rPr>
      </w:pPr>
    </w:p>
    <w:p w14:paraId="5D459032" w14:textId="77777777" w:rsidR="00BC4AB1" w:rsidRPr="00AB3229" w:rsidRDefault="00BC4AB1" w:rsidP="00BC4AB1">
      <w:pPr>
        <w:spacing w:line="480" w:lineRule="auto"/>
        <w:jc w:val="center"/>
        <w:rPr>
          <w:rFonts w:ascii="Calibri" w:hAnsi="Calibri" w:cs="Calibri"/>
          <w:sz w:val="22"/>
          <w:szCs w:val="22"/>
          <w:u w:val="single"/>
        </w:rPr>
      </w:pPr>
    </w:p>
    <w:p w14:paraId="50B9AE26" w14:textId="77777777" w:rsidR="00BC4AB1" w:rsidRPr="00AB3229" w:rsidRDefault="00BC4AB1" w:rsidP="00BC4AB1">
      <w:pPr>
        <w:spacing w:line="480" w:lineRule="auto"/>
        <w:jc w:val="center"/>
        <w:rPr>
          <w:rFonts w:ascii="Calibri" w:hAnsi="Calibri" w:cs="Calibri"/>
          <w:sz w:val="22"/>
          <w:szCs w:val="22"/>
          <w:u w:val="single"/>
        </w:rPr>
      </w:pPr>
    </w:p>
    <w:p w14:paraId="7E5AB56D" w14:textId="77777777" w:rsidR="00BC4AB1" w:rsidRPr="00AB3229" w:rsidRDefault="00BC4AB1" w:rsidP="00BC4AB1">
      <w:pPr>
        <w:spacing w:line="480" w:lineRule="auto"/>
        <w:jc w:val="center"/>
        <w:rPr>
          <w:rFonts w:ascii="Calibri" w:hAnsi="Calibri" w:cs="Calibri"/>
          <w:sz w:val="22"/>
          <w:szCs w:val="22"/>
          <w:u w:val="single"/>
        </w:rPr>
      </w:pPr>
    </w:p>
    <w:p w14:paraId="78EF1DB1" w14:textId="77777777" w:rsidR="00BC4AB1" w:rsidRPr="00AB3229" w:rsidRDefault="00BC4AB1" w:rsidP="00BC4AB1">
      <w:pPr>
        <w:spacing w:line="480" w:lineRule="auto"/>
        <w:jc w:val="center"/>
        <w:rPr>
          <w:rFonts w:ascii="Calibri" w:hAnsi="Calibri" w:cs="Calibri"/>
          <w:sz w:val="22"/>
          <w:szCs w:val="22"/>
          <w:u w:val="single"/>
        </w:rPr>
      </w:pPr>
    </w:p>
    <w:p w14:paraId="0852FC53" w14:textId="77777777" w:rsidR="00BC4AB1" w:rsidRPr="00AB3229" w:rsidRDefault="00BC4AB1" w:rsidP="00BC4AB1">
      <w:pPr>
        <w:spacing w:line="480" w:lineRule="auto"/>
        <w:jc w:val="center"/>
        <w:rPr>
          <w:rFonts w:ascii="Calibri" w:hAnsi="Calibri" w:cs="Calibri"/>
          <w:sz w:val="22"/>
          <w:szCs w:val="22"/>
          <w:u w:val="single"/>
        </w:rPr>
      </w:pPr>
    </w:p>
    <w:p w14:paraId="72A6BAB7" w14:textId="77777777" w:rsidR="00BC4AB1" w:rsidRPr="00AB3229" w:rsidRDefault="00BC4AB1" w:rsidP="00BC4AB1">
      <w:pPr>
        <w:spacing w:line="480" w:lineRule="auto"/>
        <w:rPr>
          <w:rFonts w:ascii="Calibri" w:hAnsi="Calibri" w:cs="Calibri"/>
          <w:sz w:val="22"/>
          <w:szCs w:val="22"/>
          <w:u w:val="single"/>
        </w:rPr>
      </w:pPr>
    </w:p>
    <w:p w14:paraId="0155F206" w14:textId="77777777" w:rsidR="00BC4AB1" w:rsidRPr="00AB3229" w:rsidRDefault="00BC4AB1" w:rsidP="00BC4AB1">
      <w:pPr>
        <w:spacing w:line="480" w:lineRule="auto"/>
        <w:rPr>
          <w:rFonts w:ascii="Calibri" w:hAnsi="Calibri" w:cs="Calibri"/>
          <w:sz w:val="22"/>
          <w:szCs w:val="22"/>
          <w:u w:val="single"/>
        </w:rPr>
      </w:pPr>
    </w:p>
    <w:p w14:paraId="59328740" w14:textId="77777777" w:rsidR="00BC4AB1" w:rsidRPr="00AB3229" w:rsidRDefault="00BC4AB1" w:rsidP="00BC4AB1">
      <w:pPr>
        <w:spacing w:line="480" w:lineRule="auto"/>
        <w:jc w:val="center"/>
        <w:rPr>
          <w:rFonts w:ascii="Calibri" w:hAnsi="Calibri" w:cs="Calibri"/>
          <w:sz w:val="22"/>
          <w:szCs w:val="22"/>
        </w:rPr>
      </w:pPr>
      <w:r w:rsidRPr="00AB3229">
        <w:rPr>
          <w:rFonts w:ascii="Calibri" w:hAnsi="Calibri" w:cs="Calibri"/>
          <w:sz w:val="22"/>
          <w:szCs w:val="22"/>
          <w:u w:val="single"/>
        </w:rPr>
        <w:lastRenderedPageBreak/>
        <w:t>Literature Review</w:t>
      </w:r>
    </w:p>
    <w:p w14:paraId="027B8F80" w14:textId="77777777" w:rsidR="00BC4AB1" w:rsidRPr="00AB3229" w:rsidRDefault="00BC4AB1" w:rsidP="00BC4AB1">
      <w:pPr>
        <w:spacing w:line="480" w:lineRule="auto"/>
        <w:rPr>
          <w:rFonts w:ascii="Calibri" w:hAnsi="Calibri" w:cs="Calibri"/>
          <w:sz w:val="22"/>
          <w:szCs w:val="22"/>
        </w:rPr>
      </w:pPr>
    </w:p>
    <w:p w14:paraId="593CD9FF" w14:textId="77777777" w:rsidR="00BC4AB1" w:rsidRPr="00AB3229" w:rsidRDefault="00BC4AB1" w:rsidP="00BC4AB1">
      <w:pPr>
        <w:spacing w:line="480" w:lineRule="auto"/>
        <w:rPr>
          <w:rFonts w:ascii="Calibri" w:hAnsi="Calibri" w:cs="Calibri"/>
          <w:sz w:val="22"/>
          <w:szCs w:val="22"/>
        </w:rPr>
      </w:pPr>
      <w:r w:rsidRPr="00AB3229">
        <w:rPr>
          <w:rFonts w:ascii="Calibri" w:hAnsi="Calibri" w:cs="Calibri"/>
          <w:sz w:val="22"/>
          <w:szCs w:val="22"/>
        </w:rPr>
        <w:t>Yusuf, et al. (2021) suggests the importance of addressing all aspects of well-being in primary and secondary school settings, including physical, mental, emotional and social, as a fundamental factor of student success. Standish and Cuthbert (2021) imply that secondary schools often face intense pressure for their students to excel academically, with a strong emphasis on standardised testing, higher education and preparation, and academic performance. Walter (1996) agrees, emphasising that attaining high levels of success in school is the foremost priority during a student’s educational journey. Nevertheless, while research may support this viewpoint, it could be perceived as out-dated in light of the rise of technology and the contemporary challenges faced by young people, compounded by the mental strains and setbacks aggravated by the COVID-19 pandemic (Bullen et al., 2015.). Lahey (2015) argues the failure and autonomy in cultivating resilience and motivation in teenagers could be a result from excessive pressures exerted by parents and educators. High expectations and a fear of failure can hinder teenagers’ ability to develop essential skills such as problem-solving, self-regulation, and perseverance, which are crucial for academic success and personal growth (Lahey, 2015). This aligns with the new curriculum for Wales (Welsh Gov, 2020)</w:t>
      </w:r>
      <w:r>
        <w:rPr>
          <w:rFonts w:ascii="Calibri" w:hAnsi="Calibri" w:cs="Calibri"/>
          <w:sz w:val="22"/>
          <w:szCs w:val="22"/>
        </w:rPr>
        <w:t>,</w:t>
      </w:r>
      <w:r w:rsidRPr="00AB3229">
        <w:rPr>
          <w:rFonts w:ascii="Calibri" w:hAnsi="Calibri" w:cs="Calibri"/>
          <w:sz w:val="22"/>
          <w:szCs w:val="22"/>
        </w:rPr>
        <w:t xml:space="preserve"> and the emphasis on the seven well-being goals within The Well-being of the Future Generations Act (Welsh Gov, 2015) and the idea of developing a growth mindset. Developing a growth mindset in young people is crucial for their success and mental wellbeing (Dweck, 2017). While it may be attained through a gradual process, its significance cannot be overstated, due to the substantial benefits towards the development of young minds (Siegel, 2014).</w:t>
      </w:r>
    </w:p>
    <w:p w14:paraId="0E83E3D5" w14:textId="77777777" w:rsidR="00BC4AB1" w:rsidRPr="00AB3229" w:rsidRDefault="00BC4AB1" w:rsidP="00BC4AB1">
      <w:pPr>
        <w:spacing w:line="480" w:lineRule="auto"/>
        <w:rPr>
          <w:rFonts w:ascii="Calibri" w:hAnsi="Calibri" w:cs="Calibri"/>
          <w:sz w:val="22"/>
          <w:szCs w:val="22"/>
        </w:rPr>
      </w:pPr>
    </w:p>
    <w:p w14:paraId="74C824D6" w14:textId="77777777" w:rsidR="00BC4AB1" w:rsidRPr="00AB3229" w:rsidRDefault="00BC4AB1" w:rsidP="00BC4AB1">
      <w:pPr>
        <w:spacing w:line="480" w:lineRule="auto"/>
        <w:rPr>
          <w:rFonts w:ascii="Calibri" w:hAnsi="Calibri" w:cs="Calibri"/>
          <w:sz w:val="22"/>
          <w:szCs w:val="22"/>
        </w:rPr>
      </w:pPr>
      <w:r w:rsidRPr="00AB3229">
        <w:rPr>
          <w:rFonts w:ascii="Calibri" w:hAnsi="Calibri" w:cs="Calibri"/>
          <w:sz w:val="22"/>
          <w:szCs w:val="22"/>
        </w:rPr>
        <w:t>Maslow’s (2013) hierarchy of needs emphasises meeting teenagers basic needs for well-being: nutrition, safety, social connections, esteem, and personal growth, which promotes resilience, self-esteem, relationships and purpose. Neglecting these basics, risks emotional setbacks like insecurity and isolation (Maslow, 2013). However</w:t>
      </w:r>
      <w:r w:rsidRPr="00AB3229">
        <w:rPr>
          <w:rFonts w:ascii="Calibri" w:hAnsi="Calibri" w:cs="Calibri"/>
          <w:color w:val="000000" w:themeColor="text1"/>
          <w:sz w:val="22"/>
          <w:szCs w:val="22"/>
        </w:rPr>
        <w:t xml:space="preserve">, Stein (2019) </w:t>
      </w:r>
      <w:r w:rsidRPr="00AB3229">
        <w:rPr>
          <w:rFonts w:ascii="Calibri" w:hAnsi="Calibri" w:cs="Calibri"/>
          <w:sz w:val="22"/>
          <w:szCs w:val="22"/>
        </w:rPr>
        <w:t xml:space="preserve">implies how challenging it is for teachers to </w:t>
      </w:r>
      <w:r w:rsidRPr="00AB3229">
        <w:rPr>
          <w:rFonts w:ascii="Calibri" w:hAnsi="Calibri" w:cs="Calibri"/>
          <w:sz w:val="22"/>
          <w:szCs w:val="22"/>
        </w:rPr>
        <w:lastRenderedPageBreak/>
        <w:t xml:space="preserve">identify whether a students’ needs are being met as they can often mask their struggles, striving to fit in amongst peers. </w:t>
      </w:r>
      <w:proofErr w:type="spellStart"/>
      <w:r w:rsidRPr="00AB3229">
        <w:rPr>
          <w:rFonts w:ascii="Calibri" w:hAnsi="Calibri" w:cs="Calibri"/>
          <w:color w:val="000000" w:themeColor="text1"/>
          <w:sz w:val="22"/>
          <w:szCs w:val="22"/>
        </w:rPr>
        <w:t>Zafran-Quinsio</w:t>
      </w:r>
      <w:proofErr w:type="spellEnd"/>
      <w:r w:rsidRPr="00AB3229">
        <w:rPr>
          <w:rFonts w:ascii="Calibri" w:hAnsi="Calibri" w:cs="Calibri"/>
          <w:color w:val="000000" w:themeColor="text1"/>
          <w:sz w:val="22"/>
          <w:szCs w:val="22"/>
        </w:rPr>
        <w:t xml:space="preserve"> (2020) argues how these concerns can </w:t>
      </w:r>
      <w:r w:rsidRPr="00AB3229">
        <w:rPr>
          <w:rFonts w:ascii="Calibri" w:hAnsi="Calibri" w:cs="Calibri"/>
          <w:sz w:val="22"/>
          <w:szCs w:val="22"/>
        </w:rPr>
        <w:t xml:space="preserve">make it difficult for teachers to recognise underlying issues. Bennet (2020) aligns with this highlighting how a high school environment can be fast-paced and demanding, leaving little time for individualised attention and observation. </w:t>
      </w:r>
      <w:r w:rsidRPr="00AB3229">
        <w:rPr>
          <w:rFonts w:ascii="Calibri" w:hAnsi="Calibri" w:cs="Calibri"/>
          <w:color w:val="000000" w:themeColor="text1"/>
          <w:sz w:val="22"/>
          <w:szCs w:val="22"/>
        </w:rPr>
        <w:t xml:space="preserve">Teachers </w:t>
      </w:r>
      <w:r w:rsidRPr="00AB3229">
        <w:rPr>
          <w:rFonts w:ascii="Calibri" w:hAnsi="Calibri" w:cs="Calibri"/>
          <w:sz w:val="22"/>
          <w:szCs w:val="22"/>
        </w:rPr>
        <w:t xml:space="preserve">often lack academic training in recognising signs of emotional distress or may not have the ability to address diverse needs effectively (Wasserman, 2015). </w:t>
      </w:r>
    </w:p>
    <w:p w14:paraId="3D3A2A5E" w14:textId="77777777" w:rsidR="00BC4AB1" w:rsidRPr="00AB3229" w:rsidRDefault="00BC4AB1" w:rsidP="00BC4AB1">
      <w:pPr>
        <w:spacing w:line="480" w:lineRule="auto"/>
        <w:rPr>
          <w:rFonts w:ascii="Calibri" w:hAnsi="Calibri" w:cs="Calibri"/>
          <w:sz w:val="22"/>
          <w:szCs w:val="22"/>
        </w:rPr>
      </w:pPr>
    </w:p>
    <w:p w14:paraId="7B781F1A" w14:textId="77777777" w:rsidR="00BC4AB1" w:rsidRPr="00AB3229" w:rsidRDefault="00BC4AB1" w:rsidP="00BC4AB1">
      <w:pPr>
        <w:pStyle w:val="NormalWeb"/>
        <w:spacing w:line="480" w:lineRule="auto"/>
        <w:rPr>
          <w:rFonts w:ascii="Calibri" w:hAnsi="Calibri" w:cs="Calibri"/>
          <w:i/>
          <w:iCs/>
          <w:sz w:val="22"/>
          <w:szCs w:val="22"/>
        </w:rPr>
      </w:pPr>
      <w:r w:rsidRPr="00AB3229">
        <w:rPr>
          <w:rFonts w:ascii="Calibri" w:hAnsi="Calibri" w:cs="Calibri"/>
          <w:i/>
          <w:iCs/>
          <w:sz w:val="22"/>
          <w:szCs w:val="22"/>
        </w:rPr>
        <w:t>Digital World</w:t>
      </w:r>
    </w:p>
    <w:p w14:paraId="4A4E292C" w14:textId="77777777" w:rsidR="00BC4AB1" w:rsidRPr="00AB3229" w:rsidRDefault="00BC4AB1" w:rsidP="00BC4AB1">
      <w:pPr>
        <w:spacing w:line="480" w:lineRule="auto"/>
        <w:rPr>
          <w:rFonts w:ascii="Calibri" w:hAnsi="Calibri" w:cs="Calibri"/>
          <w:sz w:val="22"/>
          <w:szCs w:val="22"/>
        </w:rPr>
      </w:pPr>
      <w:r w:rsidRPr="00AB3229">
        <w:rPr>
          <w:rFonts w:ascii="Calibri" w:hAnsi="Calibri" w:cs="Calibri"/>
          <w:sz w:val="22"/>
          <w:szCs w:val="22"/>
        </w:rPr>
        <w:t>In addition to the challenge of meeting basic needs, educators also contend with the impact of technology in the classroom. While technology can enhance learning, it frequently poses obstacles (</w:t>
      </w:r>
      <w:proofErr w:type="spellStart"/>
      <w:r w:rsidRPr="00AB3229">
        <w:rPr>
          <w:rFonts w:ascii="Calibri" w:hAnsi="Calibri" w:cs="Calibri"/>
          <w:sz w:val="22"/>
          <w:szCs w:val="22"/>
        </w:rPr>
        <w:t>Kersting</w:t>
      </w:r>
      <w:proofErr w:type="spellEnd"/>
      <w:r w:rsidRPr="00AB3229">
        <w:rPr>
          <w:rFonts w:ascii="Calibri" w:hAnsi="Calibri" w:cs="Calibri"/>
          <w:sz w:val="22"/>
          <w:szCs w:val="22"/>
        </w:rPr>
        <w:t xml:space="preserve">, 2016). The focus around students well-being is becoming increasingly important as social media develops and we are moving forward in a digital world without knowing the impact on young people’s cognitive development (Stein, 2019). Twenge (2017) suggests that there has been an increase in mental health issues among teenagers in recent years, which is often due to the rise of digital media and social media use, contributing to feelings of loneliness, social comparison, and inadequacy among adolescents. Boyd (2014) emphasises the need to consider the impact of technology on teenagers’ well-being, arguing that excessive screen time and social media use may detract from real-world social interactions, sleep quality, and overall mental health. Steiner-Adair and Barker (2013) agree with this by exploring the cultural shifts that may influence teenagers’ well-being, such as changes in parenting styles, academic pressures, and societal expectations. </w:t>
      </w:r>
    </w:p>
    <w:p w14:paraId="338E5939" w14:textId="77777777" w:rsidR="00BC4AB1" w:rsidRPr="00AB3229" w:rsidRDefault="00BC4AB1" w:rsidP="00BC4AB1">
      <w:pPr>
        <w:spacing w:line="480" w:lineRule="auto"/>
        <w:rPr>
          <w:rFonts w:ascii="Calibri" w:hAnsi="Calibri" w:cs="Calibri"/>
          <w:sz w:val="22"/>
          <w:szCs w:val="22"/>
        </w:rPr>
      </w:pPr>
      <w:r w:rsidRPr="00AB3229">
        <w:rPr>
          <w:rFonts w:ascii="Calibri" w:hAnsi="Calibri" w:cs="Calibri"/>
          <w:sz w:val="22"/>
          <w:szCs w:val="22"/>
        </w:rPr>
        <w:t xml:space="preserve">On the contrary, Prensky (2010) argues the crucial role of technology in shaping the futures of young people, given the likelihood that they will enter professions heavily reliant on technological skills in our rapidly evolving world. There is a necessity of integrating technology into education to equip students with the digital literacy and proficiency essential for success in modern workplaces (Prensky, 2010). Robinson and </w:t>
      </w:r>
      <w:proofErr w:type="spellStart"/>
      <w:r w:rsidRPr="00AB3229">
        <w:rPr>
          <w:rFonts w:ascii="Calibri" w:hAnsi="Calibri" w:cs="Calibri"/>
          <w:sz w:val="22"/>
          <w:szCs w:val="22"/>
        </w:rPr>
        <w:t>Aronica</w:t>
      </w:r>
      <w:proofErr w:type="spellEnd"/>
      <w:r w:rsidRPr="00AB3229">
        <w:rPr>
          <w:rFonts w:ascii="Calibri" w:hAnsi="Calibri" w:cs="Calibri"/>
          <w:sz w:val="22"/>
          <w:szCs w:val="22"/>
        </w:rPr>
        <w:t xml:space="preserve"> (2016) align with this view, advocating for a forward-thinking </w:t>
      </w:r>
      <w:r w:rsidRPr="00AB3229">
        <w:rPr>
          <w:rFonts w:ascii="Calibri" w:hAnsi="Calibri" w:cs="Calibri"/>
          <w:sz w:val="22"/>
          <w:szCs w:val="22"/>
        </w:rPr>
        <w:lastRenderedPageBreak/>
        <w:t xml:space="preserve">approach that recognises technology as indispensable for preparing students for the demands on tomorrow’s workforce. </w:t>
      </w:r>
    </w:p>
    <w:p w14:paraId="7701AA2F" w14:textId="77777777" w:rsidR="00BC4AB1" w:rsidRPr="00AB3229" w:rsidRDefault="00BC4AB1" w:rsidP="00BC4AB1">
      <w:pPr>
        <w:spacing w:line="480" w:lineRule="auto"/>
        <w:rPr>
          <w:rFonts w:ascii="Calibri" w:hAnsi="Calibri" w:cs="Calibri"/>
          <w:i/>
          <w:iCs/>
          <w:sz w:val="22"/>
          <w:szCs w:val="22"/>
        </w:rPr>
      </w:pPr>
    </w:p>
    <w:p w14:paraId="15EABC0C" w14:textId="77777777" w:rsidR="00BC4AB1" w:rsidRPr="00AB3229" w:rsidRDefault="00BC4AB1" w:rsidP="00BC4AB1">
      <w:pPr>
        <w:spacing w:line="480" w:lineRule="auto"/>
        <w:rPr>
          <w:rFonts w:ascii="Calibri" w:hAnsi="Calibri" w:cs="Calibri"/>
          <w:i/>
          <w:iCs/>
          <w:sz w:val="22"/>
          <w:szCs w:val="22"/>
        </w:rPr>
      </w:pPr>
    </w:p>
    <w:p w14:paraId="693CCC48" w14:textId="77777777" w:rsidR="00BC4AB1" w:rsidRPr="00AB3229" w:rsidRDefault="00BC4AB1" w:rsidP="00BC4AB1">
      <w:pPr>
        <w:spacing w:line="480" w:lineRule="auto"/>
        <w:rPr>
          <w:rFonts w:ascii="Calibri" w:hAnsi="Calibri" w:cs="Calibri"/>
          <w:i/>
          <w:iCs/>
          <w:sz w:val="22"/>
          <w:szCs w:val="22"/>
        </w:rPr>
      </w:pPr>
      <w:r w:rsidRPr="00AB3229">
        <w:rPr>
          <w:rFonts w:ascii="Calibri" w:hAnsi="Calibri" w:cs="Calibri"/>
          <w:i/>
          <w:iCs/>
          <w:sz w:val="22"/>
          <w:szCs w:val="22"/>
        </w:rPr>
        <w:t>Primary and Secondary Differences</w:t>
      </w:r>
    </w:p>
    <w:p w14:paraId="5C75E1A3" w14:textId="77777777" w:rsidR="00BC4AB1" w:rsidRPr="00AB3229" w:rsidRDefault="00BC4AB1" w:rsidP="00BC4AB1">
      <w:pPr>
        <w:spacing w:line="480" w:lineRule="auto"/>
        <w:rPr>
          <w:rFonts w:ascii="Calibri" w:hAnsi="Calibri" w:cs="Calibri"/>
          <w:sz w:val="22"/>
          <w:szCs w:val="22"/>
          <w:u w:val="single"/>
        </w:rPr>
      </w:pPr>
    </w:p>
    <w:p w14:paraId="315E113E"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sz w:val="22"/>
          <w:szCs w:val="22"/>
        </w:rPr>
        <w:t xml:space="preserve">Hall and </w:t>
      </w:r>
      <w:proofErr w:type="spellStart"/>
      <w:r w:rsidRPr="00AB3229">
        <w:rPr>
          <w:rFonts w:ascii="Calibri" w:hAnsi="Calibri" w:cs="Calibri"/>
          <w:sz w:val="22"/>
          <w:szCs w:val="22"/>
        </w:rPr>
        <w:t>Kreppner</w:t>
      </w:r>
      <w:proofErr w:type="spellEnd"/>
      <w:r w:rsidRPr="00AB3229">
        <w:rPr>
          <w:rFonts w:ascii="Calibri" w:hAnsi="Calibri" w:cs="Calibri"/>
          <w:sz w:val="22"/>
          <w:szCs w:val="22"/>
        </w:rPr>
        <w:t xml:space="preserve"> (2019) evaluate how monitoring children’s well-being in primary school is often perceived as more manageable than in high school due to several factors, but a critical examination reveals complexities in both settings. </w:t>
      </w:r>
      <w:proofErr w:type="spellStart"/>
      <w:r w:rsidRPr="00AB3229">
        <w:rPr>
          <w:rFonts w:ascii="Calibri" w:hAnsi="Calibri" w:cs="Calibri"/>
          <w:sz w:val="22"/>
          <w:szCs w:val="22"/>
        </w:rPr>
        <w:t>Kutnick</w:t>
      </w:r>
      <w:proofErr w:type="spellEnd"/>
      <w:r w:rsidRPr="00AB3229">
        <w:rPr>
          <w:rFonts w:ascii="Calibri" w:hAnsi="Calibri" w:cs="Calibri"/>
          <w:sz w:val="22"/>
          <w:szCs w:val="22"/>
        </w:rPr>
        <w:t xml:space="preserve"> and Blatchford (2013) suggest that in primary school, a smaller student population and more direct interactions with a single teacher or a small group of teachers allow for more personalised attention and observation. </w:t>
      </w:r>
      <w:proofErr w:type="spellStart"/>
      <w:r w:rsidRPr="00AB3229">
        <w:rPr>
          <w:rFonts w:ascii="Calibri" w:hAnsi="Calibri" w:cs="Calibri"/>
          <w:sz w:val="22"/>
          <w:szCs w:val="22"/>
        </w:rPr>
        <w:t>Kitson</w:t>
      </w:r>
      <w:proofErr w:type="spellEnd"/>
      <w:r w:rsidRPr="00AB3229">
        <w:rPr>
          <w:rFonts w:ascii="Calibri" w:hAnsi="Calibri" w:cs="Calibri"/>
          <w:sz w:val="22"/>
          <w:szCs w:val="22"/>
        </w:rPr>
        <w:t xml:space="preserve"> and Merry (2002) align with this, emphasising that teachers in primary school often have a deep understanding of each student’s individual needs, behaviours, and development, which facilitate early detection of well-being issues. Additionally, primary school environments typically prioritise nurturing and supportive relationships, creating a conducive atmosphere for open communication between students, teachers, and parents (Murphy, 2022). On the contrary, Christakis (2016) disputes this apparent ease of monitoring well-being in primary school stating that it can mask underlying challenges as primary school-aged children may not always have the language or awareness to articulate their emotions or experiences accurately. However, Hetherington and </w:t>
      </w:r>
      <w:proofErr w:type="spellStart"/>
      <w:r w:rsidRPr="00AB3229">
        <w:rPr>
          <w:rFonts w:ascii="Calibri" w:hAnsi="Calibri" w:cs="Calibri"/>
          <w:sz w:val="22"/>
          <w:szCs w:val="22"/>
        </w:rPr>
        <w:t>Blechman</w:t>
      </w:r>
      <w:proofErr w:type="spellEnd"/>
      <w:r w:rsidRPr="00AB3229">
        <w:rPr>
          <w:rFonts w:ascii="Calibri" w:hAnsi="Calibri" w:cs="Calibri"/>
          <w:sz w:val="22"/>
          <w:szCs w:val="22"/>
        </w:rPr>
        <w:t xml:space="preserve"> (2014) argue that issues such as bullying or family stressors may go unnoticed if students </w:t>
      </w:r>
      <w:r w:rsidRPr="00AB3229">
        <w:rPr>
          <w:rFonts w:ascii="Calibri" w:hAnsi="Calibri" w:cs="Calibri"/>
          <w:color w:val="000000" w:themeColor="text1"/>
          <w:sz w:val="22"/>
          <w:szCs w:val="22"/>
        </w:rPr>
        <w:t xml:space="preserve">do not feel comfortable disclosing them. Additionally, Hayes (2015) suggests that primary school teachers may face time constraints and competing demands, limiting their ability to provide comprehensive support to every student. Furthermore, it is evident that the ample teacher-student contact time in primary school make it significantly easier to address and monitor students’ well-being on a daily basis (Hall and </w:t>
      </w:r>
      <w:proofErr w:type="spellStart"/>
      <w:r w:rsidRPr="00AB3229">
        <w:rPr>
          <w:rFonts w:ascii="Calibri" w:hAnsi="Calibri" w:cs="Calibri"/>
          <w:color w:val="000000" w:themeColor="text1"/>
          <w:sz w:val="22"/>
          <w:szCs w:val="22"/>
        </w:rPr>
        <w:t>Kreppner</w:t>
      </w:r>
      <w:proofErr w:type="spellEnd"/>
      <w:r w:rsidRPr="00AB3229">
        <w:rPr>
          <w:rFonts w:ascii="Calibri" w:hAnsi="Calibri" w:cs="Calibri"/>
          <w:color w:val="000000" w:themeColor="text1"/>
          <w:sz w:val="22"/>
          <w:szCs w:val="22"/>
        </w:rPr>
        <w:t xml:space="preserve">, 2019). </w:t>
      </w:r>
    </w:p>
    <w:p w14:paraId="00C84800" w14:textId="77777777" w:rsidR="00BC4AB1" w:rsidRPr="00AB3229" w:rsidRDefault="00BC4AB1" w:rsidP="00BC4AB1">
      <w:pPr>
        <w:spacing w:line="480" w:lineRule="auto"/>
        <w:rPr>
          <w:rFonts w:ascii="Calibri" w:hAnsi="Calibri" w:cs="Calibri"/>
          <w:sz w:val="22"/>
          <w:szCs w:val="22"/>
          <w:u w:val="single"/>
        </w:rPr>
      </w:pPr>
    </w:p>
    <w:p w14:paraId="1E7EDEA0"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In contrast, Hughes et al. (2019) implies that monitoring well-being in high school presents unique complexities due to the larger student body and rotating schedule mean that high school teachers have less consistent contact with individual students, making it more challenging to develop deep insights into their well-being. Moreover, teenagers' increasing independence and peer influence can result in greater inconsistency in behaviour and emotional expression, making it harder to discern signs of distress or mental health issues</w:t>
      </w:r>
      <w:r w:rsidRPr="00AB3229">
        <w:rPr>
          <w:rFonts w:ascii="Calibri" w:hAnsi="Calibri" w:cs="Calibri"/>
          <w:color w:val="FF0000"/>
          <w:sz w:val="22"/>
          <w:szCs w:val="22"/>
        </w:rPr>
        <w:t xml:space="preserve"> </w:t>
      </w:r>
      <w:r w:rsidRPr="00AB3229">
        <w:rPr>
          <w:rFonts w:ascii="Calibri" w:hAnsi="Calibri" w:cs="Calibri"/>
          <w:color w:val="000000" w:themeColor="text1"/>
          <w:sz w:val="22"/>
          <w:szCs w:val="22"/>
        </w:rPr>
        <w:t>(</w:t>
      </w:r>
      <w:proofErr w:type="spellStart"/>
      <w:r w:rsidRPr="00AB3229">
        <w:rPr>
          <w:rFonts w:ascii="Calibri" w:hAnsi="Calibri" w:cs="Calibri"/>
          <w:color w:val="000000" w:themeColor="text1"/>
          <w:sz w:val="22"/>
          <w:szCs w:val="22"/>
        </w:rPr>
        <w:t>Hagell</w:t>
      </w:r>
      <w:proofErr w:type="spellEnd"/>
      <w:r w:rsidRPr="00AB3229">
        <w:rPr>
          <w:rFonts w:ascii="Calibri" w:hAnsi="Calibri" w:cs="Calibri"/>
          <w:color w:val="000000" w:themeColor="text1"/>
          <w:sz w:val="22"/>
          <w:szCs w:val="22"/>
        </w:rPr>
        <w:t>, 2012).</w:t>
      </w:r>
      <w:r w:rsidRPr="00AB3229">
        <w:rPr>
          <w:rFonts w:ascii="Calibri" w:hAnsi="Calibri" w:cs="Calibri"/>
          <w:sz w:val="22"/>
          <w:szCs w:val="22"/>
        </w:rPr>
        <w:t xml:space="preserve"> </w:t>
      </w:r>
      <w:r w:rsidRPr="00AB3229">
        <w:rPr>
          <w:rFonts w:ascii="Calibri" w:hAnsi="Calibri" w:cs="Calibri"/>
          <w:color w:val="000000" w:themeColor="text1"/>
          <w:sz w:val="22"/>
          <w:szCs w:val="22"/>
        </w:rPr>
        <w:t xml:space="preserve">Despite these challenges, Coleman et al. (2007) highlight that high schools often have more resources available for supporting student well-being, such as guidance counsellors, mental health professionals, and extracurricular programs. However, Guiney (2017) suggests that these resources may be stretched thin due to high demand, leading to long wait times for counselling services or limited access to in school support. Supporting this viewpoint, the failure to communicate this information to class teachers due to privacy concerns (Jenkins, 2007), instigates a troubling disconnect between teachers and students (Dix, 2017). This disconnect, can unintentionally encourage a perception among students that teachers can seem disengaged or unsupportive of their well-being needs (Hughes et al., 2019). </w:t>
      </w:r>
    </w:p>
    <w:p w14:paraId="042F6391" w14:textId="77777777" w:rsidR="00BC4AB1" w:rsidRPr="00AB3229" w:rsidRDefault="00BC4AB1" w:rsidP="00BC4AB1">
      <w:pPr>
        <w:spacing w:line="480" w:lineRule="auto"/>
        <w:rPr>
          <w:rFonts w:ascii="Calibri" w:hAnsi="Calibri" w:cs="Calibri"/>
          <w:color w:val="000000" w:themeColor="text1"/>
          <w:sz w:val="22"/>
          <w:szCs w:val="22"/>
        </w:rPr>
      </w:pPr>
    </w:p>
    <w:p w14:paraId="290B5C93"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This research has led to the posed research question of this assignment due to the significant interest in how well-being and emotional resilience is managed and improving in high schools.   </w:t>
      </w:r>
    </w:p>
    <w:p w14:paraId="33EB39A6" w14:textId="77777777" w:rsidR="00BC4AB1" w:rsidRPr="00AB3229" w:rsidRDefault="00BC4AB1" w:rsidP="00BC4AB1">
      <w:pPr>
        <w:spacing w:line="480" w:lineRule="auto"/>
        <w:rPr>
          <w:rFonts w:ascii="Calibri" w:hAnsi="Calibri" w:cs="Calibri"/>
          <w:color w:val="000000" w:themeColor="text1"/>
          <w:sz w:val="22"/>
          <w:szCs w:val="22"/>
        </w:rPr>
      </w:pPr>
    </w:p>
    <w:p w14:paraId="620F6703" w14:textId="77777777" w:rsidR="00BC4AB1" w:rsidRPr="00AB3229" w:rsidRDefault="00BC4AB1" w:rsidP="00BC4AB1">
      <w:pPr>
        <w:spacing w:line="480" w:lineRule="auto"/>
        <w:rPr>
          <w:rFonts w:ascii="Calibri" w:hAnsi="Calibri" w:cs="Calibri"/>
          <w:sz w:val="22"/>
          <w:szCs w:val="22"/>
        </w:rPr>
      </w:pPr>
    </w:p>
    <w:p w14:paraId="03EFCE26" w14:textId="77777777" w:rsidR="00BC4AB1" w:rsidRPr="00AB3229" w:rsidRDefault="00BC4AB1" w:rsidP="00BC4AB1">
      <w:pPr>
        <w:spacing w:line="480" w:lineRule="auto"/>
        <w:rPr>
          <w:rFonts w:ascii="Calibri" w:hAnsi="Calibri" w:cs="Calibri"/>
          <w:sz w:val="22"/>
          <w:szCs w:val="22"/>
        </w:rPr>
      </w:pPr>
    </w:p>
    <w:p w14:paraId="21C440C1" w14:textId="77777777" w:rsidR="00BC4AB1" w:rsidRPr="00AB3229" w:rsidRDefault="00BC4AB1" w:rsidP="00BC4AB1">
      <w:pPr>
        <w:spacing w:line="480" w:lineRule="auto"/>
        <w:rPr>
          <w:rFonts w:ascii="Calibri" w:hAnsi="Calibri" w:cs="Calibri"/>
          <w:sz w:val="22"/>
          <w:szCs w:val="22"/>
        </w:rPr>
      </w:pPr>
    </w:p>
    <w:p w14:paraId="00F4E164" w14:textId="77777777" w:rsidR="00BC4AB1" w:rsidRPr="00AB3229" w:rsidRDefault="00BC4AB1" w:rsidP="00BC4AB1">
      <w:pPr>
        <w:spacing w:line="480" w:lineRule="auto"/>
        <w:rPr>
          <w:rFonts w:ascii="Calibri" w:hAnsi="Calibri" w:cs="Calibri"/>
          <w:sz w:val="22"/>
          <w:szCs w:val="22"/>
        </w:rPr>
      </w:pPr>
    </w:p>
    <w:p w14:paraId="4D77726C" w14:textId="77777777" w:rsidR="00BC4AB1" w:rsidRPr="00AB3229" w:rsidRDefault="00BC4AB1" w:rsidP="00BC4AB1">
      <w:pPr>
        <w:spacing w:line="480" w:lineRule="auto"/>
        <w:rPr>
          <w:rFonts w:ascii="Calibri" w:hAnsi="Calibri" w:cs="Calibri"/>
          <w:sz w:val="22"/>
          <w:szCs w:val="22"/>
        </w:rPr>
      </w:pPr>
    </w:p>
    <w:p w14:paraId="7A6D82CE" w14:textId="77777777" w:rsidR="00BC4AB1" w:rsidRPr="00AB3229" w:rsidRDefault="00BC4AB1" w:rsidP="00BC4AB1">
      <w:pPr>
        <w:spacing w:line="480" w:lineRule="auto"/>
        <w:rPr>
          <w:rFonts w:ascii="Calibri" w:hAnsi="Calibri" w:cs="Calibri"/>
          <w:sz w:val="22"/>
          <w:szCs w:val="22"/>
          <w:u w:val="single"/>
        </w:rPr>
      </w:pPr>
    </w:p>
    <w:p w14:paraId="564021E1" w14:textId="77777777" w:rsidR="00BC4AB1" w:rsidRPr="00AB3229" w:rsidRDefault="00BC4AB1" w:rsidP="00BC4AB1">
      <w:pPr>
        <w:spacing w:line="480" w:lineRule="auto"/>
        <w:rPr>
          <w:rFonts w:ascii="Calibri" w:hAnsi="Calibri" w:cs="Calibri"/>
          <w:sz w:val="22"/>
          <w:szCs w:val="22"/>
          <w:u w:val="single"/>
        </w:rPr>
      </w:pPr>
    </w:p>
    <w:p w14:paraId="7560971E" w14:textId="77777777" w:rsidR="00BC4AB1" w:rsidRPr="00AB3229" w:rsidRDefault="00BC4AB1" w:rsidP="00BC4AB1">
      <w:pPr>
        <w:spacing w:line="480" w:lineRule="auto"/>
        <w:jc w:val="center"/>
        <w:rPr>
          <w:rFonts w:ascii="Calibri" w:hAnsi="Calibri" w:cs="Calibri"/>
          <w:sz w:val="22"/>
          <w:szCs w:val="22"/>
          <w:u w:val="single"/>
        </w:rPr>
      </w:pPr>
    </w:p>
    <w:p w14:paraId="159246B2"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Case Study</w:t>
      </w:r>
    </w:p>
    <w:p w14:paraId="27AEEA9D"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sz w:val="22"/>
          <w:szCs w:val="22"/>
        </w:rPr>
        <w:t>Thomas (2010) clarifies the stress and importance of grasping the fundamental characteristics of case studies which involve in-depth investigation and analysis of a particular phenomenon within its real-life context. Researchers should clearly define the purpose objectives of their case study, whether it is to explore a new phenomenon, understand a complex issue, or generate hypotheses for further research, having a clear aim guides the entire study (Thomas, 2010). Yin (1996) discusses the process of selecting appropriate cases for study by highlighting the significance of choosing cases that offer rich meaningful insights into the research questions at hand. This involves considering factors such as relevance, diversity, and accessibility of data (Yin, 1996). Thomas (2010) outlines the importance of using various data collection methods suitable for case studies, such as interviews, observations, document analysis, and surveys. Stake (1995)</w:t>
      </w:r>
      <w:r w:rsidRPr="00AB3229">
        <w:rPr>
          <w:rFonts w:ascii="Calibri" w:hAnsi="Calibri" w:cs="Calibri"/>
          <w:color w:val="FF0000"/>
          <w:sz w:val="22"/>
          <w:szCs w:val="22"/>
        </w:rPr>
        <w:t xml:space="preserve"> </w:t>
      </w:r>
      <w:r w:rsidRPr="00AB3229">
        <w:rPr>
          <w:rFonts w:ascii="Calibri" w:hAnsi="Calibri" w:cs="Calibri"/>
          <w:sz w:val="22"/>
          <w:szCs w:val="22"/>
        </w:rPr>
        <w:t>emphasises the importance of using multiple sources of data to triangulate findings and ensure validity and reliability. Ensuring an adequate analysis of qualitative data obtained from case studies is paramount, involving organising, coding, and interpreting the data to identify patterns, themes, and relationships (Thomas and Myers, 2015</w:t>
      </w:r>
      <w:r w:rsidRPr="00AB3229">
        <w:rPr>
          <w:rFonts w:ascii="Calibri" w:hAnsi="Calibri" w:cs="Calibri"/>
          <w:color w:val="000000" w:themeColor="text1"/>
          <w:sz w:val="22"/>
          <w:szCs w:val="22"/>
        </w:rPr>
        <w:t>).</w:t>
      </w:r>
      <w:r w:rsidRPr="00AB3229">
        <w:rPr>
          <w:rFonts w:ascii="Calibri" w:hAnsi="Calibri" w:cs="Calibri"/>
          <w:sz w:val="22"/>
          <w:szCs w:val="22"/>
        </w:rPr>
        <w:t xml:space="preserve"> </w:t>
      </w:r>
    </w:p>
    <w:p w14:paraId="7C6B5B9A"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sz w:val="22"/>
          <w:szCs w:val="22"/>
        </w:rPr>
        <w:t xml:space="preserve">Thomas (2010) highlights the iterative nature of data analysis, where researchers continually revisit and refine their interpretations and draw conclusions from their case study findings. This involves synthesising the data, addressing research questions or objectives, and offering insights, implications, and recommendations based on the analysis (Thomas, 2010). Case studies excel in providing detailed, contextually rich insights into specific phenomena, offering flexibility in research design and generating comprehensive qualitative data (Stake, 1995). However, their findings may lack generalisability to broader populations or contexts, and they can be subject to researcher bias, resource intensiveness, difficulty in replication and ethical considerations regarding participant rights and confidentiality (Tight, 2017). </w:t>
      </w:r>
      <w:r w:rsidRPr="00AB3229">
        <w:rPr>
          <w:rFonts w:ascii="Calibri" w:hAnsi="Calibri" w:cs="Calibri"/>
          <w:sz w:val="22"/>
          <w:szCs w:val="22"/>
        </w:rPr>
        <w:br/>
      </w:r>
    </w:p>
    <w:p w14:paraId="3DA62998"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color w:val="000000" w:themeColor="text1"/>
          <w:sz w:val="22"/>
          <w:szCs w:val="22"/>
        </w:rPr>
        <w:lastRenderedPageBreak/>
        <w:t xml:space="preserve">In the context of this research project, a representative sample selects participants who accurately reflect the demographics, characteristics, and experiences of the broader population of students within the morning mentor class. This ensures that the findings of the study can be more confidently generalised to the entire population of interest, providing insights that are applicable beyond the specific individuals involved in the case study (Baxter and Jack, 2015). In this case study focusing on the well-being and emotional resilience of learners, participants were selected based on specific criteria relevant to the research focus, such as ALN, varying levels of academic performance, socio-economic backgrounds, and experiences/attendance within the mentor group (Creswell and </w:t>
      </w:r>
      <w:proofErr w:type="spellStart"/>
      <w:r w:rsidRPr="00AB3229">
        <w:rPr>
          <w:rFonts w:ascii="Calibri" w:hAnsi="Calibri" w:cs="Calibri"/>
          <w:color w:val="000000" w:themeColor="text1"/>
          <w:sz w:val="22"/>
          <w:szCs w:val="22"/>
        </w:rPr>
        <w:t>Poth</w:t>
      </w:r>
      <w:proofErr w:type="spellEnd"/>
      <w:r w:rsidRPr="00AB3229">
        <w:rPr>
          <w:rFonts w:ascii="Calibri" w:hAnsi="Calibri" w:cs="Calibri"/>
          <w:color w:val="000000" w:themeColor="text1"/>
          <w:sz w:val="22"/>
          <w:szCs w:val="22"/>
        </w:rPr>
        <w:t>, 2016). This method aims to capture a diverse range of perspectives and experiences of the participants.</w:t>
      </w:r>
      <w:r w:rsidRPr="00AB3229">
        <w:rPr>
          <w:rFonts w:ascii="Calibri" w:hAnsi="Calibri" w:cs="Calibri"/>
          <w:sz w:val="22"/>
          <w:szCs w:val="22"/>
        </w:rPr>
        <w:t xml:space="preserve"> </w:t>
      </w:r>
    </w:p>
    <w:p w14:paraId="2A966F6E" w14:textId="77777777" w:rsidR="00BC4AB1" w:rsidRPr="00AB3229" w:rsidRDefault="00BC4AB1" w:rsidP="00BC4AB1">
      <w:pPr>
        <w:pStyle w:val="NormalWeb"/>
        <w:spacing w:line="480" w:lineRule="auto"/>
        <w:rPr>
          <w:rFonts w:ascii="Calibri" w:hAnsi="Calibri" w:cs="Calibri"/>
          <w:sz w:val="22"/>
          <w:szCs w:val="22"/>
        </w:rPr>
      </w:pPr>
    </w:p>
    <w:p w14:paraId="683DA62D" w14:textId="77777777" w:rsidR="00BC4AB1" w:rsidRPr="00AB3229" w:rsidRDefault="00BC4AB1" w:rsidP="00BC4AB1">
      <w:pPr>
        <w:pStyle w:val="NormalWeb"/>
        <w:spacing w:line="480" w:lineRule="auto"/>
        <w:rPr>
          <w:rFonts w:ascii="Calibri" w:hAnsi="Calibri" w:cs="Calibri"/>
          <w:sz w:val="22"/>
          <w:szCs w:val="22"/>
        </w:rPr>
      </w:pPr>
    </w:p>
    <w:p w14:paraId="201CF6AC" w14:textId="77777777" w:rsidR="00BC4AB1" w:rsidRPr="00AB3229" w:rsidRDefault="00BC4AB1" w:rsidP="00BC4AB1">
      <w:pPr>
        <w:pStyle w:val="NormalWeb"/>
        <w:spacing w:line="480" w:lineRule="auto"/>
        <w:rPr>
          <w:rFonts w:ascii="Calibri" w:hAnsi="Calibri" w:cs="Calibri"/>
          <w:sz w:val="22"/>
          <w:szCs w:val="22"/>
        </w:rPr>
      </w:pPr>
    </w:p>
    <w:p w14:paraId="122FF4A9" w14:textId="77777777" w:rsidR="00BC4AB1" w:rsidRPr="00AB3229" w:rsidRDefault="00BC4AB1" w:rsidP="00BC4AB1">
      <w:pPr>
        <w:pStyle w:val="NormalWeb"/>
        <w:spacing w:line="480" w:lineRule="auto"/>
        <w:rPr>
          <w:rFonts w:ascii="Calibri" w:hAnsi="Calibri" w:cs="Calibri"/>
          <w:sz w:val="22"/>
          <w:szCs w:val="22"/>
        </w:rPr>
      </w:pPr>
    </w:p>
    <w:p w14:paraId="54C9B882" w14:textId="77777777" w:rsidR="00BC4AB1" w:rsidRPr="00AB3229" w:rsidRDefault="00BC4AB1" w:rsidP="00BC4AB1">
      <w:pPr>
        <w:pStyle w:val="NormalWeb"/>
        <w:spacing w:line="480" w:lineRule="auto"/>
        <w:rPr>
          <w:rFonts w:ascii="Calibri" w:hAnsi="Calibri" w:cs="Calibri"/>
          <w:sz w:val="22"/>
          <w:szCs w:val="22"/>
        </w:rPr>
      </w:pPr>
    </w:p>
    <w:p w14:paraId="59B82725" w14:textId="77777777" w:rsidR="00BC4AB1" w:rsidRPr="00AB3229" w:rsidRDefault="00BC4AB1" w:rsidP="00BC4AB1">
      <w:pPr>
        <w:pStyle w:val="NormalWeb"/>
        <w:spacing w:line="480" w:lineRule="auto"/>
        <w:rPr>
          <w:rFonts w:ascii="Calibri" w:hAnsi="Calibri" w:cs="Calibri"/>
          <w:sz w:val="22"/>
          <w:szCs w:val="22"/>
        </w:rPr>
      </w:pPr>
    </w:p>
    <w:p w14:paraId="08C2A111" w14:textId="77777777" w:rsidR="00BC4AB1" w:rsidRPr="00AB3229" w:rsidRDefault="00BC4AB1" w:rsidP="00BC4AB1">
      <w:pPr>
        <w:pStyle w:val="NormalWeb"/>
        <w:spacing w:line="480" w:lineRule="auto"/>
        <w:rPr>
          <w:rFonts w:ascii="Calibri" w:hAnsi="Calibri" w:cs="Calibri"/>
          <w:sz w:val="22"/>
          <w:szCs w:val="22"/>
        </w:rPr>
      </w:pPr>
    </w:p>
    <w:p w14:paraId="2DA9CEDC" w14:textId="77777777" w:rsidR="00BC4AB1" w:rsidRPr="00AB3229" w:rsidRDefault="00BC4AB1" w:rsidP="00BC4AB1">
      <w:pPr>
        <w:pStyle w:val="NormalWeb"/>
        <w:spacing w:line="480" w:lineRule="auto"/>
        <w:rPr>
          <w:rFonts w:ascii="Calibri" w:hAnsi="Calibri" w:cs="Calibri"/>
          <w:color w:val="000000" w:themeColor="text1"/>
          <w:sz w:val="22"/>
          <w:szCs w:val="22"/>
        </w:rPr>
      </w:pPr>
    </w:p>
    <w:p w14:paraId="6671A4E9" w14:textId="77777777" w:rsidR="00BC4AB1" w:rsidRPr="00AB3229" w:rsidRDefault="00BC4AB1" w:rsidP="00BC4AB1">
      <w:pPr>
        <w:pStyle w:val="NormalWeb"/>
        <w:spacing w:line="480" w:lineRule="auto"/>
        <w:rPr>
          <w:rFonts w:ascii="Calibri" w:hAnsi="Calibri" w:cs="Calibri"/>
          <w:color w:val="000000" w:themeColor="text1"/>
          <w:sz w:val="22"/>
          <w:szCs w:val="22"/>
        </w:rPr>
      </w:pPr>
    </w:p>
    <w:p w14:paraId="30D07A6D" w14:textId="77777777" w:rsidR="00BC4AB1" w:rsidRPr="00AB3229" w:rsidRDefault="00BC4AB1" w:rsidP="00BC4AB1">
      <w:pPr>
        <w:pStyle w:val="NormalWeb"/>
        <w:spacing w:line="480" w:lineRule="auto"/>
        <w:rPr>
          <w:rFonts w:ascii="Calibri" w:hAnsi="Calibri" w:cs="Calibri"/>
          <w:color w:val="000000" w:themeColor="text1"/>
          <w:sz w:val="22"/>
          <w:szCs w:val="22"/>
        </w:rPr>
      </w:pPr>
    </w:p>
    <w:p w14:paraId="48F58422"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Research Methods</w:t>
      </w:r>
      <w:r w:rsidRPr="00AB3229">
        <w:rPr>
          <w:rFonts w:ascii="Calibri" w:hAnsi="Calibri" w:cs="Calibri"/>
          <w:sz w:val="22"/>
          <w:szCs w:val="22"/>
          <w:u w:val="single"/>
        </w:rPr>
        <w:br/>
      </w:r>
    </w:p>
    <w:p w14:paraId="0DDAF2B5"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Multiple research methods were employed during this research project, including questionnaires, observations, and informal interviews. Using a variety of research methods to gather data allows for a comprehensive understanding of the research topic by providing insights from multiple perspectives (Chapman and </w:t>
      </w:r>
      <w:proofErr w:type="spellStart"/>
      <w:r w:rsidRPr="00AB3229">
        <w:rPr>
          <w:rFonts w:ascii="Calibri" w:hAnsi="Calibri" w:cs="Calibri"/>
          <w:color w:val="000000" w:themeColor="text1"/>
          <w:sz w:val="22"/>
          <w:szCs w:val="22"/>
        </w:rPr>
        <w:t>Mcneill</w:t>
      </w:r>
      <w:proofErr w:type="spellEnd"/>
      <w:r w:rsidRPr="00AB3229">
        <w:rPr>
          <w:rFonts w:ascii="Calibri" w:hAnsi="Calibri" w:cs="Calibri"/>
          <w:color w:val="000000" w:themeColor="text1"/>
          <w:sz w:val="22"/>
          <w:szCs w:val="22"/>
        </w:rPr>
        <w:t xml:space="preserve">, 2005). Additionally, employing triangulation, or cross-referencing data collected through different methods, enhances the credibility of the research findings (Creswell, 2014). Furthermore, using a combination of methods helps to mitigate the weaknesses in individual approaches which increases the validity of the research (Chapman and </w:t>
      </w:r>
      <w:proofErr w:type="spellStart"/>
      <w:r w:rsidRPr="00AB3229">
        <w:rPr>
          <w:rFonts w:ascii="Calibri" w:hAnsi="Calibri" w:cs="Calibri"/>
          <w:color w:val="000000" w:themeColor="text1"/>
          <w:sz w:val="22"/>
          <w:szCs w:val="22"/>
        </w:rPr>
        <w:t>Mcneill</w:t>
      </w:r>
      <w:proofErr w:type="spellEnd"/>
      <w:r w:rsidRPr="00AB3229">
        <w:rPr>
          <w:rFonts w:ascii="Calibri" w:hAnsi="Calibri" w:cs="Calibri"/>
          <w:color w:val="000000" w:themeColor="text1"/>
          <w:sz w:val="22"/>
          <w:szCs w:val="22"/>
        </w:rPr>
        <w:t>, 2005). Employing multiple methods reduces bias, enhances rigor, and increases the reliability of research studies (</w:t>
      </w:r>
      <w:proofErr w:type="spellStart"/>
      <w:r w:rsidRPr="00AB3229">
        <w:rPr>
          <w:rFonts w:ascii="Calibri" w:hAnsi="Calibri" w:cs="Calibri"/>
          <w:color w:val="000000" w:themeColor="text1"/>
          <w:sz w:val="22"/>
          <w:szCs w:val="22"/>
        </w:rPr>
        <w:t>Pajo</w:t>
      </w:r>
      <w:proofErr w:type="spellEnd"/>
      <w:r w:rsidRPr="00AB3229">
        <w:rPr>
          <w:rFonts w:ascii="Calibri" w:hAnsi="Calibri" w:cs="Calibri"/>
          <w:color w:val="000000" w:themeColor="text1"/>
          <w:sz w:val="22"/>
          <w:szCs w:val="22"/>
        </w:rPr>
        <w:t xml:space="preserve">, 2017). </w:t>
      </w:r>
    </w:p>
    <w:p w14:paraId="239DC1E1" w14:textId="77777777" w:rsidR="00BC4AB1" w:rsidRPr="00AB3229" w:rsidRDefault="00BC4AB1" w:rsidP="00BC4AB1">
      <w:pPr>
        <w:spacing w:line="480" w:lineRule="auto"/>
        <w:rPr>
          <w:rFonts w:ascii="Calibri" w:hAnsi="Calibri" w:cs="Calibri"/>
          <w:color w:val="000000" w:themeColor="text1"/>
          <w:sz w:val="22"/>
          <w:szCs w:val="22"/>
        </w:rPr>
      </w:pPr>
    </w:p>
    <w:p w14:paraId="76238A16" w14:textId="77777777" w:rsidR="00BC4AB1" w:rsidRPr="00AB3229" w:rsidRDefault="00BC4AB1" w:rsidP="00BC4AB1">
      <w:pPr>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t>Questionnaire</w:t>
      </w:r>
    </w:p>
    <w:p w14:paraId="4C75546B"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Questionnaires are commonly used to gather quantitative and qualitative data from participants in a structured format, offering the advantage of efficiently collecting data from a large sample size, allowing for statistical analysis and comparison (Wilson, 2016). However, limitations include potential response bias and the inability to probe for deeper insights (Creswell, 2014). </w:t>
      </w:r>
    </w:p>
    <w:p w14:paraId="4C347266"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For the questionnaire method, a structured format was utilised, incorporating a mixture of closed-ended, open-ended and multiple choice questions. This approach facilitated the collection of both quantitative and qualitative data, enabling a comprehensive analysis (Yin, 1996). Specific questions were designed to inquire about participants’ well-being, emotional resilience, and experiences within the mentor class, drawing upon relevant literature on psychological and educational factors affecting student outcomes. To inquire about participants experiences of anxiety during the school day, it was crucial to provide a multiple-choice format (Josephs, 2017). This approach aimed to alleviate any potential stress or pressure associated with formulating a response, thereby minimising </w:t>
      </w:r>
      <w:r w:rsidRPr="00AB3229">
        <w:rPr>
          <w:rFonts w:ascii="Calibri" w:hAnsi="Calibri" w:cs="Calibri"/>
          <w:color w:val="000000" w:themeColor="text1"/>
          <w:sz w:val="22"/>
          <w:szCs w:val="22"/>
        </w:rPr>
        <w:lastRenderedPageBreak/>
        <w:t>the likelihood of inducing worry or panic among the students (</w:t>
      </w:r>
      <w:proofErr w:type="spellStart"/>
      <w:r w:rsidRPr="00AB3229">
        <w:rPr>
          <w:rFonts w:ascii="Calibri" w:hAnsi="Calibri" w:cs="Calibri"/>
          <w:color w:val="000000" w:themeColor="text1"/>
          <w:sz w:val="22"/>
          <w:szCs w:val="22"/>
        </w:rPr>
        <w:t>Fadem</w:t>
      </w:r>
      <w:proofErr w:type="spellEnd"/>
      <w:r w:rsidRPr="00AB3229">
        <w:rPr>
          <w:rFonts w:ascii="Calibri" w:hAnsi="Calibri" w:cs="Calibri"/>
          <w:color w:val="000000" w:themeColor="text1"/>
          <w:sz w:val="22"/>
          <w:szCs w:val="22"/>
        </w:rPr>
        <w:t>, 2008). By offering predefined options seen in Appendix 1, Question 1, participants could readily select their answer by simply circling the most applicable choice. This streamlined method enabled swift and effortless participation, ensuring that the data collected accurately reflected the frequency and intensity of anxiety experienced by the students (</w:t>
      </w:r>
      <w:proofErr w:type="spellStart"/>
      <w:r w:rsidRPr="00AB3229">
        <w:rPr>
          <w:rFonts w:ascii="Calibri" w:hAnsi="Calibri" w:cs="Calibri"/>
          <w:color w:val="000000" w:themeColor="text1"/>
          <w:sz w:val="22"/>
          <w:szCs w:val="22"/>
        </w:rPr>
        <w:t>Fadem</w:t>
      </w:r>
      <w:proofErr w:type="spellEnd"/>
      <w:r w:rsidRPr="00AB3229">
        <w:rPr>
          <w:rFonts w:ascii="Calibri" w:hAnsi="Calibri" w:cs="Calibri"/>
          <w:color w:val="000000" w:themeColor="text1"/>
          <w:sz w:val="22"/>
          <w:szCs w:val="22"/>
        </w:rPr>
        <w:t xml:space="preserve">, 2008). </w:t>
      </w:r>
    </w:p>
    <w:p w14:paraId="1315919E"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To accommodate participants with ALN, the questions were structured to enhance comprehension. In Appendix A, the language is intentionally simplified and presented in an easy-to-follow manner. The page design is tailored to be dyslexia-friendly, featuring a yellow background</w:t>
      </w:r>
      <w:r>
        <w:rPr>
          <w:rFonts w:ascii="Calibri" w:hAnsi="Calibri" w:cs="Calibri"/>
          <w:color w:val="000000" w:themeColor="text1"/>
          <w:sz w:val="22"/>
          <w:szCs w:val="22"/>
        </w:rPr>
        <w:t xml:space="preserve"> when printing</w:t>
      </w:r>
      <w:r w:rsidRPr="00AB3229">
        <w:rPr>
          <w:rFonts w:ascii="Calibri" w:hAnsi="Calibri" w:cs="Calibri"/>
          <w:color w:val="000000" w:themeColor="text1"/>
          <w:sz w:val="22"/>
          <w:szCs w:val="22"/>
        </w:rPr>
        <w:t>, larger font size, and provided example answers for each question (</w:t>
      </w:r>
      <w:proofErr w:type="spellStart"/>
      <w:r w:rsidRPr="00AB3229">
        <w:rPr>
          <w:rFonts w:ascii="Calibri" w:hAnsi="Calibri" w:cs="Calibri"/>
          <w:color w:val="000000" w:themeColor="text1"/>
          <w:sz w:val="22"/>
          <w:szCs w:val="22"/>
        </w:rPr>
        <w:t>MacIntyre</w:t>
      </w:r>
      <w:proofErr w:type="spellEnd"/>
      <w:r w:rsidRPr="00AB3229">
        <w:rPr>
          <w:rFonts w:ascii="Calibri" w:hAnsi="Calibri" w:cs="Calibri"/>
          <w:color w:val="000000" w:themeColor="text1"/>
          <w:sz w:val="22"/>
          <w:szCs w:val="22"/>
        </w:rPr>
        <w:t xml:space="preserve">, 2005). The questions were customised to extract valuable insights into the operation of the mentor class and to ascertain its effectiveness in benefiting the students. Inquiring about the students’ relationship with the teacher was essential, as negative responses could indicate potential challenges that might impact their engagement and performance in the class (Ellis and Tod, 2018). Understanding these dynamics provided crucial context for evaluating the class’s overall impact and effectiveness. </w:t>
      </w:r>
    </w:p>
    <w:p w14:paraId="3D8016B7" w14:textId="77777777" w:rsidR="00BC4AB1" w:rsidRPr="00AB3229" w:rsidRDefault="00BC4AB1" w:rsidP="00BC4AB1">
      <w:pPr>
        <w:pStyle w:val="NormalWeb"/>
        <w:spacing w:line="480" w:lineRule="auto"/>
        <w:rPr>
          <w:rFonts w:ascii="Calibri" w:hAnsi="Calibri" w:cs="Calibri"/>
          <w:color w:val="000000" w:themeColor="text1"/>
          <w:sz w:val="22"/>
          <w:szCs w:val="22"/>
        </w:rPr>
      </w:pPr>
    </w:p>
    <w:p w14:paraId="75F44CC9" w14:textId="77777777" w:rsidR="00BC4AB1" w:rsidRPr="00AB3229" w:rsidRDefault="00BC4AB1" w:rsidP="00BC4AB1">
      <w:pPr>
        <w:pStyle w:val="NormalWeb"/>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t>Observation</w:t>
      </w:r>
    </w:p>
    <w:p w14:paraId="3832A0D9"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In addition to this, observations provide valuable qualitative data by directly observing participants’ behaviours and interactions within their natural environment (Jorgensen, 1989). Creswell (2014) suggests the strengths of this method include capturing authentic, real-time behaviour and context-rich data. However, limitations may arise from observer bias and the potential influence of the observer on participants’ behaviour (Creswell, 2014). </w:t>
      </w:r>
    </w:p>
    <w:p w14:paraId="095178FB" w14:textId="77777777" w:rsidR="00BC4AB1" w:rsidRPr="00AB3229" w:rsidRDefault="00BC4AB1" w:rsidP="00BC4AB1">
      <w:pPr>
        <w:pStyle w:val="NormalWeb"/>
        <w:spacing w:line="480" w:lineRule="auto"/>
        <w:rPr>
          <w:rFonts w:ascii="Calibri" w:hAnsi="Calibri" w:cs="Calibri"/>
          <w:color w:val="ECECEC"/>
          <w:sz w:val="22"/>
          <w:szCs w:val="22"/>
          <w:shd w:val="clear" w:color="auto" w:fill="212121"/>
        </w:rPr>
      </w:pPr>
      <w:r w:rsidRPr="00AB3229">
        <w:rPr>
          <w:rFonts w:ascii="Calibri" w:hAnsi="Calibri" w:cs="Calibri"/>
          <w:color w:val="000000" w:themeColor="text1"/>
          <w:sz w:val="22"/>
          <w:szCs w:val="22"/>
        </w:rPr>
        <w:t xml:space="preserve">The observation schedule involved conducting five observations of the morning mentor class, focusing on participant interactions, engagement levels, and any contextual factors influencing the </w:t>
      </w:r>
      <w:r w:rsidRPr="00AB3229">
        <w:rPr>
          <w:rFonts w:ascii="Calibri" w:hAnsi="Calibri" w:cs="Calibri"/>
          <w:color w:val="000000" w:themeColor="text1"/>
          <w:sz w:val="22"/>
          <w:szCs w:val="22"/>
        </w:rPr>
        <w:lastRenderedPageBreak/>
        <w:t>learning environment (Hattie, 2012). This schedule aimed to capture a representative sample of class dynamics and behaviours over multiple sessions. Appendix B presents the observational notes, a pivotal component of the research process owing to its informal nature. These observations shed light on various aspects of the classroom dynamic. While some students demonstrated active engagement with the lesson content, actively participating and posing questions, a recurring pattern emerged regarding the disruptive influence of mobile phones. This distraction compromised students’ ability to fully absorb vital information pertaining to well-being, consequently affecting their focus and involvement in the class activities (</w:t>
      </w:r>
      <w:proofErr w:type="spellStart"/>
      <w:r w:rsidRPr="00AB3229">
        <w:rPr>
          <w:rFonts w:ascii="Calibri" w:hAnsi="Calibri" w:cs="Calibri"/>
          <w:color w:val="000000" w:themeColor="text1"/>
          <w:sz w:val="22"/>
          <w:szCs w:val="22"/>
        </w:rPr>
        <w:t>Kersting</w:t>
      </w:r>
      <w:proofErr w:type="spellEnd"/>
      <w:r w:rsidRPr="00AB3229">
        <w:rPr>
          <w:rFonts w:ascii="Calibri" w:hAnsi="Calibri" w:cs="Calibri"/>
          <w:color w:val="000000" w:themeColor="text1"/>
          <w:sz w:val="22"/>
          <w:szCs w:val="22"/>
        </w:rPr>
        <w:t xml:space="preserve">, 2016). Emphasising the detrimental effects of excessive phone use on children’s attention spans, academic performance, and overall well-being, </w:t>
      </w:r>
      <w:proofErr w:type="spellStart"/>
      <w:r w:rsidRPr="00AB3229">
        <w:rPr>
          <w:rFonts w:ascii="Calibri" w:hAnsi="Calibri" w:cs="Calibri"/>
          <w:color w:val="000000" w:themeColor="text1"/>
          <w:sz w:val="22"/>
          <w:szCs w:val="22"/>
        </w:rPr>
        <w:t>Kerstring</w:t>
      </w:r>
      <w:proofErr w:type="spellEnd"/>
      <w:r w:rsidRPr="00AB3229">
        <w:rPr>
          <w:rFonts w:ascii="Calibri" w:hAnsi="Calibri" w:cs="Calibri"/>
          <w:color w:val="000000" w:themeColor="text1"/>
          <w:sz w:val="22"/>
          <w:szCs w:val="22"/>
        </w:rPr>
        <w:t xml:space="preserve"> (2016) argues how smartphones are disrupting classroom dynamics and hinder students’ ability to engage fully in learning activities. It was observed that during the mentor class, students primarily engaged in passive activities such as listening to the teacher’s discussion on daily well-being focus words and watching uplifting videos, without much opportunity for active participation or discussion. Given that the morning mentor class is only 25 minutes long and serves as the students’ initial point of contact upon arriving at school, it is acknowledged that time constraints limit the scope for extensive activities. A conversation with the teacher revealed her mindfulness regarding the potentially challenging mornings some students may have experienced, prompting her to maintain a light and informal atmosphere to provide a safe space for relaxation before the start of lessons. The informal approach has proven effective in calming the students and positively impacting their well-being. However, despite these efforts, the issue of phone distraction persists. </w:t>
      </w:r>
    </w:p>
    <w:p w14:paraId="159AE7FD" w14:textId="77777777" w:rsidR="00BC4AB1" w:rsidRPr="00AB3229" w:rsidRDefault="00BC4AB1" w:rsidP="00BC4AB1">
      <w:pPr>
        <w:pStyle w:val="NormalWeb"/>
        <w:spacing w:line="480" w:lineRule="auto"/>
        <w:rPr>
          <w:rFonts w:ascii="Calibri" w:hAnsi="Calibri" w:cs="Calibri"/>
          <w:color w:val="000000" w:themeColor="text1"/>
          <w:sz w:val="22"/>
          <w:szCs w:val="22"/>
        </w:rPr>
      </w:pPr>
    </w:p>
    <w:p w14:paraId="72C28E3A" w14:textId="77777777" w:rsidR="00BC4AB1" w:rsidRPr="00AB3229" w:rsidRDefault="00BC4AB1" w:rsidP="00BC4AB1">
      <w:pPr>
        <w:pStyle w:val="NormalWeb"/>
        <w:spacing w:line="480" w:lineRule="auto"/>
        <w:rPr>
          <w:rFonts w:ascii="Calibri" w:hAnsi="Calibri" w:cs="Calibri"/>
          <w:color w:val="000000" w:themeColor="text1"/>
          <w:sz w:val="22"/>
          <w:szCs w:val="22"/>
        </w:rPr>
      </w:pPr>
    </w:p>
    <w:p w14:paraId="2CD7458D" w14:textId="77777777" w:rsidR="00BC4AB1" w:rsidRPr="00AB3229" w:rsidRDefault="00BC4AB1" w:rsidP="00BC4AB1">
      <w:pPr>
        <w:pStyle w:val="NormalWeb"/>
        <w:spacing w:line="480" w:lineRule="auto"/>
        <w:rPr>
          <w:rFonts w:ascii="Calibri" w:hAnsi="Calibri" w:cs="Calibri"/>
          <w:color w:val="000000" w:themeColor="text1"/>
          <w:sz w:val="22"/>
          <w:szCs w:val="22"/>
        </w:rPr>
      </w:pPr>
    </w:p>
    <w:p w14:paraId="5993FD13" w14:textId="77777777" w:rsidR="00BC4AB1" w:rsidRPr="00AB3229" w:rsidRDefault="00BC4AB1" w:rsidP="00BC4AB1">
      <w:pPr>
        <w:pStyle w:val="NormalWeb"/>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lastRenderedPageBreak/>
        <w:t xml:space="preserve">Informal interviews </w:t>
      </w:r>
    </w:p>
    <w:p w14:paraId="1D60AD5A"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Informal interviews and conversations offer an opportunity for more in-depth exploration of participants’ perspectives and experiences, whilst also allowing for flexibility in questioning that can expose valuable insights (Cohen et al., 2013). In addition to the constraints of the other methods, there’s the potential for interview bias and subjective interpretation of responses that could also occur in this approach (</w:t>
      </w:r>
      <w:proofErr w:type="spellStart"/>
      <w:r w:rsidRPr="00AB3229">
        <w:rPr>
          <w:rFonts w:ascii="Calibri" w:hAnsi="Calibri" w:cs="Calibri"/>
          <w:color w:val="000000" w:themeColor="text1"/>
          <w:sz w:val="22"/>
          <w:szCs w:val="22"/>
        </w:rPr>
        <w:t>Pajo</w:t>
      </w:r>
      <w:proofErr w:type="spellEnd"/>
      <w:r w:rsidRPr="00AB3229">
        <w:rPr>
          <w:rFonts w:ascii="Calibri" w:hAnsi="Calibri" w:cs="Calibri"/>
          <w:color w:val="000000" w:themeColor="text1"/>
          <w:sz w:val="22"/>
          <w:szCs w:val="22"/>
        </w:rPr>
        <w:t xml:space="preserve">, 2017). </w:t>
      </w:r>
    </w:p>
    <w:p w14:paraId="20E71B4E"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eastAsia="Times New Roman" w:hAnsi="Calibri" w:cs="Calibri"/>
          <w:color w:val="000000" w:themeColor="text1"/>
          <w:kern w:val="0"/>
          <w:sz w:val="22"/>
          <w:szCs w:val="22"/>
          <w:lang w:eastAsia="en-GB"/>
          <w14:ligatures w14:val="none"/>
        </w:rPr>
        <w:t xml:space="preserve">Informal interviews </w:t>
      </w:r>
      <w:r w:rsidRPr="00AB3229">
        <w:rPr>
          <w:rFonts w:ascii="Calibri" w:hAnsi="Calibri" w:cs="Calibri"/>
          <w:color w:val="000000" w:themeColor="text1"/>
          <w:sz w:val="22"/>
          <w:szCs w:val="22"/>
        </w:rPr>
        <w:t>and conversations were conducted with all participants during the mentor class sessions. Questions were designed to explore participants' perceptions of the class, their experiences with their teacher, and any challenges they faced. These discussions were open-ended, granting participants the opportunity to openly express their thoughts and feelings (Gupta 2023). Recognising the sensitivity of discussing anxiety and well-being with teenagers, it was decided that conversations would not be recorded live using a laptop or pen and paper to create a more comfortable environment for the students, given the personal nature of these topics (</w:t>
      </w:r>
      <w:proofErr w:type="spellStart"/>
      <w:r w:rsidRPr="00AB3229">
        <w:rPr>
          <w:rFonts w:ascii="Calibri" w:hAnsi="Calibri" w:cs="Calibri"/>
          <w:color w:val="000000" w:themeColor="text1"/>
          <w:sz w:val="22"/>
          <w:szCs w:val="22"/>
        </w:rPr>
        <w:t>Huberty</w:t>
      </w:r>
      <w:proofErr w:type="spellEnd"/>
      <w:r w:rsidRPr="00AB3229">
        <w:rPr>
          <w:rFonts w:ascii="Calibri" w:hAnsi="Calibri" w:cs="Calibri"/>
          <w:color w:val="000000" w:themeColor="text1"/>
          <w:sz w:val="22"/>
          <w:szCs w:val="22"/>
        </w:rPr>
        <w:t xml:space="preserve">, 2012). Conducting informal interviews proved to be a valuable approach, as students voiced that they felt at ease and spoke freely, demonstrating a clear understanding of the research project’s objectives. Establishing rapport with the students before these discussions was essential for developing trust and enabling them to feel comfortable opening up to the researcher (Dix, 2017). </w:t>
      </w:r>
    </w:p>
    <w:p w14:paraId="5D0F4F5C" w14:textId="77777777" w:rsidR="00BC4AB1" w:rsidRPr="00AB3229" w:rsidRDefault="00BC4AB1" w:rsidP="00BC4AB1">
      <w:pPr>
        <w:spacing w:line="480" w:lineRule="auto"/>
        <w:rPr>
          <w:rFonts w:ascii="Calibri" w:eastAsia="Times New Roman" w:hAnsi="Calibri" w:cs="Calibri"/>
          <w:color w:val="000000" w:themeColor="text1"/>
          <w:kern w:val="0"/>
          <w:sz w:val="22"/>
          <w:szCs w:val="22"/>
          <w:lang w:eastAsia="en-GB"/>
          <w14:ligatures w14:val="none"/>
        </w:rPr>
      </w:pPr>
    </w:p>
    <w:p w14:paraId="2F6455F6" w14:textId="77777777" w:rsidR="00BC4AB1" w:rsidRPr="00AB3229" w:rsidRDefault="00BC4AB1" w:rsidP="00BC4AB1">
      <w:pPr>
        <w:spacing w:line="480" w:lineRule="auto"/>
        <w:rPr>
          <w:rFonts w:ascii="Calibri" w:eastAsia="Times New Roman" w:hAnsi="Calibri" w:cs="Calibri"/>
          <w:color w:val="000000" w:themeColor="text1"/>
          <w:kern w:val="0"/>
          <w:sz w:val="22"/>
          <w:szCs w:val="22"/>
          <w:lang w:eastAsia="en-GB"/>
          <w14:ligatures w14:val="none"/>
        </w:rPr>
      </w:pPr>
    </w:p>
    <w:p w14:paraId="37429A88" w14:textId="77777777" w:rsidR="00BC4AB1" w:rsidRPr="00AB3229" w:rsidRDefault="00BC4AB1" w:rsidP="00BC4AB1">
      <w:pPr>
        <w:spacing w:line="480" w:lineRule="auto"/>
        <w:rPr>
          <w:rFonts w:ascii="Calibri" w:hAnsi="Calibri" w:cs="Calibri"/>
          <w:i/>
          <w:iCs/>
          <w:color w:val="000000" w:themeColor="text1"/>
          <w:sz w:val="22"/>
          <w:szCs w:val="22"/>
        </w:rPr>
      </w:pPr>
      <w:r w:rsidRPr="00AB3229">
        <w:rPr>
          <w:rFonts w:ascii="Calibri" w:hAnsi="Calibri" w:cs="Calibri"/>
          <w:i/>
          <w:iCs/>
          <w:color w:val="000000" w:themeColor="text1"/>
          <w:sz w:val="22"/>
          <w:szCs w:val="22"/>
        </w:rPr>
        <w:t>Overall</w:t>
      </w:r>
      <w:r w:rsidRPr="00AB3229">
        <w:rPr>
          <w:rFonts w:ascii="Calibri" w:hAnsi="Calibri" w:cs="Calibri"/>
          <w:i/>
          <w:iCs/>
          <w:color w:val="000000" w:themeColor="text1"/>
          <w:sz w:val="22"/>
          <w:szCs w:val="22"/>
        </w:rPr>
        <w:br/>
      </w:r>
    </w:p>
    <w:p w14:paraId="112F16EB"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Some intervention meetings disrupted the allocated time for the mentor class, potentially impacting the regular flow of classroom activities. Moreover, absences among the students posed a challenge, potentially disrupting the continuity of the intervention and the data collection process. Additionally, the volatile nature of hormonal changes and the daily fluctuations in the opinions of teenagers </w:t>
      </w:r>
      <w:r w:rsidRPr="00AB3229">
        <w:rPr>
          <w:rFonts w:ascii="Calibri" w:hAnsi="Calibri" w:cs="Calibri"/>
          <w:color w:val="000000" w:themeColor="text1"/>
          <w:sz w:val="22"/>
          <w:szCs w:val="22"/>
        </w:rPr>
        <w:lastRenderedPageBreak/>
        <w:t>introduced an element of unpredictability into the study environment (Coleman et al., 2007). Conflict within friendship groups emerged as a significant barrier, hindering the students’ willingness to engage fully in the research activities. To mitigate these challenges, the researcher implemented strategies such as providing regular breaks and opportunities for mediation, aiming to create a supportive and conducive atmosphere for participation (Hart and Hodson, 2004). Overall, these various factors highlight the importance of flexibility and adaptability in research methodologies, particularly when working with adolescent populations facing diverse socio-emotional and developmental challenges (Jensen and Nutt, 2016). These factors were considered in the design and implementation of data collection methods to ensure their appropriateness and effectiveness in capturing the experiences of the participants (Cohen et al., 2013).</w:t>
      </w:r>
    </w:p>
    <w:p w14:paraId="568F0219" w14:textId="77777777" w:rsidR="00BC4AB1" w:rsidRPr="00AB3229" w:rsidRDefault="00BC4AB1" w:rsidP="00BC4AB1">
      <w:pPr>
        <w:spacing w:line="480" w:lineRule="auto"/>
        <w:rPr>
          <w:rFonts w:ascii="Calibri" w:hAnsi="Calibri" w:cs="Calibri"/>
          <w:color w:val="000000" w:themeColor="text1"/>
          <w:sz w:val="22"/>
          <w:szCs w:val="22"/>
        </w:rPr>
      </w:pPr>
    </w:p>
    <w:p w14:paraId="475052EC" w14:textId="77777777" w:rsidR="00BC4AB1" w:rsidRPr="00AB3229" w:rsidRDefault="00BC4AB1" w:rsidP="00BC4AB1">
      <w:pPr>
        <w:spacing w:line="480" w:lineRule="auto"/>
        <w:jc w:val="center"/>
        <w:rPr>
          <w:rFonts w:ascii="Calibri" w:hAnsi="Calibri" w:cs="Calibri"/>
          <w:sz w:val="22"/>
          <w:szCs w:val="22"/>
          <w:u w:val="single"/>
        </w:rPr>
      </w:pPr>
    </w:p>
    <w:p w14:paraId="6F89F967" w14:textId="77777777" w:rsidR="00BC4AB1" w:rsidRPr="00AB3229" w:rsidRDefault="00BC4AB1" w:rsidP="00BC4AB1">
      <w:pPr>
        <w:spacing w:line="480" w:lineRule="auto"/>
        <w:jc w:val="center"/>
        <w:rPr>
          <w:rFonts w:ascii="Calibri" w:hAnsi="Calibri" w:cs="Calibri"/>
          <w:sz w:val="22"/>
          <w:szCs w:val="22"/>
          <w:u w:val="single"/>
        </w:rPr>
      </w:pPr>
    </w:p>
    <w:p w14:paraId="1B31E42C" w14:textId="77777777" w:rsidR="00BC4AB1" w:rsidRPr="00AB3229" w:rsidRDefault="00BC4AB1" w:rsidP="00BC4AB1">
      <w:pPr>
        <w:spacing w:line="480" w:lineRule="auto"/>
        <w:jc w:val="center"/>
        <w:rPr>
          <w:rFonts w:ascii="Calibri" w:hAnsi="Calibri" w:cs="Calibri"/>
          <w:sz w:val="22"/>
          <w:szCs w:val="22"/>
          <w:u w:val="single"/>
        </w:rPr>
      </w:pPr>
    </w:p>
    <w:p w14:paraId="640B3A48" w14:textId="77777777" w:rsidR="00BC4AB1" w:rsidRPr="00AB3229" w:rsidRDefault="00BC4AB1" w:rsidP="00BC4AB1">
      <w:pPr>
        <w:spacing w:line="480" w:lineRule="auto"/>
        <w:jc w:val="center"/>
        <w:rPr>
          <w:rFonts w:ascii="Calibri" w:hAnsi="Calibri" w:cs="Calibri"/>
          <w:sz w:val="22"/>
          <w:szCs w:val="22"/>
          <w:u w:val="single"/>
        </w:rPr>
      </w:pPr>
    </w:p>
    <w:p w14:paraId="1DC7D53E" w14:textId="77777777" w:rsidR="00BC4AB1" w:rsidRPr="00AB3229" w:rsidRDefault="00BC4AB1" w:rsidP="00BC4AB1">
      <w:pPr>
        <w:spacing w:line="480" w:lineRule="auto"/>
        <w:jc w:val="center"/>
        <w:rPr>
          <w:rFonts w:ascii="Calibri" w:hAnsi="Calibri" w:cs="Calibri"/>
          <w:sz w:val="22"/>
          <w:szCs w:val="22"/>
          <w:u w:val="single"/>
        </w:rPr>
      </w:pPr>
    </w:p>
    <w:p w14:paraId="164C7362" w14:textId="77777777" w:rsidR="00BC4AB1" w:rsidRPr="00AB3229" w:rsidRDefault="00BC4AB1" w:rsidP="00BC4AB1">
      <w:pPr>
        <w:spacing w:line="480" w:lineRule="auto"/>
        <w:jc w:val="center"/>
        <w:rPr>
          <w:rFonts w:ascii="Calibri" w:hAnsi="Calibri" w:cs="Calibri"/>
          <w:sz w:val="22"/>
          <w:szCs w:val="22"/>
          <w:u w:val="single"/>
        </w:rPr>
      </w:pPr>
    </w:p>
    <w:p w14:paraId="0DF33180" w14:textId="77777777" w:rsidR="00BC4AB1" w:rsidRPr="00AB3229" w:rsidRDefault="00BC4AB1" w:rsidP="00BC4AB1">
      <w:pPr>
        <w:spacing w:line="480" w:lineRule="auto"/>
        <w:jc w:val="center"/>
        <w:rPr>
          <w:rFonts w:ascii="Calibri" w:hAnsi="Calibri" w:cs="Calibri"/>
          <w:sz w:val="22"/>
          <w:szCs w:val="22"/>
          <w:u w:val="single"/>
        </w:rPr>
      </w:pPr>
    </w:p>
    <w:p w14:paraId="45BEA622" w14:textId="77777777" w:rsidR="00BC4AB1" w:rsidRPr="00AB3229" w:rsidRDefault="00BC4AB1" w:rsidP="00BC4AB1">
      <w:pPr>
        <w:spacing w:line="480" w:lineRule="auto"/>
        <w:jc w:val="center"/>
        <w:rPr>
          <w:rFonts w:ascii="Calibri" w:hAnsi="Calibri" w:cs="Calibri"/>
          <w:sz w:val="22"/>
          <w:szCs w:val="22"/>
          <w:u w:val="single"/>
        </w:rPr>
      </w:pPr>
    </w:p>
    <w:p w14:paraId="3DF84DC1" w14:textId="77777777" w:rsidR="00BC4AB1" w:rsidRPr="00AB3229" w:rsidRDefault="00BC4AB1" w:rsidP="00BC4AB1">
      <w:pPr>
        <w:spacing w:line="480" w:lineRule="auto"/>
        <w:jc w:val="center"/>
        <w:rPr>
          <w:rFonts w:ascii="Calibri" w:hAnsi="Calibri" w:cs="Calibri"/>
          <w:sz w:val="22"/>
          <w:szCs w:val="22"/>
          <w:u w:val="single"/>
        </w:rPr>
      </w:pPr>
    </w:p>
    <w:p w14:paraId="79CBB210" w14:textId="77777777" w:rsidR="00BC4AB1" w:rsidRPr="00AB3229" w:rsidRDefault="00BC4AB1" w:rsidP="00BC4AB1">
      <w:pPr>
        <w:spacing w:line="480" w:lineRule="auto"/>
        <w:jc w:val="center"/>
        <w:rPr>
          <w:rFonts w:ascii="Calibri" w:hAnsi="Calibri" w:cs="Calibri"/>
          <w:sz w:val="22"/>
          <w:szCs w:val="22"/>
          <w:u w:val="single"/>
        </w:rPr>
      </w:pPr>
    </w:p>
    <w:p w14:paraId="167AFE8F" w14:textId="77777777" w:rsidR="00BC4AB1" w:rsidRPr="00AB3229" w:rsidRDefault="00BC4AB1" w:rsidP="00BC4AB1">
      <w:pPr>
        <w:spacing w:line="480" w:lineRule="auto"/>
        <w:jc w:val="center"/>
        <w:rPr>
          <w:rFonts w:ascii="Calibri" w:hAnsi="Calibri" w:cs="Calibri"/>
          <w:sz w:val="22"/>
          <w:szCs w:val="22"/>
          <w:u w:val="single"/>
        </w:rPr>
      </w:pPr>
    </w:p>
    <w:p w14:paraId="07847969" w14:textId="77777777" w:rsidR="00BC4AB1" w:rsidRPr="00AB3229" w:rsidRDefault="00BC4AB1" w:rsidP="00BC4AB1">
      <w:pPr>
        <w:spacing w:line="480" w:lineRule="auto"/>
        <w:jc w:val="center"/>
        <w:rPr>
          <w:rFonts w:ascii="Calibri" w:hAnsi="Calibri" w:cs="Calibri"/>
          <w:sz w:val="22"/>
          <w:szCs w:val="22"/>
          <w:u w:val="single"/>
        </w:rPr>
      </w:pPr>
    </w:p>
    <w:p w14:paraId="0032733C" w14:textId="77777777" w:rsidR="00BC4AB1" w:rsidRPr="00AB3229" w:rsidRDefault="00BC4AB1" w:rsidP="00BC4AB1">
      <w:pPr>
        <w:spacing w:line="480" w:lineRule="auto"/>
        <w:jc w:val="center"/>
        <w:rPr>
          <w:rFonts w:ascii="Calibri" w:hAnsi="Calibri" w:cs="Calibri"/>
          <w:sz w:val="22"/>
          <w:szCs w:val="22"/>
          <w:u w:val="single"/>
        </w:rPr>
      </w:pPr>
    </w:p>
    <w:p w14:paraId="2A7B8037" w14:textId="77777777" w:rsidR="00BC4AB1" w:rsidRPr="00AB3229" w:rsidRDefault="00BC4AB1" w:rsidP="00BC4AB1">
      <w:pPr>
        <w:spacing w:line="480" w:lineRule="auto"/>
        <w:jc w:val="center"/>
        <w:rPr>
          <w:rFonts w:ascii="Calibri" w:hAnsi="Calibri" w:cs="Calibri"/>
          <w:sz w:val="22"/>
          <w:szCs w:val="22"/>
          <w:u w:val="single"/>
        </w:rPr>
      </w:pPr>
    </w:p>
    <w:p w14:paraId="5EF29965" w14:textId="77777777" w:rsidR="00BC4AB1" w:rsidRPr="00AB3229" w:rsidRDefault="00BC4AB1" w:rsidP="00BC4AB1">
      <w:pPr>
        <w:spacing w:line="480" w:lineRule="auto"/>
        <w:jc w:val="center"/>
        <w:rPr>
          <w:rFonts w:ascii="Calibri" w:hAnsi="Calibri" w:cs="Calibri"/>
          <w:sz w:val="22"/>
          <w:szCs w:val="22"/>
          <w:u w:val="single"/>
        </w:rPr>
      </w:pPr>
    </w:p>
    <w:p w14:paraId="1BF390A2"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 xml:space="preserve">Data Presentation </w:t>
      </w:r>
    </w:p>
    <w:p w14:paraId="6A0061A1" w14:textId="77777777" w:rsidR="00BC4AB1" w:rsidRPr="00AB3229" w:rsidRDefault="00BC4AB1" w:rsidP="00BC4AB1">
      <w:pPr>
        <w:spacing w:line="480" w:lineRule="auto"/>
        <w:jc w:val="center"/>
        <w:rPr>
          <w:rFonts w:ascii="Calibri" w:hAnsi="Calibri" w:cs="Calibri"/>
          <w:sz w:val="22"/>
          <w:szCs w:val="22"/>
          <w:u w:val="single"/>
        </w:rPr>
      </w:pPr>
    </w:p>
    <w:p w14:paraId="2BAE41F8" w14:textId="77777777" w:rsidR="00BC4AB1" w:rsidRPr="00AB3229" w:rsidRDefault="00BC4AB1" w:rsidP="00BC4AB1">
      <w:pPr>
        <w:spacing w:line="480" w:lineRule="auto"/>
        <w:rPr>
          <w:rFonts w:ascii="Calibri" w:hAnsi="Calibri" w:cs="Calibri"/>
          <w:sz w:val="22"/>
          <w:szCs w:val="22"/>
        </w:rPr>
      </w:pPr>
      <w:r w:rsidRPr="00AB3229">
        <w:rPr>
          <w:rFonts w:ascii="Calibri" w:hAnsi="Calibri" w:cs="Calibri"/>
          <w:sz w:val="22"/>
          <w:szCs w:val="22"/>
        </w:rPr>
        <w:t xml:space="preserve">The results below highlight the effectiveness and challenges associated with the daily 25-minute morning mentor class aimed at improving students’ well-being. Firstly, the high percentage of students leaving the class feeling happier (77%) and looking forward to it (83%) suggests that the class is generally perceived positively by a significant portion of the student body. This indicated that the class is fulfilling its intended purpose of creating a positive and welcoming atmosphere. </w:t>
      </w:r>
    </w:p>
    <w:p w14:paraId="572590D2"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sz w:val="22"/>
          <w:szCs w:val="22"/>
        </w:rPr>
        <w:t>However</w:t>
      </w:r>
      <w:r w:rsidRPr="00AB3229">
        <w:rPr>
          <w:rFonts w:ascii="Calibri" w:hAnsi="Calibri" w:cs="Calibri"/>
          <w:color w:val="000000" w:themeColor="text1"/>
          <w:sz w:val="22"/>
          <w:szCs w:val="22"/>
        </w:rPr>
        <w:t>, the fact that 79% of students feel there are distractions during the class, and mobile phones were noted as a significant distraction, raises concerns about the learning environment's effectiveness. Distractions could hinder students' ability to engage fully with the class content and could potentially detract from the overall impact of the mentor class on students' well-being (</w:t>
      </w:r>
      <w:proofErr w:type="spellStart"/>
      <w:r w:rsidRPr="00AB3229">
        <w:rPr>
          <w:rFonts w:ascii="Calibri" w:hAnsi="Calibri" w:cs="Calibri"/>
          <w:color w:val="000000" w:themeColor="text1"/>
          <w:sz w:val="22"/>
          <w:szCs w:val="22"/>
        </w:rPr>
        <w:t>Kersting</w:t>
      </w:r>
      <w:proofErr w:type="spellEnd"/>
      <w:r w:rsidRPr="00AB3229">
        <w:rPr>
          <w:rFonts w:ascii="Calibri" w:hAnsi="Calibri" w:cs="Calibri"/>
          <w:color w:val="000000" w:themeColor="text1"/>
          <w:sz w:val="22"/>
          <w:szCs w:val="22"/>
        </w:rPr>
        <w:t xml:space="preserve">, 2016). </w:t>
      </w:r>
    </w:p>
    <w:p w14:paraId="5731BE4D" w14:textId="77777777" w:rsidR="00BC4AB1" w:rsidRPr="00AB3229" w:rsidRDefault="00BC4AB1" w:rsidP="00BC4AB1">
      <w:pPr>
        <w:spacing w:line="480" w:lineRule="auto"/>
        <w:rPr>
          <w:rFonts w:ascii="Calibri" w:hAnsi="Calibri" w:cs="Calibri"/>
          <w:color w:val="000000" w:themeColor="text1"/>
          <w:sz w:val="22"/>
          <w:szCs w:val="22"/>
        </w:rPr>
      </w:pPr>
    </w:p>
    <w:p w14:paraId="2A5E6D09"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Additionally, while it's promising that 44% of students are learning coping strategies to deal with low mental health, the fact that a majority (93%) express a desire for more activities to support their well-being suggests that there may be gaps in the current curriculum or resources provided. This highlights the importance of continually assessing and adapting the content and structure of the mentor class to meet the evolving needs of students (Hattie, 2012). Positive relationships with the teacher (86%) are crucial for creating a supportive and inclusive learning environment (Bennett, 2020). However, the finding that 59% of students actively engage in the lesson raises questions about the effectiveness of the teaching methods or the relevance of the class content to students' interests and needs.</w:t>
      </w:r>
    </w:p>
    <w:p w14:paraId="0389BCAD" w14:textId="77777777" w:rsidR="00BC4AB1" w:rsidRPr="00AB3229" w:rsidRDefault="00BC4AB1" w:rsidP="00BC4AB1">
      <w:pPr>
        <w:spacing w:line="480" w:lineRule="auto"/>
        <w:rPr>
          <w:rFonts w:ascii="Calibri" w:hAnsi="Calibri" w:cs="Calibri"/>
          <w:color w:val="000000" w:themeColor="text1"/>
          <w:sz w:val="22"/>
          <w:szCs w:val="22"/>
        </w:rPr>
      </w:pPr>
    </w:p>
    <w:p w14:paraId="5617FA7C"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Finally, the high percentage (92%) of students feeling judged by their peers when participating in the class is concerning and could negatively impact students' willingness to engage and share openly during discussions or activities (Josephs, 2017). Overall, while the morning mentor class shows </w:t>
      </w:r>
      <w:r w:rsidRPr="00AB3229">
        <w:rPr>
          <w:rFonts w:ascii="Calibri" w:hAnsi="Calibri" w:cs="Calibri"/>
          <w:color w:val="000000" w:themeColor="text1"/>
          <w:sz w:val="22"/>
          <w:szCs w:val="22"/>
        </w:rPr>
        <w:lastRenderedPageBreak/>
        <w:t>promise in improving students' well-being, the results suggest areas for improvement, particularly in addressing distractions, enhancing engagement, and cultivating a more supportive peer environment. Addressing these challenges will be crucial in maximising the class's effectiveness in promoting student well-being (Hart and Hodson, 2004).</w:t>
      </w:r>
    </w:p>
    <w:p w14:paraId="70F14561" w14:textId="77777777" w:rsidR="00BC4AB1" w:rsidRPr="00AB3229" w:rsidRDefault="00BC4AB1" w:rsidP="00BC4AB1">
      <w:pPr>
        <w:spacing w:line="480" w:lineRule="auto"/>
        <w:rPr>
          <w:rFonts w:ascii="Calibri" w:hAnsi="Calibri" w:cs="Calibri"/>
          <w:sz w:val="22"/>
          <w:szCs w:val="22"/>
          <w:u w:val="single"/>
        </w:rPr>
      </w:pPr>
    </w:p>
    <w:p w14:paraId="72FF8E60"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noProof/>
          <w:sz w:val="22"/>
          <w:szCs w:val="22"/>
          <w:u w:val="single"/>
        </w:rPr>
        <w:drawing>
          <wp:inline distT="0" distB="0" distL="0" distR="0" wp14:anchorId="69578549" wp14:editId="5DA12D0A">
            <wp:extent cx="4673600" cy="2374900"/>
            <wp:effectExtent l="0" t="0" r="0" b="0"/>
            <wp:docPr id="1222312154" name="Picture 1" descr="A group of colorful rectangular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12154" name="Picture 1" descr="A group of colorful rectangular object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673600" cy="2374900"/>
                    </a:xfrm>
                    <a:prstGeom prst="rect">
                      <a:avLst/>
                    </a:prstGeom>
                  </pic:spPr>
                </pic:pic>
              </a:graphicData>
            </a:graphic>
          </wp:inline>
        </w:drawing>
      </w:r>
    </w:p>
    <w:p w14:paraId="5105E7B1"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noProof/>
          <w:sz w:val="22"/>
          <w:szCs w:val="22"/>
          <w:u w:val="single"/>
        </w:rPr>
        <w:drawing>
          <wp:inline distT="0" distB="0" distL="0" distR="0" wp14:anchorId="0B49CB94" wp14:editId="2913924E">
            <wp:extent cx="4675546" cy="2341917"/>
            <wp:effectExtent l="0" t="0" r="0" b="0"/>
            <wp:docPr id="12808431" name="Picture 2" descr="A group of colorful rectangular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431" name="Picture 2" descr="A group of colorful rectangular object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97593" cy="2352960"/>
                    </a:xfrm>
                    <a:prstGeom prst="rect">
                      <a:avLst/>
                    </a:prstGeom>
                  </pic:spPr>
                </pic:pic>
              </a:graphicData>
            </a:graphic>
          </wp:inline>
        </w:drawing>
      </w:r>
    </w:p>
    <w:p w14:paraId="6A966404" w14:textId="77777777" w:rsidR="00BC4AB1" w:rsidRPr="00AB3229" w:rsidRDefault="00BC4AB1" w:rsidP="00BC4AB1">
      <w:pPr>
        <w:spacing w:line="480" w:lineRule="auto"/>
        <w:rPr>
          <w:rFonts w:ascii="Calibri" w:hAnsi="Calibri" w:cs="Calibri"/>
          <w:sz w:val="22"/>
          <w:szCs w:val="22"/>
        </w:rPr>
      </w:pPr>
    </w:p>
    <w:p w14:paraId="2687CAD1" w14:textId="77777777" w:rsidR="00BC4AB1" w:rsidRPr="00AB3229" w:rsidRDefault="00BC4AB1" w:rsidP="00BC4AB1">
      <w:pPr>
        <w:spacing w:line="480" w:lineRule="auto"/>
        <w:rPr>
          <w:rFonts w:ascii="Calibri" w:hAnsi="Calibri" w:cs="Calibri"/>
          <w:sz w:val="22"/>
          <w:szCs w:val="22"/>
        </w:rPr>
      </w:pPr>
    </w:p>
    <w:p w14:paraId="427C73D7" w14:textId="77777777" w:rsidR="00BC4AB1" w:rsidRPr="00AB3229" w:rsidRDefault="00BC4AB1" w:rsidP="00BC4AB1">
      <w:pPr>
        <w:spacing w:line="480" w:lineRule="auto"/>
        <w:rPr>
          <w:rFonts w:ascii="Calibri" w:hAnsi="Calibri" w:cs="Calibri"/>
          <w:sz w:val="22"/>
          <w:szCs w:val="22"/>
        </w:rPr>
      </w:pPr>
    </w:p>
    <w:p w14:paraId="3B74D69F" w14:textId="77777777" w:rsidR="00BC4AB1" w:rsidRPr="00AB3229" w:rsidRDefault="00BC4AB1" w:rsidP="00BC4AB1">
      <w:pPr>
        <w:spacing w:line="480" w:lineRule="auto"/>
        <w:rPr>
          <w:rFonts w:ascii="Calibri" w:hAnsi="Calibri" w:cs="Calibri"/>
          <w:sz w:val="22"/>
          <w:szCs w:val="22"/>
        </w:rPr>
      </w:pPr>
    </w:p>
    <w:p w14:paraId="0C5A7199" w14:textId="77777777" w:rsidR="00BC4AB1" w:rsidRPr="00AB3229" w:rsidRDefault="00BC4AB1" w:rsidP="00BC4AB1">
      <w:pPr>
        <w:spacing w:line="480" w:lineRule="auto"/>
        <w:rPr>
          <w:rFonts w:ascii="Calibri" w:hAnsi="Calibri" w:cs="Calibri"/>
          <w:sz w:val="22"/>
          <w:szCs w:val="22"/>
        </w:rPr>
      </w:pPr>
    </w:p>
    <w:p w14:paraId="04C4BA46" w14:textId="77777777" w:rsidR="00BC4AB1" w:rsidRPr="00AB3229" w:rsidRDefault="00BC4AB1" w:rsidP="00BC4AB1">
      <w:pPr>
        <w:spacing w:line="480" w:lineRule="auto"/>
        <w:jc w:val="center"/>
        <w:rPr>
          <w:rFonts w:ascii="Calibri" w:hAnsi="Calibri" w:cs="Calibri"/>
          <w:sz w:val="22"/>
          <w:szCs w:val="22"/>
          <w:u w:val="single"/>
        </w:rPr>
      </w:pPr>
    </w:p>
    <w:p w14:paraId="0A2AD20B"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Ethical Considerations</w:t>
      </w:r>
    </w:p>
    <w:p w14:paraId="27C8B5D5" w14:textId="77777777" w:rsidR="00BC4AB1" w:rsidRPr="00AB3229" w:rsidRDefault="00BC4AB1" w:rsidP="00BC4AB1">
      <w:pPr>
        <w:spacing w:line="480" w:lineRule="auto"/>
        <w:jc w:val="center"/>
        <w:rPr>
          <w:rFonts w:ascii="Calibri" w:hAnsi="Calibri" w:cs="Calibri"/>
          <w:sz w:val="22"/>
          <w:szCs w:val="22"/>
          <w:u w:val="single"/>
        </w:rPr>
      </w:pPr>
    </w:p>
    <w:p w14:paraId="59F46AF1"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sz w:val="22"/>
          <w:szCs w:val="22"/>
        </w:rPr>
        <w:t xml:space="preserve">Ethical considerations were of utmost importance throughout this research project, as outlined in the Ethics Form provided in the appendices titled Appendix C </w:t>
      </w:r>
      <w:r w:rsidRPr="00AB3229">
        <w:rPr>
          <w:rFonts w:ascii="Calibri" w:hAnsi="Calibri" w:cs="Calibri"/>
          <w:color w:val="000000" w:themeColor="text1"/>
          <w:sz w:val="22"/>
          <w:szCs w:val="22"/>
        </w:rPr>
        <w:t>(Denscombe, 2017)</w:t>
      </w:r>
      <w:r w:rsidRPr="00AB3229">
        <w:rPr>
          <w:rFonts w:ascii="Calibri" w:hAnsi="Calibri" w:cs="Calibri"/>
          <w:sz w:val="22"/>
          <w:szCs w:val="22"/>
        </w:rPr>
        <w:t xml:space="preserve">. </w:t>
      </w:r>
      <w:r w:rsidRPr="00AB3229">
        <w:rPr>
          <w:rFonts w:ascii="Calibri" w:hAnsi="Calibri" w:cs="Calibri"/>
          <w:color w:val="000000" w:themeColor="text1"/>
          <w:sz w:val="22"/>
          <w:szCs w:val="22"/>
        </w:rPr>
        <w:t xml:space="preserve">Prior to participation, a comprehensive discussion was held with all participants to ensure their understanding of the study's procedures and implications. It was emphasised that all information shared would be treated with confidentiality and anonymity, with measures in place to safeguard their privacy (McNiff, 2013). Participants were informed of their right to withdraw from the project at any stage if they felt uncomfortable, without any repercussions. </w:t>
      </w:r>
    </w:p>
    <w:p w14:paraId="10B79318" w14:textId="77777777" w:rsidR="00BC4AB1" w:rsidRPr="00AB3229" w:rsidRDefault="00BC4AB1" w:rsidP="00BC4AB1">
      <w:pPr>
        <w:spacing w:line="480" w:lineRule="auto"/>
        <w:rPr>
          <w:rFonts w:ascii="Calibri" w:hAnsi="Calibri" w:cs="Calibri"/>
          <w:color w:val="000000" w:themeColor="text1"/>
          <w:sz w:val="22"/>
          <w:szCs w:val="22"/>
        </w:rPr>
      </w:pPr>
    </w:p>
    <w:p w14:paraId="6D92B6A4"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Moreover, parental consent was obtained for each student's participation, with parents signing consent forms indicating their understanding and approval of their child's involvement in the study. Additionally, every student provided assent by signing assent forms, demonstrating their voluntary agreement to participate in the research. These measures were implemented to uphold ethical standards and ensure the well-being and autonomy of all participants throughout the research process (Bell and Walters, 2014). The researcher strived to minimise any potential harm or discomfort to participants and conducted the study in a culturally sensitive and inclusive manner, considering diverse perspectives and experiences (May and Perry, 2010). These ethical principles are essential to uphold the integrity of the study while safeguarding the rights and well-being of all participants. </w:t>
      </w:r>
    </w:p>
    <w:p w14:paraId="307590E3" w14:textId="77777777" w:rsidR="00BC4AB1" w:rsidRPr="00AB3229" w:rsidRDefault="00BC4AB1" w:rsidP="00BC4AB1">
      <w:pPr>
        <w:spacing w:line="480" w:lineRule="auto"/>
        <w:rPr>
          <w:rFonts w:ascii="Calibri" w:hAnsi="Calibri" w:cs="Calibri"/>
          <w:color w:val="000000" w:themeColor="text1"/>
          <w:sz w:val="22"/>
          <w:szCs w:val="22"/>
          <w:u w:val="single"/>
        </w:rPr>
      </w:pPr>
    </w:p>
    <w:p w14:paraId="2944301B" w14:textId="77777777" w:rsidR="00BC4AB1" w:rsidRPr="00AB3229" w:rsidRDefault="00BC4AB1" w:rsidP="00BC4AB1">
      <w:pPr>
        <w:spacing w:line="480" w:lineRule="auto"/>
        <w:rPr>
          <w:rFonts w:ascii="Calibri" w:hAnsi="Calibri" w:cs="Calibri"/>
          <w:color w:val="000000" w:themeColor="text1"/>
          <w:sz w:val="22"/>
          <w:szCs w:val="22"/>
          <w:u w:val="single"/>
        </w:rPr>
      </w:pPr>
    </w:p>
    <w:p w14:paraId="37F634E8" w14:textId="77777777" w:rsidR="00BC4AB1" w:rsidRPr="00AB3229" w:rsidRDefault="00BC4AB1" w:rsidP="00BC4AB1">
      <w:pPr>
        <w:spacing w:line="480" w:lineRule="auto"/>
        <w:rPr>
          <w:rFonts w:ascii="Calibri" w:hAnsi="Calibri" w:cs="Calibri"/>
          <w:color w:val="000000" w:themeColor="text1"/>
          <w:sz w:val="22"/>
          <w:szCs w:val="22"/>
          <w:u w:val="single"/>
        </w:rPr>
      </w:pPr>
    </w:p>
    <w:p w14:paraId="7B586B7D" w14:textId="77777777" w:rsidR="00BC4AB1" w:rsidRPr="00AB3229" w:rsidRDefault="00BC4AB1" w:rsidP="00BC4AB1">
      <w:pPr>
        <w:spacing w:line="480" w:lineRule="auto"/>
        <w:rPr>
          <w:rFonts w:ascii="Calibri" w:hAnsi="Calibri" w:cs="Calibri"/>
          <w:color w:val="000000" w:themeColor="text1"/>
          <w:sz w:val="22"/>
          <w:szCs w:val="22"/>
          <w:u w:val="single"/>
        </w:rPr>
      </w:pPr>
    </w:p>
    <w:p w14:paraId="0A2097FE" w14:textId="77777777" w:rsidR="00BC4AB1" w:rsidRPr="00AB3229" w:rsidRDefault="00BC4AB1" w:rsidP="00BC4AB1">
      <w:pPr>
        <w:spacing w:line="480" w:lineRule="auto"/>
        <w:rPr>
          <w:rFonts w:ascii="Calibri" w:hAnsi="Calibri" w:cs="Calibri"/>
          <w:color w:val="000000" w:themeColor="text1"/>
          <w:sz w:val="22"/>
          <w:szCs w:val="22"/>
          <w:u w:val="single"/>
        </w:rPr>
      </w:pPr>
    </w:p>
    <w:p w14:paraId="1F73AF3C" w14:textId="77777777" w:rsidR="00BC4AB1" w:rsidRPr="00AB3229" w:rsidRDefault="00BC4AB1" w:rsidP="00BC4AB1">
      <w:pPr>
        <w:spacing w:line="480" w:lineRule="auto"/>
        <w:rPr>
          <w:rFonts w:ascii="Calibri" w:hAnsi="Calibri" w:cs="Calibri"/>
          <w:sz w:val="22"/>
          <w:szCs w:val="22"/>
          <w:u w:val="single"/>
        </w:rPr>
      </w:pPr>
    </w:p>
    <w:p w14:paraId="341660F9"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Results / Analysis of results / Discussion</w:t>
      </w:r>
    </w:p>
    <w:p w14:paraId="5992F192" w14:textId="77777777" w:rsidR="00BC4AB1" w:rsidRPr="00AB3229" w:rsidRDefault="00BC4AB1" w:rsidP="00BC4AB1">
      <w:pPr>
        <w:spacing w:line="480" w:lineRule="auto"/>
        <w:jc w:val="center"/>
        <w:rPr>
          <w:rFonts w:ascii="Calibri" w:hAnsi="Calibri" w:cs="Calibri"/>
          <w:sz w:val="22"/>
          <w:szCs w:val="22"/>
          <w:u w:val="single"/>
        </w:rPr>
      </w:pPr>
    </w:p>
    <w:p w14:paraId="754A41F5"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sz w:val="22"/>
          <w:szCs w:val="22"/>
        </w:rPr>
        <w:t xml:space="preserve">The data previously presented reveals several key insights into the dynamics of the morning mentor class and its impact on student well-being. Firstly, the high percentage of students reporting distractions during the class, particularly from mobile phones, accentuates the need for strategies to minimise disruptions and enhance student engagement. This finding suggests that interventions to manage phone use during class time may be beneficial in creating a more focused learning environment. Additionally, the significant proportion of students expressing a desire for more activities to support their well-being highlights the importance of incorporating diverse and engaging content into the mentor class curriculum. This aligns with existing literature emphasising the importance of providing students with opportunities for active engagement and skill-building to promote their overall well-being (Shirley and Hargreaves, 2021). </w:t>
      </w:r>
    </w:p>
    <w:p w14:paraId="3CD13EA1"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sz w:val="22"/>
          <w:szCs w:val="22"/>
        </w:rPr>
        <w:t xml:space="preserve">Furthermore, the finding that a majority of students feel judged by their peers during class participation raises concerns about the classroom climate and stresses the importance of encouraging a supportive and inclusive peer environment. This echoes research highlighting the impact of peer relationships on student well-being and academic engagement (Jones, 2022). Overall, the data suggests that there is a need for ongoing efforts to enhance the effectiveness and inclusivity of the morning mentor class, with a focus on minimising distractions, providing meaningful activities, and nurturing positive peer relationships to support student well-being and academic success (Dix, 2017). </w:t>
      </w:r>
    </w:p>
    <w:p w14:paraId="425C6C3F"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sz w:val="22"/>
          <w:szCs w:val="22"/>
        </w:rPr>
        <w:t>Discovering that implementing a strict no-phone policy could significantly enhance student engagement underscores the potential impact of simple interventions on classroom dynamics (</w:t>
      </w:r>
      <w:proofErr w:type="spellStart"/>
      <w:r w:rsidRPr="00AB3229">
        <w:rPr>
          <w:rFonts w:ascii="Calibri" w:hAnsi="Calibri" w:cs="Calibri"/>
          <w:sz w:val="22"/>
          <w:szCs w:val="22"/>
        </w:rPr>
        <w:t>Kersting</w:t>
      </w:r>
      <w:proofErr w:type="spellEnd"/>
      <w:r w:rsidRPr="00AB3229">
        <w:rPr>
          <w:rFonts w:ascii="Calibri" w:hAnsi="Calibri" w:cs="Calibri"/>
          <w:sz w:val="22"/>
          <w:szCs w:val="22"/>
        </w:rPr>
        <w:t xml:space="preserve">, 2016). This finding highlights the importance of proactive measures to mitigate distractions and create an environment conducive to learning. By addressing the issue of mobile </w:t>
      </w:r>
      <w:r w:rsidRPr="00AB3229">
        <w:rPr>
          <w:rFonts w:ascii="Calibri" w:hAnsi="Calibri" w:cs="Calibri"/>
          <w:sz w:val="22"/>
          <w:szCs w:val="22"/>
        </w:rPr>
        <w:lastRenderedPageBreak/>
        <w:t xml:space="preserve">phone use, educators can nurture a more focused and productive learning atmosphere, ultimately enhancing students’ academic performance and overall well-being. Rosen (2018) aligns with this by emphasising the detrimental effects of technology-related distractions on student learning outcomes. Instituting a no-phone policy not only addresses immediate classroom challenges but also contributes to the broader goal of promoting student well-being, success and academic achievement. </w:t>
      </w:r>
    </w:p>
    <w:p w14:paraId="6EB18AD8" w14:textId="77777777" w:rsidR="00BC4AB1" w:rsidRPr="00AB3229" w:rsidRDefault="00BC4AB1" w:rsidP="00BC4AB1">
      <w:pPr>
        <w:pStyle w:val="NormalWeb"/>
        <w:spacing w:line="480" w:lineRule="auto"/>
        <w:rPr>
          <w:rFonts w:ascii="Calibri" w:hAnsi="Calibri" w:cs="Calibri"/>
          <w:sz w:val="22"/>
          <w:szCs w:val="22"/>
        </w:rPr>
      </w:pPr>
    </w:p>
    <w:p w14:paraId="2C287821" w14:textId="77777777" w:rsidR="00BC4AB1" w:rsidRPr="00AB3229" w:rsidRDefault="00BC4AB1" w:rsidP="00BC4AB1">
      <w:pPr>
        <w:pStyle w:val="NormalWeb"/>
        <w:spacing w:line="480" w:lineRule="auto"/>
        <w:rPr>
          <w:rFonts w:ascii="Calibri" w:hAnsi="Calibri" w:cs="Calibri"/>
          <w:sz w:val="22"/>
          <w:szCs w:val="22"/>
        </w:rPr>
      </w:pPr>
    </w:p>
    <w:p w14:paraId="279566FA" w14:textId="77777777" w:rsidR="00BC4AB1" w:rsidRPr="00AB3229" w:rsidRDefault="00BC4AB1" w:rsidP="00BC4AB1">
      <w:pPr>
        <w:pStyle w:val="NormalWeb"/>
        <w:spacing w:line="480" w:lineRule="auto"/>
        <w:rPr>
          <w:rFonts w:ascii="Calibri" w:hAnsi="Calibri" w:cs="Calibri"/>
          <w:sz w:val="22"/>
          <w:szCs w:val="22"/>
        </w:rPr>
      </w:pPr>
    </w:p>
    <w:p w14:paraId="299C4842" w14:textId="77777777" w:rsidR="00BC4AB1" w:rsidRPr="00AB3229" w:rsidRDefault="00BC4AB1" w:rsidP="00BC4AB1">
      <w:pPr>
        <w:pStyle w:val="NormalWeb"/>
        <w:spacing w:line="480" w:lineRule="auto"/>
        <w:rPr>
          <w:rFonts w:ascii="Calibri" w:hAnsi="Calibri" w:cs="Calibri"/>
          <w:sz w:val="22"/>
          <w:szCs w:val="22"/>
        </w:rPr>
      </w:pPr>
    </w:p>
    <w:p w14:paraId="6B8CD1BC" w14:textId="77777777" w:rsidR="00BC4AB1" w:rsidRPr="00AB3229" w:rsidRDefault="00BC4AB1" w:rsidP="00BC4AB1">
      <w:pPr>
        <w:pStyle w:val="NormalWeb"/>
        <w:spacing w:line="480" w:lineRule="auto"/>
        <w:rPr>
          <w:rFonts w:ascii="Calibri" w:hAnsi="Calibri" w:cs="Calibri"/>
          <w:sz w:val="22"/>
          <w:szCs w:val="22"/>
        </w:rPr>
      </w:pPr>
    </w:p>
    <w:p w14:paraId="1456F743" w14:textId="77777777" w:rsidR="00BC4AB1" w:rsidRPr="00AB3229" w:rsidRDefault="00BC4AB1" w:rsidP="00BC4AB1">
      <w:pPr>
        <w:pStyle w:val="NormalWeb"/>
        <w:spacing w:line="480" w:lineRule="auto"/>
        <w:rPr>
          <w:rFonts w:ascii="Calibri" w:hAnsi="Calibri" w:cs="Calibri"/>
          <w:sz w:val="22"/>
          <w:szCs w:val="22"/>
        </w:rPr>
      </w:pPr>
    </w:p>
    <w:p w14:paraId="6758706C" w14:textId="77777777" w:rsidR="00BC4AB1" w:rsidRPr="00AB3229" w:rsidRDefault="00BC4AB1" w:rsidP="00BC4AB1">
      <w:pPr>
        <w:pStyle w:val="NormalWeb"/>
        <w:spacing w:line="480" w:lineRule="auto"/>
        <w:rPr>
          <w:rFonts w:ascii="Calibri" w:hAnsi="Calibri" w:cs="Calibri"/>
          <w:sz w:val="22"/>
          <w:szCs w:val="22"/>
        </w:rPr>
      </w:pPr>
    </w:p>
    <w:p w14:paraId="46DDCA15" w14:textId="77777777" w:rsidR="00BC4AB1" w:rsidRPr="00AB3229" w:rsidRDefault="00BC4AB1" w:rsidP="00BC4AB1">
      <w:pPr>
        <w:pStyle w:val="NormalWeb"/>
        <w:spacing w:line="480" w:lineRule="auto"/>
        <w:rPr>
          <w:rFonts w:ascii="Calibri" w:hAnsi="Calibri" w:cs="Calibri"/>
          <w:sz w:val="22"/>
          <w:szCs w:val="22"/>
        </w:rPr>
      </w:pPr>
    </w:p>
    <w:p w14:paraId="459E6238" w14:textId="77777777" w:rsidR="00BC4AB1" w:rsidRPr="00AB3229" w:rsidRDefault="00BC4AB1" w:rsidP="00BC4AB1">
      <w:pPr>
        <w:pStyle w:val="NormalWeb"/>
        <w:spacing w:line="480" w:lineRule="auto"/>
        <w:rPr>
          <w:rFonts w:ascii="Calibri" w:hAnsi="Calibri" w:cs="Calibri"/>
          <w:sz w:val="22"/>
          <w:szCs w:val="22"/>
        </w:rPr>
      </w:pPr>
    </w:p>
    <w:p w14:paraId="682AC8F8" w14:textId="77777777" w:rsidR="00BC4AB1" w:rsidRPr="00AB3229" w:rsidRDefault="00BC4AB1" w:rsidP="00BC4AB1">
      <w:pPr>
        <w:pStyle w:val="NormalWeb"/>
        <w:spacing w:line="480" w:lineRule="auto"/>
        <w:rPr>
          <w:rFonts w:ascii="Calibri" w:hAnsi="Calibri" w:cs="Calibri"/>
          <w:sz w:val="22"/>
          <w:szCs w:val="22"/>
        </w:rPr>
      </w:pPr>
    </w:p>
    <w:p w14:paraId="4C6CCF00" w14:textId="77777777" w:rsidR="00BC4AB1" w:rsidRPr="00AB3229" w:rsidRDefault="00BC4AB1" w:rsidP="00BC4AB1">
      <w:pPr>
        <w:pStyle w:val="NormalWeb"/>
        <w:spacing w:line="480" w:lineRule="auto"/>
        <w:rPr>
          <w:rFonts w:ascii="Calibri" w:hAnsi="Calibri" w:cs="Calibri"/>
          <w:sz w:val="22"/>
          <w:szCs w:val="22"/>
        </w:rPr>
      </w:pPr>
    </w:p>
    <w:p w14:paraId="054E04FA" w14:textId="77777777" w:rsidR="00BC4AB1" w:rsidRPr="00AB3229" w:rsidRDefault="00BC4AB1" w:rsidP="00BC4AB1">
      <w:pPr>
        <w:pStyle w:val="NormalWeb"/>
        <w:spacing w:line="480" w:lineRule="auto"/>
        <w:rPr>
          <w:rFonts w:ascii="Calibri" w:hAnsi="Calibri" w:cs="Calibri"/>
          <w:sz w:val="22"/>
          <w:szCs w:val="22"/>
        </w:rPr>
      </w:pPr>
    </w:p>
    <w:p w14:paraId="1D21935C" w14:textId="77777777" w:rsidR="00BC4AB1" w:rsidRPr="00AB3229" w:rsidRDefault="00BC4AB1" w:rsidP="00BC4AB1">
      <w:pPr>
        <w:spacing w:line="480" w:lineRule="auto"/>
        <w:rPr>
          <w:rFonts w:ascii="Calibri" w:hAnsi="Calibri" w:cs="Calibri"/>
          <w:sz w:val="22"/>
          <w:szCs w:val="22"/>
          <w:u w:val="single"/>
        </w:rPr>
      </w:pPr>
    </w:p>
    <w:p w14:paraId="2C1EEE2A"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Conclusions and Recommendations</w:t>
      </w:r>
    </w:p>
    <w:p w14:paraId="39A38E82" w14:textId="77777777" w:rsidR="00BC4AB1" w:rsidRPr="00AB3229" w:rsidRDefault="00BC4AB1" w:rsidP="00BC4AB1">
      <w:pPr>
        <w:spacing w:line="480" w:lineRule="auto"/>
        <w:jc w:val="center"/>
        <w:rPr>
          <w:rFonts w:ascii="Calibri" w:hAnsi="Calibri" w:cs="Calibri"/>
          <w:sz w:val="22"/>
          <w:szCs w:val="22"/>
          <w:u w:val="single"/>
        </w:rPr>
      </w:pPr>
    </w:p>
    <w:p w14:paraId="529EF57B"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In critically examining the work undertaken for the research study, several key considerations emerge. Firstly, the methods of data collection, including questionnaires, informal interviews, and observations, were chosen based on their feasibility within the context of the study. While these methods provided valuable insights into student experiences and perceptions, it is important to acknowledge potential limitations in reliability and validity (Denscombe, 2017). Ultimately, self-report measures such as questionnaires may be subject to response bias, and informal interviews may lack standardised procedures, affecting the reliability and generalisability of the findings (Creswell and </w:t>
      </w:r>
      <w:proofErr w:type="spellStart"/>
      <w:r w:rsidRPr="00AB3229">
        <w:rPr>
          <w:rFonts w:ascii="Calibri" w:hAnsi="Calibri" w:cs="Calibri"/>
          <w:color w:val="000000" w:themeColor="text1"/>
          <w:sz w:val="22"/>
          <w:szCs w:val="22"/>
        </w:rPr>
        <w:t>Poth</w:t>
      </w:r>
      <w:proofErr w:type="spellEnd"/>
      <w:r w:rsidRPr="00AB3229">
        <w:rPr>
          <w:rFonts w:ascii="Calibri" w:hAnsi="Calibri" w:cs="Calibri"/>
          <w:color w:val="000000" w:themeColor="text1"/>
          <w:sz w:val="22"/>
          <w:szCs w:val="22"/>
        </w:rPr>
        <w:t>, 2016).</w:t>
      </w:r>
    </w:p>
    <w:p w14:paraId="373C4ADF" w14:textId="77777777" w:rsidR="00BC4AB1" w:rsidRPr="00AB3229" w:rsidRDefault="00BC4AB1" w:rsidP="00BC4AB1">
      <w:pPr>
        <w:spacing w:line="480" w:lineRule="auto"/>
        <w:rPr>
          <w:rFonts w:ascii="Calibri" w:hAnsi="Calibri" w:cs="Calibri"/>
          <w:color w:val="000000" w:themeColor="text1"/>
          <w:sz w:val="22"/>
          <w:szCs w:val="22"/>
        </w:rPr>
      </w:pPr>
    </w:p>
    <w:p w14:paraId="1F112907"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Similarly, the validity of the methods used must be carefully considered. While efforts were made to ensure that questions were clear and unbiased, the subjective nature of qualitative data collection methods may impact the validity of the findings (Tight, 2016). Moreover, the extent to which the findings can be generalised to other contexts or populations may be limited by the specific characteristics of the sample and the study context (McNiff, 2013). Looking to the future, there is a desire to further explore the effectiveness of interventions aimed at addressing identified issues, such as mobile phone distractions in the classroom (Denscombe, 2017). This aligns with the Professional Standards for educators, particularly in the areas of creating supportive learning environments and promoting student well-being (Welsh Gov, 2019).</w:t>
      </w:r>
    </w:p>
    <w:p w14:paraId="705FA71D" w14:textId="77777777" w:rsidR="00BC4AB1" w:rsidRPr="00AB3229" w:rsidRDefault="00BC4AB1" w:rsidP="00BC4AB1">
      <w:pPr>
        <w:spacing w:line="480" w:lineRule="auto"/>
        <w:rPr>
          <w:rFonts w:ascii="Calibri" w:hAnsi="Calibri" w:cs="Calibri"/>
          <w:color w:val="000000" w:themeColor="text1"/>
          <w:sz w:val="22"/>
          <w:szCs w:val="22"/>
        </w:rPr>
      </w:pPr>
    </w:p>
    <w:p w14:paraId="209AFEDF"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Recommendations arising from the research include implementing a no-phone policy in the classroom to minimise distractions and enhance student engagement. Additionally, interventions focused on providing diverse and engaging activities to support student well-being may be beneficial (Murphy, 2022). Moving forward, it is essential to conduct further research to assess the effectiveness of these interventions and explore additional strategies for improving classroom </w:t>
      </w:r>
      <w:r w:rsidRPr="00AB3229">
        <w:rPr>
          <w:rFonts w:ascii="Calibri" w:hAnsi="Calibri" w:cs="Calibri"/>
          <w:color w:val="000000" w:themeColor="text1"/>
          <w:sz w:val="22"/>
          <w:szCs w:val="22"/>
        </w:rPr>
        <w:lastRenderedPageBreak/>
        <w:t>dynamics and student outcomes. In terms of next steps, the findings of the research could inform the development of targeted interventions and instructional practices aimed at addressing identified challenges and promoting student success (Hattie, 2012). This could involve collaboration with colleagues, stakeholders, and educational researchers to design and implement evidence-based interventions that meet the needs of students and align with Professional Standards and best practices in education (Welsh Gov, 2019). Overall, while the research study provides valuable insights into the dynamics of the classroom environment and student well-being, there is a need for continued exploration and innovation to ensure the effectiveness of interventions and the promotion of positive learning outcomes for all students.</w:t>
      </w:r>
    </w:p>
    <w:p w14:paraId="753063E3" w14:textId="77777777" w:rsidR="00BC4AB1" w:rsidRPr="00AB3229" w:rsidRDefault="00BC4AB1" w:rsidP="00BC4AB1">
      <w:pPr>
        <w:spacing w:line="480" w:lineRule="auto"/>
        <w:rPr>
          <w:rFonts w:ascii="Calibri" w:hAnsi="Calibri" w:cs="Calibri"/>
          <w:color w:val="000000" w:themeColor="text1"/>
          <w:sz w:val="22"/>
          <w:szCs w:val="22"/>
        </w:rPr>
      </w:pPr>
    </w:p>
    <w:p w14:paraId="5C74E21D" w14:textId="77777777" w:rsidR="00BC4AB1" w:rsidRPr="00AB3229" w:rsidRDefault="00BC4AB1" w:rsidP="00BC4AB1">
      <w:pPr>
        <w:spacing w:line="480" w:lineRule="auto"/>
        <w:rPr>
          <w:rFonts w:ascii="Calibri" w:hAnsi="Calibri" w:cs="Calibri"/>
          <w:color w:val="000000" w:themeColor="text1"/>
          <w:sz w:val="22"/>
          <w:szCs w:val="22"/>
        </w:rPr>
      </w:pPr>
    </w:p>
    <w:p w14:paraId="0B136D0C" w14:textId="77777777" w:rsidR="00BC4AB1" w:rsidRPr="00AB3229" w:rsidRDefault="00BC4AB1" w:rsidP="00BC4AB1">
      <w:pPr>
        <w:spacing w:line="480" w:lineRule="auto"/>
        <w:rPr>
          <w:rFonts w:ascii="Calibri" w:hAnsi="Calibri" w:cs="Calibri"/>
          <w:color w:val="000000" w:themeColor="text1"/>
          <w:sz w:val="22"/>
          <w:szCs w:val="22"/>
        </w:rPr>
      </w:pPr>
    </w:p>
    <w:p w14:paraId="034B182A" w14:textId="77777777" w:rsidR="00BC4AB1" w:rsidRPr="00AB3229" w:rsidRDefault="00BC4AB1" w:rsidP="00BC4AB1">
      <w:pPr>
        <w:spacing w:line="480" w:lineRule="auto"/>
        <w:rPr>
          <w:rFonts w:ascii="Calibri" w:hAnsi="Calibri" w:cs="Calibri"/>
          <w:color w:val="000000" w:themeColor="text1"/>
          <w:sz w:val="22"/>
          <w:szCs w:val="22"/>
        </w:rPr>
      </w:pPr>
    </w:p>
    <w:p w14:paraId="72EABC93" w14:textId="77777777" w:rsidR="00BC4AB1" w:rsidRPr="00AB3229" w:rsidRDefault="00BC4AB1" w:rsidP="00BC4AB1">
      <w:pPr>
        <w:spacing w:line="480" w:lineRule="auto"/>
        <w:rPr>
          <w:rFonts w:ascii="Calibri" w:hAnsi="Calibri" w:cs="Calibri"/>
          <w:color w:val="000000" w:themeColor="text1"/>
          <w:sz w:val="22"/>
          <w:szCs w:val="22"/>
        </w:rPr>
      </w:pPr>
    </w:p>
    <w:p w14:paraId="325151E3" w14:textId="77777777" w:rsidR="00BC4AB1" w:rsidRPr="00AB3229" w:rsidRDefault="00BC4AB1" w:rsidP="00BC4AB1">
      <w:pPr>
        <w:spacing w:line="480" w:lineRule="auto"/>
        <w:rPr>
          <w:rFonts w:ascii="Calibri" w:hAnsi="Calibri" w:cs="Calibri"/>
          <w:color w:val="000000" w:themeColor="text1"/>
          <w:sz w:val="22"/>
          <w:szCs w:val="22"/>
        </w:rPr>
      </w:pPr>
    </w:p>
    <w:p w14:paraId="74BF2D08" w14:textId="77777777" w:rsidR="00BC4AB1" w:rsidRPr="00AB3229" w:rsidRDefault="00BC4AB1" w:rsidP="00BC4AB1">
      <w:pPr>
        <w:spacing w:line="480" w:lineRule="auto"/>
        <w:rPr>
          <w:rFonts w:ascii="Calibri" w:hAnsi="Calibri" w:cs="Calibri"/>
          <w:color w:val="000000" w:themeColor="text1"/>
          <w:sz w:val="22"/>
          <w:szCs w:val="22"/>
        </w:rPr>
      </w:pPr>
    </w:p>
    <w:p w14:paraId="652F7541" w14:textId="77777777" w:rsidR="00BC4AB1" w:rsidRPr="00AB3229" w:rsidRDefault="00BC4AB1" w:rsidP="00BC4AB1">
      <w:pPr>
        <w:spacing w:line="480" w:lineRule="auto"/>
        <w:rPr>
          <w:rFonts w:ascii="Calibri" w:hAnsi="Calibri" w:cs="Calibri"/>
          <w:color w:val="000000" w:themeColor="text1"/>
          <w:sz w:val="22"/>
          <w:szCs w:val="22"/>
        </w:rPr>
      </w:pPr>
    </w:p>
    <w:p w14:paraId="68B22770" w14:textId="77777777" w:rsidR="00BC4AB1" w:rsidRPr="00AB3229" w:rsidRDefault="00BC4AB1" w:rsidP="00BC4AB1">
      <w:pPr>
        <w:spacing w:line="480" w:lineRule="auto"/>
        <w:rPr>
          <w:rFonts w:ascii="Calibri" w:hAnsi="Calibri" w:cs="Calibri"/>
          <w:color w:val="000000" w:themeColor="text1"/>
          <w:sz w:val="22"/>
          <w:szCs w:val="22"/>
        </w:rPr>
      </w:pPr>
    </w:p>
    <w:p w14:paraId="159FD1F3" w14:textId="77777777" w:rsidR="00BC4AB1" w:rsidRPr="00AB3229" w:rsidRDefault="00BC4AB1" w:rsidP="00BC4AB1">
      <w:pPr>
        <w:spacing w:line="480" w:lineRule="auto"/>
        <w:rPr>
          <w:rFonts w:ascii="Calibri" w:hAnsi="Calibri" w:cs="Calibri"/>
          <w:color w:val="000000" w:themeColor="text1"/>
          <w:sz w:val="22"/>
          <w:szCs w:val="22"/>
        </w:rPr>
      </w:pPr>
    </w:p>
    <w:p w14:paraId="2F461E16" w14:textId="77777777" w:rsidR="00BC4AB1" w:rsidRPr="00AB3229" w:rsidRDefault="00BC4AB1" w:rsidP="00BC4AB1">
      <w:pPr>
        <w:spacing w:line="480" w:lineRule="auto"/>
        <w:rPr>
          <w:rFonts w:ascii="Calibri" w:hAnsi="Calibri" w:cs="Calibri"/>
          <w:color w:val="000000" w:themeColor="text1"/>
          <w:sz w:val="22"/>
          <w:szCs w:val="22"/>
        </w:rPr>
      </w:pPr>
    </w:p>
    <w:p w14:paraId="2FFCFE6C" w14:textId="77777777" w:rsidR="00BC4AB1" w:rsidRPr="00AB3229" w:rsidRDefault="00BC4AB1" w:rsidP="00BC4AB1">
      <w:pPr>
        <w:spacing w:line="480" w:lineRule="auto"/>
        <w:rPr>
          <w:rFonts w:ascii="Calibri" w:hAnsi="Calibri" w:cs="Calibri"/>
          <w:color w:val="000000" w:themeColor="text1"/>
          <w:sz w:val="22"/>
          <w:szCs w:val="22"/>
        </w:rPr>
      </w:pPr>
    </w:p>
    <w:p w14:paraId="17B93334" w14:textId="77777777" w:rsidR="00BC4AB1" w:rsidRPr="00AB3229" w:rsidRDefault="00BC4AB1" w:rsidP="00BC4AB1">
      <w:pPr>
        <w:spacing w:line="480" w:lineRule="auto"/>
        <w:rPr>
          <w:rFonts w:ascii="Calibri" w:hAnsi="Calibri" w:cs="Calibri"/>
          <w:sz w:val="22"/>
          <w:szCs w:val="22"/>
          <w:u w:val="single"/>
        </w:rPr>
      </w:pPr>
    </w:p>
    <w:p w14:paraId="36EE0DAF" w14:textId="77777777" w:rsidR="00BC4AB1" w:rsidRPr="00AB3229" w:rsidRDefault="00BC4AB1" w:rsidP="00BC4AB1">
      <w:pPr>
        <w:spacing w:line="480" w:lineRule="auto"/>
        <w:rPr>
          <w:rFonts w:ascii="Calibri" w:hAnsi="Calibri" w:cs="Calibri"/>
          <w:color w:val="000000" w:themeColor="text1"/>
          <w:sz w:val="22"/>
          <w:szCs w:val="22"/>
        </w:rPr>
      </w:pPr>
    </w:p>
    <w:p w14:paraId="658FCA77" w14:textId="77777777" w:rsidR="00BC4AB1" w:rsidRPr="00AB3229" w:rsidRDefault="00BC4AB1" w:rsidP="00BC4AB1">
      <w:pPr>
        <w:spacing w:line="480" w:lineRule="auto"/>
        <w:rPr>
          <w:rFonts w:ascii="Calibri" w:hAnsi="Calibri" w:cs="Calibri"/>
          <w:color w:val="000000" w:themeColor="text1"/>
          <w:sz w:val="22"/>
          <w:szCs w:val="22"/>
        </w:rPr>
      </w:pPr>
    </w:p>
    <w:p w14:paraId="5857138A" w14:textId="77777777" w:rsidR="00BC4AB1" w:rsidRPr="00AB3229" w:rsidRDefault="00BC4AB1" w:rsidP="00BC4AB1">
      <w:pPr>
        <w:spacing w:line="480" w:lineRule="auto"/>
        <w:rPr>
          <w:rFonts w:ascii="Calibri" w:hAnsi="Calibri" w:cs="Calibri"/>
          <w:color w:val="000000" w:themeColor="text1"/>
          <w:sz w:val="22"/>
          <w:szCs w:val="22"/>
        </w:rPr>
      </w:pPr>
    </w:p>
    <w:p w14:paraId="1F958CF2" w14:textId="77777777" w:rsidR="00BC4AB1" w:rsidRPr="00AB3229" w:rsidRDefault="00BC4AB1" w:rsidP="00BC4AB1">
      <w:pPr>
        <w:spacing w:line="480" w:lineRule="auto"/>
        <w:jc w:val="center"/>
        <w:rPr>
          <w:rFonts w:ascii="Calibri" w:hAnsi="Calibri" w:cs="Calibri"/>
          <w:sz w:val="22"/>
          <w:szCs w:val="22"/>
          <w:u w:val="single"/>
        </w:rPr>
      </w:pPr>
    </w:p>
    <w:p w14:paraId="474CE466" w14:textId="77777777" w:rsidR="00BC4AB1" w:rsidRPr="00AB3229" w:rsidRDefault="00BC4AB1" w:rsidP="00BC4AB1">
      <w:pPr>
        <w:spacing w:line="480" w:lineRule="auto"/>
        <w:jc w:val="center"/>
        <w:rPr>
          <w:rFonts w:ascii="Calibri" w:hAnsi="Calibri" w:cs="Calibri"/>
          <w:sz w:val="22"/>
          <w:szCs w:val="22"/>
          <w:u w:val="single"/>
        </w:rPr>
      </w:pPr>
      <w:r w:rsidRPr="00AB3229">
        <w:rPr>
          <w:rFonts w:ascii="Calibri" w:hAnsi="Calibri" w:cs="Calibri"/>
          <w:sz w:val="22"/>
          <w:szCs w:val="22"/>
          <w:u w:val="single"/>
        </w:rPr>
        <w:lastRenderedPageBreak/>
        <w:t>References</w:t>
      </w:r>
    </w:p>
    <w:p w14:paraId="6BE2F7A4" w14:textId="77777777" w:rsidR="00BC4AB1" w:rsidRPr="00AB3229" w:rsidRDefault="00BC4AB1" w:rsidP="00BC4AB1">
      <w:pPr>
        <w:spacing w:line="480" w:lineRule="auto"/>
        <w:rPr>
          <w:rFonts w:ascii="Calibri" w:hAnsi="Calibri" w:cs="Calibri"/>
          <w:color w:val="000000" w:themeColor="text1"/>
          <w:sz w:val="22"/>
          <w:szCs w:val="22"/>
        </w:rPr>
      </w:pPr>
    </w:p>
    <w:p w14:paraId="7D433F91" w14:textId="77777777" w:rsidR="00BC4AB1" w:rsidRPr="00AB3229" w:rsidRDefault="00BC4AB1" w:rsidP="00BC4AB1">
      <w:pPr>
        <w:pStyle w:val="NormalWeb"/>
        <w:spacing w:line="480" w:lineRule="auto"/>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shd w:val="clear" w:color="auto" w:fill="FFFFFF"/>
        </w:rPr>
        <w:t>Roller, M. R., </w:t>
      </w:r>
      <w:proofErr w:type="spellStart"/>
      <w:r w:rsidRPr="00AB3229">
        <w:rPr>
          <w:rFonts w:ascii="Calibri" w:hAnsi="Calibri" w:cs="Calibri"/>
          <w:color w:val="000000" w:themeColor="text1"/>
          <w:sz w:val="22"/>
          <w:szCs w:val="22"/>
          <w:shd w:val="clear" w:color="auto" w:fill="FFFFFF"/>
        </w:rPr>
        <w:t>Lavrakas</w:t>
      </w:r>
      <w:proofErr w:type="spellEnd"/>
      <w:r w:rsidRPr="00AB3229">
        <w:rPr>
          <w:rFonts w:ascii="Calibri" w:hAnsi="Calibri" w:cs="Calibri"/>
          <w:color w:val="000000" w:themeColor="text1"/>
          <w:sz w:val="22"/>
          <w:szCs w:val="22"/>
          <w:shd w:val="clear" w:color="auto" w:fill="FFFFFF"/>
        </w:rPr>
        <w:t>, P. J. (2015). </w:t>
      </w:r>
      <w:r w:rsidRPr="00AB3229">
        <w:rPr>
          <w:rFonts w:ascii="Calibri" w:hAnsi="Calibri" w:cs="Calibri"/>
          <w:i/>
          <w:iCs/>
          <w:color w:val="000000" w:themeColor="text1"/>
          <w:sz w:val="22"/>
          <w:szCs w:val="22"/>
          <w:shd w:val="clear" w:color="auto" w:fill="FFFFFF"/>
        </w:rPr>
        <w:t>Applied Qualitative Research Design: A Total Quality Framework Approach</w:t>
      </w:r>
      <w:r w:rsidRPr="00AB3229">
        <w:rPr>
          <w:rFonts w:ascii="Calibri" w:hAnsi="Calibri" w:cs="Calibri"/>
          <w:color w:val="000000" w:themeColor="text1"/>
          <w:sz w:val="22"/>
          <w:szCs w:val="22"/>
          <w:shd w:val="clear" w:color="auto" w:fill="FFFFFF"/>
        </w:rPr>
        <w:t xml:space="preserve">. United Kingdom: Guilford Publications. pp.13-19, 43-45. </w:t>
      </w:r>
    </w:p>
    <w:p w14:paraId="17EA9A96"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Bell, J., Waters, S. (2014). </w:t>
      </w:r>
      <w:r w:rsidRPr="00AB3229">
        <w:rPr>
          <w:rFonts w:ascii="Calibri" w:hAnsi="Calibri" w:cs="Calibri"/>
          <w:i/>
          <w:iCs/>
          <w:color w:val="000000" w:themeColor="text1"/>
          <w:sz w:val="22"/>
          <w:szCs w:val="22"/>
        </w:rPr>
        <w:t>Doing Your Research Project: A Guide for First-time Researchers</w:t>
      </w:r>
      <w:r w:rsidRPr="00AB3229">
        <w:rPr>
          <w:rFonts w:ascii="Calibri" w:hAnsi="Calibri" w:cs="Calibri"/>
          <w:color w:val="000000" w:themeColor="text1"/>
          <w:sz w:val="22"/>
          <w:szCs w:val="22"/>
        </w:rPr>
        <w:t xml:space="preserve">. United Kingdom: McGraw-Hill Education. pp.44-46. </w:t>
      </w:r>
    </w:p>
    <w:p w14:paraId="1E39182E"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Bennett, T. (2020). </w:t>
      </w:r>
      <w:r w:rsidRPr="00AB3229">
        <w:rPr>
          <w:rFonts w:ascii="Calibri" w:hAnsi="Calibri" w:cs="Calibri"/>
          <w:i/>
          <w:iCs/>
          <w:color w:val="000000" w:themeColor="text1"/>
          <w:sz w:val="22"/>
          <w:szCs w:val="22"/>
        </w:rPr>
        <w:t>Running the Room: The Teacher’s Guide to Behaviour</w:t>
      </w:r>
      <w:r w:rsidRPr="00AB3229">
        <w:rPr>
          <w:rFonts w:ascii="Calibri" w:hAnsi="Calibri" w:cs="Calibri"/>
          <w:color w:val="000000" w:themeColor="text1"/>
          <w:sz w:val="22"/>
          <w:szCs w:val="22"/>
        </w:rPr>
        <w:t xml:space="preserve">. United Kingdom: Hodder Education. pp.261-264. </w:t>
      </w:r>
    </w:p>
    <w:p w14:paraId="0F614C38"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BERA. (2018). Available at: </w:t>
      </w:r>
      <w:hyperlink r:id="rId7" w:history="1">
        <w:r w:rsidRPr="00AB3229">
          <w:rPr>
            <w:rStyle w:val="Hyperlink"/>
            <w:rFonts w:ascii="Calibri" w:hAnsi="Calibri" w:cs="Calibri"/>
            <w:color w:val="000000" w:themeColor="text1"/>
            <w:sz w:val="22"/>
            <w:szCs w:val="22"/>
          </w:rPr>
          <w:t>https://www.bera.ac.uk/</w:t>
        </w:r>
        <w:r w:rsidRPr="00AB3229">
          <w:rPr>
            <w:rStyle w:val="Hyperlink"/>
            <w:rFonts w:ascii="Calibri" w:hAnsi="Calibri" w:cs="Calibri"/>
            <w:color w:val="000000" w:themeColor="text1"/>
            <w:sz w:val="22"/>
            <w:szCs w:val="22"/>
          </w:rPr>
          <w:t>r</w:t>
        </w:r>
        <w:r w:rsidRPr="00AB3229">
          <w:rPr>
            <w:rStyle w:val="Hyperlink"/>
            <w:rFonts w:ascii="Calibri" w:hAnsi="Calibri" w:cs="Calibri"/>
            <w:color w:val="000000" w:themeColor="text1"/>
            <w:sz w:val="22"/>
            <w:szCs w:val="22"/>
          </w:rPr>
          <w:t>esources/all-publications/resources-for-researchers</w:t>
        </w:r>
      </w:hyperlink>
      <w:r w:rsidRPr="00AB3229">
        <w:rPr>
          <w:rFonts w:ascii="Calibri" w:hAnsi="Calibri" w:cs="Calibri"/>
          <w:color w:val="000000" w:themeColor="text1"/>
          <w:sz w:val="22"/>
          <w:szCs w:val="22"/>
        </w:rPr>
        <w:t xml:space="preserve"> [Accessed 11 February 2024]. </w:t>
      </w:r>
    </w:p>
    <w:p w14:paraId="22B5B9F7"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Bullen, M., </w:t>
      </w:r>
      <w:proofErr w:type="spellStart"/>
      <w:r w:rsidRPr="00AB3229">
        <w:rPr>
          <w:rFonts w:ascii="Calibri" w:hAnsi="Calibri" w:cs="Calibri"/>
          <w:color w:val="000000" w:themeColor="text1"/>
          <w:sz w:val="22"/>
          <w:szCs w:val="22"/>
        </w:rPr>
        <w:t>Gisbert</w:t>
      </w:r>
      <w:proofErr w:type="spellEnd"/>
      <w:r w:rsidRPr="00AB3229">
        <w:rPr>
          <w:rFonts w:ascii="Calibri" w:hAnsi="Calibri" w:cs="Calibri"/>
          <w:color w:val="000000" w:themeColor="text1"/>
          <w:sz w:val="22"/>
          <w:szCs w:val="22"/>
        </w:rPr>
        <w:t xml:space="preserve">, M., and </w:t>
      </w:r>
      <w:proofErr w:type="spellStart"/>
      <w:r w:rsidRPr="00AB3229">
        <w:rPr>
          <w:rFonts w:ascii="Calibri" w:hAnsi="Calibri" w:cs="Calibri"/>
          <w:color w:val="000000" w:themeColor="text1"/>
          <w:sz w:val="22"/>
          <w:szCs w:val="22"/>
        </w:rPr>
        <w:t>Cervera</w:t>
      </w:r>
      <w:proofErr w:type="spellEnd"/>
      <w:r w:rsidRPr="00AB3229">
        <w:rPr>
          <w:rFonts w:ascii="Calibri" w:hAnsi="Calibri" w:cs="Calibri"/>
          <w:color w:val="000000" w:themeColor="text1"/>
          <w:sz w:val="22"/>
          <w:szCs w:val="22"/>
        </w:rPr>
        <w:t xml:space="preserve">, G, M. (2015). </w:t>
      </w:r>
      <w:r w:rsidRPr="00AB3229">
        <w:rPr>
          <w:rFonts w:ascii="Calibri" w:hAnsi="Calibri" w:cs="Calibri"/>
          <w:i/>
          <w:iCs/>
          <w:color w:val="000000" w:themeColor="text1"/>
          <w:sz w:val="22"/>
          <w:szCs w:val="22"/>
        </w:rPr>
        <w:t>Teaching and Learning in Digital World: Strategies and Issues in Higher Education</w:t>
      </w:r>
      <w:r w:rsidRPr="00AB3229">
        <w:rPr>
          <w:rFonts w:ascii="Calibri" w:hAnsi="Calibri" w:cs="Calibri"/>
          <w:color w:val="000000" w:themeColor="text1"/>
          <w:sz w:val="22"/>
          <w:szCs w:val="22"/>
        </w:rPr>
        <w:t>. Spain: </w:t>
      </w:r>
      <w:proofErr w:type="spellStart"/>
      <w:r w:rsidRPr="00AB3229">
        <w:rPr>
          <w:rFonts w:ascii="Calibri" w:hAnsi="Calibri" w:cs="Calibri"/>
          <w:color w:val="000000" w:themeColor="text1"/>
          <w:sz w:val="22"/>
          <w:szCs w:val="22"/>
        </w:rPr>
        <w:t>Publicacions</w:t>
      </w:r>
      <w:proofErr w:type="spellEnd"/>
      <w:r w:rsidRPr="00AB3229">
        <w:rPr>
          <w:rFonts w:ascii="Calibri" w:hAnsi="Calibri" w:cs="Calibri"/>
          <w:color w:val="000000" w:themeColor="text1"/>
          <w:sz w:val="22"/>
          <w:szCs w:val="22"/>
        </w:rPr>
        <w:t xml:space="preserve"> URV. pp.56-58.</w:t>
      </w:r>
    </w:p>
    <w:p w14:paraId="30AC065C"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Chapman, S., McNeill, P. (2005). </w:t>
      </w:r>
      <w:r w:rsidRPr="00AB3229">
        <w:rPr>
          <w:rFonts w:ascii="Calibri" w:hAnsi="Calibri" w:cs="Calibri"/>
          <w:i/>
          <w:iCs/>
          <w:color w:val="000000" w:themeColor="text1"/>
          <w:sz w:val="22"/>
          <w:szCs w:val="22"/>
        </w:rPr>
        <w:t>Research Methods</w:t>
      </w:r>
      <w:r w:rsidRPr="00AB3229">
        <w:rPr>
          <w:rFonts w:ascii="Calibri" w:hAnsi="Calibri" w:cs="Calibri"/>
          <w:color w:val="000000" w:themeColor="text1"/>
          <w:sz w:val="22"/>
          <w:szCs w:val="22"/>
        </w:rPr>
        <w:t>. United Kingdom: Taylor &amp; Francis. pp.93-95.</w:t>
      </w:r>
    </w:p>
    <w:p w14:paraId="527CB1CA"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Cohen, L., Manion, L., Morrison, K. (2013). </w:t>
      </w:r>
      <w:r w:rsidRPr="00AB3229">
        <w:rPr>
          <w:rFonts w:ascii="Calibri" w:hAnsi="Calibri" w:cs="Calibri"/>
          <w:i/>
          <w:iCs/>
          <w:color w:val="000000" w:themeColor="text1"/>
          <w:sz w:val="22"/>
          <w:szCs w:val="22"/>
        </w:rPr>
        <w:t>Research Methods in Education</w:t>
      </w:r>
      <w:r w:rsidRPr="00AB3229">
        <w:rPr>
          <w:rFonts w:ascii="Calibri" w:hAnsi="Calibri" w:cs="Calibri"/>
          <w:color w:val="000000" w:themeColor="text1"/>
          <w:sz w:val="22"/>
          <w:szCs w:val="22"/>
        </w:rPr>
        <w:t>. (</w:t>
      </w:r>
      <w:proofErr w:type="spellStart"/>
      <w:r w:rsidRPr="00AB3229">
        <w:rPr>
          <w:rFonts w:ascii="Calibri" w:hAnsi="Calibri" w:cs="Calibri"/>
          <w:color w:val="000000" w:themeColor="text1"/>
          <w:sz w:val="22"/>
          <w:szCs w:val="22"/>
        </w:rPr>
        <w:t>n.p.</w:t>
      </w:r>
      <w:proofErr w:type="spellEnd"/>
      <w:r w:rsidRPr="00AB3229">
        <w:rPr>
          <w:rFonts w:ascii="Calibri" w:hAnsi="Calibri" w:cs="Calibri"/>
          <w:color w:val="000000" w:themeColor="text1"/>
          <w:sz w:val="22"/>
          <w:szCs w:val="22"/>
        </w:rPr>
        <w:t>): Taylor &amp; Francis. pp.5-9, 21-24.</w:t>
      </w:r>
    </w:p>
    <w:p w14:paraId="14BD7F55"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Coleman, J., Henry, L., </w:t>
      </w:r>
      <w:proofErr w:type="spellStart"/>
      <w:r w:rsidRPr="00AB3229">
        <w:rPr>
          <w:rFonts w:ascii="Calibri" w:hAnsi="Calibri" w:cs="Calibri"/>
          <w:color w:val="000000" w:themeColor="text1"/>
          <w:sz w:val="22"/>
          <w:szCs w:val="22"/>
        </w:rPr>
        <w:t>Kloep</w:t>
      </w:r>
      <w:proofErr w:type="spellEnd"/>
      <w:r w:rsidRPr="00AB3229">
        <w:rPr>
          <w:rFonts w:ascii="Calibri" w:hAnsi="Calibri" w:cs="Calibri"/>
          <w:color w:val="000000" w:themeColor="text1"/>
          <w:sz w:val="22"/>
          <w:szCs w:val="22"/>
        </w:rPr>
        <w:t xml:space="preserve">, M., (2007). </w:t>
      </w:r>
      <w:r w:rsidRPr="00AB3229">
        <w:rPr>
          <w:rFonts w:ascii="Calibri" w:hAnsi="Calibri" w:cs="Calibri"/>
          <w:i/>
          <w:iCs/>
          <w:color w:val="000000" w:themeColor="text1"/>
          <w:sz w:val="22"/>
          <w:szCs w:val="22"/>
        </w:rPr>
        <w:t>Adolescence and Health</w:t>
      </w:r>
      <w:r w:rsidRPr="00AB3229">
        <w:rPr>
          <w:rFonts w:ascii="Calibri" w:hAnsi="Calibri" w:cs="Calibri"/>
          <w:color w:val="000000" w:themeColor="text1"/>
          <w:sz w:val="22"/>
          <w:szCs w:val="22"/>
        </w:rPr>
        <w:t>. United Kingdom: Wiley. pp.102-104, 178-179.</w:t>
      </w:r>
    </w:p>
    <w:p w14:paraId="44CA9767" w14:textId="77777777" w:rsidR="00BC4AB1" w:rsidRPr="00AB3229" w:rsidRDefault="00BC4AB1" w:rsidP="00BC4AB1">
      <w:pPr>
        <w:spacing w:line="480" w:lineRule="auto"/>
        <w:rPr>
          <w:rFonts w:ascii="Calibri" w:hAnsi="Calibri" w:cs="Calibri"/>
          <w:color w:val="000000" w:themeColor="text1"/>
          <w:sz w:val="22"/>
          <w:szCs w:val="22"/>
        </w:rPr>
      </w:pPr>
    </w:p>
    <w:p w14:paraId="2B1F14C0"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Creswell, J. W. (2014). </w:t>
      </w:r>
      <w:r w:rsidRPr="00AB3229">
        <w:rPr>
          <w:rFonts w:ascii="Calibri" w:hAnsi="Calibri" w:cs="Calibri"/>
          <w:i/>
          <w:iCs/>
          <w:color w:val="000000" w:themeColor="text1"/>
          <w:sz w:val="22"/>
          <w:szCs w:val="22"/>
        </w:rPr>
        <w:t>Research Design: Qualitative, Quantitative, and Mixed Methods Approaches</w:t>
      </w:r>
      <w:r w:rsidRPr="00AB3229">
        <w:rPr>
          <w:rFonts w:ascii="Calibri" w:hAnsi="Calibri" w:cs="Calibri"/>
          <w:color w:val="000000" w:themeColor="text1"/>
          <w:sz w:val="22"/>
          <w:szCs w:val="22"/>
        </w:rPr>
        <w:t>. India: SAGE Publications. pp. 165, 215, 238-240.</w:t>
      </w:r>
    </w:p>
    <w:p w14:paraId="626BC46B" w14:textId="77777777" w:rsidR="00BC4AB1" w:rsidRPr="00AB3229" w:rsidRDefault="00BC4AB1" w:rsidP="00BC4AB1">
      <w:pPr>
        <w:spacing w:line="480" w:lineRule="auto"/>
        <w:rPr>
          <w:rFonts w:ascii="Calibri" w:hAnsi="Calibri" w:cs="Calibri"/>
          <w:color w:val="000000" w:themeColor="text1"/>
          <w:sz w:val="22"/>
          <w:szCs w:val="22"/>
        </w:rPr>
      </w:pPr>
    </w:p>
    <w:p w14:paraId="5B5B1F53"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Creswell, J. W., </w:t>
      </w:r>
      <w:proofErr w:type="spellStart"/>
      <w:r w:rsidRPr="00AB3229">
        <w:rPr>
          <w:rFonts w:ascii="Calibri" w:hAnsi="Calibri" w:cs="Calibri"/>
          <w:color w:val="000000" w:themeColor="text1"/>
          <w:sz w:val="22"/>
          <w:szCs w:val="22"/>
        </w:rPr>
        <w:t>Poth</w:t>
      </w:r>
      <w:proofErr w:type="spellEnd"/>
      <w:r w:rsidRPr="00AB3229">
        <w:rPr>
          <w:rFonts w:ascii="Calibri" w:hAnsi="Calibri" w:cs="Calibri"/>
          <w:color w:val="000000" w:themeColor="text1"/>
          <w:sz w:val="22"/>
          <w:szCs w:val="22"/>
        </w:rPr>
        <w:t>, C. N. (2016). </w:t>
      </w:r>
      <w:r w:rsidRPr="00AB3229">
        <w:rPr>
          <w:rFonts w:ascii="Calibri" w:hAnsi="Calibri" w:cs="Calibri"/>
          <w:i/>
          <w:iCs/>
          <w:color w:val="000000" w:themeColor="text1"/>
          <w:sz w:val="22"/>
          <w:szCs w:val="22"/>
        </w:rPr>
        <w:t>Qualitative Inquiry and Research Design: Choosing Among Five Approaches</w:t>
      </w:r>
      <w:r w:rsidRPr="00AB3229">
        <w:rPr>
          <w:rFonts w:ascii="Calibri" w:hAnsi="Calibri" w:cs="Calibri"/>
          <w:color w:val="000000" w:themeColor="text1"/>
          <w:sz w:val="22"/>
          <w:szCs w:val="22"/>
        </w:rPr>
        <w:t xml:space="preserve">. United States: SAGE Publications. pp.26-30, 338-339. </w:t>
      </w:r>
    </w:p>
    <w:p w14:paraId="51CDA6EA"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Denscombe, M. (2017). EBOOK: </w:t>
      </w:r>
      <w:r w:rsidRPr="00AB3229">
        <w:rPr>
          <w:rFonts w:ascii="Calibri" w:hAnsi="Calibri" w:cs="Calibri"/>
          <w:i/>
          <w:iCs/>
          <w:color w:val="000000" w:themeColor="text1"/>
          <w:sz w:val="22"/>
          <w:szCs w:val="22"/>
        </w:rPr>
        <w:t>The Good Research Guide: For Small-Scale Social Research Projects</w:t>
      </w:r>
      <w:r w:rsidRPr="00AB3229">
        <w:rPr>
          <w:rFonts w:ascii="Calibri" w:hAnsi="Calibri" w:cs="Calibri"/>
          <w:color w:val="000000" w:themeColor="text1"/>
          <w:sz w:val="22"/>
          <w:szCs w:val="22"/>
        </w:rPr>
        <w:t xml:space="preserve">. United Kingdom: McGraw-Hill Education. pp.4-5, 9-14, 21-24. </w:t>
      </w:r>
    </w:p>
    <w:p w14:paraId="59895133"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Dix, P. (2017). </w:t>
      </w:r>
      <w:r w:rsidRPr="00AB3229">
        <w:rPr>
          <w:rFonts w:ascii="Calibri" w:hAnsi="Calibri" w:cs="Calibri"/>
          <w:i/>
          <w:iCs/>
          <w:color w:val="000000" w:themeColor="text1"/>
          <w:sz w:val="22"/>
          <w:szCs w:val="22"/>
        </w:rPr>
        <w:t>When the Adults Change, Everything Changes: Seismic Shifts in School Behaviour</w:t>
      </w:r>
      <w:r w:rsidRPr="00AB3229">
        <w:rPr>
          <w:rFonts w:ascii="Calibri" w:hAnsi="Calibri" w:cs="Calibri"/>
          <w:color w:val="000000" w:themeColor="text1"/>
          <w:sz w:val="22"/>
          <w:szCs w:val="22"/>
        </w:rPr>
        <w:t>. United Kingdom: Crown House Publishing. pp.62-64, 151-153.</w:t>
      </w:r>
    </w:p>
    <w:p w14:paraId="03FCE47A" w14:textId="77777777" w:rsidR="00BC4AB1" w:rsidRPr="00AB3229" w:rsidRDefault="00BC4AB1" w:rsidP="00BC4AB1">
      <w:pPr>
        <w:spacing w:line="480" w:lineRule="auto"/>
        <w:rPr>
          <w:rFonts w:ascii="Calibri" w:hAnsi="Calibri" w:cs="Calibri"/>
          <w:color w:val="000000" w:themeColor="text1"/>
          <w:sz w:val="22"/>
          <w:szCs w:val="22"/>
        </w:rPr>
      </w:pPr>
    </w:p>
    <w:p w14:paraId="17D5D2B9" w14:textId="77777777" w:rsidR="00BC4AB1" w:rsidRPr="00AB3229" w:rsidRDefault="00BC4AB1" w:rsidP="00BC4AB1">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 xml:space="preserve">Dweck, C. (2017). </w:t>
      </w:r>
      <w:r w:rsidRPr="00AB3229">
        <w:rPr>
          <w:rFonts w:ascii="Calibri" w:eastAsia="Times New Roman" w:hAnsi="Calibri" w:cs="Calibri"/>
          <w:i/>
          <w:iCs/>
          <w:color w:val="000000" w:themeColor="text1"/>
          <w:kern w:val="36"/>
          <w:sz w:val="22"/>
          <w:szCs w:val="22"/>
          <w:lang w:eastAsia="en-GB"/>
          <w14:ligatures w14:val="none"/>
        </w:rPr>
        <w:t xml:space="preserve">Mindset - Updated Edition: Changing The Way You think To Fulfil Your Potential. </w:t>
      </w:r>
      <w:r w:rsidRPr="00AB3229">
        <w:rPr>
          <w:rFonts w:ascii="Calibri" w:eastAsia="Times New Roman" w:hAnsi="Calibri" w:cs="Calibri"/>
          <w:color w:val="000000" w:themeColor="text1"/>
          <w:kern w:val="36"/>
          <w:sz w:val="22"/>
          <w:szCs w:val="22"/>
          <w:lang w:eastAsia="en-GB"/>
          <w14:ligatures w14:val="none"/>
        </w:rPr>
        <w:t>Robinson. pp.38-46, 101-116.</w:t>
      </w:r>
    </w:p>
    <w:p w14:paraId="0101B1BE" w14:textId="77777777" w:rsidR="00BC4AB1" w:rsidRPr="00AB3229" w:rsidRDefault="00BC4AB1" w:rsidP="00BC4AB1">
      <w:pPr>
        <w:spacing w:line="480" w:lineRule="auto"/>
        <w:rPr>
          <w:rFonts w:ascii="Calibri" w:eastAsia="Times New Roman" w:hAnsi="Calibri" w:cs="Calibri"/>
          <w:color w:val="000000" w:themeColor="text1"/>
          <w:kern w:val="36"/>
          <w:sz w:val="22"/>
          <w:szCs w:val="22"/>
          <w:lang w:eastAsia="en-GB"/>
          <w14:ligatures w14:val="none"/>
        </w:rPr>
      </w:pPr>
    </w:p>
    <w:p w14:paraId="390C71C8" w14:textId="77777777" w:rsidR="00BC4AB1" w:rsidRPr="00AB3229" w:rsidRDefault="00BC4AB1" w:rsidP="00BC4AB1">
      <w:pPr>
        <w:spacing w:line="480" w:lineRule="auto"/>
        <w:rPr>
          <w:rFonts w:ascii="Calibri" w:hAnsi="Calibri" w:cs="Calibri"/>
          <w:color w:val="000000"/>
          <w:sz w:val="22"/>
          <w:szCs w:val="22"/>
          <w:shd w:val="clear" w:color="auto" w:fill="FFFFFF"/>
        </w:rPr>
      </w:pPr>
      <w:r w:rsidRPr="00AB3229">
        <w:rPr>
          <w:rFonts w:ascii="Calibri" w:hAnsi="Calibri" w:cs="Calibri"/>
          <w:color w:val="000000" w:themeColor="text1"/>
          <w:sz w:val="22"/>
          <w:szCs w:val="22"/>
        </w:rPr>
        <w:t xml:space="preserve">Estyn. (2019). School Report. </w:t>
      </w:r>
      <w:hyperlink r:id="rId8" w:history="1">
        <w:r w:rsidRPr="00AB3229">
          <w:rPr>
            <w:rStyle w:val="Hyperlink"/>
            <w:rFonts w:ascii="Calibri" w:hAnsi="Calibri" w:cs="Calibri"/>
            <w:sz w:val="22"/>
            <w:szCs w:val="22"/>
          </w:rPr>
          <w:t>https://www.estyn.gov.wales/system/files/2022-01/Haverfordwest%2520High%2520VC%2520School_1.pdf</w:t>
        </w:r>
      </w:hyperlink>
      <w:r w:rsidRPr="00AB3229">
        <w:rPr>
          <w:rFonts w:ascii="Calibri" w:hAnsi="Calibri" w:cs="Calibri"/>
          <w:color w:val="000000" w:themeColor="text1"/>
          <w:sz w:val="22"/>
          <w:szCs w:val="22"/>
        </w:rPr>
        <w:t xml:space="preserve"> </w:t>
      </w:r>
      <w:r w:rsidRPr="00AB3229">
        <w:rPr>
          <w:rFonts w:ascii="Calibri" w:hAnsi="Calibri" w:cs="Calibri"/>
          <w:color w:val="000000"/>
          <w:sz w:val="22"/>
          <w:szCs w:val="22"/>
          <w:shd w:val="clear" w:color="auto" w:fill="FFFFFF"/>
        </w:rPr>
        <w:t>[Accessed 5 February 2024].</w:t>
      </w:r>
    </w:p>
    <w:p w14:paraId="2D75E27F" w14:textId="77777777" w:rsidR="00BC4AB1" w:rsidRPr="00AB3229" w:rsidRDefault="00BC4AB1" w:rsidP="00BC4AB1">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Fadem</w:t>
      </w:r>
      <w:proofErr w:type="spellEnd"/>
      <w:r w:rsidRPr="00AB3229">
        <w:rPr>
          <w:rFonts w:ascii="Calibri" w:hAnsi="Calibri" w:cs="Calibri"/>
          <w:color w:val="000000" w:themeColor="text1"/>
          <w:sz w:val="22"/>
          <w:szCs w:val="22"/>
        </w:rPr>
        <w:t>, T. (2008). </w:t>
      </w:r>
      <w:r w:rsidRPr="00AB3229">
        <w:rPr>
          <w:rFonts w:ascii="Calibri" w:hAnsi="Calibri" w:cs="Calibri"/>
          <w:i/>
          <w:iCs/>
          <w:color w:val="000000" w:themeColor="text1"/>
          <w:sz w:val="22"/>
          <w:szCs w:val="22"/>
        </w:rPr>
        <w:t>The Art of Asking: Ask Better Questions, Get Better Answers</w:t>
      </w:r>
      <w:r w:rsidRPr="00AB3229">
        <w:rPr>
          <w:rFonts w:ascii="Calibri" w:hAnsi="Calibri" w:cs="Calibri"/>
          <w:color w:val="000000" w:themeColor="text1"/>
          <w:sz w:val="22"/>
          <w:szCs w:val="22"/>
        </w:rPr>
        <w:t>. United Kingdom: Pearson Education. pp.18-19, 160-163.</w:t>
      </w:r>
    </w:p>
    <w:p w14:paraId="1E7EE31A" w14:textId="77777777" w:rsidR="00BC4AB1" w:rsidRPr="00AB3229" w:rsidRDefault="00BC4AB1" w:rsidP="00BC4AB1">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Hagell</w:t>
      </w:r>
      <w:proofErr w:type="spellEnd"/>
      <w:r w:rsidRPr="00AB3229">
        <w:rPr>
          <w:rFonts w:ascii="Calibri" w:hAnsi="Calibri" w:cs="Calibri"/>
          <w:color w:val="000000" w:themeColor="text1"/>
          <w:sz w:val="22"/>
          <w:szCs w:val="22"/>
        </w:rPr>
        <w:t xml:space="preserve">, A. (2012). </w:t>
      </w:r>
      <w:r w:rsidRPr="00AB3229">
        <w:rPr>
          <w:rFonts w:ascii="Calibri" w:hAnsi="Calibri" w:cs="Calibri"/>
          <w:i/>
          <w:iCs/>
          <w:color w:val="000000" w:themeColor="text1"/>
          <w:sz w:val="22"/>
          <w:szCs w:val="22"/>
        </w:rPr>
        <w:t>Changing Adolescence: Social Trends and Mental Health</w:t>
      </w:r>
      <w:r w:rsidRPr="00AB3229">
        <w:rPr>
          <w:rFonts w:ascii="Calibri" w:hAnsi="Calibri" w:cs="Calibri"/>
          <w:color w:val="000000" w:themeColor="text1"/>
          <w:sz w:val="22"/>
          <w:szCs w:val="22"/>
        </w:rPr>
        <w:t>. Germany: Policy Press. pp.76-80.</w:t>
      </w:r>
    </w:p>
    <w:p w14:paraId="04DB226F" w14:textId="77777777" w:rsidR="00BC4AB1" w:rsidRPr="00AB3229" w:rsidRDefault="00BC4AB1" w:rsidP="00BC4AB1">
      <w:pPr>
        <w:spacing w:line="480" w:lineRule="auto"/>
        <w:rPr>
          <w:rFonts w:ascii="Calibri" w:hAnsi="Calibri" w:cs="Calibri"/>
          <w:color w:val="000000" w:themeColor="text1"/>
          <w:sz w:val="22"/>
          <w:szCs w:val="22"/>
        </w:rPr>
      </w:pPr>
    </w:p>
    <w:p w14:paraId="65C4A276"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Hall, E, J., and </w:t>
      </w:r>
      <w:proofErr w:type="spellStart"/>
      <w:r w:rsidRPr="00AB3229">
        <w:rPr>
          <w:rFonts w:ascii="Calibri" w:hAnsi="Calibri" w:cs="Calibri"/>
          <w:color w:val="000000" w:themeColor="text1"/>
          <w:sz w:val="22"/>
          <w:szCs w:val="22"/>
        </w:rPr>
        <w:t>Kreppner</w:t>
      </w:r>
      <w:proofErr w:type="spellEnd"/>
      <w:r w:rsidRPr="00AB3229">
        <w:rPr>
          <w:rFonts w:ascii="Calibri" w:hAnsi="Calibri" w:cs="Calibri"/>
          <w:color w:val="000000" w:themeColor="text1"/>
          <w:sz w:val="22"/>
          <w:szCs w:val="22"/>
        </w:rPr>
        <w:t xml:space="preserve">, M, J. (2019) </w:t>
      </w:r>
      <w:r w:rsidRPr="00AB3229">
        <w:rPr>
          <w:rFonts w:ascii="Calibri" w:hAnsi="Calibri" w:cs="Calibri"/>
          <w:i/>
          <w:iCs/>
          <w:color w:val="000000" w:themeColor="text1"/>
          <w:sz w:val="22"/>
          <w:szCs w:val="22"/>
        </w:rPr>
        <w:t>How Can Education Better Support the Mental Health &amp; Wellbeing of Young People? Contributions From Developmental Psychopathology &amp; Educational Effectiveness Research</w:t>
      </w:r>
      <w:r w:rsidRPr="00AB3229">
        <w:rPr>
          <w:rFonts w:ascii="Calibri" w:hAnsi="Calibri" w:cs="Calibri"/>
          <w:color w:val="000000" w:themeColor="text1"/>
          <w:sz w:val="22"/>
          <w:szCs w:val="22"/>
        </w:rPr>
        <w:t>. (</w:t>
      </w:r>
      <w:proofErr w:type="spellStart"/>
      <w:r w:rsidRPr="00AB3229">
        <w:rPr>
          <w:rFonts w:ascii="Calibri" w:hAnsi="Calibri" w:cs="Calibri"/>
          <w:color w:val="000000" w:themeColor="text1"/>
          <w:sz w:val="22"/>
          <w:szCs w:val="22"/>
        </w:rPr>
        <w:t>n.p.</w:t>
      </w:r>
      <w:proofErr w:type="spellEnd"/>
      <w:r w:rsidRPr="00AB3229">
        <w:rPr>
          <w:rFonts w:ascii="Calibri" w:hAnsi="Calibri" w:cs="Calibri"/>
          <w:color w:val="000000" w:themeColor="text1"/>
          <w:sz w:val="22"/>
          <w:szCs w:val="22"/>
        </w:rPr>
        <w:t>): Frontiers Media SA. pp.75-77, 103-107.</w:t>
      </w:r>
    </w:p>
    <w:p w14:paraId="4399742A" w14:textId="77777777" w:rsidR="00BC4AB1" w:rsidRPr="00AB3229" w:rsidRDefault="00BC4AB1" w:rsidP="00BC4AB1">
      <w:pPr>
        <w:spacing w:line="480" w:lineRule="auto"/>
        <w:rPr>
          <w:rFonts w:ascii="Calibri" w:hAnsi="Calibri" w:cs="Calibri"/>
          <w:color w:val="000000" w:themeColor="text1"/>
          <w:sz w:val="22"/>
          <w:szCs w:val="22"/>
        </w:rPr>
      </w:pPr>
    </w:p>
    <w:p w14:paraId="710A4D4A" w14:textId="77777777" w:rsidR="00BC4AB1" w:rsidRPr="00AB3229" w:rsidRDefault="00BC4AB1" w:rsidP="00BC4AB1">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Hart, S., Hodson, V. (2004). </w:t>
      </w:r>
      <w:r w:rsidRPr="00AB3229">
        <w:rPr>
          <w:rFonts w:ascii="Calibri" w:eastAsia="Times New Roman" w:hAnsi="Calibri" w:cs="Calibri"/>
          <w:i/>
          <w:iCs/>
          <w:color w:val="000000" w:themeColor="text1"/>
          <w:kern w:val="36"/>
          <w:sz w:val="22"/>
          <w:szCs w:val="22"/>
          <w:lang w:eastAsia="en-GB"/>
          <w14:ligatures w14:val="none"/>
        </w:rPr>
        <w:t>The Compassionate Classroom: Relationship Based Teaching and Learning</w:t>
      </w:r>
      <w:r w:rsidRPr="00AB3229">
        <w:rPr>
          <w:rFonts w:ascii="Calibri" w:eastAsia="Times New Roman" w:hAnsi="Calibri" w:cs="Calibri"/>
          <w:color w:val="000000" w:themeColor="text1"/>
          <w:kern w:val="36"/>
          <w:sz w:val="22"/>
          <w:szCs w:val="22"/>
          <w:lang w:eastAsia="en-GB"/>
          <w14:ligatures w14:val="none"/>
        </w:rPr>
        <w:t>. United States: </w:t>
      </w:r>
      <w:proofErr w:type="spellStart"/>
      <w:r w:rsidRPr="00AB3229">
        <w:rPr>
          <w:rFonts w:ascii="Calibri" w:eastAsia="Times New Roman" w:hAnsi="Calibri" w:cs="Calibri"/>
          <w:color w:val="000000" w:themeColor="text1"/>
          <w:kern w:val="36"/>
          <w:sz w:val="22"/>
          <w:szCs w:val="22"/>
          <w:lang w:eastAsia="en-GB"/>
          <w14:ligatures w14:val="none"/>
        </w:rPr>
        <w:t>PuddleDancer</w:t>
      </w:r>
      <w:proofErr w:type="spellEnd"/>
      <w:r w:rsidRPr="00AB3229">
        <w:rPr>
          <w:rFonts w:ascii="Calibri" w:eastAsia="Times New Roman" w:hAnsi="Calibri" w:cs="Calibri"/>
          <w:color w:val="000000" w:themeColor="text1"/>
          <w:kern w:val="36"/>
          <w:sz w:val="22"/>
          <w:szCs w:val="22"/>
          <w:lang w:eastAsia="en-GB"/>
          <w14:ligatures w14:val="none"/>
        </w:rPr>
        <w:t xml:space="preserve"> Press. pp.17-19, 56-57.</w:t>
      </w:r>
    </w:p>
    <w:p w14:paraId="33440E83" w14:textId="77777777" w:rsidR="00BC4AB1" w:rsidRPr="00AB3229" w:rsidRDefault="00BC4AB1" w:rsidP="00BC4AB1">
      <w:pPr>
        <w:spacing w:line="480" w:lineRule="auto"/>
        <w:rPr>
          <w:rFonts w:ascii="Calibri" w:eastAsia="Times New Roman" w:hAnsi="Calibri" w:cs="Calibri"/>
          <w:color w:val="000000" w:themeColor="text1"/>
          <w:kern w:val="36"/>
          <w:sz w:val="22"/>
          <w:szCs w:val="22"/>
          <w:lang w:eastAsia="en-GB"/>
          <w14:ligatures w14:val="none"/>
        </w:rPr>
      </w:pPr>
    </w:p>
    <w:p w14:paraId="54ED9087" w14:textId="77777777" w:rsidR="00BC4AB1" w:rsidRPr="00AB3229" w:rsidRDefault="00BC4AB1" w:rsidP="00BC4AB1">
      <w:pPr>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shd w:val="clear" w:color="auto" w:fill="FFFFFF"/>
        </w:rPr>
        <w:lastRenderedPageBreak/>
        <w:t xml:space="preserve">Hattie, J. (2012). </w:t>
      </w:r>
      <w:r w:rsidRPr="00AB3229">
        <w:rPr>
          <w:rFonts w:ascii="Calibri" w:hAnsi="Calibri" w:cs="Calibri"/>
          <w:i/>
          <w:iCs/>
          <w:color w:val="000000" w:themeColor="text1"/>
          <w:sz w:val="22"/>
          <w:szCs w:val="22"/>
          <w:shd w:val="clear" w:color="auto" w:fill="FFFFFF"/>
        </w:rPr>
        <w:t>Visible Learning for Teachers : Maximizing Impact on Learning.</w:t>
      </w:r>
      <w:r w:rsidRPr="00AB3229">
        <w:rPr>
          <w:rFonts w:ascii="Calibri" w:hAnsi="Calibri" w:cs="Calibri"/>
          <w:color w:val="000000" w:themeColor="text1"/>
          <w:sz w:val="22"/>
          <w:szCs w:val="22"/>
          <w:shd w:val="clear" w:color="auto" w:fill="FFFFFF"/>
        </w:rPr>
        <w:t xml:space="preserve"> (Audiobook). Narrated by: Brian </w:t>
      </w:r>
      <w:proofErr w:type="spellStart"/>
      <w:r w:rsidRPr="00AB3229">
        <w:rPr>
          <w:rFonts w:ascii="Calibri" w:hAnsi="Calibri" w:cs="Calibri"/>
          <w:color w:val="000000" w:themeColor="text1"/>
          <w:sz w:val="22"/>
          <w:szCs w:val="22"/>
          <w:shd w:val="clear" w:color="auto" w:fill="FFFFFF"/>
        </w:rPr>
        <w:t>Arens</w:t>
      </w:r>
      <w:proofErr w:type="spellEnd"/>
      <w:r w:rsidRPr="00AB3229">
        <w:rPr>
          <w:rFonts w:ascii="Calibri" w:hAnsi="Calibri" w:cs="Calibri"/>
          <w:color w:val="000000" w:themeColor="text1"/>
          <w:sz w:val="22"/>
          <w:szCs w:val="22"/>
          <w:shd w:val="clear" w:color="auto" w:fill="FFFFFF"/>
        </w:rPr>
        <w:t xml:space="preserve">. Available from: </w:t>
      </w:r>
      <w:hyperlink r:id="rId9" w:history="1">
        <w:r w:rsidRPr="00AB3229">
          <w:rPr>
            <w:rStyle w:val="Hyperlink"/>
            <w:rFonts w:ascii="Calibri" w:hAnsi="Calibri" w:cs="Calibri"/>
            <w:color w:val="000000" w:themeColor="text1"/>
            <w:sz w:val="22"/>
            <w:szCs w:val="22"/>
            <w:shd w:val="clear" w:color="auto" w:fill="FFFFFF"/>
          </w:rPr>
          <w:t>https://www.audible.co.uk/pd/Visible-Learning-for-Teachers-Audiobook/B07RBYN5JW</w:t>
        </w:r>
      </w:hyperlink>
      <w:r w:rsidRPr="00AB3229">
        <w:rPr>
          <w:rFonts w:ascii="Calibri" w:hAnsi="Calibri" w:cs="Calibri"/>
          <w:color w:val="000000" w:themeColor="text1"/>
          <w:sz w:val="22"/>
          <w:szCs w:val="22"/>
          <w:shd w:val="clear" w:color="auto" w:fill="FFFFFF"/>
        </w:rPr>
        <w:t xml:space="preserve"> Downloaded: 6 September 2023. Chapter 4 and 7. </w:t>
      </w:r>
    </w:p>
    <w:p w14:paraId="38CE7C2F"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Hayes, D. (2013). </w:t>
      </w:r>
      <w:r w:rsidRPr="00AB3229">
        <w:rPr>
          <w:rFonts w:ascii="Calibri" w:hAnsi="Calibri" w:cs="Calibri"/>
          <w:i/>
          <w:iCs/>
          <w:color w:val="000000" w:themeColor="text1"/>
          <w:sz w:val="22"/>
          <w:szCs w:val="22"/>
        </w:rPr>
        <w:t>Planning, Teaching and Class Management in Primary Schools</w:t>
      </w:r>
      <w:r w:rsidRPr="00AB3229">
        <w:rPr>
          <w:rFonts w:ascii="Calibri" w:hAnsi="Calibri" w:cs="Calibri"/>
          <w:color w:val="000000" w:themeColor="text1"/>
          <w:sz w:val="22"/>
          <w:szCs w:val="22"/>
        </w:rPr>
        <w:t xml:space="preserve">. United Kingdom: Taylor &amp; Francis. pp.29-30. </w:t>
      </w:r>
    </w:p>
    <w:p w14:paraId="647EFB8D" w14:textId="77777777" w:rsidR="00BC4AB1" w:rsidRPr="00AB3229" w:rsidRDefault="00BC4AB1" w:rsidP="00BC4AB1">
      <w:pPr>
        <w:spacing w:line="480" w:lineRule="auto"/>
        <w:rPr>
          <w:rFonts w:ascii="Calibri" w:hAnsi="Calibri" w:cs="Calibri"/>
          <w:color w:val="000000" w:themeColor="text1"/>
          <w:sz w:val="22"/>
          <w:szCs w:val="22"/>
        </w:rPr>
      </w:pPr>
    </w:p>
    <w:p w14:paraId="76854050" w14:textId="77777777" w:rsidR="00BC4AB1" w:rsidRPr="00AB3229" w:rsidRDefault="00BC4AB1" w:rsidP="00BC4AB1">
      <w:pPr>
        <w:spacing w:line="480" w:lineRule="auto"/>
        <w:rPr>
          <w:rFonts w:ascii="Calibri" w:hAnsi="Calibri" w:cs="Calibri"/>
          <w:color w:val="FF0000"/>
          <w:sz w:val="22"/>
          <w:szCs w:val="22"/>
        </w:rPr>
      </w:pPr>
      <w:r w:rsidRPr="00AB3229">
        <w:rPr>
          <w:rFonts w:ascii="Calibri" w:hAnsi="Calibri" w:cs="Calibri"/>
          <w:color w:val="000000" w:themeColor="text1"/>
          <w:sz w:val="22"/>
          <w:szCs w:val="22"/>
        </w:rPr>
        <w:t xml:space="preserve">Hetherington, M, E., </w:t>
      </w:r>
      <w:proofErr w:type="spellStart"/>
      <w:r w:rsidRPr="00AB3229">
        <w:rPr>
          <w:rFonts w:ascii="Calibri" w:hAnsi="Calibri" w:cs="Calibri"/>
          <w:color w:val="000000" w:themeColor="text1"/>
          <w:sz w:val="22"/>
          <w:szCs w:val="22"/>
        </w:rPr>
        <w:t>Blechman</w:t>
      </w:r>
      <w:proofErr w:type="spellEnd"/>
      <w:r w:rsidRPr="00AB3229">
        <w:rPr>
          <w:rFonts w:ascii="Calibri" w:hAnsi="Calibri" w:cs="Calibri"/>
          <w:color w:val="000000" w:themeColor="text1"/>
          <w:sz w:val="22"/>
          <w:szCs w:val="22"/>
        </w:rPr>
        <w:t xml:space="preserve">, E. (2014) </w:t>
      </w:r>
      <w:r w:rsidRPr="00AB3229">
        <w:rPr>
          <w:rFonts w:ascii="Calibri" w:hAnsi="Calibri" w:cs="Calibri"/>
          <w:i/>
          <w:iCs/>
          <w:color w:val="000000" w:themeColor="text1"/>
          <w:sz w:val="22"/>
          <w:szCs w:val="22"/>
        </w:rPr>
        <w:t>Stress, Coping, and Resiliency in Children and Families</w:t>
      </w:r>
      <w:r w:rsidRPr="00AB3229">
        <w:rPr>
          <w:rFonts w:ascii="Calibri" w:hAnsi="Calibri" w:cs="Calibri"/>
          <w:color w:val="000000" w:themeColor="text1"/>
          <w:sz w:val="22"/>
          <w:szCs w:val="22"/>
        </w:rPr>
        <w:t>. United Kingdom: Taylor &amp; Francis. pp.51-55, 68.</w:t>
      </w:r>
    </w:p>
    <w:p w14:paraId="71013312" w14:textId="77777777" w:rsidR="00BC4AB1" w:rsidRPr="00AB3229" w:rsidRDefault="00BC4AB1" w:rsidP="00BC4AB1">
      <w:pPr>
        <w:spacing w:line="480" w:lineRule="auto"/>
        <w:rPr>
          <w:rFonts w:ascii="Calibri" w:hAnsi="Calibri" w:cs="Calibri"/>
          <w:color w:val="000000" w:themeColor="text1"/>
          <w:sz w:val="22"/>
          <w:szCs w:val="22"/>
        </w:rPr>
      </w:pPr>
    </w:p>
    <w:p w14:paraId="56113D0A"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Hughes, H., Franz, J., Willis, J. (2019). </w:t>
      </w:r>
      <w:r w:rsidRPr="00AB3229">
        <w:rPr>
          <w:rFonts w:ascii="Calibri" w:hAnsi="Calibri" w:cs="Calibri"/>
          <w:i/>
          <w:iCs/>
          <w:color w:val="000000" w:themeColor="text1"/>
          <w:sz w:val="22"/>
          <w:szCs w:val="22"/>
        </w:rPr>
        <w:t>School Spaces for Student Wellbeing and Learning: Insights from Research and Practice</w:t>
      </w:r>
      <w:r w:rsidRPr="00AB3229">
        <w:rPr>
          <w:rFonts w:ascii="Calibri" w:hAnsi="Calibri" w:cs="Calibri"/>
          <w:color w:val="000000" w:themeColor="text1"/>
          <w:sz w:val="22"/>
          <w:szCs w:val="22"/>
        </w:rPr>
        <w:t>. Germany: Springer Nature Singapore. pp.56-58, 87-89.</w:t>
      </w:r>
    </w:p>
    <w:p w14:paraId="6E5F7A14"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Jensen, F., Nutt, A. (2016). </w:t>
      </w:r>
      <w:r w:rsidRPr="00AB3229">
        <w:rPr>
          <w:rFonts w:ascii="Calibri" w:hAnsi="Calibri" w:cs="Calibri"/>
          <w:i/>
          <w:iCs/>
          <w:color w:val="000000" w:themeColor="text1"/>
          <w:sz w:val="22"/>
          <w:szCs w:val="22"/>
        </w:rPr>
        <w:t>The Teenage Brain</w:t>
      </w:r>
      <w:r w:rsidRPr="00AB3229">
        <w:rPr>
          <w:rFonts w:ascii="Calibri" w:hAnsi="Calibri" w:cs="Calibri"/>
          <w:color w:val="000000" w:themeColor="text1"/>
          <w:sz w:val="22"/>
          <w:szCs w:val="22"/>
        </w:rPr>
        <w:t>. Canada: HarperCollins. pp.13-15, 78-84.</w:t>
      </w:r>
    </w:p>
    <w:p w14:paraId="5FDB3C1D"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Jones, M. (2022). </w:t>
      </w:r>
      <w:r w:rsidRPr="00AB3229">
        <w:rPr>
          <w:rFonts w:ascii="Calibri" w:hAnsi="Calibri" w:cs="Calibri"/>
          <w:i/>
          <w:iCs/>
          <w:color w:val="000000" w:themeColor="text1"/>
          <w:sz w:val="22"/>
          <w:szCs w:val="22"/>
        </w:rPr>
        <w:t>Peer Relationships in Classroom Management: Evidence and Interventions for Teaching</w:t>
      </w:r>
      <w:r w:rsidRPr="00AB3229">
        <w:rPr>
          <w:rFonts w:ascii="Calibri" w:hAnsi="Calibri" w:cs="Calibri"/>
          <w:color w:val="000000" w:themeColor="text1"/>
          <w:sz w:val="22"/>
          <w:szCs w:val="22"/>
        </w:rPr>
        <w:t xml:space="preserve">. United Kingdom: Taylor &amp; Francis. pp.16-19, 23-25. </w:t>
      </w:r>
    </w:p>
    <w:p w14:paraId="789DFF45"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Jorgensen, D. L. (1989). </w:t>
      </w:r>
      <w:r w:rsidRPr="00AB3229">
        <w:rPr>
          <w:rFonts w:ascii="Calibri" w:hAnsi="Calibri" w:cs="Calibri"/>
          <w:i/>
          <w:iCs/>
          <w:color w:val="000000" w:themeColor="text1"/>
          <w:sz w:val="22"/>
          <w:szCs w:val="22"/>
        </w:rPr>
        <w:t>Participant Observation: A Methodology for Human Studies</w:t>
      </w:r>
      <w:r w:rsidRPr="00AB3229">
        <w:rPr>
          <w:rFonts w:ascii="Calibri" w:hAnsi="Calibri" w:cs="Calibri"/>
          <w:color w:val="000000" w:themeColor="text1"/>
          <w:sz w:val="22"/>
          <w:szCs w:val="22"/>
        </w:rPr>
        <w:t>. United States: SAGE Publications. pp.6-7.</w:t>
      </w:r>
    </w:p>
    <w:p w14:paraId="6056F8FE"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Josephs, S. A. (2017). </w:t>
      </w:r>
      <w:r w:rsidRPr="00AB3229">
        <w:rPr>
          <w:rFonts w:ascii="Calibri" w:hAnsi="Calibri" w:cs="Calibri"/>
          <w:i/>
          <w:iCs/>
          <w:color w:val="000000" w:themeColor="text1"/>
          <w:sz w:val="22"/>
          <w:szCs w:val="22"/>
        </w:rPr>
        <w:t>Helping Your Anxious Teen: Positive Parenting Strategies to Help Your Teen Beat Anxiety, Stress, and Worry</w:t>
      </w:r>
      <w:r w:rsidRPr="00AB3229">
        <w:rPr>
          <w:rFonts w:ascii="Calibri" w:hAnsi="Calibri" w:cs="Calibri"/>
          <w:color w:val="000000" w:themeColor="text1"/>
          <w:sz w:val="22"/>
          <w:szCs w:val="22"/>
        </w:rPr>
        <w:t>. United Kingdom: New Harbinger Publications. pp.19-22.</w:t>
      </w:r>
    </w:p>
    <w:p w14:paraId="039B1D17" w14:textId="77777777" w:rsidR="00BC4AB1" w:rsidRPr="00AB3229" w:rsidRDefault="00BC4AB1" w:rsidP="00BC4AB1">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Kersting</w:t>
      </w:r>
      <w:proofErr w:type="spellEnd"/>
      <w:r w:rsidRPr="00AB3229">
        <w:rPr>
          <w:rFonts w:ascii="Calibri" w:hAnsi="Calibri" w:cs="Calibri"/>
          <w:color w:val="000000" w:themeColor="text1"/>
          <w:sz w:val="22"/>
          <w:szCs w:val="22"/>
        </w:rPr>
        <w:t>, T. (2016). </w:t>
      </w:r>
      <w:r w:rsidRPr="00AB3229">
        <w:rPr>
          <w:rFonts w:ascii="Calibri" w:hAnsi="Calibri" w:cs="Calibri"/>
          <w:i/>
          <w:iCs/>
          <w:color w:val="000000" w:themeColor="text1"/>
          <w:sz w:val="22"/>
          <w:szCs w:val="22"/>
        </w:rPr>
        <w:t>Disconnected: How to Reconnect Our Digitally Distracted Kids</w:t>
      </w:r>
      <w:r w:rsidRPr="00AB3229">
        <w:rPr>
          <w:rFonts w:ascii="Calibri" w:hAnsi="Calibri" w:cs="Calibri"/>
          <w:color w:val="000000" w:themeColor="text1"/>
          <w:sz w:val="22"/>
          <w:szCs w:val="22"/>
        </w:rPr>
        <w:t>. United States: CreateSpace Independent Publishing Platform. pp.54-55, 81-82.</w:t>
      </w:r>
    </w:p>
    <w:p w14:paraId="70B7B5A6" w14:textId="77777777" w:rsidR="00BC4AB1" w:rsidRPr="00AB3229" w:rsidRDefault="00BC4AB1" w:rsidP="00BC4AB1">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Kitson</w:t>
      </w:r>
      <w:proofErr w:type="spellEnd"/>
      <w:r w:rsidRPr="00AB3229">
        <w:rPr>
          <w:rFonts w:ascii="Calibri" w:hAnsi="Calibri" w:cs="Calibri"/>
          <w:color w:val="000000" w:themeColor="text1"/>
          <w:sz w:val="22"/>
          <w:szCs w:val="22"/>
        </w:rPr>
        <w:t>, N., Merry, R. (2002). </w:t>
      </w:r>
      <w:r w:rsidRPr="00AB3229">
        <w:rPr>
          <w:rFonts w:ascii="Calibri" w:hAnsi="Calibri" w:cs="Calibri"/>
          <w:i/>
          <w:iCs/>
          <w:color w:val="000000" w:themeColor="text1"/>
          <w:sz w:val="22"/>
          <w:szCs w:val="22"/>
        </w:rPr>
        <w:t>Teaching in the Primary School: A Learning Relationship.</w:t>
      </w:r>
      <w:r w:rsidRPr="00AB3229">
        <w:rPr>
          <w:rFonts w:ascii="Calibri" w:hAnsi="Calibri" w:cs="Calibri"/>
          <w:color w:val="000000" w:themeColor="text1"/>
          <w:sz w:val="22"/>
          <w:szCs w:val="22"/>
        </w:rPr>
        <w:t> United Kingdom: Taylor &amp; Francis. pp.38-41.</w:t>
      </w:r>
    </w:p>
    <w:p w14:paraId="52C08748" w14:textId="77777777" w:rsidR="00BC4AB1" w:rsidRPr="00AB3229" w:rsidRDefault="00BC4AB1" w:rsidP="00BC4AB1">
      <w:pPr>
        <w:spacing w:line="480" w:lineRule="auto"/>
        <w:rPr>
          <w:rFonts w:ascii="Calibri" w:hAnsi="Calibri" w:cs="Calibri"/>
          <w:color w:val="000000" w:themeColor="text1"/>
          <w:sz w:val="22"/>
          <w:szCs w:val="22"/>
        </w:rPr>
      </w:pPr>
    </w:p>
    <w:p w14:paraId="3F12B73D" w14:textId="77777777" w:rsidR="00BC4AB1" w:rsidRPr="00AB3229" w:rsidRDefault="00BC4AB1" w:rsidP="00BC4AB1">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lastRenderedPageBreak/>
        <w:t>Kutnick</w:t>
      </w:r>
      <w:proofErr w:type="spellEnd"/>
      <w:r w:rsidRPr="00AB3229">
        <w:rPr>
          <w:rFonts w:ascii="Calibri" w:hAnsi="Calibri" w:cs="Calibri"/>
          <w:color w:val="000000" w:themeColor="text1"/>
          <w:sz w:val="22"/>
          <w:szCs w:val="22"/>
        </w:rPr>
        <w:t>, P., Blatchford, P. (2013). </w:t>
      </w:r>
      <w:r w:rsidRPr="00AB3229">
        <w:rPr>
          <w:rFonts w:ascii="Calibri" w:hAnsi="Calibri" w:cs="Calibri"/>
          <w:i/>
          <w:iCs/>
          <w:color w:val="000000" w:themeColor="text1"/>
          <w:sz w:val="22"/>
          <w:szCs w:val="22"/>
        </w:rPr>
        <w:t xml:space="preserve">Effective Group Work in Primary School Classrooms: The </w:t>
      </w:r>
      <w:proofErr w:type="spellStart"/>
      <w:r w:rsidRPr="00AB3229">
        <w:rPr>
          <w:rFonts w:ascii="Calibri" w:hAnsi="Calibri" w:cs="Calibri"/>
          <w:i/>
          <w:iCs/>
          <w:color w:val="000000" w:themeColor="text1"/>
          <w:sz w:val="22"/>
          <w:szCs w:val="22"/>
        </w:rPr>
        <w:t>SPRinG</w:t>
      </w:r>
      <w:proofErr w:type="spellEnd"/>
      <w:r w:rsidRPr="00AB3229">
        <w:rPr>
          <w:rFonts w:ascii="Calibri" w:hAnsi="Calibri" w:cs="Calibri"/>
          <w:i/>
          <w:iCs/>
          <w:color w:val="000000" w:themeColor="text1"/>
          <w:sz w:val="22"/>
          <w:szCs w:val="22"/>
        </w:rPr>
        <w:t xml:space="preserve"> Approach</w:t>
      </w:r>
      <w:r w:rsidRPr="00AB3229">
        <w:rPr>
          <w:rFonts w:ascii="Calibri" w:hAnsi="Calibri" w:cs="Calibri"/>
          <w:color w:val="000000" w:themeColor="text1"/>
          <w:sz w:val="22"/>
          <w:szCs w:val="22"/>
        </w:rPr>
        <w:t>. Netherlands: Springer Netherlands. pp.81-82.</w:t>
      </w:r>
    </w:p>
    <w:p w14:paraId="4C0C7015"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Lahey, J. (2015). </w:t>
      </w:r>
      <w:r w:rsidRPr="00AB3229">
        <w:rPr>
          <w:rFonts w:ascii="Calibri" w:hAnsi="Calibri" w:cs="Calibri"/>
          <w:i/>
          <w:iCs/>
          <w:color w:val="000000" w:themeColor="text1"/>
          <w:sz w:val="22"/>
          <w:szCs w:val="22"/>
        </w:rPr>
        <w:t>The Gift Of Failure: How to Step Back and Let Your Child Succeed</w:t>
      </w:r>
      <w:r w:rsidRPr="00AB3229">
        <w:rPr>
          <w:rFonts w:ascii="Calibri" w:hAnsi="Calibri" w:cs="Calibri"/>
          <w:color w:val="000000" w:themeColor="text1"/>
          <w:sz w:val="22"/>
          <w:szCs w:val="22"/>
        </w:rPr>
        <w:t>. United Kingdom: Short Books. pp.44-46, 91-94.</w:t>
      </w:r>
    </w:p>
    <w:p w14:paraId="1434B611" w14:textId="77777777" w:rsidR="00BC4AB1" w:rsidRPr="00AB3229" w:rsidRDefault="00BC4AB1" w:rsidP="00BC4AB1">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MacIntyre</w:t>
      </w:r>
      <w:proofErr w:type="spellEnd"/>
      <w:r w:rsidRPr="00AB3229">
        <w:rPr>
          <w:rFonts w:ascii="Calibri" w:hAnsi="Calibri" w:cs="Calibri"/>
          <w:color w:val="000000" w:themeColor="text1"/>
          <w:sz w:val="22"/>
          <w:szCs w:val="22"/>
        </w:rPr>
        <w:t>, C. (2005). </w:t>
      </w:r>
      <w:r w:rsidRPr="00AB3229">
        <w:rPr>
          <w:rFonts w:ascii="Calibri" w:hAnsi="Calibri" w:cs="Calibri"/>
          <w:i/>
          <w:iCs/>
          <w:color w:val="000000" w:themeColor="text1"/>
          <w:sz w:val="22"/>
          <w:szCs w:val="22"/>
        </w:rPr>
        <w:t>Identifying Additional Learning Needs: Listening to the Children</w:t>
      </w:r>
      <w:r w:rsidRPr="00AB3229">
        <w:rPr>
          <w:rFonts w:ascii="Calibri" w:hAnsi="Calibri" w:cs="Calibri"/>
          <w:color w:val="000000" w:themeColor="text1"/>
          <w:sz w:val="22"/>
          <w:szCs w:val="22"/>
        </w:rPr>
        <w:t>. United Kingdom: Routledge. pp.91-94.</w:t>
      </w:r>
    </w:p>
    <w:p w14:paraId="453954E3"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May, T., Perry, B. (2010). </w:t>
      </w:r>
      <w:r w:rsidRPr="00AB3229">
        <w:rPr>
          <w:rFonts w:ascii="Calibri" w:hAnsi="Calibri" w:cs="Calibri"/>
          <w:i/>
          <w:iCs/>
          <w:color w:val="000000" w:themeColor="text1"/>
          <w:sz w:val="22"/>
          <w:szCs w:val="22"/>
        </w:rPr>
        <w:t>Social Research and Reflexivity</w:t>
      </w:r>
      <w:r w:rsidRPr="00AB3229">
        <w:rPr>
          <w:rFonts w:ascii="Calibri" w:hAnsi="Calibri" w:cs="Calibri"/>
          <w:color w:val="000000" w:themeColor="text1"/>
          <w:sz w:val="22"/>
          <w:szCs w:val="22"/>
        </w:rPr>
        <w:t>. United Kingdom: SAGE Publications. pp.194-195.</w:t>
      </w:r>
    </w:p>
    <w:p w14:paraId="437A5079"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McNiff, J. (2013). </w:t>
      </w:r>
      <w:r w:rsidRPr="00AB3229">
        <w:rPr>
          <w:rFonts w:ascii="Calibri" w:hAnsi="Calibri" w:cs="Calibri"/>
          <w:i/>
          <w:iCs/>
          <w:color w:val="000000" w:themeColor="text1"/>
          <w:sz w:val="22"/>
          <w:szCs w:val="22"/>
        </w:rPr>
        <w:t>Action Research: Principles and Practice</w:t>
      </w:r>
      <w:r w:rsidRPr="00AB3229">
        <w:rPr>
          <w:rFonts w:ascii="Calibri" w:hAnsi="Calibri" w:cs="Calibri"/>
          <w:color w:val="000000" w:themeColor="text1"/>
          <w:sz w:val="22"/>
          <w:szCs w:val="22"/>
        </w:rPr>
        <w:t>. United Kingdom: Routledge. pp.111-112.</w:t>
      </w:r>
    </w:p>
    <w:p w14:paraId="466DFACA"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Murphy, K. (2022). </w:t>
      </w:r>
      <w:r w:rsidRPr="00AB3229">
        <w:rPr>
          <w:rFonts w:ascii="Calibri" w:hAnsi="Calibri" w:cs="Calibri"/>
          <w:i/>
          <w:iCs/>
          <w:color w:val="000000" w:themeColor="text1"/>
          <w:sz w:val="22"/>
          <w:szCs w:val="22"/>
        </w:rPr>
        <w:t>Supporting the Wellbeing of Children with SEND: Essential Ideas for Early Years Educators</w:t>
      </w:r>
      <w:r w:rsidRPr="00AB3229">
        <w:rPr>
          <w:rFonts w:ascii="Calibri" w:hAnsi="Calibri" w:cs="Calibri"/>
          <w:color w:val="000000" w:themeColor="text1"/>
          <w:sz w:val="22"/>
          <w:szCs w:val="22"/>
        </w:rPr>
        <w:t>. United Kingdom: Taylor &amp; Francis. pp.179-182.</w:t>
      </w:r>
    </w:p>
    <w:p w14:paraId="043AE024" w14:textId="77777777" w:rsidR="00BC4AB1" w:rsidRPr="00AB3229" w:rsidRDefault="00BC4AB1" w:rsidP="00BC4AB1">
      <w:pPr>
        <w:spacing w:line="480" w:lineRule="auto"/>
        <w:rPr>
          <w:rFonts w:ascii="Calibri" w:hAnsi="Calibri" w:cs="Calibri"/>
          <w:color w:val="000000" w:themeColor="text1"/>
          <w:sz w:val="22"/>
          <w:szCs w:val="22"/>
        </w:rPr>
      </w:pPr>
    </w:p>
    <w:p w14:paraId="61B586DD" w14:textId="77777777" w:rsidR="00BC4AB1" w:rsidRPr="00AB3229" w:rsidRDefault="00BC4AB1" w:rsidP="00BC4AB1">
      <w:pPr>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Pajo</w:t>
      </w:r>
      <w:proofErr w:type="spellEnd"/>
      <w:r w:rsidRPr="00AB3229">
        <w:rPr>
          <w:rFonts w:ascii="Calibri" w:hAnsi="Calibri" w:cs="Calibri"/>
          <w:color w:val="000000" w:themeColor="text1"/>
          <w:sz w:val="22"/>
          <w:szCs w:val="22"/>
        </w:rPr>
        <w:t>, B. (2017). </w:t>
      </w:r>
      <w:r w:rsidRPr="00AB3229">
        <w:rPr>
          <w:rFonts w:ascii="Calibri" w:hAnsi="Calibri" w:cs="Calibri"/>
          <w:i/>
          <w:iCs/>
          <w:color w:val="000000" w:themeColor="text1"/>
          <w:sz w:val="22"/>
          <w:szCs w:val="22"/>
        </w:rPr>
        <w:t>Introduction to Research Methods: A Hands-On Approach</w:t>
      </w:r>
      <w:r w:rsidRPr="00AB3229">
        <w:rPr>
          <w:rFonts w:ascii="Calibri" w:hAnsi="Calibri" w:cs="Calibri"/>
          <w:color w:val="000000" w:themeColor="text1"/>
          <w:sz w:val="22"/>
          <w:szCs w:val="22"/>
        </w:rPr>
        <w:t>. United States: SAGE Publications. pp.167-169, 240-243.</w:t>
      </w:r>
    </w:p>
    <w:p w14:paraId="0C03B88F" w14:textId="77777777" w:rsidR="00BC4AB1" w:rsidRPr="00AB3229" w:rsidRDefault="00BC4AB1" w:rsidP="00BC4AB1">
      <w:pPr>
        <w:spacing w:line="480" w:lineRule="auto"/>
        <w:rPr>
          <w:rFonts w:ascii="Calibri" w:hAnsi="Calibri" w:cs="Calibri"/>
          <w:color w:val="000000" w:themeColor="text1"/>
          <w:sz w:val="22"/>
          <w:szCs w:val="22"/>
        </w:rPr>
      </w:pPr>
    </w:p>
    <w:p w14:paraId="05CC0B7D"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Prensky, M. (2010). </w:t>
      </w:r>
      <w:r w:rsidRPr="00AB3229">
        <w:rPr>
          <w:rFonts w:ascii="Calibri" w:hAnsi="Calibri" w:cs="Calibri"/>
          <w:i/>
          <w:iCs/>
          <w:color w:val="000000" w:themeColor="text1"/>
          <w:sz w:val="22"/>
          <w:szCs w:val="22"/>
        </w:rPr>
        <w:t>Teaching Digital Natives: Partnering for Real Learning</w:t>
      </w:r>
      <w:r w:rsidRPr="00AB3229">
        <w:rPr>
          <w:rFonts w:ascii="Calibri" w:hAnsi="Calibri" w:cs="Calibri"/>
          <w:color w:val="000000" w:themeColor="text1"/>
          <w:sz w:val="22"/>
          <w:szCs w:val="22"/>
        </w:rPr>
        <w:t>. United Kingdom: SAGE Publications. pp.68-73.</w:t>
      </w:r>
    </w:p>
    <w:p w14:paraId="7FE15D19"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Shirley, D., Hargreaves, A. (2021). </w:t>
      </w:r>
      <w:r w:rsidRPr="00AB3229">
        <w:rPr>
          <w:rFonts w:ascii="Calibri" w:hAnsi="Calibri" w:cs="Calibri"/>
          <w:i/>
          <w:iCs/>
          <w:color w:val="000000" w:themeColor="text1"/>
          <w:sz w:val="22"/>
          <w:szCs w:val="22"/>
        </w:rPr>
        <w:t>Five Paths of Student Engagement: Blazing the Trail to Learning and Success</w:t>
      </w:r>
      <w:r w:rsidRPr="00AB3229">
        <w:rPr>
          <w:rFonts w:ascii="Calibri" w:hAnsi="Calibri" w:cs="Calibri"/>
          <w:color w:val="000000" w:themeColor="text1"/>
          <w:sz w:val="22"/>
          <w:szCs w:val="22"/>
        </w:rPr>
        <w:t>. United States: Solution Tree Press. pp.39-45.</w:t>
      </w:r>
    </w:p>
    <w:p w14:paraId="03BD8C1C" w14:textId="77777777" w:rsidR="00BC4AB1" w:rsidRPr="00AB3229" w:rsidRDefault="00BC4AB1" w:rsidP="00BC4AB1">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Siegel, D. J. (2014). </w:t>
      </w:r>
      <w:r w:rsidRPr="00AB3229">
        <w:rPr>
          <w:rFonts w:ascii="Calibri" w:eastAsia="Times New Roman" w:hAnsi="Calibri" w:cs="Calibri"/>
          <w:i/>
          <w:iCs/>
          <w:color w:val="000000" w:themeColor="text1"/>
          <w:kern w:val="36"/>
          <w:sz w:val="22"/>
          <w:szCs w:val="22"/>
          <w:lang w:eastAsia="en-GB"/>
          <w14:ligatures w14:val="none"/>
        </w:rPr>
        <w:t>Brainstorm: The Power and Purpose of the Teenage Brain</w:t>
      </w:r>
      <w:r w:rsidRPr="00AB3229">
        <w:rPr>
          <w:rFonts w:ascii="Calibri" w:eastAsia="Times New Roman" w:hAnsi="Calibri" w:cs="Calibri"/>
          <w:color w:val="000000" w:themeColor="text1"/>
          <w:kern w:val="36"/>
          <w:sz w:val="22"/>
          <w:szCs w:val="22"/>
          <w:lang w:eastAsia="en-GB"/>
          <w14:ligatures w14:val="none"/>
        </w:rPr>
        <w:t>. United Kingdom: Scribe Publications Pty Limited. pp.43-45.</w:t>
      </w:r>
      <w:r w:rsidRPr="00AB3229">
        <w:rPr>
          <w:rFonts w:ascii="Calibri" w:eastAsia="Times New Roman" w:hAnsi="Calibri" w:cs="Calibri"/>
          <w:color w:val="000000" w:themeColor="text1"/>
          <w:kern w:val="36"/>
          <w:sz w:val="22"/>
          <w:szCs w:val="22"/>
          <w:lang w:eastAsia="en-GB"/>
          <w14:ligatures w14:val="none"/>
        </w:rPr>
        <w:br/>
      </w:r>
    </w:p>
    <w:p w14:paraId="19B4C3C0"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Smetana, J. G. (2010). </w:t>
      </w:r>
      <w:r w:rsidRPr="00AB3229">
        <w:rPr>
          <w:rFonts w:ascii="Calibri" w:hAnsi="Calibri" w:cs="Calibri"/>
          <w:i/>
          <w:iCs/>
          <w:color w:val="000000" w:themeColor="text1"/>
          <w:sz w:val="22"/>
          <w:szCs w:val="22"/>
        </w:rPr>
        <w:t>Adolescents, Families, and Social Development: How Teens Construct Their Worlds</w:t>
      </w:r>
      <w:r w:rsidRPr="00AB3229">
        <w:rPr>
          <w:rFonts w:ascii="Calibri" w:hAnsi="Calibri" w:cs="Calibri"/>
          <w:color w:val="000000" w:themeColor="text1"/>
          <w:sz w:val="22"/>
          <w:szCs w:val="22"/>
        </w:rPr>
        <w:t>. Germany: Wiley. pp.267-268.</w:t>
      </w:r>
    </w:p>
    <w:p w14:paraId="46C64B5B" w14:textId="77777777" w:rsidR="00BC4AB1" w:rsidRPr="00AB3229" w:rsidRDefault="00BC4AB1" w:rsidP="00BC4AB1">
      <w:pPr>
        <w:spacing w:line="480" w:lineRule="auto"/>
        <w:rPr>
          <w:rFonts w:ascii="Calibri" w:hAnsi="Calibri" w:cs="Calibri"/>
          <w:color w:val="000000" w:themeColor="text1"/>
          <w:sz w:val="22"/>
          <w:szCs w:val="22"/>
        </w:rPr>
      </w:pPr>
    </w:p>
    <w:p w14:paraId="4045BB26"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Stake, R. E. (1995). </w:t>
      </w:r>
      <w:r w:rsidRPr="00AB3229">
        <w:rPr>
          <w:rFonts w:ascii="Calibri" w:hAnsi="Calibri" w:cs="Calibri"/>
          <w:i/>
          <w:iCs/>
          <w:color w:val="000000" w:themeColor="text1"/>
          <w:sz w:val="22"/>
          <w:szCs w:val="22"/>
        </w:rPr>
        <w:t>The Art of Case Study Research</w:t>
      </w:r>
      <w:r w:rsidRPr="00AB3229">
        <w:rPr>
          <w:rFonts w:ascii="Calibri" w:hAnsi="Calibri" w:cs="Calibri"/>
          <w:color w:val="000000" w:themeColor="text1"/>
          <w:sz w:val="22"/>
          <w:szCs w:val="22"/>
        </w:rPr>
        <w:t>. India: SAGE Publications.pp.113-114.</w:t>
      </w:r>
    </w:p>
    <w:p w14:paraId="4E297985" w14:textId="77777777" w:rsidR="00BC4AB1" w:rsidRPr="00AB3229" w:rsidRDefault="00BC4AB1" w:rsidP="00BC4AB1">
      <w:pPr>
        <w:pStyle w:val="NormalWeb"/>
        <w:spacing w:line="480" w:lineRule="auto"/>
        <w:rPr>
          <w:rFonts w:ascii="Calibri" w:hAnsi="Calibri" w:cs="Calibri"/>
          <w:color w:val="000000" w:themeColor="text1"/>
          <w:sz w:val="22"/>
          <w:szCs w:val="22"/>
          <w:shd w:val="clear" w:color="auto" w:fill="202124"/>
        </w:rPr>
      </w:pPr>
      <w:r w:rsidRPr="00AB3229">
        <w:rPr>
          <w:rFonts w:ascii="Calibri" w:hAnsi="Calibri" w:cs="Calibri"/>
          <w:color w:val="000000" w:themeColor="text1"/>
          <w:sz w:val="22"/>
          <w:szCs w:val="22"/>
        </w:rPr>
        <w:t xml:space="preserve">Standish, A., and Cuthbert, S, A. (2021). </w:t>
      </w:r>
      <w:r w:rsidRPr="00AB3229">
        <w:rPr>
          <w:rFonts w:ascii="Calibri" w:hAnsi="Calibri" w:cs="Calibri"/>
          <w:i/>
          <w:iCs/>
          <w:color w:val="000000" w:themeColor="text1"/>
          <w:sz w:val="22"/>
          <w:szCs w:val="22"/>
        </w:rPr>
        <w:t>What Should Schools Teach? Disciplines, subjects and the pursuit of truth</w:t>
      </w:r>
      <w:r w:rsidRPr="00AB3229">
        <w:rPr>
          <w:rFonts w:ascii="Calibri" w:hAnsi="Calibri" w:cs="Calibri"/>
          <w:color w:val="000000" w:themeColor="text1"/>
          <w:sz w:val="22"/>
          <w:szCs w:val="22"/>
        </w:rPr>
        <w:t>. United Kingdom: UCL Press. pp.38-41.</w:t>
      </w:r>
    </w:p>
    <w:p w14:paraId="2827BF8E"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Stein, Z. (2019). </w:t>
      </w:r>
      <w:r w:rsidRPr="00AB3229">
        <w:rPr>
          <w:rFonts w:ascii="Calibri" w:hAnsi="Calibri" w:cs="Calibri"/>
          <w:i/>
          <w:iCs/>
          <w:color w:val="000000" w:themeColor="text1"/>
          <w:sz w:val="22"/>
          <w:szCs w:val="22"/>
        </w:rPr>
        <w:t>Education in a Time Between Worlds: Essays on the Future of Schools, Technology &amp; Society</w:t>
      </w:r>
      <w:r w:rsidRPr="00AB3229">
        <w:rPr>
          <w:rFonts w:ascii="Calibri" w:hAnsi="Calibri" w:cs="Calibri"/>
          <w:color w:val="000000" w:themeColor="text1"/>
          <w:sz w:val="22"/>
          <w:szCs w:val="22"/>
        </w:rPr>
        <w:t>. United States: Bright Alliance. pp.33-35, 219-221.</w:t>
      </w:r>
    </w:p>
    <w:p w14:paraId="17EC7511"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Steiner-Adair, C., Barker, T. H. (2013). </w:t>
      </w:r>
      <w:r w:rsidRPr="00AB3229">
        <w:rPr>
          <w:rFonts w:ascii="Calibri" w:hAnsi="Calibri" w:cs="Calibri"/>
          <w:i/>
          <w:iCs/>
          <w:color w:val="000000" w:themeColor="text1"/>
          <w:sz w:val="22"/>
          <w:szCs w:val="22"/>
        </w:rPr>
        <w:t>The Big Disconnect: Protecting Childhood and Family Relationships in the Digital Age</w:t>
      </w:r>
      <w:r w:rsidRPr="00AB3229">
        <w:rPr>
          <w:rFonts w:ascii="Calibri" w:hAnsi="Calibri" w:cs="Calibri"/>
          <w:color w:val="000000" w:themeColor="text1"/>
          <w:sz w:val="22"/>
          <w:szCs w:val="22"/>
        </w:rPr>
        <w:t>. United States: HarperCollins. pp.278-286.</w:t>
      </w:r>
    </w:p>
    <w:p w14:paraId="6553D5C8"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sz w:val="22"/>
          <w:szCs w:val="22"/>
        </w:rPr>
        <w:t>Thomas, G. (2010). </w:t>
      </w:r>
      <w:r w:rsidRPr="00AB3229">
        <w:rPr>
          <w:rFonts w:ascii="Calibri" w:hAnsi="Calibri" w:cs="Calibri"/>
          <w:i/>
          <w:iCs/>
          <w:sz w:val="22"/>
          <w:szCs w:val="22"/>
        </w:rPr>
        <w:t>How to Do Your Case Study: A Guide for Students and Researchers</w:t>
      </w:r>
      <w:r w:rsidRPr="00AB3229">
        <w:rPr>
          <w:rFonts w:ascii="Calibri" w:hAnsi="Calibri" w:cs="Calibri"/>
          <w:sz w:val="22"/>
          <w:szCs w:val="22"/>
        </w:rPr>
        <w:t xml:space="preserve">. United Kingdom: SAGE Publications. pp.9-10, 53-56, 79-83, 139-141. </w:t>
      </w:r>
    </w:p>
    <w:p w14:paraId="5C3D33DE" w14:textId="77777777" w:rsidR="00BC4AB1" w:rsidRPr="00AB3229" w:rsidRDefault="00BC4AB1" w:rsidP="00BC4AB1">
      <w:pPr>
        <w:spacing w:line="480" w:lineRule="auto"/>
        <w:rPr>
          <w:rFonts w:ascii="Calibri" w:eastAsia="Times New Roman" w:hAnsi="Calibri" w:cs="Calibri"/>
          <w:color w:val="000000" w:themeColor="text1"/>
          <w:kern w:val="36"/>
          <w:sz w:val="22"/>
          <w:szCs w:val="22"/>
          <w:lang w:eastAsia="en-GB"/>
          <w14:ligatures w14:val="none"/>
        </w:rPr>
      </w:pPr>
      <w:r w:rsidRPr="00AB3229">
        <w:rPr>
          <w:rFonts w:ascii="Calibri" w:eastAsia="Times New Roman" w:hAnsi="Calibri" w:cs="Calibri"/>
          <w:color w:val="000000" w:themeColor="text1"/>
          <w:kern w:val="36"/>
          <w:sz w:val="22"/>
          <w:szCs w:val="22"/>
          <w:lang w:eastAsia="en-GB"/>
          <w14:ligatures w14:val="none"/>
        </w:rPr>
        <w:t>Thomas, G., Myers, K. (2015). </w:t>
      </w:r>
      <w:r w:rsidRPr="00AB3229">
        <w:rPr>
          <w:rFonts w:ascii="Calibri" w:eastAsia="Times New Roman" w:hAnsi="Calibri" w:cs="Calibri"/>
          <w:i/>
          <w:iCs/>
          <w:color w:val="000000" w:themeColor="text1"/>
          <w:kern w:val="36"/>
          <w:sz w:val="22"/>
          <w:szCs w:val="22"/>
          <w:lang w:eastAsia="en-GB"/>
          <w14:ligatures w14:val="none"/>
        </w:rPr>
        <w:t>The Anatomy of the Case Study</w:t>
      </w:r>
      <w:r w:rsidRPr="00AB3229">
        <w:rPr>
          <w:rFonts w:ascii="Calibri" w:eastAsia="Times New Roman" w:hAnsi="Calibri" w:cs="Calibri"/>
          <w:color w:val="000000" w:themeColor="text1"/>
          <w:kern w:val="36"/>
          <w:sz w:val="22"/>
          <w:szCs w:val="22"/>
          <w:lang w:eastAsia="en-GB"/>
          <w14:ligatures w14:val="none"/>
        </w:rPr>
        <w:t>. United Kingdom: SAGE Publications. pp.34-35, 91-93.</w:t>
      </w:r>
    </w:p>
    <w:p w14:paraId="32FBC02A" w14:textId="77777777" w:rsidR="00BC4AB1" w:rsidRPr="00AB3229" w:rsidRDefault="00BC4AB1" w:rsidP="00BC4AB1">
      <w:pPr>
        <w:spacing w:line="480" w:lineRule="auto"/>
        <w:rPr>
          <w:rFonts w:ascii="Calibri" w:eastAsia="Times New Roman" w:hAnsi="Calibri" w:cs="Calibri"/>
          <w:color w:val="000000" w:themeColor="text1"/>
          <w:kern w:val="36"/>
          <w:sz w:val="22"/>
          <w:szCs w:val="22"/>
          <w:lang w:eastAsia="en-GB"/>
          <w14:ligatures w14:val="none"/>
        </w:rPr>
      </w:pPr>
    </w:p>
    <w:p w14:paraId="7F07D00A"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Tight, M. (2017). </w:t>
      </w:r>
      <w:r w:rsidRPr="00AB3229">
        <w:rPr>
          <w:rFonts w:ascii="Calibri" w:hAnsi="Calibri" w:cs="Calibri"/>
          <w:i/>
          <w:iCs/>
          <w:color w:val="000000" w:themeColor="text1"/>
          <w:sz w:val="22"/>
          <w:szCs w:val="22"/>
        </w:rPr>
        <w:t>Understanding Case Study Research: Small-scale Research with Meaning</w:t>
      </w:r>
      <w:r w:rsidRPr="00AB3229">
        <w:rPr>
          <w:rFonts w:ascii="Calibri" w:hAnsi="Calibri" w:cs="Calibri"/>
          <w:color w:val="000000" w:themeColor="text1"/>
          <w:sz w:val="22"/>
          <w:szCs w:val="22"/>
        </w:rPr>
        <w:t>. United Kingdom: SAGE Publications. pp.44-46, 151-153.</w:t>
      </w:r>
    </w:p>
    <w:p w14:paraId="69C50618"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Twenge, J. M. (2017</w:t>
      </w:r>
      <w:r w:rsidRPr="00AB3229">
        <w:rPr>
          <w:rFonts w:ascii="Calibri" w:hAnsi="Calibri" w:cs="Calibri"/>
          <w:i/>
          <w:iCs/>
          <w:color w:val="000000" w:themeColor="text1"/>
          <w:sz w:val="22"/>
          <w:szCs w:val="22"/>
        </w:rPr>
        <w:t>). </w:t>
      </w:r>
      <w:proofErr w:type="spellStart"/>
      <w:r w:rsidRPr="00AB3229">
        <w:rPr>
          <w:rFonts w:ascii="Calibri" w:hAnsi="Calibri" w:cs="Calibri"/>
          <w:i/>
          <w:iCs/>
          <w:color w:val="000000" w:themeColor="text1"/>
          <w:sz w:val="22"/>
          <w:szCs w:val="22"/>
        </w:rPr>
        <w:t>IGen</w:t>
      </w:r>
      <w:proofErr w:type="spellEnd"/>
      <w:r w:rsidRPr="00AB3229">
        <w:rPr>
          <w:rFonts w:ascii="Calibri" w:hAnsi="Calibri" w:cs="Calibri"/>
          <w:i/>
          <w:iCs/>
          <w:color w:val="000000" w:themeColor="text1"/>
          <w:sz w:val="22"/>
          <w:szCs w:val="22"/>
        </w:rPr>
        <w:t>: Why Today's Super-Connected Kids Are Growing Up Less Rebellious, More Tolerant, Less Happy--and Completely Unprepared for Adulthood--and What That Means for the Rest of Us</w:t>
      </w:r>
      <w:r w:rsidRPr="00AB3229">
        <w:rPr>
          <w:rFonts w:ascii="Calibri" w:hAnsi="Calibri" w:cs="Calibri"/>
          <w:color w:val="000000" w:themeColor="text1"/>
          <w:sz w:val="22"/>
          <w:szCs w:val="22"/>
        </w:rPr>
        <w:t xml:space="preserve">. India: Atria Books. pp.41-45, 117-123. </w:t>
      </w:r>
    </w:p>
    <w:p w14:paraId="4687A74D"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Walter, T. (1996). </w:t>
      </w:r>
      <w:r w:rsidRPr="00AB3229">
        <w:rPr>
          <w:rFonts w:ascii="Calibri" w:hAnsi="Calibri" w:cs="Calibri"/>
          <w:i/>
          <w:iCs/>
          <w:color w:val="000000" w:themeColor="text1"/>
          <w:sz w:val="22"/>
          <w:szCs w:val="22"/>
        </w:rPr>
        <w:t>Student Success</w:t>
      </w:r>
      <w:r w:rsidRPr="00AB3229">
        <w:rPr>
          <w:rFonts w:ascii="Calibri" w:hAnsi="Calibri" w:cs="Calibri"/>
          <w:color w:val="000000" w:themeColor="text1"/>
          <w:sz w:val="22"/>
          <w:szCs w:val="22"/>
        </w:rPr>
        <w:t>. United Kingdom: Harcourt College Publishers. pp.17-20.</w:t>
      </w:r>
    </w:p>
    <w:p w14:paraId="5D2A13FB"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lastRenderedPageBreak/>
        <w:t>Wassermann, S. (2015). </w:t>
      </w:r>
      <w:r w:rsidRPr="00AB3229">
        <w:rPr>
          <w:rFonts w:ascii="Calibri" w:hAnsi="Calibri" w:cs="Calibri"/>
          <w:i/>
          <w:iCs/>
          <w:color w:val="000000" w:themeColor="text1"/>
          <w:sz w:val="22"/>
          <w:szCs w:val="22"/>
        </w:rPr>
        <w:t>Teaching for Thinking Today: Strategies, and Activities for the K-8 Classroom</w:t>
      </w:r>
      <w:r w:rsidRPr="00AB3229">
        <w:rPr>
          <w:rFonts w:ascii="Calibri" w:hAnsi="Calibri" w:cs="Calibri"/>
          <w:color w:val="000000" w:themeColor="text1"/>
          <w:sz w:val="22"/>
          <w:szCs w:val="22"/>
        </w:rPr>
        <w:t>. United States: Teachers College Press. pp.61-66.</w:t>
      </w:r>
    </w:p>
    <w:p w14:paraId="324D6A50"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Welsh Gov. (2017). </w:t>
      </w:r>
      <w:r w:rsidRPr="00AB3229">
        <w:rPr>
          <w:rFonts w:ascii="Calibri" w:hAnsi="Calibri" w:cs="Calibri"/>
          <w:i/>
          <w:iCs/>
          <w:color w:val="000000" w:themeColor="text1"/>
          <w:sz w:val="22"/>
          <w:szCs w:val="22"/>
        </w:rPr>
        <w:t>Professional standards for teaching and leadership.</w:t>
      </w:r>
      <w:r w:rsidRPr="00AB3229">
        <w:rPr>
          <w:rFonts w:ascii="Calibri" w:hAnsi="Calibri" w:cs="Calibri"/>
          <w:color w:val="000000" w:themeColor="text1"/>
          <w:sz w:val="22"/>
          <w:szCs w:val="22"/>
        </w:rPr>
        <w:t xml:space="preserve"> Available at: </w:t>
      </w:r>
      <w:hyperlink r:id="rId10" w:history="1">
        <w:r w:rsidRPr="00AB3229">
          <w:rPr>
            <w:rStyle w:val="Hyperlink"/>
            <w:rFonts w:ascii="Calibri" w:hAnsi="Calibri" w:cs="Calibri"/>
            <w:color w:val="000000" w:themeColor="text1"/>
            <w:sz w:val="22"/>
            <w:szCs w:val="22"/>
          </w:rPr>
          <w:t>https://hwb.gov.wales/api/storage/19bc948b-8a3f-41e0-944a-7bf2cadf7d18/professional-standards-for-teaching-and-leadership-interactive-pdf-for-pc.pdf</w:t>
        </w:r>
      </w:hyperlink>
      <w:r w:rsidRPr="00AB3229">
        <w:rPr>
          <w:rFonts w:ascii="Calibri" w:hAnsi="Calibri" w:cs="Calibri"/>
          <w:color w:val="000000" w:themeColor="text1"/>
          <w:sz w:val="22"/>
          <w:szCs w:val="22"/>
        </w:rPr>
        <w:t xml:space="preserve"> [Accessed 26 March 2024].</w:t>
      </w:r>
    </w:p>
    <w:p w14:paraId="5EF448A4" w14:textId="77777777" w:rsidR="00BC4AB1" w:rsidRPr="00AB3229" w:rsidRDefault="00BC4AB1" w:rsidP="00BC4AB1">
      <w:pPr>
        <w:spacing w:line="480" w:lineRule="auto"/>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shd w:val="clear" w:color="auto" w:fill="FFFFFF"/>
        </w:rPr>
        <w:t>Welsh Gov. (2019).</w:t>
      </w:r>
      <w:r w:rsidRPr="00AB3229">
        <w:rPr>
          <w:rStyle w:val="apple-converted-space"/>
          <w:rFonts w:ascii="Calibri" w:hAnsi="Calibri" w:cs="Calibri"/>
          <w:color w:val="000000" w:themeColor="text1"/>
          <w:sz w:val="22"/>
          <w:szCs w:val="22"/>
          <w:shd w:val="clear" w:color="auto" w:fill="FFFFFF"/>
        </w:rPr>
        <w:t> </w:t>
      </w:r>
      <w:r w:rsidRPr="00AB3229">
        <w:rPr>
          <w:rFonts w:ascii="Calibri" w:hAnsi="Calibri" w:cs="Calibri"/>
          <w:i/>
          <w:iCs/>
          <w:color w:val="000000" w:themeColor="text1"/>
          <w:sz w:val="22"/>
          <w:szCs w:val="22"/>
          <w:shd w:val="clear" w:color="auto" w:fill="FFFFFF"/>
        </w:rPr>
        <w:t>Professional Teaching Standards for Teaching and Leadership</w:t>
      </w:r>
      <w:r w:rsidRPr="00AB3229">
        <w:rPr>
          <w:rFonts w:ascii="Calibri" w:hAnsi="Calibri" w:cs="Calibri"/>
          <w:color w:val="000000" w:themeColor="text1"/>
          <w:sz w:val="22"/>
          <w:szCs w:val="22"/>
          <w:shd w:val="clear" w:color="auto" w:fill="FFFFFF"/>
        </w:rPr>
        <w:t>. (Online). Available at: https://hwb.gov.wales/api/storage/19bc948b-8a3f-41e0-944a-7bf2cadf7d18/professional-standards-for-te [Accessed 20 September 2023].</w:t>
      </w:r>
    </w:p>
    <w:p w14:paraId="5C93A3A7" w14:textId="77777777" w:rsidR="00BC4AB1" w:rsidRPr="00AB3229" w:rsidRDefault="00BC4AB1" w:rsidP="00BC4AB1">
      <w:pPr>
        <w:pStyle w:val="NormalWeb"/>
        <w:spacing w:line="480" w:lineRule="auto"/>
        <w:rPr>
          <w:rFonts w:ascii="Calibri" w:hAnsi="Calibri" w:cs="Calibri"/>
          <w:color w:val="000000" w:themeColor="text1"/>
          <w:sz w:val="22"/>
          <w:szCs w:val="22"/>
          <w:shd w:val="clear" w:color="auto" w:fill="FFFFFF"/>
        </w:rPr>
      </w:pPr>
      <w:r w:rsidRPr="00AB3229">
        <w:rPr>
          <w:rFonts w:ascii="Calibri" w:hAnsi="Calibri" w:cs="Calibri"/>
          <w:color w:val="000000" w:themeColor="text1"/>
          <w:sz w:val="22"/>
          <w:szCs w:val="22"/>
        </w:rPr>
        <w:t xml:space="preserve">Welsh Gov. (2020). </w:t>
      </w:r>
      <w:r w:rsidRPr="00AB3229">
        <w:rPr>
          <w:rFonts w:ascii="Calibri" w:hAnsi="Calibri" w:cs="Calibri"/>
          <w:i/>
          <w:iCs/>
          <w:color w:val="000000" w:themeColor="text1"/>
          <w:sz w:val="22"/>
          <w:szCs w:val="22"/>
        </w:rPr>
        <w:t>Curriculum for Wales</w:t>
      </w:r>
      <w:r w:rsidRPr="00AB3229">
        <w:rPr>
          <w:rFonts w:ascii="Calibri" w:hAnsi="Calibri" w:cs="Calibri"/>
          <w:color w:val="000000" w:themeColor="text1"/>
          <w:sz w:val="22"/>
          <w:szCs w:val="22"/>
        </w:rPr>
        <w:t xml:space="preserve">. Available at: </w:t>
      </w:r>
      <w:hyperlink r:id="rId11" w:history="1">
        <w:r w:rsidRPr="00AB3229">
          <w:rPr>
            <w:rStyle w:val="Hyperlink"/>
            <w:rFonts w:ascii="Calibri" w:hAnsi="Calibri" w:cs="Calibri"/>
            <w:color w:val="000000" w:themeColor="text1"/>
            <w:sz w:val="22"/>
            <w:szCs w:val="22"/>
          </w:rPr>
          <w:t>https://www.gov.wales/curriculum-wales-overview</w:t>
        </w:r>
      </w:hyperlink>
      <w:r w:rsidRPr="00AB3229">
        <w:rPr>
          <w:rFonts w:ascii="Calibri" w:hAnsi="Calibri" w:cs="Calibri"/>
          <w:color w:val="000000" w:themeColor="text1"/>
          <w:sz w:val="22"/>
          <w:szCs w:val="22"/>
        </w:rPr>
        <w:t xml:space="preserve"> </w:t>
      </w:r>
      <w:r w:rsidRPr="00AB3229">
        <w:rPr>
          <w:rFonts w:ascii="Calibri" w:hAnsi="Calibri" w:cs="Calibri"/>
          <w:color w:val="000000" w:themeColor="text1"/>
          <w:sz w:val="22"/>
          <w:szCs w:val="22"/>
          <w:shd w:val="clear" w:color="auto" w:fill="FFFFFF"/>
        </w:rPr>
        <w:t>[Accessed 4 February 2024].</w:t>
      </w:r>
    </w:p>
    <w:p w14:paraId="26FA22F9" w14:textId="77777777" w:rsidR="00BC4AB1" w:rsidRPr="00AB3229" w:rsidRDefault="00BC4AB1" w:rsidP="00BC4AB1">
      <w:pPr>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Wilson, C. (2013). </w:t>
      </w:r>
      <w:r w:rsidRPr="00AB3229">
        <w:rPr>
          <w:rFonts w:ascii="Calibri" w:hAnsi="Calibri" w:cs="Calibri"/>
          <w:i/>
          <w:iCs/>
          <w:color w:val="000000" w:themeColor="text1"/>
          <w:sz w:val="22"/>
          <w:szCs w:val="22"/>
        </w:rPr>
        <w:t>Credible Checklists and Quality Questionnaires: A User-</w:t>
      </w:r>
      <w:proofErr w:type="spellStart"/>
      <w:r w:rsidRPr="00AB3229">
        <w:rPr>
          <w:rFonts w:ascii="Calibri" w:hAnsi="Calibri" w:cs="Calibri"/>
          <w:i/>
          <w:iCs/>
          <w:color w:val="000000" w:themeColor="text1"/>
          <w:sz w:val="22"/>
          <w:szCs w:val="22"/>
        </w:rPr>
        <w:t>Centered</w:t>
      </w:r>
      <w:proofErr w:type="spellEnd"/>
      <w:r w:rsidRPr="00AB3229">
        <w:rPr>
          <w:rFonts w:ascii="Calibri" w:hAnsi="Calibri" w:cs="Calibri"/>
          <w:i/>
          <w:iCs/>
          <w:color w:val="000000" w:themeColor="text1"/>
          <w:sz w:val="22"/>
          <w:szCs w:val="22"/>
        </w:rPr>
        <w:t xml:space="preserve"> Design Method</w:t>
      </w:r>
      <w:r w:rsidRPr="00AB3229">
        <w:rPr>
          <w:rFonts w:ascii="Calibri" w:hAnsi="Calibri" w:cs="Calibri"/>
          <w:color w:val="000000" w:themeColor="text1"/>
          <w:sz w:val="22"/>
          <w:szCs w:val="22"/>
        </w:rPr>
        <w:t>. United States: Elsevier Science. pp.56-57.</w:t>
      </w:r>
    </w:p>
    <w:p w14:paraId="651C741C" w14:textId="77777777" w:rsidR="00BC4AB1" w:rsidRPr="00AB3229" w:rsidRDefault="00BC4AB1" w:rsidP="00BC4AB1">
      <w:pPr>
        <w:pStyle w:val="NormalWeb"/>
        <w:spacing w:line="480" w:lineRule="auto"/>
        <w:rPr>
          <w:rFonts w:ascii="Calibri" w:hAnsi="Calibri" w:cs="Calibri"/>
          <w:sz w:val="22"/>
          <w:szCs w:val="22"/>
        </w:rPr>
      </w:pPr>
      <w:r w:rsidRPr="00AB3229">
        <w:rPr>
          <w:rFonts w:ascii="Calibri" w:hAnsi="Calibri" w:cs="Calibri"/>
          <w:sz w:val="22"/>
          <w:szCs w:val="22"/>
        </w:rPr>
        <w:t>Yin, R. K. (1996</w:t>
      </w:r>
      <w:r w:rsidRPr="00AB3229">
        <w:rPr>
          <w:rFonts w:ascii="Calibri" w:hAnsi="Calibri" w:cs="Calibri"/>
          <w:i/>
          <w:iCs/>
          <w:sz w:val="22"/>
          <w:szCs w:val="22"/>
        </w:rPr>
        <w:t>). Case Study Research</w:t>
      </w:r>
      <w:r w:rsidRPr="00AB3229">
        <w:rPr>
          <w:rFonts w:ascii="Calibri" w:hAnsi="Calibri" w:cs="Calibri"/>
          <w:sz w:val="22"/>
          <w:szCs w:val="22"/>
        </w:rPr>
        <w:t xml:space="preserve">. United States: Sage. pp.67-69, 109-110. </w:t>
      </w:r>
    </w:p>
    <w:p w14:paraId="0F9F4538" w14:textId="77777777" w:rsidR="00BC4AB1" w:rsidRPr="00AB3229" w:rsidRDefault="00BC4AB1" w:rsidP="00BC4AB1">
      <w:pPr>
        <w:pStyle w:val="NormalWeb"/>
        <w:spacing w:line="480" w:lineRule="auto"/>
        <w:rPr>
          <w:rFonts w:ascii="Calibri" w:hAnsi="Calibri" w:cs="Calibri"/>
          <w:color w:val="000000" w:themeColor="text1"/>
          <w:sz w:val="22"/>
          <w:szCs w:val="22"/>
        </w:rPr>
      </w:pPr>
      <w:r w:rsidRPr="00AB3229">
        <w:rPr>
          <w:rFonts w:ascii="Calibri" w:hAnsi="Calibri" w:cs="Calibri"/>
          <w:color w:val="000000" w:themeColor="text1"/>
          <w:sz w:val="22"/>
          <w:szCs w:val="22"/>
        </w:rPr>
        <w:t xml:space="preserve">Yusuf, B., Roberts, F., Evans, K., and Therese, H. (2021). </w:t>
      </w:r>
      <w:r w:rsidRPr="00AB3229">
        <w:rPr>
          <w:rFonts w:ascii="Calibri" w:hAnsi="Calibri" w:cs="Calibri"/>
          <w:i/>
          <w:iCs/>
          <w:color w:val="000000" w:themeColor="text1"/>
          <w:sz w:val="22"/>
          <w:szCs w:val="22"/>
        </w:rPr>
        <w:t>The Big Book of Whole School Wellbeing.</w:t>
      </w:r>
      <w:r w:rsidRPr="00AB3229">
        <w:rPr>
          <w:rFonts w:ascii="Calibri" w:hAnsi="Calibri" w:cs="Calibri"/>
          <w:color w:val="000000" w:themeColor="text1"/>
          <w:sz w:val="22"/>
          <w:szCs w:val="22"/>
        </w:rPr>
        <w:t xml:space="preserve"> United Kingdom: SAGE Publications. pp.14-19, 33-35.</w:t>
      </w:r>
    </w:p>
    <w:p w14:paraId="6C2F3029" w14:textId="77777777" w:rsidR="00BC4AB1" w:rsidRDefault="00BC4AB1" w:rsidP="00BC4AB1">
      <w:pPr>
        <w:pStyle w:val="NormalWeb"/>
        <w:spacing w:line="480" w:lineRule="auto"/>
        <w:rPr>
          <w:rFonts w:ascii="Calibri" w:hAnsi="Calibri" w:cs="Calibri"/>
          <w:color w:val="000000" w:themeColor="text1"/>
          <w:sz w:val="22"/>
          <w:szCs w:val="22"/>
        </w:rPr>
      </w:pPr>
      <w:proofErr w:type="spellStart"/>
      <w:r w:rsidRPr="00AB3229">
        <w:rPr>
          <w:rFonts w:ascii="Calibri" w:hAnsi="Calibri" w:cs="Calibri"/>
          <w:color w:val="000000" w:themeColor="text1"/>
          <w:sz w:val="22"/>
          <w:szCs w:val="22"/>
        </w:rPr>
        <w:t>Zafran-Quinzio</w:t>
      </w:r>
      <w:proofErr w:type="spellEnd"/>
      <w:r w:rsidRPr="00AB3229">
        <w:rPr>
          <w:rFonts w:ascii="Calibri" w:hAnsi="Calibri" w:cs="Calibri"/>
          <w:color w:val="000000" w:themeColor="text1"/>
          <w:sz w:val="22"/>
          <w:szCs w:val="22"/>
        </w:rPr>
        <w:t xml:space="preserve">, A., Wilkins, E. (2020). </w:t>
      </w:r>
      <w:r w:rsidRPr="00AB3229">
        <w:rPr>
          <w:rFonts w:ascii="Calibri" w:hAnsi="Calibri" w:cs="Calibri"/>
          <w:i/>
          <w:iCs/>
          <w:color w:val="000000" w:themeColor="text1"/>
          <w:sz w:val="22"/>
          <w:szCs w:val="22"/>
        </w:rPr>
        <w:t>The New Teacher's Guide to Overcoming Common Challenges.</w:t>
      </w:r>
      <w:r w:rsidRPr="00AB3229">
        <w:rPr>
          <w:rFonts w:ascii="Calibri" w:hAnsi="Calibri" w:cs="Calibri"/>
          <w:color w:val="000000" w:themeColor="text1"/>
          <w:sz w:val="22"/>
          <w:szCs w:val="22"/>
        </w:rPr>
        <w:t xml:space="preserve"> United Kingdom: Taylor &amp; Francis. pp.72-74.</w:t>
      </w:r>
    </w:p>
    <w:p w14:paraId="7BCA5E85" w14:textId="77777777" w:rsidR="00F83219" w:rsidRDefault="00F83219"/>
    <w:sectPr w:rsidR="00F83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16ED"/>
    <w:multiLevelType w:val="multilevel"/>
    <w:tmpl w:val="5124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C0671F"/>
    <w:multiLevelType w:val="hybridMultilevel"/>
    <w:tmpl w:val="D1564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55ACF"/>
    <w:multiLevelType w:val="hybridMultilevel"/>
    <w:tmpl w:val="1766E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E00C5"/>
    <w:multiLevelType w:val="hybridMultilevel"/>
    <w:tmpl w:val="AD261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E5ABF"/>
    <w:multiLevelType w:val="multilevel"/>
    <w:tmpl w:val="10CA6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435F0"/>
    <w:multiLevelType w:val="multilevel"/>
    <w:tmpl w:val="F75A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90158F"/>
    <w:multiLevelType w:val="hybridMultilevel"/>
    <w:tmpl w:val="00ECC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7D60043"/>
    <w:multiLevelType w:val="multilevel"/>
    <w:tmpl w:val="6D2EF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943781"/>
    <w:multiLevelType w:val="multilevel"/>
    <w:tmpl w:val="251C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518AC"/>
    <w:multiLevelType w:val="multilevel"/>
    <w:tmpl w:val="6632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6A63B1"/>
    <w:multiLevelType w:val="hybridMultilevel"/>
    <w:tmpl w:val="20C44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052DF0"/>
    <w:multiLevelType w:val="multilevel"/>
    <w:tmpl w:val="2EC0D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A552E1"/>
    <w:multiLevelType w:val="multilevel"/>
    <w:tmpl w:val="A58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2CE6F95"/>
    <w:multiLevelType w:val="hybridMultilevel"/>
    <w:tmpl w:val="400A4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187612"/>
    <w:multiLevelType w:val="multilevel"/>
    <w:tmpl w:val="A3C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CC13318"/>
    <w:multiLevelType w:val="multilevel"/>
    <w:tmpl w:val="D2826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AC37F5"/>
    <w:multiLevelType w:val="multilevel"/>
    <w:tmpl w:val="E0D4D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3F60631"/>
    <w:multiLevelType w:val="multilevel"/>
    <w:tmpl w:val="8AAC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BE22D5"/>
    <w:multiLevelType w:val="hybridMultilevel"/>
    <w:tmpl w:val="E62EF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3490842">
    <w:abstractNumId w:val="30"/>
  </w:num>
  <w:num w:numId="2" w16cid:durableId="1805654975">
    <w:abstractNumId w:val="23"/>
  </w:num>
  <w:num w:numId="3" w16cid:durableId="1918318915">
    <w:abstractNumId w:val="39"/>
  </w:num>
  <w:num w:numId="4" w16cid:durableId="165217869">
    <w:abstractNumId w:val="0"/>
  </w:num>
  <w:num w:numId="5" w16cid:durableId="1439257166">
    <w:abstractNumId w:val="42"/>
  </w:num>
  <w:num w:numId="6" w16cid:durableId="1696542843">
    <w:abstractNumId w:val="13"/>
  </w:num>
  <w:num w:numId="7" w16cid:durableId="865291097">
    <w:abstractNumId w:val="7"/>
  </w:num>
  <w:num w:numId="8" w16cid:durableId="294071261">
    <w:abstractNumId w:val="27"/>
  </w:num>
  <w:num w:numId="9" w16cid:durableId="1480153113">
    <w:abstractNumId w:val="5"/>
  </w:num>
  <w:num w:numId="10" w16cid:durableId="1348553879">
    <w:abstractNumId w:val="26"/>
  </w:num>
  <w:num w:numId="11" w16cid:durableId="1208418308">
    <w:abstractNumId w:val="33"/>
  </w:num>
  <w:num w:numId="12" w16cid:durableId="1644311474">
    <w:abstractNumId w:val="11"/>
  </w:num>
  <w:num w:numId="13" w16cid:durableId="850493201">
    <w:abstractNumId w:val="19"/>
  </w:num>
  <w:num w:numId="14" w16cid:durableId="1418014885">
    <w:abstractNumId w:val="35"/>
  </w:num>
  <w:num w:numId="15" w16cid:durableId="1351489909">
    <w:abstractNumId w:val="9"/>
  </w:num>
  <w:num w:numId="16" w16cid:durableId="996802858">
    <w:abstractNumId w:val="41"/>
  </w:num>
  <w:num w:numId="17"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1543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9480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271145">
    <w:abstractNumId w:val="10"/>
  </w:num>
  <w:num w:numId="21" w16cid:durableId="465201546">
    <w:abstractNumId w:val="16"/>
  </w:num>
  <w:num w:numId="22" w16cid:durableId="801313199">
    <w:abstractNumId w:val="17"/>
  </w:num>
  <w:num w:numId="23" w16cid:durableId="1932622472">
    <w:abstractNumId w:val="38"/>
  </w:num>
  <w:num w:numId="24" w16cid:durableId="803698313">
    <w:abstractNumId w:val="36"/>
  </w:num>
  <w:num w:numId="25" w16cid:durableId="1870216879">
    <w:abstractNumId w:val="37"/>
  </w:num>
  <w:num w:numId="26" w16cid:durableId="100340676">
    <w:abstractNumId w:val="4"/>
  </w:num>
  <w:num w:numId="27" w16cid:durableId="1557625305">
    <w:abstractNumId w:val="14"/>
  </w:num>
  <w:num w:numId="28" w16cid:durableId="1281380168">
    <w:abstractNumId w:val="15"/>
  </w:num>
  <w:num w:numId="29" w16cid:durableId="1244143853">
    <w:abstractNumId w:val="20"/>
  </w:num>
  <w:num w:numId="30" w16cid:durableId="131824218">
    <w:abstractNumId w:val="22"/>
  </w:num>
  <w:num w:numId="31" w16cid:durableId="395248324">
    <w:abstractNumId w:val="40"/>
  </w:num>
  <w:num w:numId="32" w16cid:durableId="267927197">
    <w:abstractNumId w:val="12"/>
  </w:num>
  <w:num w:numId="33" w16cid:durableId="48654765">
    <w:abstractNumId w:val="24"/>
  </w:num>
  <w:num w:numId="34" w16cid:durableId="1337196786">
    <w:abstractNumId w:val="34"/>
  </w:num>
  <w:num w:numId="35" w16cid:durableId="1755130753">
    <w:abstractNumId w:val="6"/>
  </w:num>
  <w:num w:numId="36" w16cid:durableId="726926220">
    <w:abstractNumId w:val="18"/>
  </w:num>
  <w:num w:numId="37" w16cid:durableId="2083483834">
    <w:abstractNumId w:val="21"/>
  </w:num>
  <w:num w:numId="38" w16cid:durableId="2097245557">
    <w:abstractNumId w:val="43"/>
  </w:num>
  <w:num w:numId="39" w16cid:durableId="475149258">
    <w:abstractNumId w:val="32"/>
  </w:num>
  <w:num w:numId="40" w16cid:durableId="159782032">
    <w:abstractNumId w:val="2"/>
  </w:num>
  <w:num w:numId="41" w16cid:durableId="995691767">
    <w:abstractNumId w:val="25"/>
  </w:num>
  <w:num w:numId="42" w16cid:durableId="808523169">
    <w:abstractNumId w:val="44"/>
  </w:num>
  <w:num w:numId="43" w16cid:durableId="963270700">
    <w:abstractNumId w:val="3"/>
  </w:num>
  <w:num w:numId="44" w16cid:durableId="2122071114">
    <w:abstractNumId w:val="29"/>
  </w:num>
  <w:num w:numId="45" w16cid:durableId="1969623247">
    <w:abstractNumId w:val="8"/>
  </w:num>
  <w:num w:numId="46" w16cid:durableId="2977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B1"/>
    <w:rsid w:val="001C40A6"/>
    <w:rsid w:val="00AD4A9C"/>
    <w:rsid w:val="00BC4AB1"/>
    <w:rsid w:val="00F83219"/>
    <w:rsid w:val="00FB0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366B0C"/>
  <w15:chartTrackingRefBased/>
  <w15:docId w15:val="{7AADA2C6-D02D-D44B-9674-8EC64B79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AB1"/>
  </w:style>
  <w:style w:type="paragraph" w:styleId="Heading1">
    <w:name w:val="heading 1"/>
    <w:basedOn w:val="Normal"/>
    <w:next w:val="Normal"/>
    <w:link w:val="Heading1Char"/>
    <w:uiPriority w:val="99"/>
    <w:qFormat/>
    <w:rsid w:val="00BC4A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4A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4A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BC4A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4A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A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A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A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A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C4A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4A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4A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BC4A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4A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A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A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A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AB1"/>
    <w:rPr>
      <w:rFonts w:eastAsiaTheme="majorEastAsia" w:cstheme="majorBidi"/>
      <w:color w:val="272727" w:themeColor="text1" w:themeTint="D8"/>
    </w:rPr>
  </w:style>
  <w:style w:type="paragraph" w:styleId="Title">
    <w:name w:val="Title"/>
    <w:basedOn w:val="Normal"/>
    <w:next w:val="Normal"/>
    <w:link w:val="TitleChar"/>
    <w:uiPriority w:val="10"/>
    <w:qFormat/>
    <w:rsid w:val="00BC4A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A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A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A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A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4AB1"/>
    <w:rPr>
      <w:i/>
      <w:iCs/>
      <w:color w:val="404040" w:themeColor="text1" w:themeTint="BF"/>
    </w:rPr>
  </w:style>
  <w:style w:type="paragraph" w:styleId="ListParagraph">
    <w:name w:val="List Paragraph"/>
    <w:basedOn w:val="Normal"/>
    <w:uiPriority w:val="34"/>
    <w:qFormat/>
    <w:rsid w:val="00BC4AB1"/>
    <w:pPr>
      <w:ind w:left="720"/>
      <w:contextualSpacing/>
    </w:pPr>
  </w:style>
  <w:style w:type="character" w:styleId="IntenseEmphasis">
    <w:name w:val="Intense Emphasis"/>
    <w:basedOn w:val="DefaultParagraphFont"/>
    <w:uiPriority w:val="21"/>
    <w:qFormat/>
    <w:rsid w:val="00BC4AB1"/>
    <w:rPr>
      <w:i/>
      <w:iCs/>
      <w:color w:val="0F4761" w:themeColor="accent1" w:themeShade="BF"/>
    </w:rPr>
  </w:style>
  <w:style w:type="paragraph" w:styleId="IntenseQuote">
    <w:name w:val="Intense Quote"/>
    <w:basedOn w:val="Normal"/>
    <w:next w:val="Normal"/>
    <w:link w:val="IntenseQuoteChar"/>
    <w:uiPriority w:val="30"/>
    <w:qFormat/>
    <w:rsid w:val="00BC4A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AB1"/>
    <w:rPr>
      <w:i/>
      <w:iCs/>
      <w:color w:val="0F4761" w:themeColor="accent1" w:themeShade="BF"/>
    </w:rPr>
  </w:style>
  <w:style w:type="character" w:styleId="IntenseReference">
    <w:name w:val="Intense Reference"/>
    <w:basedOn w:val="DefaultParagraphFont"/>
    <w:uiPriority w:val="32"/>
    <w:qFormat/>
    <w:rsid w:val="00BC4AB1"/>
    <w:rPr>
      <w:b/>
      <w:bCs/>
      <w:smallCaps/>
      <w:color w:val="0F4761" w:themeColor="accent1" w:themeShade="BF"/>
      <w:spacing w:val="5"/>
    </w:rPr>
  </w:style>
  <w:style w:type="paragraph" w:styleId="Footer">
    <w:name w:val="footer"/>
    <w:basedOn w:val="Normal"/>
    <w:link w:val="FooterChar"/>
    <w:uiPriority w:val="99"/>
    <w:unhideWhenUsed/>
    <w:rsid w:val="00BC4AB1"/>
    <w:pPr>
      <w:tabs>
        <w:tab w:val="center" w:pos="4513"/>
        <w:tab w:val="right" w:pos="9026"/>
      </w:tabs>
    </w:pPr>
  </w:style>
  <w:style w:type="character" w:customStyle="1" w:styleId="FooterChar">
    <w:name w:val="Footer Char"/>
    <w:basedOn w:val="DefaultParagraphFont"/>
    <w:link w:val="Footer"/>
    <w:uiPriority w:val="99"/>
    <w:rsid w:val="00BC4AB1"/>
  </w:style>
  <w:style w:type="character" w:styleId="PageNumber">
    <w:name w:val="page number"/>
    <w:basedOn w:val="DefaultParagraphFont"/>
    <w:uiPriority w:val="99"/>
    <w:unhideWhenUsed/>
    <w:rsid w:val="00BC4AB1"/>
  </w:style>
  <w:style w:type="paragraph" w:styleId="NormalWeb">
    <w:name w:val="Normal (Web)"/>
    <w:basedOn w:val="Normal"/>
    <w:uiPriority w:val="99"/>
    <w:unhideWhenUsed/>
    <w:rsid w:val="00BC4AB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nhideWhenUsed/>
    <w:rsid w:val="00BC4AB1"/>
    <w:rPr>
      <w:color w:val="467886" w:themeColor="hyperlink"/>
      <w:u w:val="single"/>
    </w:rPr>
  </w:style>
  <w:style w:type="character" w:styleId="UnresolvedMention">
    <w:name w:val="Unresolved Mention"/>
    <w:basedOn w:val="DefaultParagraphFont"/>
    <w:uiPriority w:val="99"/>
    <w:semiHidden/>
    <w:unhideWhenUsed/>
    <w:rsid w:val="00BC4AB1"/>
    <w:rPr>
      <w:color w:val="605E5C"/>
      <w:shd w:val="clear" w:color="auto" w:fill="E1DFDD"/>
    </w:rPr>
  </w:style>
  <w:style w:type="character" w:styleId="Strong">
    <w:name w:val="Strong"/>
    <w:basedOn w:val="DefaultParagraphFont"/>
    <w:uiPriority w:val="22"/>
    <w:qFormat/>
    <w:rsid w:val="00BC4AB1"/>
    <w:rPr>
      <w:b/>
      <w:bCs/>
    </w:rPr>
  </w:style>
  <w:style w:type="character" w:customStyle="1" w:styleId="apple-converted-space">
    <w:name w:val="apple-converted-space"/>
    <w:basedOn w:val="DefaultParagraphFont"/>
    <w:rsid w:val="00BC4AB1"/>
  </w:style>
  <w:style w:type="paragraph" w:styleId="BodyText2">
    <w:name w:val="Body Text 2"/>
    <w:basedOn w:val="Normal"/>
    <w:link w:val="BodyText2Char"/>
    <w:uiPriority w:val="99"/>
    <w:rsid w:val="00BC4AB1"/>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BC4AB1"/>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BC4AB1"/>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BC4AB1"/>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C4AB1"/>
    <w:rPr>
      <w:rFonts w:ascii="Tahoma" w:eastAsia="Times New Roman" w:hAnsi="Tahoma" w:cs="Tahoma"/>
      <w:kern w:val="0"/>
      <w:sz w:val="16"/>
      <w:szCs w:val="16"/>
      <w14:ligatures w14:val="none"/>
    </w:rPr>
  </w:style>
  <w:style w:type="table" w:styleId="TableGrid">
    <w:name w:val="Table Grid"/>
    <w:basedOn w:val="TableNormal"/>
    <w:rsid w:val="00BC4AB1"/>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C4AB1"/>
    <w:rPr>
      <w:color w:val="800080"/>
      <w:u w:val="single"/>
    </w:rPr>
  </w:style>
  <w:style w:type="paragraph" w:styleId="Header">
    <w:name w:val="header"/>
    <w:basedOn w:val="Normal"/>
    <w:link w:val="HeaderChar"/>
    <w:uiPriority w:val="99"/>
    <w:semiHidden/>
    <w:rsid w:val="00BC4AB1"/>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C4AB1"/>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BC4AB1"/>
    <w:rPr>
      <w:color w:val="535353"/>
      <w:u w:val="single"/>
      <w:effect w:val="none"/>
    </w:rPr>
  </w:style>
  <w:style w:type="paragraph" w:customStyle="1" w:styleId="NormalWeb1">
    <w:name w:val="Normal (Web)1"/>
    <w:basedOn w:val="Normal"/>
    <w:uiPriority w:val="99"/>
    <w:rsid w:val="00BC4AB1"/>
    <w:pPr>
      <w:spacing w:before="100" w:beforeAutospacing="1" w:after="300"/>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BC4AB1"/>
    <w:rPr>
      <w:sz w:val="16"/>
      <w:szCs w:val="16"/>
    </w:rPr>
  </w:style>
  <w:style w:type="paragraph" w:styleId="CommentText">
    <w:name w:val="annotation text"/>
    <w:basedOn w:val="Normal"/>
    <w:link w:val="CommentTextChar"/>
    <w:uiPriority w:val="99"/>
    <w:semiHidden/>
    <w:unhideWhenUsed/>
    <w:rsid w:val="00BC4AB1"/>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C4AB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C4AB1"/>
    <w:rPr>
      <w:b/>
      <w:bCs/>
    </w:rPr>
  </w:style>
  <w:style w:type="character" w:customStyle="1" w:styleId="CommentSubjectChar">
    <w:name w:val="Comment Subject Char"/>
    <w:basedOn w:val="CommentTextChar"/>
    <w:link w:val="CommentSubject"/>
    <w:uiPriority w:val="99"/>
    <w:semiHidden/>
    <w:rsid w:val="00BC4AB1"/>
    <w:rPr>
      <w:rFonts w:ascii="Times New Roman" w:eastAsia="Times New Roman" w:hAnsi="Times New Roman" w:cs="Times New Roman"/>
      <w:b/>
      <w:bCs/>
      <w:kern w:val="0"/>
      <w:sz w:val="20"/>
      <w:szCs w:val="20"/>
      <w14:ligatures w14:val="none"/>
    </w:rPr>
  </w:style>
  <w:style w:type="character" w:customStyle="1" w:styleId="apple-style-span">
    <w:name w:val="apple-style-span"/>
    <w:rsid w:val="00BC4AB1"/>
  </w:style>
  <w:style w:type="character" w:customStyle="1" w:styleId="nw1">
    <w:name w:val="nw1"/>
    <w:uiPriority w:val="99"/>
    <w:rsid w:val="00BC4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2-01/Haverfordwest%2520High%2520VC%2520School_1.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resources/all-publications/resources-for-researche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wales/curriculum-wales-overview" TargetMode="External"/><Relationship Id="rId5" Type="http://schemas.openxmlformats.org/officeDocument/2006/relationships/image" Target="media/image1.png"/><Relationship Id="rId10"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webSettings" Target="webSettings.xml"/><Relationship Id="rId9" Type="http://schemas.openxmlformats.org/officeDocument/2006/relationships/hyperlink" Target="https://www.audible.co.uk/pd/Visible-Learning-for-Teachers-Audiobook/B07RBYN5J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6100</Words>
  <Characters>34771</Characters>
  <Application>Microsoft Office Word</Application>
  <DocSecurity>0</DocSecurity>
  <Lines>289</Lines>
  <Paragraphs>81</Paragraphs>
  <ScaleCrop>false</ScaleCrop>
  <Company/>
  <LinksUpToDate>false</LinksUpToDate>
  <CharactersWithSpaces>40790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Amman (1650014)</dc:creator>
  <cp:keywords/>
  <dc:description/>
  <cp:lastModifiedBy>Georgia Amman (1650014)</cp:lastModifiedBy>
  <cp:revision>1</cp:revision>
  <dcterms:created xsi:type="dcterms:W3CDTF">2024-05-07T16:42:00Z</dcterms:created>
  <dcterms:modified xsi:type="dcterms:W3CDTF">2024-05-07T16:43:00Z</dcterms:modified>
</cp:coreProperties>
</file>