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Title"/>
      </w:pPr>
      <w:r>
        <w:t>Counselling Skills Role-Play Scenarios</w:t>
      </w:r>
    </w:p>
    <w:p>
      <w:pPr>
        <w:pStyle w:val="Heading1"/>
      </w:pPr>
      <w:r>
        <w:t>Scenario 1: Exploring Difficult Emotions</w:t>
      </w:r>
    </w:p>
    <w:p>
      <w:r>
        <w:t>Client Background:</w:t>
        <w:br/>
        <w:t>Jordan (20) is a university student who is experiencing anxiety and low mood. Jordan shares feeling overwhelmed by upcoming exams, pressure from family expectations, and recent isolation from friends.</w:t>
      </w:r>
    </w:p>
    <w:p/>
    <w:p>
      <w:pPr>
        <w:pStyle w:val="Heading1"/>
      </w:pPr>
      <w:r>
        <w:t>Scenario 2: Managing Relationship Conflicts</w:t>
      </w:r>
    </w:p>
    <w:p>
      <w:r>
        <w:t>Client Background:</w:t>
        <w:br/>
        <w:t>Alex (26) seeks counselling following increasing conflicts with their partner. Alex reports frequent arguments over household responsibilities and communication breakdowns, leading to feelings of frustration and sadness.</w:t>
      </w:r>
    </w:p>
    <w:p/>
    <w:p>
      <w:pPr>
        <w:pStyle w:val="Heading1"/>
      </w:pPr>
      <w:r>
        <w:t>Scenario 3: Coping with Loss and Grief</w:t>
      </w:r>
    </w:p>
    <w:p>
      <w:r>
        <w:t>Client Background:</w:t>
        <w:br/>
        <w:t>Sam (30) recently lost a close friend unexpectedly. Sam is struggling to process the loss, expressing feelings of guilt for not staying in touch and difficulty concentrating at work, impacting daily life.</w:t>
      </w:r>
    </w:p>
    <w:p/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