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hAnsiTheme="minorHAnsi"/>
        </w:rPr>
        <w:id w:val="311069643"/>
        <w:docPartObj>
          <w:docPartGallery w:val="Cover Pages"/>
          <w:docPartUnique/>
        </w:docPartObj>
      </w:sdtPr>
      <w:sdtEndPr/>
      <w:sdtContent>
        <w:p w14:paraId="2E442B4D" w14:textId="21DD5201" w:rsidR="005A680B" w:rsidRPr="008261D1" w:rsidRDefault="004D19CA" w:rsidP="00291471">
          <w:pPr>
            <w:spacing w:line="360" w:lineRule="auto"/>
            <w:rPr>
              <w:rFonts w:asciiTheme="minorHAnsi" w:hAnsiTheme="minorHAnsi"/>
            </w:rPr>
          </w:pPr>
          <w:r w:rsidRPr="008261D1">
            <w:rPr>
              <w:rFonts w:asciiTheme="minorHAnsi" w:hAnsiTheme="minorHAnsi"/>
              <w:noProof/>
            </w:rPr>
            <mc:AlternateContent>
              <mc:Choice Requires="wpg">
                <w:drawing>
                  <wp:anchor distT="0" distB="0" distL="114300" distR="114300" simplePos="0" relativeHeight="251660288" behindDoc="0" locked="0" layoutInCell="1" allowOverlap="1" wp14:anchorId="3239DB87" wp14:editId="5907BFBC">
                    <wp:simplePos x="0" y="0"/>
                    <wp:positionH relativeFrom="page">
                      <wp:align>left</wp:align>
                    </wp:positionH>
                    <wp:positionV relativeFrom="page">
                      <wp:align>top</wp:align>
                    </wp:positionV>
                    <wp:extent cx="6382483" cy="3945699"/>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483" cy="3945699"/>
                              <a:chOff x="0" y="0"/>
                              <a:chExt cx="6381721"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496" y="225436"/>
                                <a:ext cx="5610225" cy="3145911"/>
                              </a:xfrm>
                              <a:prstGeom prst="rect">
                                <a:avLst/>
                              </a:prstGeom>
                              <a:noFill/>
                              <a:ln w="6350">
                                <a:noFill/>
                              </a:ln>
                            </wps:spPr>
                            <wps:txbx>
                              <w:txbxContent>
                                <w:p w14:paraId="7B6696D6" w14:textId="54DE4009" w:rsidR="005A680B" w:rsidRPr="005A680B" w:rsidRDefault="005A680B">
                                  <w:pPr>
                                    <w:pStyle w:val="NoSpacing"/>
                                    <w:spacing w:after="240" w:line="216" w:lineRule="auto"/>
                                    <w:rPr>
                                      <w:rFonts w:asciiTheme="majorHAnsi" w:hAnsiTheme="majorHAnsi"/>
                                      <w:color w:val="44546A" w:themeColor="text2"/>
                                      <w:spacing w:val="10"/>
                                      <w:sz w:val="28"/>
                                      <w:szCs w:val="28"/>
                                    </w:rPr>
                                  </w:pPr>
                                </w:p>
                                <w:sdt>
                                  <w:sdtPr>
                                    <w:rPr>
                                      <w:rStyle w:val="normaltextrun"/>
                                      <w:rFonts w:asciiTheme="majorHAnsi" w:eastAsiaTheme="majorEastAsia" w:hAnsiTheme="majorHAnsi" w:cstheme="majorBidi"/>
                                      <w:b/>
                                      <w:bCs/>
                                      <w:color w:val="44546A" w:themeColor="text2"/>
                                      <w:spacing w:val="-10"/>
                                      <w:kern w:val="28"/>
                                      <w:sz w:val="72"/>
                                      <w:szCs w:val="72"/>
                                      <w:lang w:val="en-GB" w:eastAsia="en-US"/>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9B599C3" w14:textId="4102025A" w:rsidR="005A680B" w:rsidRPr="004D19CA" w:rsidRDefault="004D19CA" w:rsidP="004D19CA">
                                      <w:pPr>
                                        <w:pStyle w:val="NoSpacing"/>
                                        <w:spacing w:line="216" w:lineRule="auto"/>
                                        <w:jc w:val="center"/>
                                        <w:rPr>
                                          <w:rFonts w:asciiTheme="majorHAnsi" w:hAnsiTheme="majorHAnsi"/>
                                          <w:caps/>
                                          <w:color w:val="44546A" w:themeColor="text2"/>
                                          <w:sz w:val="144"/>
                                          <w:szCs w:val="144"/>
                                        </w:rPr>
                                      </w:pPr>
                                      <w:r w:rsidRPr="004D19CA">
                                        <w:rPr>
                                          <w:rStyle w:val="normaltextrun"/>
                                          <w:rFonts w:asciiTheme="majorHAnsi" w:eastAsiaTheme="majorEastAsia" w:hAnsiTheme="majorHAnsi" w:cstheme="majorBidi"/>
                                          <w:b/>
                                          <w:bCs/>
                                          <w:color w:val="44546A" w:themeColor="text2"/>
                                          <w:spacing w:val="-10"/>
                                          <w:kern w:val="28"/>
                                          <w:sz w:val="72"/>
                                          <w:szCs w:val="72"/>
                                          <w:lang w:val="en-GB" w:eastAsia="en-US"/>
                                        </w:rPr>
                                        <w:t>Evaluate the success and limitations of the Police and Criminal Evidence Act 1984 in preventing Miscarriages of Justice.</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239DB87" id="Group 459" o:spid="_x0000_s1026" alt="Title: Title and subtitle with crop mark graphic" style="position:absolute;margin-left:0;margin-top:0;width:502.55pt;height:310.7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4;top:2254;width:56103;height:3145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p w14:paraId="7B6696D6" w14:textId="54DE4009" w:rsidR="005A680B" w:rsidRPr="005A680B" w:rsidRDefault="005A680B">
                            <w:pPr>
                              <w:pStyle w:val="NoSpacing"/>
                              <w:spacing w:after="240" w:line="216" w:lineRule="auto"/>
                              <w:rPr>
                                <w:rFonts w:asciiTheme="majorHAnsi" w:hAnsiTheme="majorHAnsi"/>
                                <w:color w:val="44546A" w:themeColor="text2"/>
                                <w:spacing w:val="10"/>
                                <w:sz w:val="28"/>
                                <w:szCs w:val="28"/>
                              </w:rPr>
                            </w:pPr>
                          </w:p>
                          <w:sdt>
                            <w:sdtPr>
                              <w:rPr>
                                <w:rStyle w:val="normaltextrun"/>
                                <w:rFonts w:asciiTheme="majorHAnsi" w:eastAsiaTheme="majorEastAsia" w:hAnsiTheme="majorHAnsi" w:cstheme="majorBidi"/>
                                <w:b/>
                                <w:bCs/>
                                <w:color w:val="44546A" w:themeColor="text2"/>
                                <w:spacing w:val="-10"/>
                                <w:kern w:val="28"/>
                                <w:sz w:val="72"/>
                                <w:szCs w:val="72"/>
                                <w:lang w:val="en-GB" w:eastAsia="en-US"/>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9B599C3" w14:textId="4102025A" w:rsidR="005A680B" w:rsidRPr="004D19CA" w:rsidRDefault="004D19CA" w:rsidP="004D19CA">
                                <w:pPr>
                                  <w:pStyle w:val="NoSpacing"/>
                                  <w:spacing w:line="216" w:lineRule="auto"/>
                                  <w:jc w:val="center"/>
                                  <w:rPr>
                                    <w:rFonts w:asciiTheme="majorHAnsi" w:hAnsiTheme="majorHAnsi"/>
                                    <w:caps/>
                                    <w:color w:val="44546A" w:themeColor="text2"/>
                                    <w:sz w:val="144"/>
                                    <w:szCs w:val="144"/>
                                  </w:rPr>
                                </w:pPr>
                                <w:r w:rsidRPr="004D19CA">
                                  <w:rPr>
                                    <w:rStyle w:val="normaltextrun"/>
                                    <w:rFonts w:asciiTheme="majorHAnsi" w:eastAsiaTheme="majorEastAsia" w:hAnsiTheme="majorHAnsi" w:cstheme="majorBidi"/>
                                    <w:b/>
                                    <w:bCs/>
                                    <w:color w:val="44546A" w:themeColor="text2"/>
                                    <w:spacing w:val="-10"/>
                                    <w:kern w:val="28"/>
                                    <w:sz w:val="72"/>
                                    <w:szCs w:val="72"/>
                                    <w:lang w:val="en-GB" w:eastAsia="en-US"/>
                                  </w:rPr>
                                  <w:t>Evaluate the success and limitations of the Police and Criminal Evidence Act 1984 in preventing Miscarriages of Justice.</w:t>
                                </w:r>
                              </w:p>
                            </w:sdtContent>
                          </w:sdt>
                        </w:txbxContent>
                      </v:textbox>
                    </v:shape>
                    <w10:wrap anchorx="page" anchory="page"/>
                  </v:group>
                </w:pict>
              </mc:Fallback>
            </mc:AlternateContent>
          </w:r>
          <w:r w:rsidR="005A680B" w:rsidRPr="008261D1">
            <w:rPr>
              <w:rFonts w:asciiTheme="minorHAnsi" w:hAnsiTheme="minorHAnsi"/>
              <w:noProof/>
            </w:rPr>
            <mc:AlternateContent>
              <mc:Choice Requires="wps">
                <w:drawing>
                  <wp:anchor distT="0" distB="0" distL="114300" distR="114300" simplePos="0" relativeHeight="251659264" behindDoc="1" locked="0" layoutInCell="1" allowOverlap="1" wp14:anchorId="676FA77E" wp14:editId="0306ADA4">
                    <wp:simplePos x="0" y="0"/>
                    <wp:positionH relativeFrom="page">
                      <wp:align>center</wp:align>
                    </wp:positionH>
                    <wp:positionV relativeFrom="page">
                      <wp:align>center</wp:align>
                    </wp:positionV>
                    <wp:extent cx="7315200" cy="9601200"/>
                    <wp:effectExtent l="0" t="0" r="127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1F51151F"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31A1B561" w14:textId="429FAEEE" w:rsidR="005A680B" w:rsidRPr="008261D1" w:rsidRDefault="004D19CA" w:rsidP="00291471">
          <w:pPr>
            <w:spacing w:line="360" w:lineRule="auto"/>
            <w:rPr>
              <w:rFonts w:asciiTheme="minorHAnsi" w:hAnsiTheme="minorHAnsi"/>
            </w:rPr>
          </w:pPr>
          <w:r w:rsidRPr="008261D1">
            <w:rPr>
              <w:rFonts w:asciiTheme="minorHAnsi" w:hAnsiTheme="minorHAnsi"/>
              <w:noProof/>
            </w:rPr>
            <mc:AlternateContent>
              <mc:Choice Requires="wpg">
                <w:drawing>
                  <wp:anchor distT="0" distB="0" distL="114300" distR="114300" simplePos="0" relativeHeight="251661312" behindDoc="0" locked="0" layoutInCell="1" allowOverlap="1" wp14:anchorId="083DF9AD" wp14:editId="32402380">
                    <wp:simplePos x="0" y="0"/>
                    <wp:positionH relativeFrom="page">
                      <wp:align>right</wp:align>
                    </wp:positionH>
                    <wp:positionV relativeFrom="page">
                      <wp:align>bottom</wp:align>
                    </wp:positionV>
                    <wp:extent cx="4672330" cy="3373755"/>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a:noAutofit/>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p w14:paraId="692E3AB2" w14:textId="48DB68C6" w:rsidR="00AA14A6" w:rsidRDefault="00AA14A6">
                                  <w:pPr>
                                    <w:pStyle w:val="NoSpacing"/>
                                    <w:spacing w:after="240"/>
                                    <w:jc w:val="right"/>
                                    <w:rPr>
                                      <w:color w:val="44546A" w:themeColor="text2"/>
                                      <w:spacing w:val="10"/>
                                      <w:sz w:val="36"/>
                                      <w:szCs w:val="36"/>
                                    </w:rPr>
                                  </w:pPr>
                                </w:p>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B00BDF7" w14:textId="25B93801" w:rsidR="005A680B" w:rsidRDefault="00AA14A6">
                                      <w:pPr>
                                        <w:pStyle w:val="NoSpacing"/>
                                        <w:spacing w:after="240"/>
                                        <w:jc w:val="right"/>
                                        <w:rPr>
                                          <w:color w:val="44546A" w:themeColor="text2"/>
                                          <w:spacing w:val="10"/>
                                          <w:sz w:val="36"/>
                                          <w:szCs w:val="36"/>
                                        </w:rPr>
                                      </w:pPr>
                                      <w:r>
                                        <w:rPr>
                                          <w:color w:val="44546A" w:themeColor="text2"/>
                                          <w:spacing w:val="10"/>
                                          <w:sz w:val="36"/>
                                          <w:szCs w:val="36"/>
                                        </w:rPr>
                                        <w:t>Tyler Thomas</w:t>
                                      </w:r>
                                    </w:p>
                                  </w:sdtContent>
                                </w:sdt>
                                <w:p w14:paraId="268473D7" w14:textId="0680C0D0" w:rsidR="005A680B" w:rsidRDefault="009F5549">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AA14A6">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83DF9AD" id="Group 454" o:spid="_x0000_s1031" alt="Title: Author and company name with crop mark graphic" style="position:absolute;margin-left:316.7pt;margin-top:0;width:367.9pt;height:265.65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p w14:paraId="692E3AB2" w14:textId="48DB68C6" w:rsidR="00AA14A6" w:rsidRDefault="00AA14A6">
                            <w:pPr>
                              <w:pStyle w:val="NoSpacing"/>
                              <w:spacing w:after="240"/>
                              <w:jc w:val="right"/>
                              <w:rPr>
                                <w:color w:val="44546A" w:themeColor="text2"/>
                                <w:spacing w:val="10"/>
                                <w:sz w:val="36"/>
                                <w:szCs w:val="36"/>
                              </w:rPr>
                            </w:pPr>
                          </w:p>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B00BDF7" w14:textId="25B93801" w:rsidR="005A680B" w:rsidRDefault="00AA14A6">
                                <w:pPr>
                                  <w:pStyle w:val="NoSpacing"/>
                                  <w:spacing w:after="240"/>
                                  <w:jc w:val="right"/>
                                  <w:rPr>
                                    <w:color w:val="44546A" w:themeColor="text2"/>
                                    <w:spacing w:val="10"/>
                                    <w:sz w:val="36"/>
                                    <w:szCs w:val="36"/>
                                  </w:rPr>
                                </w:pPr>
                                <w:r>
                                  <w:rPr>
                                    <w:color w:val="44546A" w:themeColor="text2"/>
                                    <w:spacing w:val="10"/>
                                    <w:sz w:val="36"/>
                                    <w:szCs w:val="36"/>
                                  </w:rPr>
                                  <w:t>Tyler Thomas</w:t>
                                </w:r>
                              </w:p>
                            </w:sdtContent>
                          </w:sdt>
                          <w:p w14:paraId="268473D7" w14:textId="0680C0D0" w:rsidR="005A680B" w:rsidRDefault="009F5549">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AA14A6">
                                  <w:rPr>
                                    <w:color w:val="44546A" w:themeColor="text2"/>
                                    <w:spacing w:val="10"/>
                                    <w:sz w:val="28"/>
                                    <w:szCs w:val="28"/>
                                  </w:rPr>
                                  <w:t xml:space="preserve">     </w:t>
                                </w:r>
                              </w:sdtContent>
                            </w:sdt>
                          </w:p>
                        </w:txbxContent>
                      </v:textbox>
                    </v:shape>
                    <w10:wrap anchorx="page" anchory="page"/>
                  </v:group>
                </w:pict>
              </mc:Fallback>
            </mc:AlternateContent>
          </w:r>
          <w:r w:rsidR="005A680B" w:rsidRPr="008261D1">
            <w:rPr>
              <w:rFonts w:asciiTheme="minorHAnsi" w:hAnsiTheme="minorHAnsi"/>
            </w:rPr>
            <w:br w:type="page"/>
          </w:r>
        </w:p>
      </w:sdtContent>
    </w:sdt>
    <w:p w14:paraId="6907D405" w14:textId="130D7D8E" w:rsidR="00AA14A6" w:rsidRPr="009F5549" w:rsidRDefault="00AA14A6" w:rsidP="009F5549">
      <w:pPr>
        <w:pStyle w:val="Title"/>
        <w:spacing w:line="360" w:lineRule="auto"/>
        <w:jc w:val="center"/>
        <w:rPr>
          <w:rStyle w:val="eop"/>
          <w:rFonts w:asciiTheme="minorHAnsi" w:hAnsiTheme="minorHAnsi"/>
          <w:sz w:val="44"/>
          <w:szCs w:val="44"/>
        </w:rPr>
      </w:pPr>
      <w:r w:rsidRPr="008261D1">
        <w:rPr>
          <w:rStyle w:val="normaltextrun"/>
          <w:rFonts w:asciiTheme="minorHAnsi" w:hAnsiTheme="minorHAnsi"/>
          <w:sz w:val="44"/>
          <w:szCs w:val="44"/>
        </w:rPr>
        <w:lastRenderedPageBreak/>
        <w:t>Evaluate the success and limitations of the Police and Criminal Evidence Act 1984 in preventing Miscarriages of Justice.</w:t>
      </w:r>
      <w:r w:rsidR="009F5549">
        <w:rPr>
          <w:rStyle w:val="normaltextrun"/>
          <w:rFonts w:asciiTheme="minorHAnsi" w:hAnsiTheme="minorHAnsi"/>
          <w:sz w:val="44"/>
          <w:szCs w:val="44"/>
        </w:rPr>
        <w:t xml:space="preserve"> </w:t>
      </w:r>
    </w:p>
    <w:p w14:paraId="72FFA195" w14:textId="53E6B7A1" w:rsidR="00AA14A6" w:rsidRPr="008261D1" w:rsidRDefault="00AA14A6" w:rsidP="00291471">
      <w:pPr>
        <w:pStyle w:val="paragraph"/>
        <w:spacing w:before="0" w:beforeAutospacing="0" w:after="0" w:afterAutospacing="0" w:line="360" w:lineRule="auto"/>
        <w:ind w:left="720"/>
        <w:jc w:val="center"/>
        <w:textAlignment w:val="baseline"/>
        <w:rPr>
          <w:rStyle w:val="eop"/>
          <w:rFonts w:asciiTheme="minorHAnsi" w:hAnsiTheme="minorHAnsi" w:cs="Calibri"/>
          <w:sz w:val="28"/>
          <w:szCs w:val="28"/>
        </w:rPr>
      </w:pPr>
    </w:p>
    <w:p w14:paraId="20F2BF7A" w14:textId="4C50CB0B" w:rsidR="00521AE3" w:rsidRPr="00291471" w:rsidRDefault="00AA14A6" w:rsidP="00291471">
      <w:pPr>
        <w:pStyle w:val="paragraph"/>
        <w:spacing w:before="0" w:beforeAutospacing="0" w:after="0" w:afterAutospacing="0" w:line="360" w:lineRule="auto"/>
        <w:jc w:val="both"/>
        <w:textAlignment w:val="baseline"/>
        <w:rPr>
          <w:rStyle w:val="eop"/>
          <w:rFonts w:asciiTheme="minorHAnsi" w:hAnsiTheme="minorHAnsi" w:cs="Calibri"/>
        </w:rPr>
      </w:pPr>
      <w:r w:rsidRPr="008261D1">
        <w:rPr>
          <w:rStyle w:val="eop"/>
          <w:rFonts w:asciiTheme="minorHAnsi" w:hAnsiTheme="minorHAnsi" w:cs="Calibri"/>
        </w:rPr>
        <w:t xml:space="preserve">The Police and Criminal Evidence Act 1984 is an act of parliament which </w:t>
      </w:r>
      <w:r w:rsidR="00D9532C" w:rsidRPr="008261D1">
        <w:rPr>
          <w:rStyle w:val="eop"/>
          <w:rFonts w:asciiTheme="minorHAnsi" w:hAnsiTheme="minorHAnsi" w:cs="Calibri"/>
        </w:rPr>
        <w:t>provides</w:t>
      </w:r>
      <w:r w:rsidRPr="008261D1">
        <w:rPr>
          <w:rStyle w:val="eop"/>
          <w:rFonts w:asciiTheme="minorHAnsi" w:hAnsiTheme="minorHAnsi" w:cs="Calibri"/>
        </w:rPr>
        <w:t xml:space="preserve"> a legislative structure that </w:t>
      </w:r>
      <w:r w:rsidR="008B7DF2" w:rsidRPr="008261D1">
        <w:rPr>
          <w:rStyle w:val="eop"/>
          <w:rFonts w:asciiTheme="minorHAnsi" w:hAnsiTheme="minorHAnsi" w:cs="Calibri"/>
        </w:rPr>
        <w:t>unites the</w:t>
      </w:r>
      <w:r w:rsidR="00D9532C" w:rsidRPr="008261D1">
        <w:rPr>
          <w:rStyle w:val="eop"/>
          <w:rFonts w:asciiTheme="minorHAnsi" w:hAnsiTheme="minorHAnsi" w:cs="Calibri"/>
        </w:rPr>
        <w:t xml:space="preserve"> practice</w:t>
      </w:r>
      <w:r w:rsidRPr="008261D1">
        <w:rPr>
          <w:rStyle w:val="eop"/>
          <w:rFonts w:asciiTheme="minorHAnsi" w:hAnsiTheme="minorHAnsi" w:cs="Calibri"/>
        </w:rPr>
        <w:t xml:space="preserve"> </w:t>
      </w:r>
      <w:r w:rsidR="00D9532C" w:rsidRPr="008261D1">
        <w:rPr>
          <w:rStyle w:val="eop"/>
          <w:rFonts w:asciiTheme="minorHAnsi" w:hAnsiTheme="minorHAnsi" w:cs="Calibri"/>
        </w:rPr>
        <w:t>of</w:t>
      </w:r>
      <w:r w:rsidRPr="008261D1">
        <w:rPr>
          <w:rStyle w:val="eop"/>
          <w:rFonts w:asciiTheme="minorHAnsi" w:hAnsiTheme="minorHAnsi" w:cs="Calibri"/>
        </w:rPr>
        <w:t xml:space="preserve"> powers </w:t>
      </w:r>
      <w:r w:rsidR="00D9532C" w:rsidRPr="008261D1">
        <w:rPr>
          <w:rStyle w:val="eop"/>
          <w:rFonts w:asciiTheme="minorHAnsi" w:hAnsiTheme="minorHAnsi" w:cs="Calibri"/>
        </w:rPr>
        <w:t>that</w:t>
      </w:r>
      <w:r w:rsidRPr="008261D1">
        <w:rPr>
          <w:rStyle w:val="eop"/>
          <w:rFonts w:asciiTheme="minorHAnsi" w:hAnsiTheme="minorHAnsi" w:cs="Calibri"/>
        </w:rPr>
        <w:t xml:space="preserve"> police officers</w:t>
      </w:r>
      <w:r w:rsidR="00D9532C" w:rsidRPr="008261D1">
        <w:rPr>
          <w:rStyle w:val="eop"/>
          <w:rFonts w:asciiTheme="minorHAnsi" w:hAnsiTheme="minorHAnsi" w:cs="Calibri"/>
        </w:rPr>
        <w:t xml:space="preserve"> have</w:t>
      </w:r>
      <w:r w:rsidRPr="008261D1">
        <w:rPr>
          <w:rStyle w:val="eop"/>
          <w:rFonts w:asciiTheme="minorHAnsi" w:hAnsiTheme="minorHAnsi" w:cs="Calibri"/>
        </w:rPr>
        <w:t xml:space="preserve"> in England and Wales</w:t>
      </w:r>
      <w:r w:rsidR="00D9532C" w:rsidRPr="008261D1">
        <w:rPr>
          <w:rStyle w:val="eop"/>
          <w:rFonts w:asciiTheme="minorHAnsi" w:hAnsiTheme="minorHAnsi" w:cs="Calibri"/>
        </w:rPr>
        <w:t xml:space="preserve"> to help protect public rights.</w:t>
      </w:r>
      <w:r w:rsidR="004D19CA" w:rsidRPr="008261D1">
        <w:rPr>
          <w:rStyle w:val="eop"/>
          <w:rFonts w:asciiTheme="minorHAnsi" w:hAnsiTheme="minorHAnsi" w:cs="Calibri"/>
        </w:rPr>
        <w:t xml:space="preserve"> An act is a bill</w:t>
      </w:r>
      <w:r w:rsidR="00CF36A3" w:rsidRPr="008261D1">
        <w:rPr>
          <w:rStyle w:val="eop"/>
          <w:rFonts w:asciiTheme="minorHAnsi" w:hAnsiTheme="minorHAnsi" w:cs="Calibri"/>
        </w:rPr>
        <w:t xml:space="preserve"> </w:t>
      </w:r>
      <w:r w:rsidR="004D19CA" w:rsidRPr="008261D1">
        <w:rPr>
          <w:rStyle w:val="eop"/>
          <w:rFonts w:asciiTheme="minorHAnsi" w:hAnsiTheme="minorHAnsi" w:cs="Calibri"/>
        </w:rPr>
        <w:t>that has been approved by both the house of commons and the house of lords. That bill is then passed on as a new act of parliament. These bills can either be brand new or amended pieces of legislation</w:t>
      </w:r>
      <w:r w:rsidR="007E38AC" w:rsidRPr="008261D1">
        <w:rPr>
          <w:rStyle w:val="eop"/>
          <w:rFonts w:asciiTheme="minorHAnsi" w:hAnsiTheme="minorHAnsi" w:cs="Calibri"/>
        </w:rPr>
        <w:t xml:space="preserve"> (Parliament)</w:t>
      </w:r>
      <w:r w:rsidR="004D19CA" w:rsidRPr="008261D1">
        <w:rPr>
          <w:rStyle w:val="eop"/>
          <w:rFonts w:asciiTheme="minorHAnsi" w:hAnsiTheme="minorHAnsi" w:cs="Calibri"/>
        </w:rPr>
        <w:t xml:space="preserve">. </w:t>
      </w:r>
      <w:r w:rsidR="00CF36A3" w:rsidRPr="008261D1">
        <w:rPr>
          <w:rStyle w:val="eop"/>
          <w:rFonts w:asciiTheme="minorHAnsi" w:hAnsiTheme="minorHAnsi" w:cs="Calibri"/>
        </w:rPr>
        <w:t>PACE (abbreviation for Police and Criminal Evidence Act) was created to demand the correct balance between the amount of police powers used against the rights of the public</w:t>
      </w:r>
      <w:r w:rsidR="003C69BD" w:rsidRPr="008261D1">
        <w:rPr>
          <w:rStyle w:val="eop"/>
          <w:rFonts w:asciiTheme="minorHAnsi" w:hAnsiTheme="minorHAnsi" w:cs="Calibri"/>
        </w:rPr>
        <w:t xml:space="preserve"> and to set limits on the length of detention in custody before charge (</w:t>
      </w:r>
      <w:proofErr w:type="spellStart"/>
      <w:r w:rsidR="003C69BD" w:rsidRPr="008261D1">
        <w:rPr>
          <w:rStyle w:val="eop"/>
          <w:rFonts w:asciiTheme="minorHAnsi" w:hAnsiTheme="minorHAnsi" w:cs="Calibri"/>
        </w:rPr>
        <w:t>Bottomely</w:t>
      </w:r>
      <w:proofErr w:type="spellEnd"/>
      <w:r w:rsidR="004D19CA" w:rsidRPr="008261D1">
        <w:rPr>
          <w:rStyle w:val="eop"/>
          <w:rFonts w:asciiTheme="minorHAnsi" w:hAnsiTheme="minorHAnsi" w:cs="Calibri"/>
        </w:rPr>
        <w:t xml:space="preserve"> et al,</w:t>
      </w:r>
      <w:r w:rsidR="003C69BD" w:rsidRPr="008261D1">
        <w:rPr>
          <w:rStyle w:val="eop"/>
          <w:rFonts w:asciiTheme="minorHAnsi" w:hAnsiTheme="minorHAnsi" w:cs="Calibri"/>
        </w:rPr>
        <w:t xml:space="preserve"> 1991)</w:t>
      </w:r>
      <w:r w:rsidR="00CF36A3" w:rsidRPr="008261D1">
        <w:rPr>
          <w:rStyle w:val="eop"/>
          <w:rFonts w:asciiTheme="minorHAnsi" w:hAnsiTheme="minorHAnsi" w:cs="Calibri"/>
        </w:rPr>
        <w:t xml:space="preserve">. The codes covered by PACE are; stops and searches, arrests, detentions, investigations, identifications and interviewing detainees (Home Office, 2019). </w:t>
      </w:r>
      <w:r w:rsidR="00291471">
        <w:rPr>
          <w:rStyle w:val="eop"/>
          <w:rFonts w:asciiTheme="minorHAnsi" w:hAnsiTheme="minorHAnsi" w:cs="Calibri"/>
        </w:rPr>
        <w:t>One main important</w:t>
      </w:r>
      <w:r w:rsidR="008B7DF2" w:rsidRPr="00291471">
        <w:rPr>
          <w:rStyle w:val="eop"/>
          <w:rFonts w:asciiTheme="minorHAnsi" w:hAnsiTheme="minorHAnsi" w:cs="Calibri"/>
        </w:rPr>
        <w:t xml:space="preserve"> example of what PACE authorised is </w:t>
      </w:r>
      <w:r w:rsidR="00291471">
        <w:rPr>
          <w:rStyle w:val="eop"/>
          <w:rFonts w:asciiTheme="minorHAnsi" w:hAnsiTheme="minorHAnsi" w:cs="Calibri"/>
        </w:rPr>
        <w:t xml:space="preserve">that </w:t>
      </w:r>
      <w:r w:rsidR="008B7DF2" w:rsidRPr="00291471">
        <w:rPr>
          <w:rStyle w:val="eop"/>
          <w:rFonts w:asciiTheme="minorHAnsi" w:hAnsiTheme="minorHAnsi" w:cs="Calibri"/>
        </w:rPr>
        <w:t xml:space="preserve">the defendants </w:t>
      </w:r>
      <w:r w:rsidR="00291471">
        <w:rPr>
          <w:rStyle w:val="eop"/>
          <w:rFonts w:asciiTheme="minorHAnsi" w:hAnsiTheme="minorHAnsi" w:cs="Calibri"/>
        </w:rPr>
        <w:t xml:space="preserve">must be made aware that they </w:t>
      </w:r>
      <w:r w:rsidR="003C69BD" w:rsidRPr="00291471">
        <w:rPr>
          <w:rStyle w:val="eop"/>
          <w:rFonts w:asciiTheme="minorHAnsi" w:hAnsiTheme="minorHAnsi" w:cs="Calibri"/>
        </w:rPr>
        <w:t xml:space="preserve">have the </w:t>
      </w:r>
      <w:r w:rsidR="008B7DF2" w:rsidRPr="00291471">
        <w:rPr>
          <w:rStyle w:val="eop"/>
          <w:rFonts w:asciiTheme="minorHAnsi" w:hAnsiTheme="minorHAnsi" w:cs="Calibri"/>
        </w:rPr>
        <w:t xml:space="preserve">right to </w:t>
      </w:r>
      <w:r w:rsidR="003C69BD" w:rsidRPr="00291471">
        <w:rPr>
          <w:rStyle w:val="eop"/>
          <w:rFonts w:asciiTheme="minorHAnsi" w:hAnsiTheme="minorHAnsi" w:cs="Calibri"/>
        </w:rPr>
        <w:t xml:space="preserve">receive legal representation </w:t>
      </w:r>
      <w:r w:rsidR="008B7DF2" w:rsidRPr="00291471">
        <w:rPr>
          <w:rStyle w:val="eop"/>
          <w:rFonts w:asciiTheme="minorHAnsi" w:hAnsiTheme="minorHAnsi" w:cs="Calibri"/>
        </w:rPr>
        <w:t xml:space="preserve">according to </w:t>
      </w:r>
      <w:r w:rsidR="00420DC4" w:rsidRPr="00291471">
        <w:rPr>
          <w:rStyle w:val="eop"/>
          <w:rFonts w:asciiTheme="minorHAnsi" w:hAnsiTheme="minorHAnsi" w:cs="Calibri"/>
        </w:rPr>
        <w:t>Murphey</w:t>
      </w:r>
      <w:r w:rsidR="008B7DF2" w:rsidRPr="00291471">
        <w:rPr>
          <w:rStyle w:val="eop"/>
          <w:rFonts w:asciiTheme="minorHAnsi" w:hAnsiTheme="minorHAnsi" w:cs="Calibri"/>
        </w:rPr>
        <w:t>, 2017.</w:t>
      </w:r>
      <w:r w:rsidR="008D42A3" w:rsidRPr="00291471">
        <w:rPr>
          <w:rStyle w:val="eop"/>
          <w:rFonts w:asciiTheme="minorHAnsi" w:hAnsiTheme="minorHAnsi" w:cs="Calibri"/>
        </w:rPr>
        <w:t xml:space="preserve"> </w:t>
      </w:r>
    </w:p>
    <w:p w14:paraId="2AC30125" w14:textId="068864E4" w:rsidR="00005EF3" w:rsidRPr="008261D1" w:rsidRDefault="00005EF3" w:rsidP="00291471">
      <w:pPr>
        <w:pStyle w:val="paragraph"/>
        <w:spacing w:before="0" w:beforeAutospacing="0" w:after="0" w:afterAutospacing="0" w:line="360" w:lineRule="auto"/>
        <w:textAlignment w:val="baseline"/>
        <w:rPr>
          <w:rStyle w:val="eop"/>
          <w:rFonts w:asciiTheme="minorHAnsi" w:hAnsiTheme="minorHAnsi" w:cs="Calibri"/>
        </w:rPr>
      </w:pPr>
    </w:p>
    <w:p w14:paraId="2D40604E" w14:textId="07966EDB" w:rsidR="00291471" w:rsidRPr="00291471" w:rsidRDefault="00005EF3" w:rsidP="00291471">
      <w:pPr>
        <w:pStyle w:val="paragraph"/>
        <w:spacing w:before="0" w:beforeAutospacing="0" w:after="0" w:afterAutospacing="0" w:line="360" w:lineRule="auto"/>
        <w:textAlignment w:val="baseline"/>
        <w:rPr>
          <w:rFonts w:ascii="Calibri" w:hAnsi="Calibri" w:cs="Arial"/>
          <w:sz w:val="28"/>
          <w:szCs w:val="28"/>
        </w:rPr>
      </w:pPr>
      <w:r w:rsidRPr="008261D1">
        <w:rPr>
          <w:rStyle w:val="eop"/>
          <w:rFonts w:asciiTheme="minorHAnsi" w:hAnsiTheme="minorHAnsi" w:cs="Calibri"/>
        </w:rPr>
        <w:t xml:space="preserve">According to </w:t>
      </w:r>
      <w:r w:rsidR="00291471">
        <w:rPr>
          <w:rStyle w:val="eop"/>
          <w:rFonts w:asciiTheme="minorHAnsi" w:hAnsiTheme="minorHAnsi" w:cs="Calibri"/>
        </w:rPr>
        <w:t xml:space="preserve">Matthew </w:t>
      </w:r>
      <w:r w:rsidRPr="008261D1">
        <w:rPr>
          <w:rStyle w:val="eop"/>
          <w:rFonts w:asciiTheme="minorHAnsi" w:hAnsiTheme="minorHAnsi" w:cs="Calibri"/>
        </w:rPr>
        <w:t xml:space="preserve">Hardcastle a Senior Associate in the criminal litigation team in 2017, there </w:t>
      </w:r>
      <w:r w:rsidR="00420499" w:rsidRPr="008261D1">
        <w:rPr>
          <w:rStyle w:val="eop"/>
          <w:rFonts w:asciiTheme="minorHAnsi" w:hAnsiTheme="minorHAnsi" w:cs="Calibri"/>
        </w:rPr>
        <w:t>were</w:t>
      </w:r>
      <w:r w:rsidRPr="008261D1">
        <w:rPr>
          <w:rStyle w:val="eop"/>
          <w:rFonts w:asciiTheme="minorHAnsi" w:hAnsiTheme="minorHAnsi" w:cs="Calibri"/>
        </w:rPr>
        <w:t xml:space="preserve"> 3 main codes needed to be amended</w:t>
      </w:r>
      <w:r w:rsidR="00420499" w:rsidRPr="008261D1">
        <w:rPr>
          <w:rStyle w:val="eop"/>
          <w:rFonts w:asciiTheme="minorHAnsi" w:hAnsiTheme="minorHAnsi" w:cs="Calibri"/>
        </w:rPr>
        <w:t>. T</w:t>
      </w:r>
      <w:r w:rsidRPr="008261D1">
        <w:rPr>
          <w:rStyle w:val="eop"/>
          <w:rFonts w:asciiTheme="minorHAnsi" w:hAnsiTheme="minorHAnsi" w:cs="Calibri"/>
        </w:rPr>
        <w:t xml:space="preserve">hese 3 codes </w:t>
      </w:r>
      <w:r w:rsidR="00420499" w:rsidRPr="008261D1">
        <w:rPr>
          <w:rStyle w:val="eop"/>
          <w:rFonts w:asciiTheme="minorHAnsi" w:hAnsiTheme="minorHAnsi" w:cs="Calibri"/>
        </w:rPr>
        <w:t>were</w:t>
      </w:r>
      <w:r w:rsidRPr="008261D1">
        <w:rPr>
          <w:rStyle w:val="eop"/>
          <w:rFonts w:asciiTheme="minorHAnsi" w:hAnsiTheme="minorHAnsi" w:cs="Calibri"/>
        </w:rPr>
        <w:t xml:space="preserve"> C,</w:t>
      </w:r>
      <w:r w:rsidR="00291471">
        <w:rPr>
          <w:rStyle w:val="eop"/>
          <w:rFonts w:asciiTheme="minorHAnsi" w:hAnsiTheme="minorHAnsi" w:cs="Calibri"/>
        </w:rPr>
        <w:t xml:space="preserve"> </w:t>
      </w:r>
      <w:r w:rsidRPr="008261D1">
        <w:rPr>
          <w:rStyle w:val="eop"/>
          <w:rFonts w:asciiTheme="minorHAnsi" w:hAnsiTheme="minorHAnsi" w:cs="Calibri"/>
        </w:rPr>
        <w:t xml:space="preserve">D and H. </w:t>
      </w:r>
      <w:r w:rsidR="00405DA3" w:rsidRPr="008261D1">
        <w:rPr>
          <w:rStyle w:val="eop"/>
          <w:rFonts w:asciiTheme="minorHAnsi" w:hAnsiTheme="minorHAnsi" w:cs="Calibri"/>
        </w:rPr>
        <w:t>‘’Code C sets out the requirements for the detention, treatment and questioning of people in police custody by police officers. It replaced the judges’ rules in Wales and England’’ Murphey,</w:t>
      </w:r>
      <w:r w:rsidR="009F5549">
        <w:rPr>
          <w:rStyle w:val="eop"/>
          <w:rFonts w:asciiTheme="minorHAnsi" w:hAnsiTheme="minorHAnsi" w:cs="Calibri"/>
        </w:rPr>
        <w:t xml:space="preserve"> </w:t>
      </w:r>
      <w:r w:rsidR="00405DA3" w:rsidRPr="008261D1">
        <w:rPr>
          <w:rStyle w:val="eop"/>
          <w:rFonts w:asciiTheme="minorHAnsi" w:hAnsiTheme="minorHAnsi" w:cs="Calibri"/>
        </w:rPr>
        <w:t>2017.</w:t>
      </w:r>
      <w:r w:rsidR="00291471">
        <w:rPr>
          <w:rStyle w:val="eop"/>
          <w:rFonts w:asciiTheme="minorHAnsi" w:hAnsiTheme="minorHAnsi" w:cs="Calibri"/>
        </w:rPr>
        <w:t xml:space="preserve"> As stated, b</w:t>
      </w:r>
      <w:r w:rsidR="00291471">
        <w:rPr>
          <w:rStyle w:val="eop"/>
          <w:rFonts w:asciiTheme="minorHAnsi" w:hAnsiTheme="minorHAnsi" w:cs="Calibri"/>
        </w:rPr>
        <w:t>efore PACE was introduced police-powers were assumed by the judge’s rules. During the 1970s the police powers were exercised with very little restraint control, and no requirements for legal advice would have been offered after being arrested, nor were there any time limits on time periods of detention.</w:t>
      </w:r>
    </w:p>
    <w:p w14:paraId="09DC5C32" w14:textId="77777777" w:rsidR="00291471" w:rsidRDefault="00291471" w:rsidP="00291471">
      <w:pPr>
        <w:pStyle w:val="paragraph"/>
        <w:spacing w:before="0" w:beforeAutospacing="0" w:after="0" w:afterAutospacing="0" w:line="360" w:lineRule="auto"/>
        <w:textAlignment w:val="baseline"/>
        <w:rPr>
          <w:rStyle w:val="eop"/>
          <w:rFonts w:asciiTheme="minorHAnsi" w:hAnsiTheme="minorHAnsi" w:cs="Calibri"/>
        </w:rPr>
      </w:pPr>
    </w:p>
    <w:p w14:paraId="39933381" w14:textId="07169EF2" w:rsidR="00005EF3" w:rsidRPr="008261D1" w:rsidRDefault="00005EF3" w:rsidP="00291471">
      <w:pPr>
        <w:pStyle w:val="paragraph"/>
        <w:spacing w:before="0" w:beforeAutospacing="0" w:after="0" w:afterAutospacing="0" w:line="360" w:lineRule="auto"/>
        <w:textAlignment w:val="baseline"/>
        <w:rPr>
          <w:rStyle w:val="eop"/>
          <w:rFonts w:asciiTheme="minorHAnsi" w:hAnsiTheme="minorHAnsi" w:cs="Calibri"/>
        </w:rPr>
      </w:pPr>
      <w:r w:rsidRPr="008261D1">
        <w:rPr>
          <w:rStyle w:val="eop"/>
          <w:rFonts w:asciiTheme="minorHAnsi" w:hAnsiTheme="minorHAnsi" w:cs="Calibri"/>
        </w:rPr>
        <w:t xml:space="preserve">Hardcastle claims that these amendments have been a long time coming and speaks back </w:t>
      </w:r>
      <w:r w:rsidR="00405DA3" w:rsidRPr="008261D1">
        <w:rPr>
          <w:rStyle w:val="eop"/>
          <w:rFonts w:asciiTheme="minorHAnsi" w:hAnsiTheme="minorHAnsi" w:cs="Calibri"/>
        </w:rPr>
        <w:t>to</w:t>
      </w:r>
      <w:r w:rsidRPr="008261D1">
        <w:rPr>
          <w:rStyle w:val="eop"/>
          <w:rFonts w:asciiTheme="minorHAnsi" w:hAnsiTheme="minorHAnsi" w:cs="Calibri"/>
        </w:rPr>
        <w:t xml:space="preserve"> 2013 when the Divisional court for </w:t>
      </w:r>
      <w:r w:rsidRPr="008261D1">
        <w:rPr>
          <w:rStyle w:val="eop"/>
          <w:rFonts w:asciiTheme="minorHAnsi" w:hAnsiTheme="minorHAnsi" w:cs="Calibri"/>
          <w:i/>
          <w:iCs/>
        </w:rPr>
        <w:t xml:space="preserve">R v Secretary of State for the Home Department </w:t>
      </w:r>
      <w:r w:rsidRPr="008261D1">
        <w:rPr>
          <w:rStyle w:val="eop"/>
          <w:rFonts w:asciiTheme="minorHAnsi" w:hAnsiTheme="minorHAnsi" w:cs="Calibri"/>
        </w:rPr>
        <w:t xml:space="preserve">ruled that there was an inconsistency with </w:t>
      </w:r>
      <w:r w:rsidR="003C69BD" w:rsidRPr="008261D1">
        <w:rPr>
          <w:rStyle w:val="eop"/>
          <w:rFonts w:asciiTheme="minorHAnsi" w:hAnsiTheme="minorHAnsi" w:cs="Calibri"/>
        </w:rPr>
        <w:t xml:space="preserve">the </w:t>
      </w:r>
      <w:r w:rsidRPr="008261D1">
        <w:rPr>
          <w:rStyle w:val="eop"/>
          <w:rFonts w:asciiTheme="minorHAnsi" w:hAnsiTheme="minorHAnsi" w:cs="Calibri"/>
        </w:rPr>
        <w:t>rights</w:t>
      </w:r>
      <w:r w:rsidR="00405DA3" w:rsidRPr="008261D1">
        <w:rPr>
          <w:rStyle w:val="eop"/>
          <w:rFonts w:asciiTheme="minorHAnsi" w:hAnsiTheme="minorHAnsi" w:cs="Calibri"/>
        </w:rPr>
        <w:t xml:space="preserve"> </w:t>
      </w:r>
      <w:r w:rsidR="003C69BD" w:rsidRPr="008261D1">
        <w:rPr>
          <w:rStyle w:val="eop"/>
          <w:rFonts w:asciiTheme="minorHAnsi" w:hAnsiTheme="minorHAnsi" w:cs="Calibri"/>
        </w:rPr>
        <w:t xml:space="preserve">and treatment </w:t>
      </w:r>
      <w:r w:rsidR="00405DA3" w:rsidRPr="008261D1">
        <w:rPr>
          <w:rStyle w:val="eop"/>
          <w:rFonts w:asciiTheme="minorHAnsi" w:hAnsiTheme="minorHAnsi" w:cs="Calibri"/>
        </w:rPr>
        <w:t>given</w:t>
      </w:r>
      <w:r w:rsidRPr="008261D1">
        <w:rPr>
          <w:rStyle w:val="eop"/>
          <w:rFonts w:asciiTheme="minorHAnsi" w:hAnsiTheme="minorHAnsi" w:cs="Calibri"/>
        </w:rPr>
        <w:t xml:space="preserve"> of a </w:t>
      </w:r>
      <w:r w:rsidR="00405DA3" w:rsidRPr="008261D1">
        <w:rPr>
          <w:rStyle w:val="eop"/>
          <w:rFonts w:asciiTheme="minorHAnsi" w:hAnsiTheme="minorHAnsi" w:cs="Calibri"/>
        </w:rPr>
        <w:t>17-year-old</w:t>
      </w:r>
      <w:r w:rsidRPr="008261D1">
        <w:rPr>
          <w:rStyle w:val="eop"/>
          <w:rFonts w:asciiTheme="minorHAnsi" w:hAnsiTheme="minorHAnsi" w:cs="Calibri"/>
        </w:rPr>
        <w:t xml:space="preserve"> girl</w:t>
      </w:r>
      <w:r w:rsidR="00405DA3" w:rsidRPr="008261D1">
        <w:rPr>
          <w:rStyle w:val="eop"/>
          <w:rFonts w:asciiTheme="minorHAnsi" w:hAnsiTheme="minorHAnsi" w:cs="Calibri"/>
        </w:rPr>
        <w:t xml:space="preserve">. </w:t>
      </w:r>
      <w:r w:rsidR="00405DA3" w:rsidRPr="008261D1">
        <w:rPr>
          <w:rStyle w:val="eop"/>
          <w:rFonts w:asciiTheme="minorHAnsi" w:hAnsiTheme="minorHAnsi" w:cs="Calibri"/>
        </w:rPr>
        <w:lastRenderedPageBreak/>
        <w:t>They claimed that 17-year-old girl should be treated like an adult when detained.</w:t>
      </w:r>
      <w:r w:rsidR="009D6A57" w:rsidRPr="008261D1">
        <w:rPr>
          <w:rStyle w:val="eop"/>
          <w:rFonts w:asciiTheme="minorHAnsi" w:hAnsiTheme="minorHAnsi" w:cs="Calibri"/>
        </w:rPr>
        <w:t xml:space="preserve"> </w:t>
      </w:r>
      <w:r w:rsidR="0015153D" w:rsidRPr="008261D1">
        <w:rPr>
          <w:rStyle w:val="eop"/>
          <w:rFonts w:asciiTheme="minorHAnsi" w:hAnsiTheme="minorHAnsi" w:cs="Calibri"/>
        </w:rPr>
        <w:t>‘’</w:t>
      </w:r>
      <w:r w:rsidR="009D6A57" w:rsidRPr="008261D1">
        <w:rPr>
          <w:rStyle w:val="eop"/>
          <w:rFonts w:asciiTheme="minorHAnsi" w:hAnsiTheme="minorHAnsi" w:cs="Calibri"/>
        </w:rPr>
        <w:t>The amendments of the codes of practice and simply codifying but strengthening the safeguards for the detention and care of juveniles before and after the charge is to be welcomed</w:t>
      </w:r>
      <w:r w:rsidR="0015153D" w:rsidRPr="008261D1">
        <w:rPr>
          <w:rStyle w:val="eop"/>
          <w:rFonts w:asciiTheme="minorHAnsi" w:hAnsiTheme="minorHAnsi" w:cs="Calibri"/>
        </w:rPr>
        <w:t xml:space="preserve">’’ </w:t>
      </w:r>
      <w:r w:rsidR="007E38AC" w:rsidRPr="008261D1">
        <w:rPr>
          <w:rStyle w:val="eop"/>
          <w:rFonts w:asciiTheme="minorHAnsi" w:hAnsiTheme="minorHAnsi" w:cs="Calibri"/>
        </w:rPr>
        <w:t>(</w:t>
      </w:r>
      <w:r w:rsidR="006A11C7" w:rsidRPr="008261D1">
        <w:rPr>
          <w:rStyle w:val="eop"/>
          <w:rFonts w:asciiTheme="minorHAnsi" w:hAnsiTheme="minorHAnsi" w:cs="Calibri"/>
        </w:rPr>
        <w:t>Hardcastle</w:t>
      </w:r>
      <w:r w:rsidR="009D6A57" w:rsidRPr="008261D1">
        <w:rPr>
          <w:rStyle w:val="eop"/>
          <w:rFonts w:asciiTheme="minorHAnsi" w:hAnsiTheme="minorHAnsi" w:cs="Calibri"/>
        </w:rPr>
        <w:t>, 2017</w:t>
      </w:r>
      <w:r w:rsidR="007E38AC" w:rsidRPr="008261D1">
        <w:rPr>
          <w:rStyle w:val="eop"/>
          <w:rFonts w:asciiTheme="minorHAnsi" w:hAnsiTheme="minorHAnsi" w:cs="Calibri"/>
        </w:rPr>
        <w:t>)</w:t>
      </w:r>
      <w:r w:rsidR="009D6A57" w:rsidRPr="008261D1">
        <w:rPr>
          <w:rStyle w:val="eop"/>
          <w:rFonts w:asciiTheme="minorHAnsi" w:hAnsiTheme="minorHAnsi" w:cs="Calibri"/>
        </w:rPr>
        <w:t>.</w:t>
      </w:r>
    </w:p>
    <w:p w14:paraId="2A20720B" w14:textId="77777777" w:rsidR="00521AE3" w:rsidRPr="008261D1" w:rsidRDefault="00521AE3" w:rsidP="00291471">
      <w:pPr>
        <w:pStyle w:val="paragraph"/>
        <w:spacing w:before="0" w:beforeAutospacing="0" w:after="0" w:afterAutospacing="0" w:line="360" w:lineRule="auto"/>
        <w:ind w:left="720"/>
        <w:textAlignment w:val="baseline"/>
        <w:rPr>
          <w:rStyle w:val="eop"/>
          <w:rFonts w:asciiTheme="minorHAnsi" w:hAnsiTheme="minorHAnsi" w:cs="Calibri"/>
        </w:rPr>
      </w:pPr>
    </w:p>
    <w:p w14:paraId="2A257CFA" w14:textId="5AF11A43" w:rsidR="00521AE3" w:rsidRPr="008261D1" w:rsidRDefault="008D42A3" w:rsidP="00291471">
      <w:pPr>
        <w:pStyle w:val="paragraph"/>
        <w:spacing w:before="0" w:beforeAutospacing="0" w:after="0" w:afterAutospacing="0" w:line="360" w:lineRule="auto"/>
        <w:textAlignment w:val="baseline"/>
        <w:rPr>
          <w:rStyle w:val="eop"/>
          <w:rFonts w:asciiTheme="minorHAnsi" w:hAnsiTheme="minorHAnsi" w:cs="Calibri"/>
        </w:rPr>
      </w:pPr>
      <w:r w:rsidRPr="008261D1">
        <w:rPr>
          <w:rStyle w:val="eop"/>
          <w:rFonts w:asciiTheme="minorHAnsi" w:hAnsiTheme="minorHAnsi" w:cs="Calibri"/>
        </w:rPr>
        <w:t>During the period of August 2019, on the 21</w:t>
      </w:r>
      <w:r w:rsidRPr="008261D1">
        <w:rPr>
          <w:rStyle w:val="eop"/>
          <w:rFonts w:asciiTheme="minorHAnsi" w:hAnsiTheme="minorHAnsi" w:cs="Calibri"/>
          <w:vertAlign w:val="superscript"/>
        </w:rPr>
        <w:t>st</w:t>
      </w:r>
      <w:r w:rsidRPr="008261D1">
        <w:rPr>
          <w:rStyle w:val="eop"/>
          <w:rFonts w:asciiTheme="minorHAnsi" w:hAnsiTheme="minorHAnsi" w:cs="Calibri"/>
        </w:rPr>
        <w:t xml:space="preserve"> to be </w:t>
      </w:r>
      <w:r w:rsidR="003C69BD" w:rsidRPr="008261D1">
        <w:rPr>
          <w:rStyle w:val="eop"/>
          <w:rFonts w:asciiTheme="minorHAnsi" w:hAnsiTheme="minorHAnsi" w:cs="Calibri"/>
        </w:rPr>
        <w:t xml:space="preserve">exact, </w:t>
      </w:r>
      <w:r w:rsidRPr="008261D1">
        <w:rPr>
          <w:rStyle w:val="eop"/>
          <w:rFonts w:asciiTheme="minorHAnsi" w:hAnsiTheme="minorHAnsi" w:cs="Calibri"/>
        </w:rPr>
        <w:t>there are new codes being amended situated within the PACE Act 1984, which states that Codes C and H are the ones being affected. According to Hurd (2019), these amendments are being introduced to ensure that the ‘’menstrual needs of female and transgender detainees, and the health, hygiene and welfare needs of all individuals in custody are protected</w:t>
      </w:r>
      <w:r w:rsidR="00AB5DCA" w:rsidRPr="008261D1">
        <w:rPr>
          <w:rStyle w:val="eop"/>
          <w:rFonts w:asciiTheme="minorHAnsi" w:hAnsiTheme="minorHAnsi" w:cs="Calibri"/>
        </w:rPr>
        <w:t>’</w:t>
      </w:r>
      <w:r w:rsidR="003C69BD" w:rsidRPr="008261D1">
        <w:rPr>
          <w:rStyle w:val="eop"/>
          <w:rFonts w:asciiTheme="minorHAnsi" w:hAnsiTheme="minorHAnsi" w:cs="Calibri"/>
        </w:rPr>
        <w:t>’</w:t>
      </w:r>
      <w:r w:rsidRPr="008261D1">
        <w:rPr>
          <w:rStyle w:val="eop"/>
          <w:rFonts w:asciiTheme="minorHAnsi" w:hAnsiTheme="minorHAnsi" w:cs="Calibri"/>
        </w:rPr>
        <w:t xml:space="preserve">. </w:t>
      </w:r>
      <w:r w:rsidR="00697FB0" w:rsidRPr="008261D1">
        <w:rPr>
          <w:rStyle w:val="eop"/>
          <w:rFonts w:asciiTheme="minorHAnsi" w:hAnsiTheme="minorHAnsi" w:cs="Calibri"/>
        </w:rPr>
        <w:t>T</w:t>
      </w:r>
      <w:r w:rsidRPr="008261D1">
        <w:rPr>
          <w:rStyle w:val="eop"/>
          <w:rFonts w:asciiTheme="minorHAnsi" w:hAnsiTheme="minorHAnsi" w:cs="Calibri"/>
        </w:rPr>
        <w:t>hese</w:t>
      </w:r>
      <w:r w:rsidR="00AB5DCA" w:rsidRPr="008261D1">
        <w:rPr>
          <w:rStyle w:val="eop"/>
          <w:rFonts w:asciiTheme="minorHAnsi" w:hAnsiTheme="minorHAnsi" w:cs="Calibri"/>
        </w:rPr>
        <w:t xml:space="preserve"> amendments are based on </w:t>
      </w:r>
      <w:r w:rsidR="00592A0B" w:rsidRPr="008261D1">
        <w:rPr>
          <w:rStyle w:val="eop"/>
          <w:rFonts w:asciiTheme="minorHAnsi" w:hAnsiTheme="minorHAnsi" w:cs="Calibri"/>
        </w:rPr>
        <w:t>detainees</w:t>
      </w:r>
      <w:r w:rsidR="00AB5DCA" w:rsidRPr="008261D1">
        <w:rPr>
          <w:rStyle w:val="eop"/>
          <w:rFonts w:asciiTheme="minorHAnsi" w:hAnsiTheme="minorHAnsi" w:cs="Calibri"/>
        </w:rPr>
        <w:t xml:space="preserve"> that are being held in custody for questioning</w:t>
      </w:r>
      <w:r w:rsidR="003C69BD" w:rsidRPr="008261D1">
        <w:rPr>
          <w:rStyle w:val="eop"/>
          <w:rFonts w:asciiTheme="minorHAnsi" w:hAnsiTheme="minorHAnsi" w:cs="Calibri"/>
        </w:rPr>
        <w:t xml:space="preserve">, </w:t>
      </w:r>
      <w:r w:rsidR="002B590A" w:rsidRPr="008261D1">
        <w:rPr>
          <w:rStyle w:val="eop"/>
          <w:rFonts w:asciiTheme="minorHAnsi" w:hAnsiTheme="minorHAnsi" w:cs="Calibri"/>
        </w:rPr>
        <w:t>whether they have been arrested or if they have voluntarily brought themselves to speak to the police</w:t>
      </w:r>
      <w:r w:rsidR="003C69BD" w:rsidRPr="008261D1">
        <w:rPr>
          <w:rStyle w:val="eop"/>
          <w:rFonts w:asciiTheme="minorHAnsi" w:hAnsiTheme="minorHAnsi" w:cs="Calibri"/>
        </w:rPr>
        <w:t>. If someone is going to the police station voluntarily to help in an investigation, they are allowed to leave whenever they want unless they have been arrested (Home Office 2019)</w:t>
      </w:r>
      <w:r w:rsidR="00AB5DCA" w:rsidRPr="008261D1">
        <w:rPr>
          <w:rStyle w:val="eop"/>
          <w:rFonts w:asciiTheme="minorHAnsi" w:hAnsiTheme="minorHAnsi" w:cs="Calibri"/>
        </w:rPr>
        <w:t xml:space="preserve">. </w:t>
      </w:r>
      <w:r w:rsidR="00697FB0" w:rsidRPr="008261D1">
        <w:rPr>
          <w:rStyle w:val="eop"/>
          <w:rFonts w:asciiTheme="minorHAnsi" w:hAnsiTheme="minorHAnsi" w:cs="Calibri"/>
        </w:rPr>
        <w:t>Example one; ‘’</w:t>
      </w:r>
      <w:r w:rsidR="00697FB0" w:rsidRPr="008261D1">
        <w:rPr>
          <w:rFonts w:asciiTheme="minorHAnsi" w:hAnsiTheme="minorHAnsi"/>
        </w:rPr>
        <w:t xml:space="preserve"> </w:t>
      </w:r>
      <w:r w:rsidR="00592A0B" w:rsidRPr="008261D1">
        <w:rPr>
          <w:rStyle w:val="eop"/>
          <w:rFonts w:asciiTheme="minorHAnsi" w:hAnsiTheme="minorHAnsi" w:cs="Calibri"/>
        </w:rPr>
        <w:t>When giving</w:t>
      </w:r>
      <w:r w:rsidR="00697FB0" w:rsidRPr="008261D1">
        <w:rPr>
          <w:rStyle w:val="eop"/>
          <w:rFonts w:asciiTheme="minorHAnsi" w:hAnsiTheme="minorHAnsi" w:cs="Calibri"/>
        </w:rPr>
        <w:t xml:space="preserve"> toilet and washing facilities</w:t>
      </w:r>
      <w:r w:rsidR="00592A0B" w:rsidRPr="008261D1">
        <w:rPr>
          <w:rStyle w:val="eop"/>
          <w:rFonts w:asciiTheme="minorHAnsi" w:hAnsiTheme="minorHAnsi" w:cs="Calibri"/>
        </w:rPr>
        <w:t xml:space="preserve"> to the detainees, </w:t>
      </w:r>
      <w:r w:rsidR="003C69BD" w:rsidRPr="008261D1">
        <w:rPr>
          <w:rStyle w:val="eop"/>
          <w:rFonts w:asciiTheme="minorHAnsi" w:hAnsiTheme="minorHAnsi" w:cs="Calibri"/>
        </w:rPr>
        <w:t>officers must</w:t>
      </w:r>
      <w:r w:rsidR="00697FB0" w:rsidRPr="008261D1">
        <w:rPr>
          <w:rStyle w:val="eop"/>
          <w:rFonts w:asciiTheme="minorHAnsi" w:hAnsiTheme="minorHAnsi" w:cs="Calibri"/>
        </w:rPr>
        <w:t xml:space="preserve"> now also take account of the</w:t>
      </w:r>
      <w:r w:rsidR="00592A0B" w:rsidRPr="008261D1">
        <w:rPr>
          <w:rStyle w:val="eop"/>
          <w:rFonts w:asciiTheme="minorHAnsi" w:hAnsiTheme="minorHAnsi" w:cs="Calibri"/>
        </w:rPr>
        <w:t xml:space="preserve"> persons </w:t>
      </w:r>
      <w:r w:rsidR="00697FB0" w:rsidRPr="008261D1">
        <w:rPr>
          <w:rStyle w:val="eop"/>
          <w:rFonts w:asciiTheme="minorHAnsi" w:hAnsiTheme="minorHAnsi" w:cs="Calibri"/>
        </w:rPr>
        <w:t>dignity</w:t>
      </w:r>
      <w:r w:rsidR="003C69BD" w:rsidRPr="008261D1">
        <w:rPr>
          <w:rStyle w:val="eop"/>
          <w:rFonts w:asciiTheme="minorHAnsi" w:hAnsiTheme="minorHAnsi" w:cs="Calibri"/>
        </w:rPr>
        <w:t xml:space="preserve"> and privacy rights</w:t>
      </w:r>
      <w:r w:rsidR="00697FB0" w:rsidRPr="008261D1">
        <w:rPr>
          <w:rStyle w:val="eop"/>
          <w:rFonts w:asciiTheme="minorHAnsi" w:hAnsiTheme="minorHAnsi" w:cs="Calibri"/>
        </w:rPr>
        <w:t>. For example, access to toilet facilities must now take into account of the detainee’s dignity, to conclude this example cells with CCTV monitoring</w:t>
      </w:r>
      <w:r w:rsidR="00592A0B" w:rsidRPr="008261D1">
        <w:rPr>
          <w:rStyle w:val="eop"/>
          <w:rFonts w:asciiTheme="minorHAnsi" w:hAnsiTheme="minorHAnsi" w:cs="Calibri"/>
        </w:rPr>
        <w:t xml:space="preserve"> installed must make sure that </w:t>
      </w:r>
      <w:r w:rsidR="00697FB0" w:rsidRPr="008261D1">
        <w:rPr>
          <w:rStyle w:val="eop"/>
          <w:rFonts w:asciiTheme="minorHAnsi" w:hAnsiTheme="minorHAnsi" w:cs="Calibri"/>
        </w:rPr>
        <w:t>privacy</w:t>
      </w:r>
      <w:r w:rsidR="00592A0B" w:rsidRPr="008261D1">
        <w:rPr>
          <w:rStyle w:val="eop"/>
          <w:rFonts w:asciiTheme="minorHAnsi" w:hAnsiTheme="minorHAnsi" w:cs="Calibri"/>
        </w:rPr>
        <w:t xml:space="preserve"> provided</w:t>
      </w:r>
      <w:r w:rsidR="00697FB0" w:rsidRPr="008261D1">
        <w:rPr>
          <w:rStyle w:val="eop"/>
          <w:rFonts w:asciiTheme="minorHAnsi" w:hAnsiTheme="minorHAnsi" w:cs="Calibri"/>
        </w:rPr>
        <w:t xml:space="preserve"> in the toilet area should be ensured by any appropriate means and detainees should be made aware of this when they are placed in the cell</w:t>
      </w:r>
      <w:r w:rsidR="003C69BD" w:rsidRPr="008261D1">
        <w:rPr>
          <w:rStyle w:val="eop"/>
          <w:rFonts w:asciiTheme="minorHAnsi" w:hAnsiTheme="minorHAnsi" w:cs="Calibri"/>
        </w:rPr>
        <w:t xml:space="preserve"> of where the cameras are</w:t>
      </w:r>
      <w:r w:rsidR="00697FB0" w:rsidRPr="008261D1">
        <w:rPr>
          <w:rStyle w:val="eop"/>
          <w:rFonts w:asciiTheme="minorHAnsi" w:hAnsiTheme="minorHAnsi" w:cs="Calibri"/>
        </w:rPr>
        <w:t>.</w:t>
      </w:r>
      <w:r w:rsidR="00521AE3" w:rsidRPr="008261D1">
        <w:rPr>
          <w:rStyle w:val="eop"/>
          <w:rFonts w:asciiTheme="minorHAnsi" w:hAnsiTheme="minorHAnsi" w:cs="Calibri"/>
        </w:rPr>
        <w:t xml:space="preserve"> </w:t>
      </w:r>
    </w:p>
    <w:p w14:paraId="6E89719A" w14:textId="77777777" w:rsidR="007E38AC" w:rsidRPr="008261D1" w:rsidRDefault="007E38AC" w:rsidP="00291471">
      <w:pPr>
        <w:pStyle w:val="paragraph"/>
        <w:spacing w:before="0" w:beforeAutospacing="0" w:after="0" w:afterAutospacing="0" w:line="360" w:lineRule="auto"/>
        <w:textAlignment w:val="baseline"/>
        <w:rPr>
          <w:rStyle w:val="eop"/>
          <w:rFonts w:asciiTheme="minorHAnsi" w:hAnsiTheme="minorHAnsi" w:cs="Calibri"/>
        </w:rPr>
      </w:pPr>
    </w:p>
    <w:p w14:paraId="6269972D" w14:textId="13FF068C" w:rsidR="003C69BD" w:rsidRPr="008261D1" w:rsidRDefault="00521AE3" w:rsidP="00291471">
      <w:pPr>
        <w:pStyle w:val="paragraph"/>
        <w:spacing w:before="0" w:beforeAutospacing="0" w:after="0" w:afterAutospacing="0" w:line="360" w:lineRule="auto"/>
        <w:textAlignment w:val="baseline"/>
        <w:rPr>
          <w:rStyle w:val="eop"/>
          <w:rFonts w:asciiTheme="minorHAnsi" w:hAnsiTheme="minorHAnsi" w:cs="Calibri"/>
        </w:rPr>
      </w:pPr>
      <w:r w:rsidRPr="008261D1">
        <w:rPr>
          <w:rStyle w:val="eop"/>
          <w:rFonts w:asciiTheme="minorHAnsi" w:hAnsiTheme="minorHAnsi" w:cs="Calibri"/>
        </w:rPr>
        <w:t>These updated codes were prompted by concerns raised by the IVCA (abbreviation for Independent Visiting Association) that in some cases women were being left without basic menstrual products in police cells.</w:t>
      </w:r>
      <w:r w:rsidR="002B590A" w:rsidRPr="008261D1">
        <w:rPr>
          <w:rStyle w:val="eop"/>
          <w:rFonts w:asciiTheme="minorHAnsi" w:hAnsiTheme="minorHAnsi" w:cs="Calibri"/>
        </w:rPr>
        <w:t xml:space="preserve"> Before the amendment of these codes</w:t>
      </w:r>
      <w:r w:rsidR="003C69BD" w:rsidRPr="008261D1">
        <w:rPr>
          <w:rStyle w:val="eop"/>
          <w:rFonts w:asciiTheme="minorHAnsi" w:hAnsiTheme="minorHAnsi" w:cs="Calibri"/>
        </w:rPr>
        <w:t>,</w:t>
      </w:r>
      <w:r w:rsidR="002B590A" w:rsidRPr="008261D1">
        <w:rPr>
          <w:rStyle w:val="eop"/>
          <w:rFonts w:asciiTheme="minorHAnsi" w:hAnsiTheme="minorHAnsi" w:cs="Calibri"/>
        </w:rPr>
        <w:t xml:space="preserve"> the</w:t>
      </w:r>
      <w:r w:rsidR="003C69BD" w:rsidRPr="008261D1">
        <w:rPr>
          <w:rStyle w:val="eop"/>
          <w:rFonts w:asciiTheme="minorHAnsi" w:hAnsiTheme="minorHAnsi" w:cs="Calibri"/>
        </w:rPr>
        <w:t xml:space="preserve"> </w:t>
      </w:r>
      <w:r w:rsidR="002B590A" w:rsidRPr="008261D1">
        <w:rPr>
          <w:rStyle w:val="eop"/>
          <w:rFonts w:asciiTheme="minorHAnsi" w:hAnsiTheme="minorHAnsi" w:cs="Calibri"/>
        </w:rPr>
        <w:t>statement for code C stated that the powers and procedures in this code must be used fairly and without discrimination on the grounds of religious belief, political opinions, racial groups, age, marital status, sexual orientation, disability or gender</w:t>
      </w:r>
      <w:r w:rsidR="003C69BD" w:rsidRPr="008261D1">
        <w:rPr>
          <w:rStyle w:val="eop"/>
          <w:rFonts w:asciiTheme="minorHAnsi" w:hAnsiTheme="minorHAnsi" w:cs="Calibri"/>
        </w:rPr>
        <w:t xml:space="preserve"> – n</w:t>
      </w:r>
      <w:r w:rsidR="002B590A" w:rsidRPr="008261D1">
        <w:rPr>
          <w:rStyle w:val="eop"/>
          <w:rFonts w:asciiTheme="minorHAnsi" w:hAnsiTheme="minorHAnsi" w:cs="Calibri"/>
        </w:rPr>
        <w:t>o</w:t>
      </w:r>
      <w:r w:rsidR="003C69BD" w:rsidRPr="008261D1">
        <w:rPr>
          <w:rStyle w:val="eop"/>
          <w:rFonts w:asciiTheme="minorHAnsi" w:hAnsiTheme="minorHAnsi" w:cs="Calibri"/>
        </w:rPr>
        <w:t xml:space="preserve"> specifics referencing</w:t>
      </w:r>
      <w:r w:rsidR="002B590A" w:rsidRPr="008261D1">
        <w:rPr>
          <w:rStyle w:val="eop"/>
          <w:rFonts w:asciiTheme="minorHAnsi" w:hAnsiTheme="minorHAnsi" w:cs="Calibri"/>
        </w:rPr>
        <w:t xml:space="preserve"> gender essential needs.</w:t>
      </w:r>
      <w:r w:rsidR="00B65AEA" w:rsidRPr="008261D1">
        <w:rPr>
          <w:rStyle w:val="eop"/>
          <w:rFonts w:asciiTheme="minorHAnsi" w:hAnsiTheme="minorHAnsi" w:cs="Calibri"/>
        </w:rPr>
        <w:t xml:space="preserve"> </w:t>
      </w:r>
    </w:p>
    <w:p w14:paraId="3BDCDD50" w14:textId="5394B8FA" w:rsidR="003C69BD" w:rsidRPr="008261D1" w:rsidRDefault="003C69BD" w:rsidP="00291471">
      <w:pPr>
        <w:pStyle w:val="paragraph"/>
        <w:spacing w:line="360" w:lineRule="auto"/>
        <w:textAlignment w:val="baseline"/>
        <w:rPr>
          <w:rFonts w:asciiTheme="minorHAnsi" w:hAnsiTheme="minorHAnsi" w:cs="Calibri"/>
        </w:rPr>
      </w:pPr>
      <w:r w:rsidRPr="008261D1">
        <w:rPr>
          <w:rStyle w:val="eop"/>
          <w:rFonts w:asciiTheme="minorHAnsi" w:hAnsiTheme="minorHAnsi" w:cs="Calibri"/>
        </w:rPr>
        <w:t>According to Home Office 2017, Code D is the practice by the police to portray how they can use their legal powers to identify persons in connection with an investigation of offences. Code H is the p</w:t>
      </w:r>
      <w:r w:rsidRPr="008261D1">
        <w:rPr>
          <w:rFonts w:asciiTheme="minorHAnsi" w:hAnsiTheme="minorHAnsi" w:cs="Calibri"/>
        </w:rPr>
        <w:t xml:space="preserve">ractice in connection with detention, treatment and questioning by police </w:t>
      </w:r>
      <w:r w:rsidRPr="008261D1">
        <w:rPr>
          <w:rFonts w:asciiTheme="minorHAnsi" w:hAnsiTheme="minorHAnsi" w:cs="Calibri"/>
        </w:rPr>
        <w:lastRenderedPageBreak/>
        <w:t>officers under the Terrorism Act 2000</w:t>
      </w:r>
      <w:r w:rsidRPr="008261D1">
        <w:rPr>
          <w:rFonts w:asciiTheme="minorHAnsi" w:hAnsiTheme="minorHAnsi" w:cs="Calibri"/>
        </w:rPr>
        <w:t xml:space="preserve"> (Home Office</w:t>
      </w:r>
      <w:r w:rsidR="007E38AC" w:rsidRPr="008261D1">
        <w:rPr>
          <w:rFonts w:asciiTheme="minorHAnsi" w:hAnsiTheme="minorHAnsi" w:cs="Calibri"/>
        </w:rPr>
        <w:t xml:space="preserve">, </w:t>
      </w:r>
      <w:r w:rsidRPr="008261D1">
        <w:rPr>
          <w:rFonts w:asciiTheme="minorHAnsi" w:hAnsiTheme="minorHAnsi" w:cs="Calibri"/>
        </w:rPr>
        <w:t>2019) all 3 codes were revised in 2018 and passed in 2019</w:t>
      </w:r>
      <w:r w:rsidRPr="008261D1">
        <w:rPr>
          <w:rFonts w:asciiTheme="minorHAnsi" w:hAnsiTheme="minorHAnsi" w:cs="Calibri"/>
        </w:rPr>
        <w:t>.</w:t>
      </w:r>
    </w:p>
    <w:p w14:paraId="038B9734" w14:textId="3F341AA0" w:rsidR="007E38AC" w:rsidRPr="008261D1" w:rsidRDefault="004D19CA" w:rsidP="00291471">
      <w:pPr>
        <w:pStyle w:val="paragraph"/>
        <w:spacing w:before="0" w:beforeAutospacing="0" w:after="0" w:afterAutospacing="0" w:line="360" w:lineRule="auto"/>
        <w:textAlignment w:val="baseline"/>
        <w:rPr>
          <w:rStyle w:val="eop"/>
          <w:rFonts w:asciiTheme="minorHAnsi" w:hAnsiTheme="minorHAnsi" w:cs="Calibri"/>
        </w:rPr>
      </w:pPr>
      <w:r w:rsidRPr="008261D1">
        <w:rPr>
          <w:rStyle w:val="eop"/>
          <w:rFonts w:asciiTheme="minorHAnsi" w:hAnsiTheme="minorHAnsi" w:cs="Calibri"/>
        </w:rPr>
        <w:t xml:space="preserve">An example of why PACE was introduced was due to the growth of judicial and public criticisms relating to the police behaviours when they were dealing with their suspects. </w:t>
      </w:r>
    </w:p>
    <w:p w14:paraId="7E9DF692" w14:textId="1557D016" w:rsidR="00A45413" w:rsidRPr="008261D1" w:rsidRDefault="007E38AC" w:rsidP="00291471">
      <w:pPr>
        <w:pStyle w:val="paragraph"/>
        <w:spacing w:before="0" w:beforeAutospacing="0" w:after="0" w:afterAutospacing="0" w:line="360" w:lineRule="auto"/>
        <w:textAlignment w:val="baseline"/>
        <w:rPr>
          <w:rStyle w:val="eop"/>
          <w:rFonts w:asciiTheme="minorHAnsi" w:hAnsiTheme="minorHAnsi" w:cs="Calibri"/>
        </w:rPr>
      </w:pPr>
      <w:r w:rsidRPr="008261D1">
        <w:rPr>
          <w:rStyle w:val="eop"/>
          <w:rFonts w:asciiTheme="minorHAnsi" w:hAnsiTheme="minorHAnsi" w:cs="Calibri"/>
        </w:rPr>
        <w:t>This assignment is about how PACE has worked to prevent miscarriages of justice</w:t>
      </w:r>
      <w:r w:rsidR="00A45413" w:rsidRPr="008261D1">
        <w:rPr>
          <w:rStyle w:val="eop"/>
          <w:rFonts w:asciiTheme="minorHAnsi" w:hAnsiTheme="minorHAnsi" w:cs="Calibri"/>
        </w:rPr>
        <w:t xml:space="preserve">.  </w:t>
      </w:r>
      <w:r w:rsidR="00A45413" w:rsidRPr="008261D1">
        <w:rPr>
          <w:rStyle w:val="eop"/>
          <w:rFonts w:asciiTheme="minorHAnsi" w:hAnsiTheme="minorHAnsi" w:cs="Calibri"/>
        </w:rPr>
        <w:t>Katie Jukes the site editor of rightsinfo.org states that the term ‘miscarriage of justice’ is when a person is wrongfully convicted of a crime but later their case is re-</w:t>
      </w:r>
      <w:proofErr w:type="gramStart"/>
      <w:r w:rsidR="00A45413" w:rsidRPr="008261D1">
        <w:rPr>
          <w:rStyle w:val="eop"/>
          <w:rFonts w:asciiTheme="minorHAnsi" w:hAnsiTheme="minorHAnsi" w:cs="Calibri"/>
        </w:rPr>
        <w:t>opened</w:t>
      </w:r>
      <w:proofErr w:type="gramEnd"/>
      <w:r w:rsidR="00A45413" w:rsidRPr="008261D1">
        <w:rPr>
          <w:rStyle w:val="eop"/>
          <w:rFonts w:asciiTheme="minorHAnsi" w:hAnsiTheme="minorHAnsi" w:cs="Calibri"/>
        </w:rPr>
        <w:t xml:space="preserve"> and their conviction is found to be ‘unsafe’.</w:t>
      </w:r>
      <w:r w:rsidR="00A45413" w:rsidRPr="008261D1">
        <w:rPr>
          <w:rStyle w:val="eop"/>
          <w:rFonts w:asciiTheme="minorHAnsi" w:hAnsiTheme="minorHAnsi" w:cs="Calibri"/>
        </w:rPr>
        <w:t xml:space="preserve"> T</w:t>
      </w:r>
      <w:r w:rsidR="00A45413" w:rsidRPr="008261D1">
        <w:rPr>
          <w:rStyle w:val="eop"/>
          <w:rFonts w:asciiTheme="minorHAnsi" w:hAnsiTheme="minorHAnsi" w:cs="Calibri"/>
        </w:rPr>
        <w:t>hese ar</w:t>
      </w:r>
      <w:r w:rsidR="00A45413" w:rsidRPr="008261D1">
        <w:rPr>
          <w:rStyle w:val="eop"/>
          <w:rFonts w:asciiTheme="minorHAnsi" w:hAnsiTheme="minorHAnsi" w:cs="Calibri"/>
        </w:rPr>
        <w:t>e</w:t>
      </w:r>
      <w:r w:rsidR="00A45413" w:rsidRPr="008261D1">
        <w:rPr>
          <w:rStyle w:val="eop"/>
          <w:rFonts w:asciiTheme="minorHAnsi" w:hAnsiTheme="minorHAnsi" w:cs="Calibri"/>
        </w:rPr>
        <w:t xml:space="preserve"> case stud</w:t>
      </w:r>
      <w:r w:rsidR="00A45413" w:rsidRPr="008261D1">
        <w:rPr>
          <w:rStyle w:val="eop"/>
          <w:rFonts w:asciiTheme="minorHAnsi" w:hAnsiTheme="minorHAnsi" w:cs="Calibri"/>
        </w:rPr>
        <w:t xml:space="preserve">y examples </w:t>
      </w:r>
      <w:r w:rsidR="00A45413" w:rsidRPr="008261D1">
        <w:rPr>
          <w:rStyle w:val="eop"/>
          <w:rFonts w:asciiTheme="minorHAnsi" w:hAnsiTheme="minorHAnsi" w:cs="Calibri"/>
        </w:rPr>
        <w:t>portraying a miscarriage of justice.</w:t>
      </w:r>
    </w:p>
    <w:p w14:paraId="3DE403B9" w14:textId="77777777" w:rsidR="00A45413" w:rsidRPr="008261D1" w:rsidRDefault="00A45413" w:rsidP="00291471">
      <w:pPr>
        <w:pStyle w:val="paragraph"/>
        <w:spacing w:before="0" w:beforeAutospacing="0" w:after="0" w:afterAutospacing="0" w:line="360" w:lineRule="auto"/>
        <w:jc w:val="both"/>
        <w:textAlignment w:val="baseline"/>
        <w:rPr>
          <w:rStyle w:val="eop"/>
          <w:rFonts w:asciiTheme="minorHAnsi" w:hAnsiTheme="minorHAnsi" w:cs="Calibri"/>
        </w:rPr>
      </w:pPr>
    </w:p>
    <w:p w14:paraId="40DDF7F7" w14:textId="5742C4E4" w:rsidR="008B7DF2" w:rsidRPr="008261D1" w:rsidRDefault="00C77AF1" w:rsidP="00291471">
      <w:pPr>
        <w:pStyle w:val="paragraph"/>
        <w:spacing w:before="0" w:beforeAutospacing="0" w:after="0" w:afterAutospacing="0" w:line="360" w:lineRule="auto"/>
        <w:textAlignment w:val="baseline"/>
        <w:rPr>
          <w:rStyle w:val="eop"/>
          <w:rFonts w:asciiTheme="minorHAnsi" w:hAnsiTheme="minorHAnsi" w:cs="Calibri"/>
        </w:rPr>
      </w:pPr>
      <w:r w:rsidRPr="008261D1">
        <w:rPr>
          <w:rStyle w:val="eop"/>
          <w:rFonts w:asciiTheme="minorHAnsi" w:hAnsiTheme="minorHAnsi" w:cs="Calibri"/>
        </w:rPr>
        <w:t>There are case examples that date back to</w:t>
      </w:r>
      <w:r w:rsidR="004D19CA" w:rsidRPr="008261D1">
        <w:rPr>
          <w:rStyle w:val="eop"/>
          <w:rFonts w:asciiTheme="minorHAnsi" w:hAnsiTheme="minorHAnsi" w:cs="Calibri"/>
        </w:rPr>
        <w:t xml:space="preserve"> the mid 1970’s</w:t>
      </w:r>
      <w:r w:rsidRPr="008261D1">
        <w:rPr>
          <w:rStyle w:val="eop"/>
          <w:rFonts w:asciiTheme="minorHAnsi" w:hAnsiTheme="minorHAnsi" w:cs="Calibri"/>
        </w:rPr>
        <w:t xml:space="preserve">. </w:t>
      </w:r>
      <w:r w:rsidR="00A45413" w:rsidRPr="008261D1">
        <w:rPr>
          <w:rStyle w:val="eop"/>
          <w:rFonts w:asciiTheme="minorHAnsi" w:hAnsiTheme="minorHAnsi" w:cs="Calibri"/>
        </w:rPr>
        <w:t>O</w:t>
      </w:r>
      <w:r w:rsidRPr="008261D1">
        <w:rPr>
          <w:rStyle w:val="eop"/>
          <w:rFonts w:asciiTheme="minorHAnsi" w:hAnsiTheme="minorHAnsi" w:cs="Calibri"/>
        </w:rPr>
        <w:t>ne of the examples is a case called the</w:t>
      </w:r>
      <w:r w:rsidR="004D19CA" w:rsidRPr="008261D1">
        <w:rPr>
          <w:rStyle w:val="eop"/>
          <w:rFonts w:asciiTheme="minorHAnsi" w:hAnsiTheme="minorHAnsi" w:cs="Calibri"/>
        </w:rPr>
        <w:t xml:space="preserve"> ‘Birmingham Six’ and</w:t>
      </w:r>
      <w:r w:rsidRPr="008261D1">
        <w:rPr>
          <w:rStyle w:val="eop"/>
          <w:rFonts w:asciiTheme="minorHAnsi" w:hAnsiTheme="minorHAnsi" w:cs="Calibri"/>
        </w:rPr>
        <w:t xml:space="preserve"> another case example is called the </w:t>
      </w:r>
      <w:r w:rsidR="004D19CA" w:rsidRPr="008261D1">
        <w:rPr>
          <w:rStyle w:val="eop"/>
          <w:rFonts w:asciiTheme="minorHAnsi" w:hAnsiTheme="minorHAnsi" w:cs="Calibri"/>
        </w:rPr>
        <w:t xml:space="preserve"> ‘Guildford Four’</w:t>
      </w:r>
      <w:r w:rsidRPr="008261D1">
        <w:rPr>
          <w:rStyle w:val="eop"/>
          <w:rFonts w:asciiTheme="minorHAnsi" w:hAnsiTheme="minorHAnsi" w:cs="Calibri"/>
        </w:rPr>
        <w:t>,</w:t>
      </w:r>
      <w:r w:rsidR="004D19CA" w:rsidRPr="008261D1">
        <w:rPr>
          <w:rStyle w:val="eop"/>
          <w:rFonts w:asciiTheme="minorHAnsi" w:hAnsiTheme="minorHAnsi" w:cs="Calibri"/>
        </w:rPr>
        <w:t xml:space="preserve"> whose confessions formed a </w:t>
      </w:r>
      <w:r w:rsidRPr="008261D1">
        <w:rPr>
          <w:rStyle w:val="eop"/>
          <w:rFonts w:asciiTheme="minorHAnsi" w:hAnsiTheme="minorHAnsi" w:cs="Calibri"/>
        </w:rPr>
        <w:t>surrounding</w:t>
      </w:r>
      <w:r w:rsidR="004D19CA" w:rsidRPr="008261D1">
        <w:rPr>
          <w:rStyle w:val="eop"/>
          <w:rFonts w:asciiTheme="minorHAnsi" w:hAnsiTheme="minorHAnsi" w:cs="Calibri"/>
        </w:rPr>
        <w:t xml:space="preserve"> of cases against them, which were later realised to have been forced by physical and psychological abuse </w:t>
      </w:r>
      <w:r w:rsidRPr="008261D1">
        <w:rPr>
          <w:rStyle w:val="eop"/>
          <w:rFonts w:asciiTheme="minorHAnsi" w:hAnsiTheme="minorHAnsi" w:cs="Calibri"/>
        </w:rPr>
        <w:t xml:space="preserve">from the law enforcement </w:t>
      </w:r>
      <w:r w:rsidR="004D19CA" w:rsidRPr="008261D1">
        <w:rPr>
          <w:rStyle w:val="eop"/>
          <w:rFonts w:asciiTheme="minorHAnsi" w:hAnsiTheme="minorHAnsi" w:cs="Calibri"/>
        </w:rPr>
        <w:t>(Bottomley et al, 1991).  The Birmingham six case consisted of six men being convicted of the murders of 21 people in two pub bombings in 1976. This case was labelled as one of the worst miscarriages of justice seen in Britain (</w:t>
      </w:r>
      <w:r w:rsidRPr="008261D1">
        <w:rPr>
          <w:rStyle w:val="eop"/>
          <w:rFonts w:asciiTheme="minorHAnsi" w:hAnsiTheme="minorHAnsi" w:cs="Calibri"/>
        </w:rPr>
        <w:t>Lissaman</w:t>
      </w:r>
      <w:r w:rsidR="004D19CA" w:rsidRPr="008261D1">
        <w:rPr>
          <w:rStyle w:val="eop"/>
          <w:rFonts w:asciiTheme="minorHAnsi" w:hAnsiTheme="minorHAnsi" w:cs="Calibri"/>
        </w:rPr>
        <w:t>, 2011).</w:t>
      </w:r>
      <w:r w:rsidR="007E38AC" w:rsidRPr="008261D1">
        <w:rPr>
          <w:rStyle w:val="eop"/>
          <w:rFonts w:asciiTheme="minorHAnsi" w:hAnsiTheme="minorHAnsi" w:cs="Calibri"/>
        </w:rPr>
        <w:t xml:space="preserve"> </w:t>
      </w:r>
      <w:r w:rsidR="004D19CA" w:rsidRPr="008261D1">
        <w:rPr>
          <w:rStyle w:val="eop"/>
          <w:rFonts w:asciiTheme="minorHAnsi" w:hAnsiTheme="minorHAnsi" w:cs="Calibri"/>
        </w:rPr>
        <w:t xml:space="preserve">The convictions were eventually quashed, and the reforms were then created due to the fact that the system didn’t want to accept that the police misbehaved in the said cases as that would cause complexities within the police force, for </w:t>
      </w:r>
      <w:r w:rsidRPr="008261D1">
        <w:rPr>
          <w:rStyle w:val="eop"/>
          <w:rFonts w:asciiTheme="minorHAnsi" w:hAnsiTheme="minorHAnsi" w:cs="Calibri"/>
        </w:rPr>
        <w:t xml:space="preserve">one, </w:t>
      </w:r>
      <w:r w:rsidR="004D19CA" w:rsidRPr="008261D1">
        <w:rPr>
          <w:rStyle w:val="eop"/>
          <w:rFonts w:asciiTheme="minorHAnsi" w:hAnsiTheme="minorHAnsi" w:cs="Calibri"/>
        </w:rPr>
        <w:t xml:space="preserve"> It would </w:t>
      </w:r>
      <w:r w:rsidR="007F7BBC" w:rsidRPr="008261D1">
        <w:rPr>
          <w:rStyle w:val="eop"/>
          <w:rFonts w:asciiTheme="minorHAnsi" w:hAnsiTheme="minorHAnsi" w:cs="Calibri"/>
        </w:rPr>
        <w:t>create</w:t>
      </w:r>
      <w:r w:rsidR="004D19CA" w:rsidRPr="008261D1">
        <w:rPr>
          <w:rStyle w:val="eop"/>
          <w:rFonts w:asciiTheme="minorHAnsi" w:hAnsiTheme="minorHAnsi" w:cs="Calibri"/>
        </w:rPr>
        <w:t xml:space="preserve"> questions like; could the police be trusted? The other question would be, ‘where are the real offenders</w:t>
      </w:r>
      <w:r w:rsidRPr="008261D1">
        <w:rPr>
          <w:rStyle w:val="eop"/>
          <w:rFonts w:asciiTheme="minorHAnsi" w:hAnsiTheme="minorHAnsi" w:cs="Calibri"/>
        </w:rPr>
        <w:t>, are they still walking freely within the community</w:t>
      </w:r>
      <w:r w:rsidR="004D19CA" w:rsidRPr="008261D1">
        <w:rPr>
          <w:rStyle w:val="eop"/>
          <w:rFonts w:asciiTheme="minorHAnsi" w:hAnsiTheme="minorHAnsi" w:cs="Calibri"/>
        </w:rPr>
        <w:t>?’</w:t>
      </w:r>
    </w:p>
    <w:p w14:paraId="495F6816" w14:textId="77777777" w:rsidR="007E38AC" w:rsidRPr="008261D1" w:rsidRDefault="007E38AC" w:rsidP="00291471">
      <w:pPr>
        <w:pStyle w:val="paragraph"/>
        <w:spacing w:before="0" w:beforeAutospacing="0" w:after="0" w:afterAutospacing="0" w:line="360" w:lineRule="auto"/>
        <w:textAlignment w:val="baseline"/>
        <w:rPr>
          <w:rStyle w:val="eop"/>
          <w:rFonts w:asciiTheme="minorHAnsi" w:hAnsiTheme="minorHAnsi" w:cs="Calibri"/>
        </w:rPr>
      </w:pPr>
    </w:p>
    <w:p w14:paraId="519FA71F" w14:textId="00C51FF6" w:rsidR="007E38AC" w:rsidRPr="008261D1" w:rsidRDefault="007E38AC" w:rsidP="00291471">
      <w:pPr>
        <w:pStyle w:val="paragraph"/>
        <w:spacing w:before="0" w:beforeAutospacing="0" w:after="0" w:afterAutospacing="0" w:line="360" w:lineRule="auto"/>
        <w:textAlignment w:val="baseline"/>
        <w:rPr>
          <w:rStyle w:val="eop"/>
          <w:rFonts w:asciiTheme="minorHAnsi" w:hAnsiTheme="minorHAnsi" w:cs="Calibri"/>
        </w:rPr>
      </w:pPr>
      <w:r w:rsidRPr="008261D1">
        <w:rPr>
          <w:rStyle w:val="eop"/>
          <w:rFonts w:asciiTheme="minorHAnsi" w:hAnsiTheme="minorHAnsi" w:cs="Calibri"/>
        </w:rPr>
        <w:t>Another case example of where miscarriage of justice has been demonstrated is the Guildford Four case. The two cases, Guildford Four and the Birmingham Six share similarities within the details of the cases. The Guildford Four case involved another provisional IRA pub bombing which killed 5 people due to the no – warning blast in 1974 and the pub itself was another army led pub. According to Owen Bowcott a legal affairs correspondent, the case will be reopened after 40 years since it was shut down. Bowcott (2019) said;</w:t>
      </w:r>
    </w:p>
    <w:p w14:paraId="777EF652" w14:textId="1FB5144F" w:rsidR="007F7BBC" w:rsidRPr="008261D1" w:rsidRDefault="007E38AC" w:rsidP="00291471">
      <w:pPr>
        <w:pStyle w:val="paragraph"/>
        <w:spacing w:before="0" w:beforeAutospacing="0" w:after="0" w:afterAutospacing="0" w:line="360" w:lineRule="auto"/>
        <w:textAlignment w:val="baseline"/>
        <w:rPr>
          <w:rStyle w:val="eop"/>
          <w:rFonts w:asciiTheme="minorHAnsi" w:hAnsiTheme="minorHAnsi" w:cs="Calibri"/>
        </w:rPr>
      </w:pPr>
      <w:r w:rsidRPr="008261D1">
        <w:rPr>
          <w:rStyle w:val="eop"/>
          <w:rFonts w:asciiTheme="minorHAnsi" w:hAnsiTheme="minorHAnsi" w:cs="Calibri"/>
        </w:rPr>
        <w:t>‘’the original murder trial did not examine what happened immediately before or after the blast on the 5</w:t>
      </w:r>
      <w:r w:rsidRPr="008261D1">
        <w:rPr>
          <w:rStyle w:val="eop"/>
          <w:rFonts w:asciiTheme="minorHAnsi" w:hAnsiTheme="minorHAnsi" w:cs="Calibri"/>
          <w:vertAlign w:val="superscript"/>
        </w:rPr>
        <w:t>th</w:t>
      </w:r>
      <w:r w:rsidRPr="008261D1">
        <w:rPr>
          <w:rStyle w:val="eop"/>
          <w:rFonts w:asciiTheme="minorHAnsi" w:hAnsiTheme="minorHAnsi" w:cs="Calibri"/>
        </w:rPr>
        <w:t xml:space="preserve"> October 1974 in any great detail because the prosecution case was based </w:t>
      </w:r>
      <w:r w:rsidRPr="008261D1">
        <w:rPr>
          <w:rStyle w:val="eop"/>
          <w:rFonts w:asciiTheme="minorHAnsi" w:hAnsiTheme="minorHAnsi" w:cs="Calibri"/>
        </w:rPr>
        <w:lastRenderedPageBreak/>
        <w:t>entirely on false confessions signed by the accused’’</w:t>
      </w:r>
      <w:r w:rsidR="007F7BBC" w:rsidRPr="008261D1">
        <w:rPr>
          <w:rStyle w:val="eop"/>
          <w:rFonts w:asciiTheme="minorHAnsi" w:hAnsiTheme="minorHAnsi" w:cs="Calibri"/>
        </w:rPr>
        <w:t>. During this time, half an hour later a second bomb was detonated at another pub but luckily it had already been evacuated.  This story is another case of the 4 people being at the wrong place at the wrong time. Jon Robins speaks for another online article setting light about innocent people being convicted for things they did not do, and how the men within the system has been failed. Robins states ‘if by some miracle your wrongful conviction is quashed, don’t expect an apology’’. He also says ‘’don’t expect to be compensated for the hell of the lost years trapped in some ‘violent and drug infested hellhole’’. Robins interviewed Maguire, whom was convicted and sent to prison at the age of 14 for 5 years for crimes he did not commit, and also labels Maguire to be one of the youngest of the ‘Maguire Seven’ another case affected by a miscarriage of justice – whom was an innocent family swept up in the hysteria following the ‘Guildford Four’ pub bombings 1974. As these two cases had their convictions overturned from 1989 to 1991, public outrage grew massively at the scandals which was supposed to have kick started the ideas for the major reforms of the justice system.</w:t>
      </w:r>
    </w:p>
    <w:p w14:paraId="00D8D2E6" w14:textId="77777777" w:rsidR="007F7BBC" w:rsidRPr="008261D1" w:rsidRDefault="007F7BBC" w:rsidP="00291471">
      <w:pPr>
        <w:pStyle w:val="paragraph"/>
        <w:spacing w:before="0" w:beforeAutospacing="0" w:after="0" w:afterAutospacing="0" w:line="360" w:lineRule="auto"/>
        <w:textAlignment w:val="baseline"/>
        <w:rPr>
          <w:rStyle w:val="eop"/>
          <w:rFonts w:asciiTheme="minorHAnsi" w:hAnsiTheme="minorHAnsi" w:cs="Calibri"/>
        </w:rPr>
      </w:pPr>
    </w:p>
    <w:p w14:paraId="4BAB16D9" w14:textId="53A87D6C" w:rsidR="007F7BBC" w:rsidRPr="008261D1" w:rsidRDefault="007F7BBC" w:rsidP="00291471">
      <w:pPr>
        <w:pStyle w:val="paragraph"/>
        <w:spacing w:before="0" w:beforeAutospacing="0" w:after="0" w:afterAutospacing="0" w:line="360" w:lineRule="auto"/>
        <w:textAlignment w:val="baseline"/>
        <w:rPr>
          <w:rStyle w:val="eop"/>
          <w:rFonts w:asciiTheme="minorHAnsi" w:hAnsiTheme="minorHAnsi" w:cs="Calibri"/>
        </w:rPr>
      </w:pPr>
      <w:r w:rsidRPr="008261D1">
        <w:rPr>
          <w:rStyle w:val="eop"/>
          <w:rFonts w:asciiTheme="minorHAnsi" w:hAnsiTheme="minorHAnsi" w:cs="Calibri"/>
        </w:rPr>
        <w:t>In 2019, the supreme court ruled against two men, Sam Hallam and Victor Nealon, who in Robins words were ‘undoubtedly innocent’, and were both victims of appalling police investigations, both being failed miserably by the courts.</w:t>
      </w:r>
      <w:r w:rsidR="006D0387" w:rsidRPr="008261D1">
        <w:rPr>
          <w:rStyle w:val="eop"/>
          <w:rFonts w:asciiTheme="minorHAnsi" w:hAnsiTheme="minorHAnsi" w:cs="Calibri"/>
        </w:rPr>
        <w:t xml:space="preserve"> Hallam was jailed for a minimum of 12 years in 2005 for the death of </w:t>
      </w:r>
      <w:proofErr w:type="spellStart"/>
      <w:r w:rsidR="006D0387" w:rsidRPr="008261D1">
        <w:rPr>
          <w:rStyle w:val="eop"/>
          <w:rFonts w:asciiTheme="minorHAnsi" w:hAnsiTheme="minorHAnsi" w:cs="Calibri"/>
        </w:rPr>
        <w:t>Essayas</w:t>
      </w:r>
      <w:proofErr w:type="spellEnd"/>
      <w:r w:rsidR="006D0387" w:rsidRPr="008261D1">
        <w:rPr>
          <w:rStyle w:val="eop"/>
          <w:rFonts w:asciiTheme="minorHAnsi" w:hAnsiTheme="minorHAnsi" w:cs="Calibri"/>
        </w:rPr>
        <w:t xml:space="preserve"> Kassahun along with having his appeal dismissed. According to Jon Robins speaking for a different article, he talks about the book he edited for the Justice gap and states that it’s about the two men that were wrongfully convicted of things they didn’t do, but also explains that the book was made to find the common ground between the cases and to shine light on the reasons to why the criminal justice system keeps failing us’’ (Robins, 2018). Nealon was wrongly imprisoned for 17 years with also having the supreme court dismissed by the appeals by a majority of five to two (Chambers, </w:t>
      </w:r>
      <w:r w:rsidR="008261D1">
        <w:rPr>
          <w:rStyle w:val="eop"/>
          <w:rFonts w:asciiTheme="minorHAnsi" w:hAnsiTheme="minorHAnsi" w:cs="Calibri"/>
        </w:rPr>
        <w:t>N.D</w:t>
      </w:r>
      <w:r w:rsidR="006D0387" w:rsidRPr="008261D1">
        <w:rPr>
          <w:rStyle w:val="eop"/>
          <w:rFonts w:asciiTheme="minorHAnsi" w:hAnsiTheme="minorHAnsi" w:cs="Calibri"/>
        </w:rPr>
        <w:t xml:space="preserve">). </w:t>
      </w:r>
      <w:r w:rsidRPr="008261D1">
        <w:rPr>
          <w:rStyle w:val="eop"/>
          <w:rFonts w:asciiTheme="minorHAnsi" w:hAnsiTheme="minorHAnsi" w:cs="Calibri"/>
        </w:rPr>
        <w:t xml:space="preserve">After an interview with both men, he learns how they are both damaged physically and mentally in their own different ways. To link with the conduct of system committing a miscarriage of justice, Nealon served an extra 10 years because he simply refused to admit guilt from a crime he did not commit, this just goes to show how PACE has had a massive impact in </w:t>
      </w:r>
      <w:r w:rsidR="008261D1" w:rsidRPr="008261D1">
        <w:rPr>
          <w:rStyle w:val="eop"/>
          <w:rFonts w:asciiTheme="minorHAnsi" w:hAnsiTheme="minorHAnsi" w:cs="Calibri"/>
        </w:rPr>
        <w:t>today’s</w:t>
      </w:r>
      <w:r w:rsidRPr="008261D1">
        <w:rPr>
          <w:rStyle w:val="eop"/>
          <w:rFonts w:asciiTheme="minorHAnsi" w:hAnsiTheme="minorHAnsi" w:cs="Calibri"/>
        </w:rPr>
        <w:t xml:space="preserve"> issue</w:t>
      </w:r>
      <w:r w:rsidR="006D0387" w:rsidRPr="008261D1">
        <w:rPr>
          <w:rStyle w:val="eop"/>
          <w:rFonts w:asciiTheme="minorHAnsi" w:hAnsiTheme="minorHAnsi" w:cs="Calibri"/>
        </w:rPr>
        <w:t xml:space="preserve">s </w:t>
      </w:r>
      <w:r w:rsidRPr="008261D1">
        <w:rPr>
          <w:rStyle w:val="eop"/>
          <w:rFonts w:asciiTheme="minorHAnsi" w:hAnsiTheme="minorHAnsi" w:cs="Calibri"/>
        </w:rPr>
        <w:t xml:space="preserve">as there is no chance in suspects being bullied and coerced into admitting to something they didn’t do, or signing anything that could end up changing the </w:t>
      </w:r>
      <w:r w:rsidRPr="008261D1">
        <w:rPr>
          <w:rStyle w:val="eop"/>
          <w:rFonts w:asciiTheme="minorHAnsi" w:hAnsiTheme="minorHAnsi" w:cs="Calibri"/>
        </w:rPr>
        <w:lastRenderedPageBreak/>
        <w:t>whole outcome to their innocence</w:t>
      </w:r>
      <w:r w:rsidR="006D0387" w:rsidRPr="008261D1">
        <w:rPr>
          <w:rStyle w:val="eop"/>
          <w:rFonts w:asciiTheme="minorHAnsi" w:hAnsiTheme="minorHAnsi" w:cs="Calibri"/>
        </w:rPr>
        <w:t xml:space="preserve"> as their legal representatives (if they choose to receive them) will make sure everything is going in the structured way it should.</w:t>
      </w:r>
    </w:p>
    <w:p w14:paraId="01DBFEA9" w14:textId="77777777" w:rsidR="007F7BBC" w:rsidRPr="008261D1" w:rsidRDefault="007F7BBC" w:rsidP="00291471">
      <w:pPr>
        <w:pStyle w:val="paragraph"/>
        <w:spacing w:before="0" w:beforeAutospacing="0" w:after="0" w:afterAutospacing="0" w:line="360" w:lineRule="auto"/>
        <w:textAlignment w:val="baseline"/>
        <w:rPr>
          <w:rStyle w:val="eop"/>
          <w:rFonts w:asciiTheme="minorHAnsi" w:hAnsiTheme="minorHAnsi" w:cs="Calibri"/>
        </w:rPr>
      </w:pPr>
    </w:p>
    <w:p w14:paraId="5C45C0E3" w14:textId="45C4A80E" w:rsidR="007F7BBC" w:rsidRPr="008261D1" w:rsidRDefault="007F7BBC" w:rsidP="00291471">
      <w:pPr>
        <w:pStyle w:val="paragraph"/>
        <w:spacing w:before="0" w:beforeAutospacing="0" w:after="0" w:afterAutospacing="0" w:line="360" w:lineRule="auto"/>
        <w:textAlignment w:val="baseline"/>
        <w:rPr>
          <w:rStyle w:val="eop"/>
          <w:rFonts w:asciiTheme="minorHAnsi" w:hAnsiTheme="minorHAnsi" w:cs="Calibri"/>
        </w:rPr>
      </w:pPr>
    </w:p>
    <w:p w14:paraId="3085B1EA" w14:textId="1698DE48" w:rsidR="008261D1" w:rsidRDefault="008261D1" w:rsidP="00291471">
      <w:pPr>
        <w:spacing w:line="360" w:lineRule="auto"/>
        <w:rPr>
          <w:rFonts w:asciiTheme="minorHAnsi" w:hAnsiTheme="minorHAnsi"/>
        </w:rPr>
      </w:pPr>
      <w:r w:rsidRPr="008261D1">
        <w:rPr>
          <w:rFonts w:asciiTheme="minorHAnsi" w:hAnsiTheme="minorHAnsi"/>
          <w:u w:val="single"/>
        </w:rPr>
        <w:t>Success and Limitations</w:t>
      </w:r>
      <w:r w:rsidR="00874787">
        <w:rPr>
          <w:rFonts w:asciiTheme="minorHAnsi" w:hAnsiTheme="minorHAnsi"/>
        </w:rPr>
        <w:t xml:space="preserve"> // conclusion of amendments </w:t>
      </w:r>
    </w:p>
    <w:p w14:paraId="084FCE30" w14:textId="78A5B225" w:rsidR="00107C25" w:rsidRDefault="00107C25" w:rsidP="00291471">
      <w:pPr>
        <w:spacing w:line="360" w:lineRule="auto"/>
        <w:rPr>
          <w:rFonts w:asciiTheme="minorHAnsi" w:hAnsiTheme="minorHAnsi"/>
        </w:rPr>
      </w:pPr>
    </w:p>
    <w:p w14:paraId="0D7D0103" w14:textId="77777777" w:rsidR="00107C25" w:rsidRDefault="00107C25" w:rsidP="00107C25">
      <w:pPr>
        <w:spacing w:line="360" w:lineRule="auto"/>
        <w:rPr>
          <w:rFonts w:asciiTheme="minorHAnsi" w:hAnsiTheme="minorHAnsi"/>
        </w:rPr>
      </w:pPr>
      <w:r>
        <w:rPr>
          <w:rFonts w:asciiTheme="minorHAnsi" w:hAnsiTheme="minorHAnsi"/>
        </w:rPr>
        <w:t>Since the new PACE amendments, people who commit crimes and are caught, are apprehended to police custody. Before the police can take them under their supervision for questioning they will have to read out their rights, and make it known before they start questioning to you that you are entitled to the right of free legal advice, from there then the suspect can accept or decline that offer. If declined the offer at that moment in time they can always change their minds later down the line.</w:t>
      </w:r>
      <w:r>
        <w:rPr>
          <w:rFonts w:asciiTheme="minorHAnsi" w:hAnsiTheme="minorHAnsi"/>
        </w:rPr>
        <w:t xml:space="preserve"> </w:t>
      </w:r>
    </w:p>
    <w:p w14:paraId="12CBE40E" w14:textId="77777777" w:rsidR="009F5549" w:rsidRDefault="00107C25" w:rsidP="00107C25">
      <w:pPr>
        <w:spacing w:line="360" w:lineRule="auto"/>
        <w:rPr>
          <w:rFonts w:asciiTheme="minorHAnsi" w:hAnsiTheme="minorHAnsi"/>
        </w:rPr>
      </w:pPr>
      <w:r>
        <w:rPr>
          <w:rFonts w:asciiTheme="minorHAnsi" w:hAnsiTheme="minorHAnsi"/>
        </w:rPr>
        <w:t xml:space="preserve">Although PACE has a lot of successful attempts to bring miscarriages of justice – to justice, there are still mixed feelings about certain procedures. Keith </w:t>
      </w:r>
      <w:proofErr w:type="spellStart"/>
      <w:r>
        <w:rPr>
          <w:rFonts w:asciiTheme="minorHAnsi" w:hAnsiTheme="minorHAnsi"/>
        </w:rPr>
        <w:t>Bottoml</w:t>
      </w:r>
      <w:r w:rsidR="009F5549">
        <w:rPr>
          <w:rFonts w:asciiTheme="minorHAnsi" w:hAnsiTheme="minorHAnsi"/>
        </w:rPr>
        <w:t>e</w:t>
      </w:r>
      <w:proofErr w:type="spellEnd"/>
    </w:p>
    <w:p w14:paraId="74E87A34" w14:textId="2177FA59" w:rsidR="00107C25" w:rsidRPr="004D19CA" w:rsidRDefault="00107C25" w:rsidP="00107C25">
      <w:pPr>
        <w:spacing w:line="360" w:lineRule="auto"/>
        <w:rPr>
          <w:rFonts w:asciiTheme="minorHAnsi" w:hAnsiTheme="minorHAnsi"/>
        </w:rPr>
      </w:pPr>
      <w:r>
        <w:rPr>
          <w:rFonts w:asciiTheme="minorHAnsi" w:hAnsiTheme="minorHAnsi"/>
        </w:rPr>
        <w:t>y</w:t>
      </w:r>
      <w:r w:rsidRPr="004D19CA">
        <w:rPr>
          <w:rFonts w:asciiTheme="minorHAnsi" w:hAnsiTheme="minorHAnsi"/>
        </w:rPr>
        <w:t xml:space="preserve"> </w:t>
      </w:r>
      <w:r>
        <w:rPr>
          <w:rFonts w:asciiTheme="minorHAnsi" w:hAnsiTheme="minorHAnsi"/>
        </w:rPr>
        <w:t>says he was</w:t>
      </w:r>
      <w:r w:rsidRPr="004D19CA">
        <w:rPr>
          <w:rFonts w:asciiTheme="minorHAnsi" w:hAnsiTheme="minorHAnsi"/>
        </w:rPr>
        <w:t xml:space="preserve"> interviewing </w:t>
      </w:r>
      <w:r>
        <w:rPr>
          <w:rFonts w:asciiTheme="minorHAnsi" w:hAnsiTheme="minorHAnsi"/>
        </w:rPr>
        <w:t>a man</w:t>
      </w:r>
      <w:r w:rsidRPr="004D19CA">
        <w:rPr>
          <w:rFonts w:asciiTheme="minorHAnsi" w:hAnsiTheme="minorHAnsi"/>
        </w:rPr>
        <w:t xml:space="preserve"> who'd admitted</w:t>
      </w:r>
      <w:r>
        <w:rPr>
          <w:rFonts w:asciiTheme="minorHAnsi" w:hAnsiTheme="minorHAnsi"/>
        </w:rPr>
        <w:t xml:space="preserve"> to</w:t>
      </w:r>
      <w:r w:rsidRPr="004D19CA">
        <w:rPr>
          <w:rFonts w:asciiTheme="minorHAnsi" w:hAnsiTheme="minorHAnsi"/>
        </w:rPr>
        <w:t xml:space="preserve"> a number of sexual offences on a</w:t>
      </w:r>
      <w:r>
        <w:rPr>
          <w:rFonts w:asciiTheme="minorHAnsi" w:hAnsiTheme="minorHAnsi"/>
        </w:rPr>
        <w:t xml:space="preserve"> young</w:t>
      </w:r>
      <w:r w:rsidRPr="004D19CA">
        <w:rPr>
          <w:rFonts w:asciiTheme="minorHAnsi" w:hAnsiTheme="minorHAnsi"/>
        </w:rPr>
        <w:t xml:space="preserve"> child. The </w:t>
      </w:r>
      <w:r>
        <w:rPr>
          <w:rFonts w:asciiTheme="minorHAnsi" w:hAnsiTheme="minorHAnsi"/>
        </w:rPr>
        <w:t xml:space="preserve">suspect </w:t>
      </w:r>
      <w:r w:rsidRPr="004D19CA">
        <w:rPr>
          <w:rFonts w:asciiTheme="minorHAnsi" w:hAnsiTheme="minorHAnsi"/>
        </w:rPr>
        <w:t xml:space="preserve">wanted a solicitor, but </w:t>
      </w:r>
      <w:r>
        <w:rPr>
          <w:rFonts w:asciiTheme="minorHAnsi" w:hAnsiTheme="minorHAnsi"/>
        </w:rPr>
        <w:t>as there</w:t>
      </w:r>
      <w:r w:rsidRPr="004D19CA">
        <w:rPr>
          <w:rFonts w:asciiTheme="minorHAnsi" w:hAnsiTheme="minorHAnsi"/>
        </w:rPr>
        <w:t xml:space="preserve"> wasn't a qualified solicitor available</w:t>
      </w:r>
      <w:r>
        <w:rPr>
          <w:rFonts w:asciiTheme="minorHAnsi" w:hAnsiTheme="minorHAnsi"/>
        </w:rPr>
        <w:t>, a clerk was sent to sit in instead. As the questions went on, the clerk</w:t>
      </w:r>
      <w:r w:rsidRPr="004D19CA">
        <w:rPr>
          <w:rFonts w:asciiTheme="minorHAnsi" w:hAnsiTheme="minorHAnsi"/>
        </w:rPr>
        <w:t xml:space="preserve"> was trying to answer </w:t>
      </w:r>
      <w:r w:rsidRPr="008261D1">
        <w:rPr>
          <w:rFonts w:asciiTheme="minorHAnsi" w:hAnsiTheme="minorHAnsi"/>
        </w:rPr>
        <w:t>questions</w:t>
      </w:r>
      <w:r w:rsidRPr="004D19CA">
        <w:rPr>
          <w:rFonts w:asciiTheme="minorHAnsi" w:hAnsiTheme="minorHAnsi"/>
        </w:rPr>
        <w:t xml:space="preserve"> for his client. </w:t>
      </w:r>
      <w:r>
        <w:rPr>
          <w:rFonts w:asciiTheme="minorHAnsi" w:hAnsiTheme="minorHAnsi"/>
        </w:rPr>
        <w:t>Bottoml</w:t>
      </w:r>
      <w:r w:rsidR="009F5549">
        <w:rPr>
          <w:rFonts w:asciiTheme="minorHAnsi" w:hAnsiTheme="minorHAnsi"/>
        </w:rPr>
        <w:t>e</w:t>
      </w:r>
      <w:r>
        <w:rPr>
          <w:rFonts w:asciiTheme="minorHAnsi" w:hAnsiTheme="minorHAnsi"/>
        </w:rPr>
        <w:t>y</w:t>
      </w:r>
      <w:r w:rsidRPr="004D19CA">
        <w:rPr>
          <w:rFonts w:asciiTheme="minorHAnsi" w:hAnsiTheme="minorHAnsi"/>
        </w:rPr>
        <w:t xml:space="preserve"> objected to his interruptions</w:t>
      </w:r>
      <w:r>
        <w:rPr>
          <w:rFonts w:asciiTheme="minorHAnsi" w:hAnsiTheme="minorHAnsi"/>
        </w:rPr>
        <w:t>, as he was interrupting the interview</w:t>
      </w:r>
      <w:r w:rsidRPr="004D19CA">
        <w:rPr>
          <w:rFonts w:asciiTheme="minorHAnsi" w:hAnsiTheme="minorHAnsi"/>
        </w:rPr>
        <w:t xml:space="preserve"> not because </w:t>
      </w:r>
      <w:r>
        <w:rPr>
          <w:rFonts w:asciiTheme="minorHAnsi" w:hAnsiTheme="minorHAnsi"/>
        </w:rPr>
        <w:t>he</w:t>
      </w:r>
      <w:r w:rsidRPr="004D19CA">
        <w:rPr>
          <w:rFonts w:asciiTheme="minorHAnsi" w:hAnsiTheme="minorHAnsi"/>
        </w:rPr>
        <w:t xml:space="preserve"> was asking the wrong things, but he was trying to answer his questions for him</w:t>
      </w:r>
      <w:r w:rsidRPr="008261D1">
        <w:rPr>
          <w:rFonts w:asciiTheme="minorHAnsi" w:hAnsiTheme="minorHAnsi"/>
        </w:rPr>
        <w:t xml:space="preserve"> (Bottomley et al).</w:t>
      </w:r>
    </w:p>
    <w:p w14:paraId="66863E47" w14:textId="56A176DD" w:rsidR="00107C25" w:rsidRDefault="00107C25" w:rsidP="00291471">
      <w:pPr>
        <w:spacing w:line="360" w:lineRule="auto"/>
        <w:rPr>
          <w:rFonts w:asciiTheme="minorHAnsi" w:hAnsiTheme="minorHAnsi"/>
        </w:rPr>
      </w:pPr>
      <w:proofErr w:type="gramStart"/>
      <w:r>
        <w:rPr>
          <w:rFonts w:asciiTheme="minorHAnsi" w:hAnsiTheme="minorHAnsi"/>
        </w:rPr>
        <w:t>So</w:t>
      </w:r>
      <w:proofErr w:type="gramEnd"/>
      <w:r>
        <w:rPr>
          <w:rFonts w:asciiTheme="minorHAnsi" w:hAnsiTheme="minorHAnsi"/>
        </w:rPr>
        <w:t xml:space="preserve"> to conclude this point about there being a variety of mixed emotions, depending on the severity of the crime, when suspects are being questioned some and the type of legal advisor given. Limitations of how PACE limits the police during investigation is when, the legal advisors aim will be for their client’s truth to stay hidden in the most legal way possible, until they know the whole truth themselves.</w:t>
      </w:r>
      <w:r w:rsidR="009F5549">
        <w:rPr>
          <w:rFonts w:asciiTheme="minorHAnsi" w:hAnsiTheme="minorHAnsi"/>
        </w:rPr>
        <w:t xml:space="preserve"> </w:t>
      </w:r>
      <w:r>
        <w:rPr>
          <w:rFonts w:asciiTheme="minorHAnsi" w:hAnsiTheme="minorHAnsi"/>
        </w:rPr>
        <w:t xml:space="preserve">While the legal adviser telling their client to say nothing helps the client – it also puts a big strain on the police trying to get to the bottom of the crime and get prepared for any further action needed to take place. And on the other </w:t>
      </w:r>
      <w:proofErr w:type="gramStart"/>
      <w:r>
        <w:rPr>
          <w:rFonts w:asciiTheme="minorHAnsi" w:hAnsiTheme="minorHAnsi"/>
        </w:rPr>
        <w:t>hand</w:t>
      </w:r>
      <w:proofErr w:type="gramEnd"/>
      <w:r>
        <w:rPr>
          <w:rFonts w:asciiTheme="minorHAnsi" w:hAnsiTheme="minorHAnsi"/>
        </w:rPr>
        <w:t xml:space="preserve"> the success shown according to Bottomley, is with benefiting the legal advisors themselves rather than the clients as they like to create a reputation of themselves, to be known that they are helpfu</w:t>
      </w:r>
      <w:r w:rsidR="009F5549">
        <w:rPr>
          <w:rFonts w:asciiTheme="minorHAnsi" w:hAnsiTheme="minorHAnsi"/>
        </w:rPr>
        <w:t>l</w:t>
      </w:r>
      <w:r>
        <w:rPr>
          <w:rFonts w:asciiTheme="minorHAnsi" w:hAnsiTheme="minorHAnsi"/>
        </w:rPr>
        <w:t xml:space="preserve"> towards the police and are happy to communicate.</w:t>
      </w:r>
    </w:p>
    <w:p w14:paraId="4EC9941B" w14:textId="77777777" w:rsidR="00107C25" w:rsidRDefault="00107C25" w:rsidP="00291471">
      <w:pPr>
        <w:spacing w:line="360" w:lineRule="auto"/>
        <w:rPr>
          <w:rFonts w:asciiTheme="minorHAnsi" w:hAnsiTheme="minorHAnsi"/>
        </w:rPr>
      </w:pPr>
    </w:p>
    <w:p w14:paraId="140734A1" w14:textId="0DB48097" w:rsidR="008261D1" w:rsidRDefault="008261D1" w:rsidP="00291471">
      <w:pPr>
        <w:spacing w:line="360" w:lineRule="auto"/>
        <w:rPr>
          <w:rFonts w:asciiTheme="minorHAnsi" w:hAnsiTheme="minorHAnsi"/>
        </w:rPr>
      </w:pPr>
      <w:r w:rsidRPr="008261D1">
        <w:rPr>
          <w:rFonts w:asciiTheme="minorHAnsi" w:hAnsiTheme="minorHAnsi"/>
        </w:rPr>
        <w:lastRenderedPageBreak/>
        <w:t xml:space="preserve">The National Council for Civil Liberties (Liberty) created a response to the Home office Consultation about Modernising Police Powers in 2007. Within this document they reviewed PACE. Liberty states that over the last few years they have noticed a dramatic increase in the </w:t>
      </w:r>
      <w:r w:rsidRPr="008261D1">
        <w:rPr>
          <w:rFonts w:asciiTheme="minorHAnsi" w:hAnsiTheme="minorHAnsi"/>
        </w:rPr>
        <w:t>procedure</w:t>
      </w:r>
      <w:r w:rsidRPr="008261D1">
        <w:rPr>
          <w:rFonts w:asciiTheme="minorHAnsi" w:hAnsiTheme="minorHAnsi"/>
        </w:rPr>
        <w:t xml:space="preserve"> of summary policing powers and an increase use of discretion</w:t>
      </w:r>
      <w:r>
        <w:rPr>
          <w:rFonts w:asciiTheme="minorHAnsi" w:hAnsiTheme="minorHAnsi"/>
        </w:rPr>
        <w:t xml:space="preserve">. With that said they also state that the more discretion the police are using, the Government are excluding themselves of the responsibility to set out clear indicators of what powers the police can use (Liberty,2007). This could be a massive limitation towards the police as a whole, as it holds a lot pressure on them being in this position to do things correctly. The police are given a strict amount of powers which they need to use to meet targets of both the force and communities, but they also need to make sure they are acting appropriately and regarding the compliant of individual human rights. </w:t>
      </w:r>
    </w:p>
    <w:p w14:paraId="2B9FD98B" w14:textId="2E696990" w:rsidR="00291471" w:rsidRDefault="00291471" w:rsidP="00291471">
      <w:pPr>
        <w:spacing w:line="360" w:lineRule="auto"/>
        <w:rPr>
          <w:rFonts w:asciiTheme="minorHAnsi" w:hAnsiTheme="minorHAnsi"/>
        </w:rPr>
      </w:pPr>
    </w:p>
    <w:p w14:paraId="65A50D52" w14:textId="77777777" w:rsidR="00291471" w:rsidRPr="008261D1" w:rsidRDefault="00291471" w:rsidP="00291471">
      <w:pPr>
        <w:spacing w:line="360" w:lineRule="auto"/>
        <w:rPr>
          <w:rFonts w:asciiTheme="minorHAnsi" w:hAnsiTheme="minorHAnsi"/>
        </w:rPr>
      </w:pPr>
    </w:p>
    <w:p w14:paraId="1DA4F049" w14:textId="77777777" w:rsidR="00874787" w:rsidRDefault="00874787" w:rsidP="00874787">
      <w:pPr>
        <w:spacing w:line="360" w:lineRule="auto"/>
        <w:rPr>
          <w:rFonts w:asciiTheme="minorHAnsi" w:hAnsiTheme="minorHAnsi"/>
        </w:rPr>
      </w:pPr>
      <w:r>
        <w:rPr>
          <w:rFonts w:asciiTheme="minorHAnsi" w:hAnsiTheme="minorHAnsi"/>
        </w:rPr>
        <w:t>Since the new PACE amendments, people who commit crimes and are caught, are apprehended to police custody. Before the police can take them under their supervision for questioning they will have to read out their rights, and make it known before they start questioning to you that you are entitled to the right of free legal advice, from there then the suspect can accept or decline that offer. If declined the offer at that moment in time they can always change their minds later down the line.</w:t>
      </w:r>
    </w:p>
    <w:p w14:paraId="2DB8CA61" w14:textId="0CA2245B" w:rsidR="00D9532C" w:rsidRDefault="00D9532C" w:rsidP="00291471">
      <w:pPr>
        <w:spacing w:line="360" w:lineRule="auto"/>
        <w:rPr>
          <w:rFonts w:asciiTheme="minorHAnsi" w:hAnsiTheme="minorHAnsi"/>
        </w:rPr>
      </w:pPr>
    </w:p>
    <w:p w14:paraId="435973C0" w14:textId="59BA6B88" w:rsidR="00291471" w:rsidRDefault="00291471" w:rsidP="00291471">
      <w:pPr>
        <w:spacing w:line="360" w:lineRule="auto"/>
        <w:rPr>
          <w:rFonts w:asciiTheme="minorHAnsi" w:hAnsiTheme="minorHAnsi"/>
        </w:rPr>
      </w:pPr>
    </w:p>
    <w:p w14:paraId="5FBC37FD" w14:textId="52BCE137" w:rsidR="00291471" w:rsidRDefault="00291471" w:rsidP="00291471">
      <w:pPr>
        <w:spacing w:line="360" w:lineRule="auto"/>
        <w:rPr>
          <w:rFonts w:asciiTheme="minorHAnsi" w:hAnsiTheme="minorHAnsi"/>
        </w:rPr>
      </w:pPr>
    </w:p>
    <w:p w14:paraId="3318E1EF" w14:textId="5CA05754" w:rsidR="00291471" w:rsidRDefault="00291471" w:rsidP="00291471">
      <w:pPr>
        <w:spacing w:line="360" w:lineRule="auto"/>
        <w:rPr>
          <w:rFonts w:asciiTheme="minorHAnsi" w:hAnsiTheme="minorHAnsi"/>
        </w:rPr>
      </w:pPr>
    </w:p>
    <w:p w14:paraId="0E4312A0" w14:textId="3E2E4730" w:rsidR="00291471" w:rsidRDefault="00291471" w:rsidP="00291471">
      <w:pPr>
        <w:spacing w:line="360" w:lineRule="auto"/>
        <w:rPr>
          <w:rFonts w:asciiTheme="minorHAnsi" w:hAnsiTheme="minorHAnsi"/>
        </w:rPr>
      </w:pPr>
    </w:p>
    <w:p w14:paraId="106DC5B8" w14:textId="5E46F00B" w:rsidR="00291471" w:rsidRDefault="00291471" w:rsidP="00291471">
      <w:pPr>
        <w:spacing w:line="360" w:lineRule="auto"/>
        <w:rPr>
          <w:rFonts w:asciiTheme="minorHAnsi" w:hAnsiTheme="minorHAnsi"/>
        </w:rPr>
      </w:pPr>
    </w:p>
    <w:p w14:paraId="6273CBC8" w14:textId="0F5DA62E" w:rsidR="00291471" w:rsidRDefault="00291471" w:rsidP="00291471">
      <w:pPr>
        <w:spacing w:line="360" w:lineRule="auto"/>
        <w:rPr>
          <w:rFonts w:asciiTheme="minorHAnsi" w:hAnsiTheme="minorHAnsi"/>
        </w:rPr>
      </w:pPr>
    </w:p>
    <w:p w14:paraId="16BCE31E" w14:textId="6761B669" w:rsidR="00291471" w:rsidRDefault="00291471" w:rsidP="00291471">
      <w:pPr>
        <w:spacing w:line="360" w:lineRule="auto"/>
        <w:rPr>
          <w:rFonts w:asciiTheme="minorHAnsi" w:hAnsiTheme="minorHAnsi"/>
        </w:rPr>
      </w:pPr>
    </w:p>
    <w:p w14:paraId="2A9FC30C" w14:textId="32F897A5" w:rsidR="00291471" w:rsidRDefault="00291471" w:rsidP="00291471">
      <w:pPr>
        <w:spacing w:line="360" w:lineRule="auto"/>
        <w:rPr>
          <w:rFonts w:asciiTheme="minorHAnsi" w:hAnsiTheme="minorHAnsi"/>
        </w:rPr>
      </w:pPr>
    </w:p>
    <w:p w14:paraId="05DE7561" w14:textId="77777777" w:rsidR="009F5549" w:rsidRDefault="009F5549" w:rsidP="00291471">
      <w:pPr>
        <w:spacing w:line="360" w:lineRule="auto"/>
        <w:rPr>
          <w:rFonts w:asciiTheme="minorHAnsi" w:hAnsiTheme="minorHAnsi"/>
        </w:rPr>
      </w:pPr>
      <w:bookmarkStart w:id="0" w:name="_GoBack"/>
      <w:bookmarkEnd w:id="0"/>
    </w:p>
    <w:p w14:paraId="3A84DACB" w14:textId="15CA6501" w:rsidR="00291471" w:rsidRDefault="00291471" w:rsidP="00291471">
      <w:pPr>
        <w:spacing w:line="360" w:lineRule="auto"/>
        <w:rPr>
          <w:rFonts w:asciiTheme="minorHAnsi" w:hAnsiTheme="minorHAnsi"/>
        </w:rPr>
      </w:pPr>
    </w:p>
    <w:p w14:paraId="1091A73D" w14:textId="77777777" w:rsidR="00291471" w:rsidRPr="008261D1" w:rsidRDefault="00291471" w:rsidP="00291471">
      <w:pPr>
        <w:spacing w:line="360" w:lineRule="auto"/>
        <w:rPr>
          <w:rFonts w:asciiTheme="minorHAnsi" w:hAnsiTheme="minorHAnsi"/>
        </w:rPr>
      </w:pPr>
    </w:p>
    <w:p w14:paraId="116C5D35" w14:textId="67EBFF0E" w:rsidR="004D19CA" w:rsidRPr="008261D1" w:rsidRDefault="00D9532C" w:rsidP="00291471">
      <w:pPr>
        <w:spacing w:line="276" w:lineRule="auto"/>
        <w:jc w:val="center"/>
        <w:rPr>
          <w:rFonts w:asciiTheme="minorHAnsi" w:hAnsiTheme="minorHAnsi"/>
          <w:sz w:val="44"/>
          <w:szCs w:val="44"/>
        </w:rPr>
      </w:pPr>
      <w:r w:rsidRPr="008261D1">
        <w:rPr>
          <w:rFonts w:asciiTheme="minorHAnsi" w:hAnsiTheme="minorHAnsi"/>
          <w:sz w:val="44"/>
          <w:szCs w:val="44"/>
        </w:rPr>
        <w:lastRenderedPageBreak/>
        <w:t>Reference List</w:t>
      </w:r>
    </w:p>
    <w:p w14:paraId="301F9340" w14:textId="77777777" w:rsidR="004D19CA" w:rsidRPr="008261D1" w:rsidRDefault="004D19CA" w:rsidP="00291471">
      <w:pPr>
        <w:spacing w:line="276" w:lineRule="auto"/>
        <w:rPr>
          <w:rFonts w:asciiTheme="minorHAnsi" w:hAnsiTheme="minorHAnsi"/>
        </w:rPr>
      </w:pPr>
      <w:r w:rsidRPr="008261D1">
        <w:rPr>
          <w:rFonts w:asciiTheme="minorHAnsi" w:hAnsiTheme="minorHAnsi" w:cstheme="minorHAnsi"/>
        </w:rPr>
        <w:t xml:space="preserve">Claire Lissaman, (2011). Birmingham Six ‘were in the wrong place at the wrong time’. Available at: </w:t>
      </w:r>
      <w:hyperlink r:id="rId5" w:history="1">
        <w:r w:rsidRPr="008261D1">
          <w:rPr>
            <w:rStyle w:val="Hyperlink"/>
            <w:rFonts w:asciiTheme="minorHAnsi" w:eastAsiaTheme="minorEastAsia" w:hAnsiTheme="minorHAnsi"/>
          </w:rPr>
          <w:t>h</w:t>
        </w:r>
        <w:r w:rsidRPr="008261D1">
          <w:rPr>
            <w:rStyle w:val="Hyperlink"/>
            <w:rFonts w:asciiTheme="minorHAnsi" w:eastAsiaTheme="minorEastAsia" w:hAnsiTheme="minorHAnsi"/>
          </w:rPr>
          <w:t>t</w:t>
        </w:r>
        <w:r w:rsidRPr="008261D1">
          <w:rPr>
            <w:rStyle w:val="Hyperlink"/>
            <w:rFonts w:asciiTheme="minorHAnsi" w:eastAsiaTheme="minorEastAsia" w:hAnsiTheme="minorHAnsi"/>
          </w:rPr>
          <w:t>tps://www.bbc.co.uk/news/uk-england-12664938</w:t>
        </w:r>
      </w:hyperlink>
    </w:p>
    <w:p w14:paraId="1A48622E" w14:textId="592DEDBA" w:rsidR="004D19CA" w:rsidRPr="008261D1" w:rsidRDefault="004D19CA" w:rsidP="00291471">
      <w:pPr>
        <w:spacing w:line="276" w:lineRule="auto"/>
        <w:rPr>
          <w:rFonts w:asciiTheme="minorHAnsi" w:hAnsiTheme="minorHAnsi" w:cstheme="minorHAnsi"/>
        </w:rPr>
      </w:pPr>
      <w:r w:rsidRPr="008261D1">
        <w:rPr>
          <w:rFonts w:asciiTheme="minorHAnsi" w:hAnsiTheme="minorHAnsi" w:cstheme="minorHAnsi"/>
        </w:rPr>
        <w:t>(Accessed 09.10.2019)</w:t>
      </w:r>
    </w:p>
    <w:p w14:paraId="5205D94D" w14:textId="456E4BEB" w:rsidR="006D0387" w:rsidRPr="008261D1" w:rsidRDefault="006D0387" w:rsidP="00291471">
      <w:pPr>
        <w:spacing w:line="276" w:lineRule="auto"/>
        <w:rPr>
          <w:rFonts w:asciiTheme="minorHAnsi" w:hAnsiTheme="minorHAnsi" w:cstheme="minorHAnsi"/>
        </w:rPr>
      </w:pPr>
    </w:p>
    <w:p w14:paraId="47FCCA47" w14:textId="27D1B501" w:rsidR="006D0387" w:rsidRPr="008261D1" w:rsidRDefault="006D0387" w:rsidP="00291471">
      <w:pPr>
        <w:spacing w:line="276" w:lineRule="auto"/>
        <w:rPr>
          <w:rFonts w:asciiTheme="minorHAnsi" w:hAnsiTheme="minorHAnsi"/>
        </w:rPr>
      </w:pPr>
      <w:r w:rsidRPr="008261D1">
        <w:rPr>
          <w:rFonts w:asciiTheme="minorHAnsi" w:hAnsiTheme="minorHAnsi" w:cstheme="minorHAnsi"/>
        </w:rPr>
        <w:t>Garden Court North Chambers, (</w:t>
      </w:r>
      <w:proofErr w:type="spellStart"/>
      <w:proofErr w:type="gramStart"/>
      <w:r w:rsidRPr="008261D1">
        <w:rPr>
          <w:rFonts w:asciiTheme="minorHAnsi" w:hAnsiTheme="minorHAnsi" w:cstheme="minorHAnsi"/>
        </w:rPr>
        <w:t>n,d</w:t>
      </w:r>
      <w:proofErr w:type="spellEnd"/>
      <w:proofErr w:type="gramEnd"/>
      <w:r w:rsidRPr="008261D1">
        <w:rPr>
          <w:rFonts w:asciiTheme="minorHAnsi" w:hAnsiTheme="minorHAnsi" w:cstheme="minorHAnsi"/>
        </w:rPr>
        <w:t>). Victor Nealon, wrongly imprisoned for 17 years – appeal dismissed. Available at;</w:t>
      </w:r>
      <w:r w:rsidRPr="008261D1">
        <w:rPr>
          <w:rFonts w:asciiTheme="minorHAnsi" w:hAnsiTheme="minorHAnsi"/>
        </w:rPr>
        <w:t xml:space="preserve"> </w:t>
      </w:r>
      <w:hyperlink r:id="rId6" w:history="1">
        <w:r w:rsidRPr="008261D1">
          <w:rPr>
            <w:rStyle w:val="Hyperlink"/>
            <w:rFonts w:asciiTheme="minorHAnsi" w:eastAsiaTheme="minorEastAsia" w:hAnsiTheme="minorHAnsi"/>
          </w:rPr>
          <w:t>https://gcnchambers.co.uk/victor-nealon-wrongly-imprisoned-for-17-years-appeal-dismissed/</w:t>
        </w:r>
      </w:hyperlink>
    </w:p>
    <w:p w14:paraId="676DB492" w14:textId="70FB04C3" w:rsidR="00291471" w:rsidRDefault="006D0387" w:rsidP="00291471">
      <w:pPr>
        <w:spacing w:line="276" w:lineRule="auto"/>
        <w:rPr>
          <w:rFonts w:asciiTheme="minorHAnsi" w:hAnsiTheme="minorHAnsi" w:cstheme="minorHAnsi"/>
        </w:rPr>
      </w:pPr>
      <w:r w:rsidRPr="008261D1">
        <w:rPr>
          <w:rFonts w:asciiTheme="minorHAnsi" w:hAnsiTheme="minorHAnsi" w:cstheme="minorHAnsi"/>
        </w:rPr>
        <w:t>(Accessed 15.10.19)</w:t>
      </w:r>
    </w:p>
    <w:p w14:paraId="68F28F98" w14:textId="77777777" w:rsidR="00291471" w:rsidRDefault="00291471" w:rsidP="00291471">
      <w:pPr>
        <w:spacing w:line="276" w:lineRule="auto"/>
        <w:rPr>
          <w:rFonts w:asciiTheme="minorHAnsi" w:hAnsiTheme="minorHAnsi" w:cstheme="minorHAnsi"/>
        </w:rPr>
      </w:pPr>
    </w:p>
    <w:p w14:paraId="4BA6EA75" w14:textId="77777777" w:rsidR="00291471" w:rsidRDefault="00291471" w:rsidP="00291471">
      <w:pPr>
        <w:spacing w:line="276" w:lineRule="auto"/>
      </w:pPr>
      <w:r>
        <w:rPr>
          <w:rFonts w:asciiTheme="minorHAnsi" w:hAnsiTheme="minorHAnsi" w:cstheme="minorHAnsi"/>
        </w:rPr>
        <w:t xml:space="preserve">GOV.UK, (N.D). Being Arrested: Your Rights. Available at </w:t>
      </w:r>
      <w:hyperlink r:id="rId7" w:history="1">
        <w:r>
          <w:rPr>
            <w:rStyle w:val="Hyperlink"/>
            <w:rFonts w:eastAsiaTheme="minorEastAsia"/>
          </w:rPr>
          <w:t>https://www.gov.uk/arrested-your-rights/legal-advice-at-the-police-station</w:t>
        </w:r>
      </w:hyperlink>
    </w:p>
    <w:p w14:paraId="20906B55" w14:textId="50A3C8B6" w:rsidR="00291471" w:rsidRPr="008261D1" w:rsidRDefault="00291471" w:rsidP="00291471">
      <w:pPr>
        <w:spacing w:line="276" w:lineRule="auto"/>
        <w:rPr>
          <w:rFonts w:asciiTheme="minorHAnsi" w:hAnsiTheme="minorHAnsi" w:cstheme="minorHAnsi"/>
        </w:rPr>
      </w:pPr>
      <w:r>
        <w:rPr>
          <w:rFonts w:asciiTheme="minorHAnsi" w:hAnsiTheme="minorHAnsi" w:cstheme="minorHAnsi"/>
        </w:rPr>
        <w:t>(Accessed 16.10.19)</w:t>
      </w:r>
    </w:p>
    <w:p w14:paraId="36039CFE" w14:textId="77777777" w:rsidR="004D19CA" w:rsidRPr="008261D1" w:rsidRDefault="004D19CA" w:rsidP="00291471">
      <w:pPr>
        <w:spacing w:line="276" w:lineRule="auto"/>
        <w:rPr>
          <w:rFonts w:asciiTheme="minorHAnsi" w:hAnsiTheme="minorHAnsi" w:cstheme="minorHAnsi"/>
        </w:rPr>
      </w:pPr>
    </w:p>
    <w:p w14:paraId="6E0D9F37" w14:textId="3B66C2BF" w:rsidR="00D9532C" w:rsidRPr="008261D1" w:rsidRDefault="00CF36A3" w:rsidP="00291471">
      <w:pPr>
        <w:spacing w:line="276" w:lineRule="auto"/>
        <w:rPr>
          <w:rFonts w:asciiTheme="minorHAnsi" w:hAnsiTheme="minorHAnsi" w:cstheme="minorHAnsi"/>
        </w:rPr>
      </w:pPr>
      <w:r w:rsidRPr="008261D1">
        <w:rPr>
          <w:rFonts w:asciiTheme="minorHAnsi" w:hAnsiTheme="minorHAnsi" w:cstheme="minorHAnsi"/>
        </w:rPr>
        <w:t>Home Office,</w:t>
      </w:r>
      <w:r w:rsidR="00D9532C" w:rsidRPr="008261D1">
        <w:rPr>
          <w:rFonts w:asciiTheme="minorHAnsi" w:hAnsiTheme="minorHAnsi" w:cstheme="minorHAnsi"/>
        </w:rPr>
        <w:t xml:space="preserve"> (2019). Police and Criminal Evidence Act 1984</w:t>
      </w:r>
      <w:r w:rsidRPr="008261D1">
        <w:rPr>
          <w:rFonts w:asciiTheme="minorHAnsi" w:hAnsiTheme="minorHAnsi" w:cstheme="minorHAnsi"/>
        </w:rPr>
        <w:t xml:space="preserve">. Available at: </w:t>
      </w:r>
      <w:r w:rsidR="00D9532C" w:rsidRPr="008261D1">
        <w:rPr>
          <w:rFonts w:asciiTheme="minorHAnsi" w:hAnsiTheme="minorHAnsi" w:cstheme="minorHAnsi"/>
        </w:rPr>
        <w:t xml:space="preserve"> </w:t>
      </w:r>
      <w:hyperlink r:id="rId8" w:history="1">
        <w:r w:rsidR="00D9532C" w:rsidRPr="008261D1">
          <w:rPr>
            <w:rStyle w:val="Hyperlink"/>
            <w:rFonts w:asciiTheme="minorHAnsi" w:hAnsiTheme="minorHAnsi" w:cstheme="minorHAnsi"/>
          </w:rPr>
          <w:t>https://www.gov</w:t>
        </w:r>
        <w:r w:rsidR="00D9532C" w:rsidRPr="008261D1">
          <w:rPr>
            <w:rStyle w:val="Hyperlink"/>
            <w:rFonts w:asciiTheme="minorHAnsi" w:hAnsiTheme="minorHAnsi" w:cstheme="minorHAnsi"/>
          </w:rPr>
          <w:t>.</w:t>
        </w:r>
        <w:r w:rsidR="00D9532C" w:rsidRPr="008261D1">
          <w:rPr>
            <w:rStyle w:val="Hyperlink"/>
            <w:rFonts w:asciiTheme="minorHAnsi" w:hAnsiTheme="minorHAnsi" w:cstheme="minorHAnsi"/>
          </w:rPr>
          <w:t>uk/guidance/police-and-criminal-evidence-act-1984-pace-codes-of-practice</w:t>
        </w:r>
      </w:hyperlink>
    </w:p>
    <w:p w14:paraId="4C4DD182" w14:textId="125F7164" w:rsidR="003C69BD" w:rsidRPr="008261D1" w:rsidRDefault="00CF36A3" w:rsidP="00291471">
      <w:pPr>
        <w:spacing w:line="276" w:lineRule="auto"/>
        <w:rPr>
          <w:rFonts w:asciiTheme="minorHAnsi" w:hAnsiTheme="minorHAnsi" w:cstheme="minorHAnsi"/>
          <w:color w:val="000000" w:themeColor="text1"/>
        </w:rPr>
      </w:pPr>
      <w:r w:rsidRPr="008261D1">
        <w:rPr>
          <w:rFonts w:asciiTheme="minorHAnsi" w:hAnsiTheme="minorHAnsi" w:cstheme="minorHAnsi"/>
          <w:color w:val="000000" w:themeColor="text1"/>
        </w:rPr>
        <w:t>(Accessed 03 October 2019)</w:t>
      </w:r>
    </w:p>
    <w:p w14:paraId="728DCABD" w14:textId="77777777" w:rsidR="003C69BD" w:rsidRPr="008261D1" w:rsidRDefault="003C69BD" w:rsidP="00291471">
      <w:pPr>
        <w:spacing w:line="276" w:lineRule="auto"/>
        <w:rPr>
          <w:rFonts w:asciiTheme="minorHAnsi" w:hAnsiTheme="minorHAnsi" w:cstheme="minorHAnsi"/>
          <w:color w:val="000000" w:themeColor="text1"/>
        </w:rPr>
      </w:pPr>
    </w:p>
    <w:p w14:paraId="1B2398F4" w14:textId="30157ECF" w:rsidR="003C69BD" w:rsidRPr="008261D1" w:rsidRDefault="003C69BD" w:rsidP="00291471">
      <w:pPr>
        <w:spacing w:line="276" w:lineRule="auto"/>
        <w:rPr>
          <w:rFonts w:asciiTheme="minorHAnsi" w:hAnsiTheme="minorHAnsi"/>
        </w:rPr>
      </w:pPr>
      <w:r w:rsidRPr="008261D1">
        <w:rPr>
          <w:rFonts w:asciiTheme="minorHAnsi" w:hAnsiTheme="minorHAnsi"/>
        </w:rPr>
        <w:t xml:space="preserve">Home Office, (2019). </w:t>
      </w:r>
      <w:r w:rsidRPr="003C69BD">
        <w:rPr>
          <w:rFonts w:asciiTheme="minorHAnsi" w:hAnsiTheme="minorHAnsi"/>
        </w:rPr>
        <w:t>Revised</w:t>
      </w:r>
      <w:r w:rsidRPr="008261D1">
        <w:rPr>
          <w:rFonts w:asciiTheme="minorHAnsi" w:hAnsiTheme="minorHAnsi"/>
        </w:rPr>
        <w:t xml:space="preserve"> </w:t>
      </w:r>
      <w:r w:rsidRPr="003C69BD">
        <w:rPr>
          <w:rFonts w:asciiTheme="minorHAnsi" w:hAnsiTheme="minorHAnsi"/>
        </w:rPr>
        <w:t>Code of Practice for the detention, treatment and questioning of persons by Police Officers</w:t>
      </w:r>
      <w:r w:rsidRPr="008261D1">
        <w:rPr>
          <w:rFonts w:asciiTheme="minorHAnsi" w:hAnsiTheme="minorHAnsi"/>
        </w:rPr>
        <w:t>. Available at:</w:t>
      </w:r>
      <w:r w:rsidRPr="008261D1">
        <w:rPr>
          <w:rFonts w:asciiTheme="minorHAnsi" w:hAnsiTheme="minorHAnsi"/>
        </w:rPr>
        <w:t xml:space="preserve"> </w:t>
      </w:r>
      <w:hyperlink r:id="rId9" w:history="1">
        <w:r w:rsidRPr="008261D1">
          <w:rPr>
            <w:rStyle w:val="Hyperlink"/>
            <w:rFonts w:asciiTheme="minorHAnsi" w:eastAsiaTheme="minorEastAsia" w:hAnsiTheme="minorHAnsi"/>
          </w:rPr>
          <w:t>https://assets.publishin</w:t>
        </w:r>
        <w:r w:rsidRPr="008261D1">
          <w:rPr>
            <w:rStyle w:val="Hyperlink"/>
            <w:rFonts w:asciiTheme="minorHAnsi" w:eastAsiaTheme="minorEastAsia" w:hAnsiTheme="minorHAnsi"/>
          </w:rPr>
          <w:t>g</w:t>
        </w:r>
        <w:r w:rsidRPr="008261D1">
          <w:rPr>
            <w:rStyle w:val="Hyperlink"/>
            <w:rFonts w:asciiTheme="minorHAnsi" w:eastAsiaTheme="minorEastAsia" w:hAnsiTheme="minorHAnsi"/>
          </w:rPr>
          <w:t>.service.gov.uk/government/uploads/system/uploads/attachment_data/file/826813/PACE-Code-C_2019.pdf</w:t>
        </w:r>
      </w:hyperlink>
    </w:p>
    <w:p w14:paraId="7715976F" w14:textId="1CA54755" w:rsidR="003C69BD" w:rsidRPr="008261D1" w:rsidRDefault="003C69BD" w:rsidP="00291471">
      <w:pPr>
        <w:spacing w:line="276" w:lineRule="auto"/>
        <w:rPr>
          <w:rFonts w:asciiTheme="minorHAnsi" w:hAnsiTheme="minorHAnsi"/>
        </w:rPr>
      </w:pPr>
      <w:r w:rsidRPr="008261D1">
        <w:rPr>
          <w:rFonts w:asciiTheme="minorHAnsi" w:hAnsiTheme="minorHAnsi"/>
        </w:rPr>
        <w:t>(accessed 08 October 2019)</w:t>
      </w:r>
    </w:p>
    <w:p w14:paraId="0BAE4540" w14:textId="37A352A9" w:rsidR="006D0387" w:rsidRPr="008261D1" w:rsidRDefault="006D0387" w:rsidP="00291471">
      <w:pPr>
        <w:spacing w:line="276" w:lineRule="auto"/>
        <w:rPr>
          <w:rFonts w:asciiTheme="minorHAnsi" w:hAnsiTheme="minorHAnsi"/>
        </w:rPr>
      </w:pPr>
    </w:p>
    <w:p w14:paraId="43E3ECF1" w14:textId="77777777" w:rsidR="006D0387" w:rsidRPr="008261D1" w:rsidRDefault="006D0387" w:rsidP="00291471">
      <w:pPr>
        <w:spacing w:line="276" w:lineRule="auto"/>
        <w:rPr>
          <w:rFonts w:asciiTheme="minorHAnsi" w:hAnsiTheme="minorHAnsi"/>
        </w:rPr>
      </w:pPr>
      <w:r w:rsidRPr="008261D1">
        <w:rPr>
          <w:rFonts w:asciiTheme="minorHAnsi" w:hAnsiTheme="minorHAnsi"/>
        </w:rPr>
        <w:t xml:space="preserve">Jon Robins, (2018). Guilty until Proven Innocent. Available at: </w:t>
      </w:r>
      <w:hyperlink r:id="rId10" w:history="1">
        <w:r w:rsidRPr="008261D1">
          <w:rPr>
            <w:rStyle w:val="Hyperlink"/>
            <w:rFonts w:asciiTheme="minorHAnsi" w:eastAsiaTheme="minorEastAsia" w:hAnsiTheme="minorHAnsi"/>
          </w:rPr>
          <w:t>https://www.thejusticegap.com/guilty-until-proven-innocent-published-today/</w:t>
        </w:r>
      </w:hyperlink>
    </w:p>
    <w:p w14:paraId="0FA6EFE5" w14:textId="3D976A91" w:rsidR="006D0387" w:rsidRPr="008261D1" w:rsidRDefault="006D0387" w:rsidP="00291471">
      <w:pPr>
        <w:spacing w:line="276" w:lineRule="auto"/>
        <w:rPr>
          <w:rFonts w:asciiTheme="minorHAnsi" w:hAnsiTheme="minorHAnsi"/>
        </w:rPr>
      </w:pPr>
      <w:r w:rsidRPr="008261D1">
        <w:rPr>
          <w:rFonts w:asciiTheme="minorHAnsi" w:hAnsiTheme="minorHAnsi"/>
        </w:rPr>
        <w:t>(Accessed on 15.10.19)</w:t>
      </w:r>
    </w:p>
    <w:p w14:paraId="65681683" w14:textId="2A8BBBF3" w:rsidR="003C69BD" w:rsidRPr="008261D1" w:rsidRDefault="003C69BD" w:rsidP="00291471">
      <w:pPr>
        <w:spacing w:line="276" w:lineRule="auto"/>
        <w:rPr>
          <w:rFonts w:asciiTheme="minorHAnsi" w:hAnsiTheme="minorHAnsi"/>
        </w:rPr>
      </w:pPr>
    </w:p>
    <w:p w14:paraId="4969455A" w14:textId="77777777" w:rsidR="007E38AC" w:rsidRPr="008261D1" w:rsidRDefault="007E38AC" w:rsidP="00291471">
      <w:pPr>
        <w:spacing w:line="276" w:lineRule="auto"/>
        <w:rPr>
          <w:rFonts w:asciiTheme="minorHAnsi" w:hAnsiTheme="minorHAnsi"/>
        </w:rPr>
      </w:pPr>
      <w:r w:rsidRPr="008261D1">
        <w:rPr>
          <w:rFonts w:asciiTheme="minorHAnsi" w:hAnsiTheme="minorHAnsi"/>
        </w:rPr>
        <w:t xml:space="preserve">Katy Jukes, (2019). What are miscarriages of </w:t>
      </w:r>
      <w:proofErr w:type="gramStart"/>
      <w:r w:rsidRPr="008261D1">
        <w:rPr>
          <w:rFonts w:asciiTheme="minorHAnsi" w:hAnsiTheme="minorHAnsi"/>
        </w:rPr>
        <w:t>Justice?.</w:t>
      </w:r>
      <w:proofErr w:type="gramEnd"/>
      <w:r w:rsidRPr="008261D1">
        <w:rPr>
          <w:rFonts w:asciiTheme="minorHAnsi" w:hAnsiTheme="minorHAnsi"/>
        </w:rPr>
        <w:t xml:space="preserve"> Available at: </w:t>
      </w:r>
      <w:hyperlink r:id="rId11" w:history="1">
        <w:r w:rsidRPr="008261D1">
          <w:rPr>
            <w:rStyle w:val="Hyperlink"/>
            <w:rFonts w:asciiTheme="minorHAnsi" w:eastAsiaTheme="minorEastAsia" w:hAnsiTheme="minorHAnsi"/>
          </w:rPr>
          <w:t>https://rightsinfo.org/5-shocking-miscarriages-justice-prisoners-need-human-rights/</w:t>
        </w:r>
      </w:hyperlink>
    </w:p>
    <w:p w14:paraId="4DB6178B" w14:textId="74E01636" w:rsidR="007E38AC" w:rsidRPr="008261D1" w:rsidRDefault="007E38AC" w:rsidP="00291471">
      <w:pPr>
        <w:spacing w:line="276" w:lineRule="auto"/>
        <w:rPr>
          <w:rFonts w:asciiTheme="minorHAnsi" w:hAnsiTheme="minorHAnsi"/>
        </w:rPr>
      </w:pPr>
      <w:r w:rsidRPr="008261D1">
        <w:rPr>
          <w:rFonts w:asciiTheme="minorHAnsi" w:hAnsiTheme="minorHAnsi"/>
        </w:rPr>
        <w:t>(Accessed on 14.10.</w:t>
      </w:r>
      <w:r w:rsidR="006D0387" w:rsidRPr="008261D1">
        <w:rPr>
          <w:rFonts w:asciiTheme="minorHAnsi" w:hAnsiTheme="minorHAnsi"/>
        </w:rPr>
        <w:t>1</w:t>
      </w:r>
      <w:r w:rsidRPr="008261D1">
        <w:rPr>
          <w:rFonts w:asciiTheme="minorHAnsi" w:hAnsiTheme="minorHAnsi"/>
        </w:rPr>
        <w:t>9)</w:t>
      </w:r>
    </w:p>
    <w:p w14:paraId="7B9379CF" w14:textId="77777777" w:rsidR="007E38AC" w:rsidRPr="008261D1" w:rsidRDefault="007E38AC" w:rsidP="00291471">
      <w:pPr>
        <w:spacing w:line="276" w:lineRule="auto"/>
        <w:rPr>
          <w:rFonts w:asciiTheme="minorHAnsi" w:hAnsiTheme="minorHAnsi"/>
        </w:rPr>
      </w:pPr>
    </w:p>
    <w:p w14:paraId="2140EBAF" w14:textId="77777777" w:rsidR="003C69BD" w:rsidRPr="008261D1" w:rsidRDefault="003C69BD" w:rsidP="00291471">
      <w:pPr>
        <w:spacing w:line="276" w:lineRule="auto"/>
        <w:rPr>
          <w:rFonts w:asciiTheme="minorHAnsi" w:hAnsiTheme="minorHAnsi"/>
        </w:rPr>
      </w:pPr>
      <w:r w:rsidRPr="008261D1">
        <w:rPr>
          <w:rFonts w:asciiTheme="minorHAnsi" w:hAnsiTheme="minorHAnsi"/>
        </w:rPr>
        <w:t xml:space="preserve">Keith Bottomley, Clive Coleman et al, (1991). THE DETENTION OF SUSPECTS IN POLICE CUSTODY: The Impact of the Police and Criminal Evidence Act 1984. The British Journal of Criminology, vol 31, pages 347 – 364. Available at: </w:t>
      </w:r>
      <w:hyperlink r:id="rId12" w:history="1">
        <w:r w:rsidRPr="008261D1">
          <w:rPr>
            <w:rStyle w:val="Hyperlink"/>
            <w:rFonts w:asciiTheme="minorHAnsi" w:eastAsiaTheme="minorEastAsia" w:hAnsiTheme="minorHAnsi"/>
          </w:rPr>
          <w:t>http</w:t>
        </w:r>
        <w:r w:rsidRPr="008261D1">
          <w:rPr>
            <w:rStyle w:val="Hyperlink"/>
            <w:rFonts w:asciiTheme="minorHAnsi" w:eastAsiaTheme="minorEastAsia" w:hAnsiTheme="minorHAnsi"/>
          </w:rPr>
          <w:t>s</w:t>
        </w:r>
        <w:r w:rsidRPr="008261D1">
          <w:rPr>
            <w:rStyle w:val="Hyperlink"/>
            <w:rFonts w:asciiTheme="minorHAnsi" w:eastAsiaTheme="minorEastAsia" w:hAnsiTheme="minorHAnsi"/>
          </w:rPr>
          <w:t>://academic-oup-com.ezproxy.uwtsd.ac.uk/bjc/article/31/4/347/498642?searchresult=1</w:t>
        </w:r>
      </w:hyperlink>
    </w:p>
    <w:p w14:paraId="6FBB6957" w14:textId="1E0A02EF" w:rsidR="007E38AC" w:rsidRPr="008261D1" w:rsidRDefault="003C69BD" w:rsidP="00291471">
      <w:pPr>
        <w:spacing w:line="276" w:lineRule="auto"/>
        <w:rPr>
          <w:rFonts w:asciiTheme="minorHAnsi" w:hAnsiTheme="minorHAnsi"/>
        </w:rPr>
      </w:pPr>
      <w:r w:rsidRPr="008261D1">
        <w:rPr>
          <w:rFonts w:asciiTheme="minorHAnsi" w:hAnsiTheme="minorHAnsi"/>
        </w:rPr>
        <w:t>(Accessed 09.10.2019)</w:t>
      </w:r>
    </w:p>
    <w:p w14:paraId="75537EC8" w14:textId="1F33B3A9" w:rsidR="008261D1" w:rsidRPr="008261D1" w:rsidRDefault="008261D1" w:rsidP="00291471">
      <w:pPr>
        <w:spacing w:line="276" w:lineRule="auto"/>
        <w:rPr>
          <w:rFonts w:asciiTheme="minorHAnsi" w:hAnsiTheme="minorHAnsi"/>
        </w:rPr>
      </w:pPr>
    </w:p>
    <w:p w14:paraId="6C0EC722" w14:textId="77777777" w:rsidR="008261D1" w:rsidRPr="008261D1" w:rsidRDefault="008261D1" w:rsidP="00291471">
      <w:pPr>
        <w:spacing w:line="276" w:lineRule="auto"/>
        <w:rPr>
          <w:rFonts w:asciiTheme="minorHAnsi" w:hAnsiTheme="minorHAnsi"/>
        </w:rPr>
      </w:pPr>
      <w:r w:rsidRPr="008261D1">
        <w:rPr>
          <w:rFonts w:asciiTheme="minorHAnsi" w:hAnsiTheme="minorHAnsi"/>
        </w:rPr>
        <w:lastRenderedPageBreak/>
        <w:t xml:space="preserve">Liberty, 2007. Liberty’s response to the Home Office Consultation Modernising Police Powers: Review of the Police and Criminal Evidence Act (PACE) 1984. </w:t>
      </w:r>
      <w:proofErr w:type="spellStart"/>
      <w:r w:rsidRPr="008261D1">
        <w:rPr>
          <w:rFonts w:asciiTheme="minorHAnsi" w:hAnsiTheme="minorHAnsi"/>
        </w:rPr>
        <w:t>Availabe</w:t>
      </w:r>
      <w:proofErr w:type="spellEnd"/>
      <w:r w:rsidRPr="008261D1">
        <w:rPr>
          <w:rFonts w:asciiTheme="minorHAnsi" w:hAnsiTheme="minorHAnsi"/>
        </w:rPr>
        <w:t xml:space="preserve"> at </w:t>
      </w:r>
      <w:hyperlink r:id="rId13" w:history="1">
        <w:r w:rsidRPr="008261D1">
          <w:rPr>
            <w:rFonts w:asciiTheme="minorHAnsi" w:hAnsiTheme="minorHAnsi"/>
            <w:color w:val="0000FF"/>
            <w:u w:val="single"/>
          </w:rPr>
          <w:t>https://www.libertyhumanrights.org.uk/sites/default/files/pace-review.pdf</w:t>
        </w:r>
      </w:hyperlink>
    </w:p>
    <w:p w14:paraId="1D8012F8" w14:textId="5826EA01" w:rsidR="008261D1" w:rsidRPr="008261D1" w:rsidRDefault="008261D1" w:rsidP="00291471">
      <w:pPr>
        <w:spacing w:line="276" w:lineRule="auto"/>
        <w:rPr>
          <w:rFonts w:asciiTheme="minorHAnsi" w:hAnsiTheme="minorHAnsi"/>
        </w:rPr>
      </w:pPr>
      <w:r w:rsidRPr="008261D1">
        <w:rPr>
          <w:rFonts w:asciiTheme="minorHAnsi" w:hAnsiTheme="minorHAnsi"/>
        </w:rPr>
        <w:t>(Accessed 16.10.19)</w:t>
      </w:r>
    </w:p>
    <w:p w14:paraId="5160918C" w14:textId="77777777" w:rsidR="007E38AC" w:rsidRPr="008261D1" w:rsidRDefault="007E38AC" w:rsidP="00291471">
      <w:pPr>
        <w:spacing w:line="276" w:lineRule="auto"/>
        <w:rPr>
          <w:rFonts w:asciiTheme="minorHAnsi" w:hAnsiTheme="minorHAnsi"/>
        </w:rPr>
      </w:pPr>
    </w:p>
    <w:p w14:paraId="4DFB8FD1" w14:textId="2DF00864" w:rsidR="008B7DF2" w:rsidRPr="008261D1" w:rsidRDefault="008B7DF2" w:rsidP="00291471">
      <w:pPr>
        <w:spacing w:line="276" w:lineRule="auto"/>
        <w:rPr>
          <w:rFonts w:asciiTheme="minorHAnsi" w:hAnsiTheme="minorHAnsi"/>
        </w:rPr>
      </w:pPr>
      <w:r w:rsidRPr="008261D1">
        <w:rPr>
          <w:rFonts w:asciiTheme="minorHAnsi" w:hAnsiTheme="minorHAnsi"/>
        </w:rPr>
        <w:t xml:space="preserve">Niall Murphey, (2017). The Role of the Solicitor at the Police Station. Available at: </w:t>
      </w:r>
      <w:hyperlink r:id="rId14" w:history="1">
        <w:r w:rsidRPr="008261D1">
          <w:rPr>
            <w:rStyle w:val="Hyperlink"/>
            <w:rFonts w:asciiTheme="minorHAnsi" w:hAnsiTheme="minorHAnsi"/>
          </w:rPr>
          <w:t>http://krw-law.ie/wp-content/uploads/2017/05/The-Role-of-a-Solicitor-in-the-Police-Station-PACE-IPL</w:t>
        </w:r>
        <w:r w:rsidRPr="008261D1">
          <w:rPr>
            <w:rStyle w:val="Hyperlink"/>
            <w:rFonts w:asciiTheme="minorHAnsi" w:hAnsiTheme="minorHAnsi"/>
          </w:rPr>
          <w:t>S</w:t>
        </w:r>
        <w:r w:rsidRPr="008261D1">
          <w:rPr>
            <w:rStyle w:val="Hyperlink"/>
            <w:rFonts w:asciiTheme="minorHAnsi" w:hAnsiTheme="minorHAnsi"/>
          </w:rPr>
          <w:t>-8.3.17.pdf</w:t>
        </w:r>
      </w:hyperlink>
    </w:p>
    <w:p w14:paraId="0561DFD5" w14:textId="44EC8A4B" w:rsidR="003C69BD" w:rsidRPr="008261D1" w:rsidRDefault="008B7DF2" w:rsidP="00291471">
      <w:pPr>
        <w:spacing w:line="276" w:lineRule="auto"/>
        <w:rPr>
          <w:rFonts w:asciiTheme="minorHAnsi" w:hAnsiTheme="minorHAnsi"/>
        </w:rPr>
      </w:pPr>
      <w:r w:rsidRPr="008261D1">
        <w:rPr>
          <w:rFonts w:asciiTheme="minorHAnsi" w:hAnsiTheme="minorHAnsi"/>
        </w:rPr>
        <w:t>(Accessed 03 October 2019)</w:t>
      </w:r>
    </w:p>
    <w:p w14:paraId="41822DD9" w14:textId="77777777" w:rsidR="007E38AC" w:rsidRPr="008261D1" w:rsidRDefault="007E38AC" w:rsidP="00291471">
      <w:pPr>
        <w:spacing w:line="276" w:lineRule="auto"/>
        <w:rPr>
          <w:rFonts w:asciiTheme="minorHAnsi" w:hAnsiTheme="minorHAnsi"/>
        </w:rPr>
      </w:pPr>
    </w:p>
    <w:p w14:paraId="385C3DFF" w14:textId="45C32159" w:rsidR="00521AE3" w:rsidRPr="008261D1" w:rsidRDefault="00521AE3" w:rsidP="00291471">
      <w:pPr>
        <w:spacing w:line="276" w:lineRule="auto"/>
        <w:rPr>
          <w:rFonts w:asciiTheme="minorHAnsi" w:hAnsiTheme="minorHAnsi"/>
        </w:rPr>
      </w:pPr>
      <w:r w:rsidRPr="008261D1">
        <w:rPr>
          <w:rFonts w:asciiTheme="minorHAnsi" w:hAnsiTheme="minorHAnsi"/>
        </w:rPr>
        <w:t xml:space="preserve">Nick Hurd, (2019). Revision of the Police and Criminal Evidence Act 1984. Available at: </w:t>
      </w:r>
      <w:hyperlink r:id="rId15" w:history="1">
        <w:r w:rsidRPr="008261D1">
          <w:rPr>
            <w:rFonts w:asciiTheme="minorHAnsi" w:hAnsiTheme="minorHAnsi"/>
            <w:color w:val="0000FF"/>
            <w:u w:val="single"/>
          </w:rPr>
          <w:t>https://www.parliament.uk/business/publications/written-questions-answers-statements/written-statement/Commons/2019-07-23/HCWS1796</w:t>
        </w:r>
      </w:hyperlink>
    </w:p>
    <w:p w14:paraId="626B7A44" w14:textId="00BC8A9E" w:rsidR="004D19CA" w:rsidRPr="008261D1" w:rsidRDefault="00521AE3" w:rsidP="00291471">
      <w:pPr>
        <w:spacing w:line="276" w:lineRule="auto"/>
        <w:rPr>
          <w:rFonts w:asciiTheme="minorHAnsi" w:hAnsiTheme="minorHAnsi"/>
        </w:rPr>
      </w:pPr>
      <w:r w:rsidRPr="008261D1">
        <w:rPr>
          <w:rFonts w:asciiTheme="minorHAnsi" w:hAnsiTheme="minorHAnsi"/>
        </w:rPr>
        <w:t>(Accessed 03 October 2019)</w:t>
      </w:r>
    </w:p>
    <w:p w14:paraId="5C1E924F" w14:textId="77777777" w:rsidR="007E38AC" w:rsidRPr="008261D1" w:rsidRDefault="007E38AC" w:rsidP="00291471">
      <w:pPr>
        <w:spacing w:line="276" w:lineRule="auto"/>
        <w:rPr>
          <w:rFonts w:asciiTheme="minorHAnsi" w:hAnsiTheme="minorHAnsi"/>
        </w:rPr>
      </w:pPr>
    </w:p>
    <w:p w14:paraId="65E9EABF" w14:textId="59B113B3" w:rsidR="007E38AC" w:rsidRPr="008261D1" w:rsidRDefault="007E38AC" w:rsidP="00291471">
      <w:pPr>
        <w:spacing w:line="276" w:lineRule="auto"/>
        <w:rPr>
          <w:rFonts w:asciiTheme="minorHAnsi" w:hAnsiTheme="minorHAnsi"/>
        </w:rPr>
      </w:pPr>
      <w:r w:rsidRPr="008261D1">
        <w:rPr>
          <w:rFonts w:asciiTheme="minorHAnsi" w:hAnsiTheme="minorHAnsi"/>
        </w:rPr>
        <w:t xml:space="preserve">Owen Bowcott, (2019). Inquest into 1974 IRA Guildford Pub Bombings to Reopen. Available at; </w:t>
      </w:r>
      <w:hyperlink r:id="rId16" w:history="1">
        <w:r w:rsidRPr="008261D1">
          <w:rPr>
            <w:rStyle w:val="Hyperlink"/>
            <w:rFonts w:asciiTheme="minorHAnsi" w:eastAsiaTheme="minorEastAsia" w:hAnsiTheme="minorHAnsi"/>
          </w:rPr>
          <w:t>https://www.th</w:t>
        </w:r>
        <w:r w:rsidRPr="008261D1">
          <w:rPr>
            <w:rStyle w:val="Hyperlink"/>
            <w:rFonts w:asciiTheme="minorHAnsi" w:eastAsiaTheme="minorEastAsia" w:hAnsiTheme="minorHAnsi"/>
          </w:rPr>
          <w:t>e</w:t>
        </w:r>
        <w:r w:rsidRPr="008261D1">
          <w:rPr>
            <w:rStyle w:val="Hyperlink"/>
            <w:rFonts w:asciiTheme="minorHAnsi" w:eastAsiaTheme="minorEastAsia" w:hAnsiTheme="minorHAnsi"/>
          </w:rPr>
          <w:t>guardian.com/uk-news/2019/jan/31/inquest-into-1974-ira-guildford-pub-bombings-to-reopen</w:t>
        </w:r>
      </w:hyperlink>
    </w:p>
    <w:p w14:paraId="23C6CFD6" w14:textId="4D738F03" w:rsidR="007E38AC" w:rsidRPr="008261D1" w:rsidRDefault="007E38AC" w:rsidP="00291471">
      <w:pPr>
        <w:tabs>
          <w:tab w:val="left" w:pos="2926"/>
        </w:tabs>
        <w:spacing w:line="276" w:lineRule="auto"/>
        <w:rPr>
          <w:rFonts w:asciiTheme="minorHAnsi" w:hAnsiTheme="minorHAnsi"/>
        </w:rPr>
      </w:pPr>
      <w:r w:rsidRPr="008261D1">
        <w:rPr>
          <w:rFonts w:asciiTheme="minorHAnsi" w:hAnsiTheme="minorHAnsi"/>
        </w:rPr>
        <w:t>(Accessed 14.10.19)</w:t>
      </w:r>
    </w:p>
    <w:p w14:paraId="6542488B" w14:textId="77777777" w:rsidR="008261D1" w:rsidRPr="008261D1" w:rsidRDefault="008261D1" w:rsidP="00291471">
      <w:pPr>
        <w:tabs>
          <w:tab w:val="left" w:pos="2926"/>
        </w:tabs>
        <w:spacing w:line="276" w:lineRule="auto"/>
        <w:rPr>
          <w:rFonts w:asciiTheme="minorHAnsi" w:hAnsiTheme="minorHAnsi"/>
        </w:rPr>
      </w:pPr>
    </w:p>
    <w:p w14:paraId="0919D4C1" w14:textId="43B1B03F" w:rsidR="004D19CA" w:rsidRPr="008261D1" w:rsidRDefault="004D19CA" w:rsidP="00291471">
      <w:pPr>
        <w:spacing w:line="276" w:lineRule="auto"/>
        <w:rPr>
          <w:rFonts w:asciiTheme="minorHAnsi" w:hAnsiTheme="minorHAnsi"/>
        </w:rPr>
      </w:pPr>
      <w:r w:rsidRPr="008261D1">
        <w:rPr>
          <w:rFonts w:asciiTheme="minorHAnsi" w:hAnsiTheme="minorHAnsi"/>
        </w:rPr>
        <w:t>Parliament, (</w:t>
      </w:r>
      <w:r w:rsidR="00291471">
        <w:rPr>
          <w:rFonts w:asciiTheme="minorHAnsi" w:hAnsiTheme="minorHAnsi"/>
        </w:rPr>
        <w:t>N.D</w:t>
      </w:r>
      <w:r w:rsidRPr="008261D1">
        <w:rPr>
          <w:rFonts w:asciiTheme="minorHAnsi" w:hAnsiTheme="minorHAnsi"/>
        </w:rPr>
        <w:t>)</w:t>
      </w:r>
      <w:r w:rsidR="00291471">
        <w:rPr>
          <w:rFonts w:asciiTheme="minorHAnsi" w:hAnsiTheme="minorHAnsi"/>
        </w:rPr>
        <w:t xml:space="preserve">. </w:t>
      </w:r>
      <w:r w:rsidRPr="008261D1">
        <w:rPr>
          <w:rFonts w:asciiTheme="minorHAnsi" w:hAnsiTheme="minorHAnsi"/>
        </w:rPr>
        <w:t xml:space="preserve">Acts of Parliament. </w:t>
      </w:r>
      <w:hyperlink r:id="rId17" w:history="1">
        <w:r w:rsidRPr="008261D1">
          <w:rPr>
            <w:rStyle w:val="Hyperlink"/>
            <w:rFonts w:asciiTheme="minorHAnsi" w:eastAsiaTheme="minorEastAsia" w:hAnsiTheme="minorHAnsi"/>
          </w:rPr>
          <w:t>https://www.par</w:t>
        </w:r>
        <w:r w:rsidRPr="008261D1">
          <w:rPr>
            <w:rStyle w:val="Hyperlink"/>
            <w:rFonts w:asciiTheme="minorHAnsi" w:eastAsiaTheme="minorEastAsia" w:hAnsiTheme="minorHAnsi"/>
          </w:rPr>
          <w:t>l</w:t>
        </w:r>
        <w:r w:rsidRPr="008261D1">
          <w:rPr>
            <w:rStyle w:val="Hyperlink"/>
            <w:rFonts w:asciiTheme="minorHAnsi" w:eastAsiaTheme="minorEastAsia" w:hAnsiTheme="minorHAnsi"/>
          </w:rPr>
          <w:t>iament.uk/site-information/glossary/a</w:t>
        </w:r>
        <w:r w:rsidRPr="008261D1">
          <w:rPr>
            <w:rStyle w:val="Hyperlink"/>
            <w:rFonts w:asciiTheme="minorHAnsi" w:eastAsiaTheme="minorEastAsia" w:hAnsiTheme="minorHAnsi"/>
          </w:rPr>
          <w:t>c</w:t>
        </w:r>
        <w:r w:rsidRPr="008261D1">
          <w:rPr>
            <w:rStyle w:val="Hyperlink"/>
            <w:rFonts w:asciiTheme="minorHAnsi" w:eastAsiaTheme="minorEastAsia" w:hAnsiTheme="minorHAnsi"/>
          </w:rPr>
          <w:t>ts-of-parliament/</w:t>
        </w:r>
      </w:hyperlink>
    </w:p>
    <w:p w14:paraId="0803FC6A" w14:textId="50B1B71D" w:rsidR="004D19CA" w:rsidRPr="008261D1" w:rsidRDefault="004D19CA" w:rsidP="00291471">
      <w:pPr>
        <w:spacing w:line="276" w:lineRule="auto"/>
        <w:rPr>
          <w:rFonts w:asciiTheme="minorHAnsi" w:hAnsiTheme="minorHAnsi"/>
        </w:rPr>
      </w:pPr>
      <w:r w:rsidRPr="008261D1">
        <w:rPr>
          <w:rFonts w:asciiTheme="minorHAnsi" w:hAnsiTheme="minorHAnsi"/>
        </w:rPr>
        <w:t>(Accessed 09.10.19)</w:t>
      </w:r>
    </w:p>
    <w:p w14:paraId="07FA5DED" w14:textId="63829C6F" w:rsidR="004D19CA" w:rsidRPr="008261D1" w:rsidRDefault="004D19CA" w:rsidP="00291471">
      <w:pPr>
        <w:spacing w:line="276" w:lineRule="auto"/>
        <w:rPr>
          <w:rFonts w:asciiTheme="minorHAnsi" w:hAnsiTheme="minorHAnsi"/>
        </w:rPr>
      </w:pPr>
    </w:p>
    <w:p w14:paraId="193E06EF" w14:textId="5A01056B" w:rsidR="003C69BD" w:rsidRPr="008261D1" w:rsidRDefault="003C69BD" w:rsidP="00291471">
      <w:pPr>
        <w:spacing w:line="276" w:lineRule="auto"/>
        <w:rPr>
          <w:rFonts w:asciiTheme="minorHAnsi" w:hAnsiTheme="minorHAnsi"/>
        </w:rPr>
      </w:pPr>
    </w:p>
    <w:sectPr w:rsidR="003C69BD" w:rsidRPr="008261D1" w:rsidSect="005A680B">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6A0C4D"/>
    <w:multiLevelType w:val="multilevel"/>
    <w:tmpl w:val="3D80A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423388E"/>
    <w:multiLevelType w:val="multilevel"/>
    <w:tmpl w:val="B0BEE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6B14361"/>
    <w:multiLevelType w:val="multilevel"/>
    <w:tmpl w:val="4B962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680B"/>
    <w:rsid w:val="00005EF3"/>
    <w:rsid w:val="00107C25"/>
    <w:rsid w:val="0015153D"/>
    <w:rsid w:val="002338FB"/>
    <w:rsid w:val="00291471"/>
    <w:rsid w:val="002B590A"/>
    <w:rsid w:val="002F5124"/>
    <w:rsid w:val="003C69BD"/>
    <w:rsid w:val="00405DA3"/>
    <w:rsid w:val="00420499"/>
    <w:rsid w:val="00420DC4"/>
    <w:rsid w:val="00463B60"/>
    <w:rsid w:val="004D19CA"/>
    <w:rsid w:val="00521AE3"/>
    <w:rsid w:val="00592A0B"/>
    <w:rsid w:val="005A680B"/>
    <w:rsid w:val="00697FB0"/>
    <w:rsid w:val="006A11C7"/>
    <w:rsid w:val="006D0387"/>
    <w:rsid w:val="007D31A1"/>
    <w:rsid w:val="007E38AC"/>
    <w:rsid w:val="007F7BBC"/>
    <w:rsid w:val="008261D1"/>
    <w:rsid w:val="00874787"/>
    <w:rsid w:val="008B7DF2"/>
    <w:rsid w:val="008D42A3"/>
    <w:rsid w:val="009D6A57"/>
    <w:rsid w:val="009F5549"/>
    <w:rsid w:val="00A02765"/>
    <w:rsid w:val="00A45413"/>
    <w:rsid w:val="00AA14A6"/>
    <w:rsid w:val="00AB5DCA"/>
    <w:rsid w:val="00B65AEA"/>
    <w:rsid w:val="00C77AF1"/>
    <w:rsid w:val="00CF36A3"/>
    <w:rsid w:val="00D9532C"/>
    <w:rsid w:val="00DF52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A3210E"/>
  <w15:chartTrackingRefBased/>
  <w15:docId w15:val="{5FF514C3-FD1D-EB45-9BD1-AB5386CEF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261D1"/>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680B"/>
    <w:rPr>
      <w:rFonts w:eastAsiaTheme="minorEastAsia"/>
      <w:sz w:val="22"/>
      <w:szCs w:val="22"/>
      <w:lang w:val="en-US" w:eastAsia="zh-CN"/>
    </w:rPr>
  </w:style>
  <w:style w:type="character" w:customStyle="1" w:styleId="NoSpacingChar">
    <w:name w:val="No Spacing Char"/>
    <w:basedOn w:val="DefaultParagraphFont"/>
    <w:link w:val="NoSpacing"/>
    <w:uiPriority w:val="1"/>
    <w:rsid w:val="005A680B"/>
    <w:rPr>
      <w:rFonts w:eastAsiaTheme="minorEastAsia"/>
      <w:sz w:val="22"/>
      <w:szCs w:val="22"/>
      <w:lang w:val="en-US" w:eastAsia="zh-CN"/>
    </w:rPr>
  </w:style>
  <w:style w:type="paragraph" w:customStyle="1" w:styleId="paragraph">
    <w:name w:val="paragraph"/>
    <w:basedOn w:val="Normal"/>
    <w:rsid w:val="00AA14A6"/>
    <w:pPr>
      <w:spacing w:before="100" w:beforeAutospacing="1" w:after="100" w:afterAutospacing="1"/>
    </w:pPr>
  </w:style>
  <w:style w:type="character" w:customStyle="1" w:styleId="normaltextrun">
    <w:name w:val="normaltextrun"/>
    <w:basedOn w:val="DefaultParagraphFont"/>
    <w:rsid w:val="00AA14A6"/>
  </w:style>
  <w:style w:type="character" w:customStyle="1" w:styleId="eop">
    <w:name w:val="eop"/>
    <w:basedOn w:val="DefaultParagraphFont"/>
    <w:rsid w:val="00AA14A6"/>
  </w:style>
  <w:style w:type="paragraph" w:styleId="Title">
    <w:name w:val="Title"/>
    <w:basedOn w:val="Normal"/>
    <w:next w:val="Normal"/>
    <w:link w:val="TitleChar"/>
    <w:uiPriority w:val="10"/>
    <w:qFormat/>
    <w:rsid w:val="00AA14A6"/>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14A6"/>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D9532C"/>
    <w:rPr>
      <w:color w:val="0000FF"/>
      <w:u w:val="single"/>
    </w:rPr>
  </w:style>
  <w:style w:type="character" w:styleId="UnresolvedMention">
    <w:name w:val="Unresolved Mention"/>
    <w:basedOn w:val="DefaultParagraphFont"/>
    <w:uiPriority w:val="99"/>
    <w:semiHidden/>
    <w:unhideWhenUsed/>
    <w:rsid w:val="00D9532C"/>
    <w:rPr>
      <w:color w:val="605E5C"/>
      <w:shd w:val="clear" w:color="auto" w:fill="E1DFDD"/>
    </w:rPr>
  </w:style>
  <w:style w:type="character" w:styleId="FollowedHyperlink">
    <w:name w:val="FollowedHyperlink"/>
    <w:basedOn w:val="DefaultParagraphFont"/>
    <w:uiPriority w:val="99"/>
    <w:semiHidden/>
    <w:unhideWhenUsed/>
    <w:rsid w:val="003C69B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699463">
      <w:bodyDiv w:val="1"/>
      <w:marLeft w:val="0"/>
      <w:marRight w:val="0"/>
      <w:marTop w:val="0"/>
      <w:marBottom w:val="0"/>
      <w:divBdr>
        <w:top w:val="none" w:sz="0" w:space="0" w:color="auto"/>
        <w:left w:val="none" w:sz="0" w:space="0" w:color="auto"/>
        <w:bottom w:val="none" w:sz="0" w:space="0" w:color="auto"/>
        <w:right w:val="none" w:sz="0" w:space="0" w:color="auto"/>
      </w:divBdr>
    </w:div>
    <w:div w:id="104348598">
      <w:bodyDiv w:val="1"/>
      <w:marLeft w:val="0"/>
      <w:marRight w:val="0"/>
      <w:marTop w:val="0"/>
      <w:marBottom w:val="0"/>
      <w:divBdr>
        <w:top w:val="none" w:sz="0" w:space="0" w:color="auto"/>
        <w:left w:val="none" w:sz="0" w:space="0" w:color="auto"/>
        <w:bottom w:val="none" w:sz="0" w:space="0" w:color="auto"/>
        <w:right w:val="none" w:sz="0" w:space="0" w:color="auto"/>
      </w:divBdr>
    </w:div>
    <w:div w:id="114523226">
      <w:bodyDiv w:val="1"/>
      <w:marLeft w:val="0"/>
      <w:marRight w:val="0"/>
      <w:marTop w:val="0"/>
      <w:marBottom w:val="0"/>
      <w:divBdr>
        <w:top w:val="none" w:sz="0" w:space="0" w:color="auto"/>
        <w:left w:val="none" w:sz="0" w:space="0" w:color="auto"/>
        <w:bottom w:val="none" w:sz="0" w:space="0" w:color="auto"/>
        <w:right w:val="none" w:sz="0" w:space="0" w:color="auto"/>
      </w:divBdr>
    </w:div>
    <w:div w:id="124860502">
      <w:bodyDiv w:val="1"/>
      <w:marLeft w:val="0"/>
      <w:marRight w:val="0"/>
      <w:marTop w:val="0"/>
      <w:marBottom w:val="0"/>
      <w:divBdr>
        <w:top w:val="none" w:sz="0" w:space="0" w:color="auto"/>
        <w:left w:val="none" w:sz="0" w:space="0" w:color="auto"/>
        <w:bottom w:val="none" w:sz="0" w:space="0" w:color="auto"/>
        <w:right w:val="none" w:sz="0" w:space="0" w:color="auto"/>
      </w:divBdr>
    </w:div>
    <w:div w:id="182597304">
      <w:bodyDiv w:val="1"/>
      <w:marLeft w:val="0"/>
      <w:marRight w:val="0"/>
      <w:marTop w:val="0"/>
      <w:marBottom w:val="0"/>
      <w:divBdr>
        <w:top w:val="none" w:sz="0" w:space="0" w:color="auto"/>
        <w:left w:val="none" w:sz="0" w:space="0" w:color="auto"/>
        <w:bottom w:val="none" w:sz="0" w:space="0" w:color="auto"/>
        <w:right w:val="none" w:sz="0" w:space="0" w:color="auto"/>
      </w:divBdr>
    </w:div>
    <w:div w:id="270092996">
      <w:bodyDiv w:val="1"/>
      <w:marLeft w:val="0"/>
      <w:marRight w:val="0"/>
      <w:marTop w:val="0"/>
      <w:marBottom w:val="0"/>
      <w:divBdr>
        <w:top w:val="none" w:sz="0" w:space="0" w:color="auto"/>
        <w:left w:val="none" w:sz="0" w:space="0" w:color="auto"/>
        <w:bottom w:val="none" w:sz="0" w:space="0" w:color="auto"/>
        <w:right w:val="none" w:sz="0" w:space="0" w:color="auto"/>
      </w:divBdr>
    </w:div>
    <w:div w:id="395129642">
      <w:bodyDiv w:val="1"/>
      <w:marLeft w:val="0"/>
      <w:marRight w:val="0"/>
      <w:marTop w:val="0"/>
      <w:marBottom w:val="0"/>
      <w:divBdr>
        <w:top w:val="none" w:sz="0" w:space="0" w:color="auto"/>
        <w:left w:val="none" w:sz="0" w:space="0" w:color="auto"/>
        <w:bottom w:val="none" w:sz="0" w:space="0" w:color="auto"/>
        <w:right w:val="none" w:sz="0" w:space="0" w:color="auto"/>
      </w:divBdr>
    </w:div>
    <w:div w:id="402684259">
      <w:bodyDiv w:val="1"/>
      <w:marLeft w:val="0"/>
      <w:marRight w:val="0"/>
      <w:marTop w:val="0"/>
      <w:marBottom w:val="0"/>
      <w:divBdr>
        <w:top w:val="none" w:sz="0" w:space="0" w:color="auto"/>
        <w:left w:val="none" w:sz="0" w:space="0" w:color="auto"/>
        <w:bottom w:val="none" w:sz="0" w:space="0" w:color="auto"/>
        <w:right w:val="none" w:sz="0" w:space="0" w:color="auto"/>
      </w:divBdr>
    </w:div>
    <w:div w:id="452137481">
      <w:bodyDiv w:val="1"/>
      <w:marLeft w:val="0"/>
      <w:marRight w:val="0"/>
      <w:marTop w:val="0"/>
      <w:marBottom w:val="0"/>
      <w:divBdr>
        <w:top w:val="none" w:sz="0" w:space="0" w:color="auto"/>
        <w:left w:val="none" w:sz="0" w:space="0" w:color="auto"/>
        <w:bottom w:val="none" w:sz="0" w:space="0" w:color="auto"/>
        <w:right w:val="none" w:sz="0" w:space="0" w:color="auto"/>
      </w:divBdr>
    </w:div>
    <w:div w:id="544105025">
      <w:bodyDiv w:val="1"/>
      <w:marLeft w:val="0"/>
      <w:marRight w:val="0"/>
      <w:marTop w:val="0"/>
      <w:marBottom w:val="0"/>
      <w:divBdr>
        <w:top w:val="none" w:sz="0" w:space="0" w:color="auto"/>
        <w:left w:val="none" w:sz="0" w:space="0" w:color="auto"/>
        <w:bottom w:val="none" w:sz="0" w:space="0" w:color="auto"/>
        <w:right w:val="none" w:sz="0" w:space="0" w:color="auto"/>
      </w:divBdr>
    </w:div>
    <w:div w:id="626662010">
      <w:bodyDiv w:val="1"/>
      <w:marLeft w:val="0"/>
      <w:marRight w:val="0"/>
      <w:marTop w:val="0"/>
      <w:marBottom w:val="0"/>
      <w:divBdr>
        <w:top w:val="none" w:sz="0" w:space="0" w:color="auto"/>
        <w:left w:val="none" w:sz="0" w:space="0" w:color="auto"/>
        <w:bottom w:val="none" w:sz="0" w:space="0" w:color="auto"/>
        <w:right w:val="none" w:sz="0" w:space="0" w:color="auto"/>
      </w:divBdr>
    </w:div>
    <w:div w:id="698511771">
      <w:bodyDiv w:val="1"/>
      <w:marLeft w:val="0"/>
      <w:marRight w:val="0"/>
      <w:marTop w:val="0"/>
      <w:marBottom w:val="0"/>
      <w:divBdr>
        <w:top w:val="none" w:sz="0" w:space="0" w:color="auto"/>
        <w:left w:val="none" w:sz="0" w:space="0" w:color="auto"/>
        <w:bottom w:val="none" w:sz="0" w:space="0" w:color="auto"/>
        <w:right w:val="none" w:sz="0" w:space="0" w:color="auto"/>
      </w:divBdr>
    </w:div>
    <w:div w:id="712657398">
      <w:bodyDiv w:val="1"/>
      <w:marLeft w:val="0"/>
      <w:marRight w:val="0"/>
      <w:marTop w:val="0"/>
      <w:marBottom w:val="0"/>
      <w:divBdr>
        <w:top w:val="none" w:sz="0" w:space="0" w:color="auto"/>
        <w:left w:val="none" w:sz="0" w:space="0" w:color="auto"/>
        <w:bottom w:val="none" w:sz="0" w:space="0" w:color="auto"/>
        <w:right w:val="none" w:sz="0" w:space="0" w:color="auto"/>
      </w:divBdr>
    </w:div>
    <w:div w:id="844397422">
      <w:bodyDiv w:val="1"/>
      <w:marLeft w:val="0"/>
      <w:marRight w:val="0"/>
      <w:marTop w:val="0"/>
      <w:marBottom w:val="0"/>
      <w:divBdr>
        <w:top w:val="none" w:sz="0" w:space="0" w:color="auto"/>
        <w:left w:val="none" w:sz="0" w:space="0" w:color="auto"/>
        <w:bottom w:val="none" w:sz="0" w:space="0" w:color="auto"/>
        <w:right w:val="none" w:sz="0" w:space="0" w:color="auto"/>
      </w:divBdr>
      <w:divsChild>
        <w:div w:id="979652400">
          <w:marLeft w:val="0"/>
          <w:marRight w:val="0"/>
          <w:marTop w:val="0"/>
          <w:marBottom w:val="0"/>
          <w:divBdr>
            <w:top w:val="none" w:sz="0" w:space="0" w:color="auto"/>
            <w:left w:val="none" w:sz="0" w:space="0" w:color="auto"/>
            <w:bottom w:val="none" w:sz="0" w:space="0" w:color="auto"/>
            <w:right w:val="none" w:sz="0" w:space="0" w:color="auto"/>
          </w:divBdr>
        </w:div>
        <w:div w:id="1887795750">
          <w:marLeft w:val="0"/>
          <w:marRight w:val="0"/>
          <w:marTop w:val="0"/>
          <w:marBottom w:val="0"/>
          <w:divBdr>
            <w:top w:val="none" w:sz="0" w:space="0" w:color="auto"/>
            <w:left w:val="none" w:sz="0" w:space="0" w:color="auto"/>
            <w:bottom w:val="none" w:sz="0" w:space="0" w:color="auto"/>
            <w:right w:val="none" w:sz="0" w:space="0" w:color="auto"/>
          </w:divBdr>
        </w:div>
      </w:divsChild>
    </w:div>
    <w:div w:id="917904420">
      <w:bodyDiv w:val="1"/>
      <w:marLeft w:val="0"/>
      <w:marRight w:val="0"/>
      <w:marTop w:val="0"/>
      <w:marBottom w:val="0"/>
      <w:divBdr>
        <w:top w:val="none" w:sz="0" w:space="0" w:color="auto"/>
        <w:left w:val="none" w:sz="0" w:space="0" w:color="auto"/>
        <w:bottom w:val="none" w:sz="0" w:space="0" w:color="auto"/>
        <w:right w:val="none" w:sz="0" w:space="0" w:color="auto"/>
      </w:divBdr>
    </w:div>
    <w:div w:id="934555296">
      <w:bodyDiv w:val="1"/>
      <w:marLeft w:val="0"/>
      <w:marRight w:val="0"/>
      <w:marTop w:val="0"/>
      <w:marBottom w:val="0"/>
      <w:divBdr>
        <w:top w:val="none" w:sz="0" w:space="0" w:color="auto"/>
        <w:left w:val="none" w:sz="0" w:space="0" w:color="auto"/>
        <w:bottom w:val="none" w:sz="0" w:space="0" w:color="auto"/>
        <w:right w:val="none" w:sz="0" w:space="0" w:color="auto"/>
      </w:divBdr>
    </w:div>
    <w:div w:id="1049113467">
      <w:bodyDiv w:val="1"/>
      <w:marLeft w:val="0"/>
      <w:marRight w:val="0"/>
      <w:marTop w:val="0"/>
      <w:marBottom w:val="0"/>
      <w:divBdr>
        <w:top w:val="none" w:sz="0" w:space="0" w:color="auto"/>
        <w:left w:val="none" w:sz="0" w:space="0" w:color="auto"/>
        <w:bottom w:val="none" w:sz="0" w:space="0" w:color="auto"/>
        <w:right w:val="none" w:sz="0" w:space="0" w:color="auto"/>
      </w:divBdr>
    </w:div>
    <w:div w:id="1102334517">
      <w:bodyDiv w:val="1"/>
      <w:marLeft w:val="0"/>
      <w:marRight w:val="0"/>
      <w:marTop w:val="0"/>
      <w:marBottom w:val="0"/>
      <w:divBdr>
        <w:top w:val="none" w:sz="0" w:space="0" w:color="auto"/>
        <w:left w:val="none" w:sz="0" w:space="0" w:color="auto"/>
        <w:bottom w:val="none" w:sz="0" w:space="0" w:color="auto"/>
        <w:right w:val="none" w:sz="0" w:space="0" w:color="auto"/>
      </w:divBdr>
    </w:div>
    <w:div w:id="1122460859">
      <w:bodyDiv w:val="1"/>
      <w:marLeft w:val="0"/>
      <w:marRight w:val="0"/>
      <w:marTop w:val="0"/>
      <w:marBottom w:val="0"/>
      <w:divBdr>
        <w:top w:val="none" w:sz="0" w:space="0" w:color="auto"/>
        <w:left w:val="none" w:sz="0" w:space="0" w:color="auto"/>
        <w:bottom w:val="none" w:sz="0" w:space="0" w:color="auto"/>
        <w:right w:val="none" w:sz="0" w:space="0" w:color="auto"/>
      </w:divBdr>
    </w:div>
    <w:div w:id="1185053352">
      <w:bodyDiv w:val="1"/>
      <w:marLeft w:val="0"/>
      <w:marRight w:val="0"/>
      <w:marTop w:val="0"/>
      <w:marBottom w:val="0"/>
      <w:divBdr>
        <w:top w:val="none" w:sz="0" w:space="0" w:color="auto"/>
        <w:left w:val="none" w:sz="0" w:space="0" w:color="auto"/>
        <w:bottom w:val="none" w:sz="0" w:space="0" w:color="auto"/>
        <w:right w:val="none" w:sz="0" w:space="0" w:color="auto"/>
      </w:divBdr>
    </w:div>
    <w:div w:id="1189567985">
      <w:bodyDiv w:val="1"/>
      <w:marLeft w:val="0"/>
      <w:marRight w:val="0"/>
      <w:marTop w:val="0"/>
      <w:marBottom w:val="0"/>
      <w:divBdr>
        <w:top w:val="none" w:sz="0" w:space="0" w:color="auto"/>
        <w:left w:val="none" w:sz="0" w:space="0" w:color="auto"/>
        <w:bottom w:val="none" w:sz="0" w:space="0" w:color="auto"/>
        <w:right w:val="none" w:sz="0" w:space="0" w:color="auto"/>
      </w:divBdr>
    </w:div>
    <w:div w:id="1302887809">
      <w:bodyDiv w:val="1"/>
      <w:marLeft w:val="0"/>
      <w:marRight w:val="0"/>
      <w:marTop w:val="0"/>
      <w:marBottom w:val="0"/>
      <w:divBdr>
        <w:top w:val="none" w:sz="0" w:space="0" w:color="auto"/>
        <w:left w:val="none" w:sz="0" w:space="0" w:color="auto"/>
        <w:bottom w:val="none" w:sz="0" w:space="0" w:color="auto"/>
        <w:right w:val="none" w:sz="0" w:space="0" w:color="auto"/>
      </w:divBdr>
    </w:div>
    <w:div w:id="1322082054">
      <w:bodyDiv w:val="1"/>
      <w:marLeft w:val="0"/>
      <w:marRight w:val="0"/>
      <w:marTop w:val="0"/>
      <w:marBottom w:val="0"/>
      <w:divBdr>
        <w:top w:val="none" w:sz="0" w:space="0" w:color="auto"/>
        <w:left w:val="none" w:sz="0" w:space="0" w:color="auto"/>
        <w:bottom w:val="none" w:sz="0" w:space="0" w:color="auto"/>
        <w:right w:val="none" w:sz="0" w:space="0" w:color="auto"/>
      </w:divBdr>
    </w:div>
    <w:div w:id="1386905231">
      <w:bodyDiv w:val="1"/>
      <w:marLeft w:val="0"/>
      <w:marRight w:val="0"/>
      <w:marTop w:val="0"/>
      <w:marBottom w:val="0"/>
      <w:divBdr>
        <w:top w:val="none" w:sz="0" w:space="0" w:color="auto"/>
        <w:left w:val="none" w:sz="0" w:space="0" w:color="auto"/>
        <w:bottom w:val="none" w:sz="0" w:space="0" w:color="auto"/>
        <w:right w:val="none" w:sz="0" w:space="0" w:color="auto"/>
      </w:divBdr>
    </w:div>
    <w:div w:id="1534075190">
      <w:bodyDiv w:val="1"/>
      <w:marLeft w:val="0"/>
      <w:marRight w:val="0"/>
      <w:marTop w:val="0"/>
      <w:marBottom w:val="0"/>
      <w:divBdr>
        <w:top w:val="none" w:sz="0" w:space="0" w:color="auto"/>
        <w:left w:val="none" w:sz="0" w:space="0" w:color="auto"/>
        <w:bottom w:val="none" w:sz="0" w:space="0" w:color="auto"/>
        <w:right w:val="none" w:sz="0" w:space="0" w:color="auto"/>
      </w:divBdr>
    </w:div>
    <w:div w:id="1539200221">
      <w:bodyDiv w:val="1"/>
      <w:marLeft w:val="0"/>
      <w:marRight w:val="0"/>
      <w:marTop w:val="0"/>
      <w:marBottom w:val="0"/>
      <w:divBdr>
        <w:top w:val="none" w:sz="0" w:space="0" w:color="auto"/>
        <w:left w:val="none" w:sz="0" w:space="0" w:color="auto"/>
        <w:bottom w:val="none" w:sz="0" w:space="0" w:color="auto"/>
        <w:right w:val="none" w:sz="0" w:space="0" w:color="auto"/>
      </w:divBdr>
    </w:div>
    <w:div w:id="1576545493">
      <w:bodyDiv w:val="1"/>
      <w:marLeft w:val="0"/>
      <w:marRight w:val="0"/>
      <w:marTop w:val="0"/>
      <w:marBottom w:val="0"/>
      <w:divBdr>
        <w:top w:val="none" w:sz="0" w:space="0" w:color="auto"/>
        <w:left w:val="none" w:sz="0" w:space="0" w:color="auto"/>
        <w:bottom w:val="none" w:sz="0" w:space="0" w:color="auto"/>
        <w:right w:val="none" w:sz="0" w:space="0" w:color="auto"/>
      </w:divBdr>
    </w:div>
    <w:div w:id="1581912585">
      <w:bodyDiv w:val="1"/>
      <w:marLeft w:val="0"/>
      <w:marRight w:val="0"/>
      <w:marTop w:val="0"/>
      <w:marBottom w:val="0"/>
      <w:divBdr>
        <w:top w:val="none" w:sz="0" w:space="0" w:color="auto"/>
        <w:left w:val="none" w:sz="0" w:space="0" w:color="auto"/>
        <w:bottom w:val="none" w:sz="0" w:space="0" w:color="auto"/>
        <w:right w:val="none" w:sz="0" w:space="0" w:color="auto"/>
      </w:divBdr>
    </w:div>
    <w:div w:id="1597667182">
      <w:bodyDiv w:val="1"/>
      <w:marLeft w:val="0"/>
      <w:marRight w:val="0"/>
      <w:marTop w:val="0"/>
      <w:marBottom w:val="0"/>
      <w:divBdr>
        <w:top w:val="none" w:sz="0" w:space="0" w:color="auto"/>
        <w:left w:val="none" w:sz="0" w:space="0" w:color="auto"/>
        <w:bottom w:val="none" w:sz="0" w:space="0" w:color="auto"/>
        <w:right w:val="none" w:sz="0" w:space="0" w:color="auto"/>
      </w:divBdr>
      <w:divsChild>
        <w:div w:id="1449007538">
          <w:marLeft w:val="0"/>
          <w:marRight w:val="0"/>
          <w:marTop w:val="0"/>
          <w:marBottom w:val="0"/>
          <w:divBdr>
            <w:top w:val="none" w:sz="0" w:space="0" w:color="auto"/>
            <w:left w:val="none" w:sz="0" w:space="0" w:color="auto"/>
            <w:bottom w:val="none" w:sz="0" w:space="0" w:color="auto"/>
            <w:right w:val="none" w:sz="0" w:space="0" w:color="auto"/>
          </w:divBdr>
          <w:divsChild>
            <w:div w:id="1771315218">
              <w:marLeft w:val="0"/>
              <w:marRight w:val="0"/>
              <w:marTop w:val="0"/>
              <w:marBottom w:val="0"/>
              <w:divBdr>
                <w:top w:val="none" w:sz="0" w:space="0" w:color="auto"/>
                <w:left w:val="none" w:sz="0" w:space="0" w:color="auto"/>
                <w:bottom w:val="none" w:sz="0" w:space="0" w:color="auto"/>
                <w:right w:val="none" w:sz="0" w:space="0" w:color="auto"/>
              </w:divBdr>
            </w:div>
            <w:div w:id="1890415680">
              <w:marLeft w:val="0"/>
              <w:marRight w:val="0"/>
              <w:marTop w:val="0"/>
              <w:marBottom w:val="0"/>
              <w:divBdr>
                <w:top w:val="none" w:sz="0" w:space="0" w:color="auto"/>
                <w:left w:val="none" w:sz="0" w:space="0" w:color="auto"/>
                <w:bottom w:val="none" w:sz="0" w:space="0" w:color="auto"/>
                <w:right w:val="none" w:sz="0" w:space="0" w:color="auto"/>
              </w:divBdr>
            </w:div>
          </w:divsChild>
        </w:div>
        <w:div w:id="1192767417">
          <w:marLeft w:val="0"/>
          <w:marRight w:val="0"/>
          <w:marTop w:val="0"/>
          <w:marBottom w:val="0"/>
          <w:divBdr>
            <w:top w:val="none" w:sz="0" w:space="0" w:color="auto"/>
            <w:left w:val="none" w:sz="0" w:space="0" w:color="auto"/>
            <w:bottom w:val="none" w:sz="0" w:space="0" w:color="auto"/>
            <w:right w:val="none" w:sz="0" w:space="0" w:color="auto"/>
          </w:divBdr>
          <w:divsChild>
            <w:div w:id="1265573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2096971">
      <w:bodyDiv w:val="1"/>
      <w:marLeft w:val="0"/>
      <w:marRight w:val="0"/>
      <w:marTop w:val="0"/>
      <w:marBottom w:val="0"/>
      <w:divBdr>
        <w:top w:val="none" w:sz="0" w:space="0" w:color="auto"/>
        <w:left w:val="none" w:sz="0" w:space="0" w:color="auto"/>
        <w:bottom w:val="none" w:sz="0" w:space="0" w:color="auto"/>
        <w:right w:val="none" w:sz="0" w:space="0" w:color="auto"/>
      </w:divBdr>
    </w:div>
    <w:div w:id="1785273690">
      <w:bodyDiv w:val="1"/>
      <w:marLeft w:val="0"/>
      <w:marRight w:val="0"/>
      <w:marTop w:val="0"/>
      <w:marBottom w:val="0"/>
      <w:divBdr>
        <w:top w:val="none" w:sz="0" w:space="0" w:color="auto"/>
        <w:left w:val="none" w:sz="0" w:space="0" w:color="auto"/>
        <w:bottom w:val="none" w:sz="0" w:space="0" w:color="auto"/>
        <w:right w:val="none" w:sz="0" w:space="0" w:color="auto"/>
      </w:divBdr>
    </w:div>
    <w:div w:id="1795096734">
      <w:bodyDiv w:val="1"/>
      <w:marLeft w:val="0"/>
      <w:marRight w:val="0"/>
      <w:marTop w:val="0"/>
      <w:marBottom w:val="0"/>
      <w:divBdr>
        <w:top w:val="none" w:sz="0" w:space="0" w:color="auto"/>
        <w:left w:val="none" w:sz="0" w:space="0" w:color="auto"/>
        <w:bottom w:val="none" w:sz="0" w:space="0" w:color="auto"/>
        <w:right w:val="none" w:sz="0" w:space="0" w:color="auto"/>
      </w:divBdr>
    </w:div>
    <w:div w:id="1799713361">
      <w:bodyDiv w:val="1"/>
      <w:marLeft w:val="0"/>
      <w:marRight w:val="0"/>
      <w:marTop w:val="0"/>
      <w:marBottom w:val="0"/>
      <w:divBdr>
        <w:top w:val="none" w:sz="0" w:space="0" w:color="auto"/>
        <w:left w:val="none" w:sz="0" w:space="0" w:color="auto"/>
        <w:bottom w:val="none" w:sz="0" w:space="0" w:color="auto"/>
        <w:right w:val="none" w:sz="0" w:space="0" w:color="auto"/>
      </w:divBdr>
    </w:div>
    <w:div w:id="1850021554">
      <w:bodyDiv w:val="1"/>
      <w:marLeft w:val="0"/>
      <w:marRight w:val="0"/>
      <w:marTop w:val="0"/>
      <w:marBottom w:val="0"/>
      <w:divBdr>
        <w:top w:val="none" w:sz="0" w:space="0" w:color="auto"/>
        <w:left w:val="none" w:sz="0" w:space="0" w:color="auto"/>
        <w:bottom w:val="none" w:sz="0" w:space="0" w:color="auto"/>
        <w:right w:val="none" w:sz="0" w:space="0" w:color="auto"/>
      </w:divBdr>
    </w:div>
    <w:div w:id="1874686952">
      <w:bodyDiv w:val="1"/>
      <w:marLeft w:val="0"/>
      <w:marRight w:val="0"/>
      <w:marTop w:val="0"/>
      <w:marBottom w:val="0"/>
      <w:divBdr>
        <w:top w:val="none" w:sz="0" w:space="0" w:color="auto"/>
        <w:left w:val="none" w:sz="0" w:space="0" w:color="auto"/>
        <w:bottom w:val="none" w:sz="0" w:space="0" w:color="auto"/>
        <w:right w:val="none" w:sz="0" w:space="0" w:color="auto"/>
      </w:divBdr>
    </w:div>
    <w:div w:id="1918784639">
      <w:bodyDiv w:val="1"/>
      <w:marLeft w:val="0"/>
      <w:marRight w:val="0"/>
      <w:marTop w:val="0"/>
      <w:marBottom w:val="0"/>
      <w:divBdr>
        <w:top w:val="none" w:sz="0" w:space="0" w:color="auto"/>
        <w:left w:val="none" w:sz="0" w:space="0" w:color="auto"/>
        <w:bottom w:val="none" w:sz="0" w:space="0" w:color="auto"/>
        <w:right w:val="none" w:sz="0" w:space="0" w:color="auto"/>
      </w:divBdr>
    </w:div>
    <w:div w:id="1922255392">
      <w:bodyDiv w:val="1"/>
      <w:marLeft w:val="0"/>
      <w:marRight w:val="0"/>
      <w:marTop w:val="0"/>
      <w:marBottom w:val="0"/>
      <w:divBdr>
        <w:top w:val="none" w:sz="0" w:space="0" w:color="auto"/>
        <w:left w:val="none" w:sz="0" w:space="0" w:color="auto"/>
        <w:bottom w:val="none" w:sz="0" w:space="0" w:color="auto"/>
        <w:right w:val="none" w:sz="0" w:space="0" w:color="auto"/>
      </w:divBdr>
    </w:div>
    <w:div w:id="2013801869">
      <w:bodyDiv w:val="1"/>
      <w:marLeft w:val="0"/>
      <w:marRight w:val="0"/>
      <w:marTop w:val="0"/>
      <w:marBottom w:val="0"/>
      <w:divBdr>
        <w:top w:val="none" w:sz="0" w:space="0" w:color="auto"/>
        <w:left w:val="none" w:sz="0" w:space="0" w:color="auto"/>
        <w:bottom w:val="none" w:sz="0" w:space="0" w:color="auto"/>
        <w:right w:val="none" w:sz="0" w:space="0" w:color="auto"/>
      </w:divBdr>
    </w:div>
    <w:div w:id="2031292753">
      <w:bodyDiv w:val="1"/>
      <w:marLeft w:val="0"/>
      <w:marRight w:val="0"/>
      <w:marTop w:val="0"/>
      <w:marBottom w:val="0"/>
      <w:divBdr>
        <w:top w:val="none" w:sz="0" w:space="0" w:color="auto"/>
        <w:left w:val="none" w:sz="0" w:space="0" w:color="auto"/>
        <w:bottom w:val="none" w:sz="0" w:space="0" w:color="auto"/>
        <w:right w:val="none" w:sz="0" w:space="0" w:color="auto"/>
      </w:divBdr>
    </w:div>
    <w:div w:id="2087604738">
      <w:bodyDiv w:val="1"/>
      <w:marLeft w:val="0"/>
      <w:marRight w:val="0"/>
      <w:marTop w:val="0"/>
      <w:marBottom w:val="0"/>
      <w:divBdr>
        <w:top w:val="none" w:sz="0" w:space="0" w:color="auto"/>
        <w:left w:val="none" w:sz="0" w:space="0" w:color="auto"/>
        <w:bottom w:val="none" w:sz="0" w:space="0" w:color="auto"/>
        <w:right w:val="none" w:sz="0" w:space="0" w:color="auto"/>
      </w:divBdr>
    </w:div>
    <w:div w:id="2092503666">
      <w:bodyDiv w:val="1"/>
      <w:marLeft w:val="0"/>
      <w:marRight w:val="0"/>
      <w:marTop w:val="0"/>
      <w:marBottom w:val="0"/>
      <w:divBdr>
        <w:top w:val="none" w:sz="0" w:space="0" w:color="auto"/>
        <w:left w:val="none" w:sz="0" w:space="0" w:color="auto"/>
        <w:bottom w:val="none" w:sz="0" w:space="0" w:color="auto"/>
        <w:right w:val="none" w:sz="0" w:space="0" w:color="auto"/>
      </w:divBdr>
    </w:div>
    <w:div w:id="2128810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uidance/police-and-criminal-evidence-act-1984-pace-codes-of-practice" TargetMode="External"/><Relationship Id="rId13" Type="http://schemas.openxmlformats.org/officeDocument/2006/relationships/hyperlink" Target="https://www.libertyhumanrights.org.uk/sites/default/files/pace-review.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arrested-your-rights/legal-advice-at-the-police-station" TargetMode="External"/><Relationship Id="rId12" Type="http://schemas.openxmlformats.org/officeDocument/2006/relationships/hyperlink" Target="https://academic-oup-com.ezproxy.uwtsd.ac.uk/bjc/article/31/4/347/498642?searchresult=1" TargetMode="External"/><Relationship Id="rId17" Type="http://schemas.openxmlformats.org/officeDocument/2006/relationships/hyperlink" Target="https://www.parliament.uk/site-information/glossary/acts-of-parliament/" TargetMode="External"/><Relationship Id="rId2" Type="http://schemas.openxmlformats.org/officeDocument/2006/relationships/styles" Target="styles.xml"/><Relationship Id="rId16" Type="http://schemas.openxmlformats.org/officeDocument/2006/relationships/hyperlink" Target="https://www.theguardian.com/uk-news/2019/jan/31/inquest-into-1974-ira-guildford-pub-bombings-to-reopen" TargetMode="External"/><Relationship Id="rId1" Type="http://schemas.openxmlformats.org/officeDocument/2006/relationships/numbering" Target="numbering.xml"/><Relationship Id="rId6" Type="http://schemas.openxmlformats.org/officeDocument/2006/relationships/hyperlink" Target="https://gcnchambers.co.uk/victor-nealon-wrongly-imprisoned-for-17-years-appeal-dismissed/" TargetMode="External"/><Relationship Id="rId11" Type="http://schemas.openxmlformats.org/officeDocument/2006/relationships/hyperlink" Target="https://rightsinfo.org/5-shocking-miscarriages-justice-prisoners-need-human-rights/" TargetMode="External"/><Relationship Id="rId5" Type="http://schemas.openxmlformats.org/officeDocument/2006/relationships/hyperlink" Target="https://www.bbc.co.uk/news/uk-england-12664938" TargetMode="External"/><Relationship Id="rId15" Type="http://schemas.openxmlformats.org/officeDocument/2006/relationships/hyperlink" Target="https://www.parliament.uk/business/publications/written-questions-answers-statements/written-statement/Commons/2019-07-23/HCWS1796" TargetMode="External"/><Relationship Id="rId10" Type="http://schemas.openxmlformats.org/officeDocument/2006/relationships/hyperlink" Target="https://www.thejusticegap.com/guilty-until-proven-innocent-published-today/"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826813/PACE-Code-C_2019.pdf" TargetMode="External"/><Relationship Id="rId14" Type="http://schemas.openxmlformats.org/officeDocument/2006/relationships/hyperlink" Target="http://krw-law.ie/wp-content/uploads/2017/05/The-Role-of-a-Solicitor-in-the-Police-Station-PACE-IPLS-8.3.1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1064</TotalTime>
  <Pages>9</Pages>
  <Words>2611</Words>
  <Characters>14884</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understanding policing</vt:lpstr>
    </vt:vector>
  </TitlesOfParts>
  <Company/>
  <LinksUpToDate>false</LinksUpToDate>
  <CharactersWithSpaces>17461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Evaluate the success and limitations of the Police and Criminal Evidence Act 1984 in preventing Miscarriages of Justice.</dc:title>
  <dc:subject>Year 2</dc:subject>
  <dc:creator>Tyler Thomas</dc:creator>
  <cp:keywords/>
  <dc:description/>
  <cp:lastModifiedBy>Tom dav</cp:lastModifiedBy>
  <cp:revision>21</cp:revision>
  <dcterms:created xsi:type="dcterms:W3CDTF">2019-10-03T12:46:00Z</dcterms:created>
  <dcterms:modified xsi:type="dcterms:W3CDTF">2019-10-17T08:46:00Z</dcterms:modified>
</cp:coreProperties>
</file>