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5DC82D8" w:rsidR="00ED5964" w:rsidRDefault="00ED5964" w:rsidP="2BDF5C80">
      <w:pPr>
        <w:jc w:val="both"/>
        <w:rPr>
          <w:rFonts w:asciiTheme="minorBidi" w:hAnsiTheme="minorBidi"/>
          <w:sz w:val="28"/>
          <w:szCs w:val="28"/>
        </w:rPr>
      </w:pPr>
      <w:r w:rsidRPr="2BDF5C80">
        <w:rPr>
          <w:rFonts w:asciiTheme="minorBidi" w:hAnsiTheme="minorBidi"/>
          <w:sz w:val="28"/>
          <w:szCs w:val="28"/>
        </w:rPr>
        <w:t xml:space="preserve">Name: </w:t>
      </w:r>
      <w:r w:rsidR="59FDF74E" w:rsidRPr="2BDF5C80">
        <w:rPr>
          <w:rFonts w:asciiTheme="minorBidi" w:hAnsiTheme="minorBidi"/>
          <w:sz w:val="28"/>
          <w:szCs w:val="28"/>
        </w:rPr>
        <w:t>Moustapha NDIAYE</w:t>
      </w:r>
    </w:p>
    <w:p w14:paraId="485B6F49" w14:textId="4DD24545" w:rsidR="00ED5964" w:rsidRDefault="00ED5964" w:rsidP="2BDF5C80">
      <w:pPr>
        <w:jc w:val="both"/>
        <w:rPr>
          <w:rFonts w:asciiTheme="minorBidi" w:hAnsiTheme="minorBidi"/>
          <w:sz w:val="28"/>
          <w:szCs w:val="28"/>
        </w:rPr>
      </w:pPr>
      <w:r w:rsidRPr="2BDF5C80">
        <w:rPr>
          <w:rFonts w:asciiTheme="minorBidi" w:hAnsiTheme="minorBidi"/>
          <w:sz w:val="28"/>
          <w:szCs w:val="28"/>
        </w:rPr>
        <w:t xml:space="preserve">Student ID: </w:t>
      </w:r>
      <w:r w:rsidR="54E49551" w:rsidRPr="2BDF5C80">
        <w:rPr>
          <w:rFonts w:asciiTheme="minorBidi" w:hAnsiTheme="minorBidi"/>
          <w:sz w:val="28"/>
          <w:szCs w:val="28"/>
        </w:rPr>
        <w:t>2540504</w:t>
      </w:r>
    </w:p>
    <w:p w14:paraId="3C1E7A20" w14:textId="4ACB5364" w:rsidR="00ED5964" w:rsidRDefault="00ED5964" w:rsidP="2BDF5C80">
      <w:pPr>
        <w:jc w:val="both"/>
        <w:rPr>
          <w:rFonts w:asciiTheme="minorBidi" w:hAnsiTheme="minorBidi"/>
          <w:sz w:val="28"/>
          <w:szCs w:val="28"/>
        </w:rPr>
      </w:pPr>
      <w:r w:rsidRPr="2BDF5C80">
        <w:rPr>
          <w:rFonts w:asciiTheme="minorBidi" w:hAnsiTheme="minorBidi"/>
          <w:sz w:val="28"/>
          <w:szCs w:val="28"/>
        </w:rPr>
        <w:t xml:space="preserve">Module Code: </w:t>
      </w:r>
      <w:r w:rsidR="03AB903A" w:rsidRPr="2BDF5C80">
        <w:rPr>
          <w:rFonts w:asciiTheme="minorBidi" w:hAnsiTheme="minorBidi"/>
          <w:sz w:val="28"/>
          <w:szCs w:val="28"/>
        </w:rPr>
        <w:t>LCHS4001</w:t>
      </w:r>
    </w:p>
    <w:p w14:paraId="1B93F4D8" w14:textId="041F6B2C" w:rsidR="00ED5964" w:rsidRDefault="00ED5964" w:rsidP="2BDF5C80">
      <w:pPr>
        <w:jc w:val="both"/>
      </w:pPr>
      <w:r w:rsidRPr="2BDF5C80">
        <w:rPr>
          <w:rFonts w:asciiTheme="minorBidi" w:hAnsiTheme="minorBidi"/>
          <w:sz w:val="28"/>
          <w:szCs w:val="28"/>
        </w:rPr>
        <w:t xml:space="preserve">Module: </w:t>
      </w:r>
      <w:r w:rsidR="35EDF16F" w:rsidRPr="2BDF5C80">
        <w:rPr>
          <w:rFonts w:asciiTheme="minorBidi" w:hAnsiTheme="minorBidi"/>
          <w:sz w:val="28"/>
          <w:szCs w:val="28"/>
        </w:rPr>
        <w:t>Academic and Employability Skills</w:t>
      </w:r>
    </w:p>
    <w:p w14:paraId="112342CB" w14:textId="12862E52" w:rsidR="00ED5964" w:rsidRDefault="00ED5964" w:rsidP="2BDF5C80">
      <w:pPr>
        <w:jc w:val="both"/>
        <w:rPr>
          <w:rFonts w:asciiTheme="minorBidi" w:hAnsiTheme="minorBidi"/>
          <w:sz w:val="28"/>
          <w:szCs w:val="28"/>
        </w:rPr>
      </w:pPr>
      <w:r w:rsidRPr="2BDF5C80">
        <w:rPr>
          <w:rFonts w:asciiTheme="minorBidi" w:hAnsiTheme="minorBidi"/>
          <w:sz w:val="28"/>
          <w:szCs w:val="28"/>
        </w:rPr>
        <w:t xml:space="preserve">Lecturer: </w:t>
      </w:r>
      <w:r w:rsidR="77CB36E0" w:rsidRPr="2BDF5C80">
        <w:rPr>
          <w:rFonts w:asciiTheme="minorBidi" w:hAnsiTheme="minorBidi"/>
          <w:sz w:val="28"/>
          <w:szCs w:val="28"/>
        </w:rPr>
        <w:t>Muhammed Kham</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
          <w:color w:val="auto"/>
          <w:kern w:val="2"/>
          <w:sz w:val="20"/>
          <w:szCs w:val="20"/>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41EB8D1" w:rsidR="00824CB1" w:rsidRDefault="0CF501EC" w:rsidP="0CF501EC">
          <w:pPr>
            <w:pStyle w:val="TOC2"/>
            <w:tabs>
              <w:tab w:val="right" w:leader="dot" w:pos="9015"/>
            </w:tabs>
            <w:rPr>
              <w:rStyle w:val="Hyperlink"/>
              <w:noProof/>
              <w:lang w:eastAsia="en-GB"/>
            </w:rPr>
          </w:pPr>
          <w:hyperlink w:anchor="_Toc1915621813">
            <w:r w:rsidRPr="0CF501EC">
              <w:rPr>
                <w:rStyle w:val="Hyperlink"/>
              </w:rPr>
              <w:t>2 [INSERT YOUR ROLE HERE]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5857A35"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5AF5704"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C16FCF0"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9504892"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60D6869" w14:textId="19A9BD52" w:rsidR="00D676C3" w:rsidRPr="00242974" w:rsidRDefault="00D676C3" w:rsidP="24BEEA49">
      <w:pPr>
        <w:rPr>
          <w:b/>
          <w:bCs/>
          <w:sz w:val="21"/>
          <w:szCs w:val="21"/>
        </w:rPr>
      </w:pPr>
    </w:p>
    <w:p w14:paraId="7E817B09" w14:textId="50F31860" w:rsidR="00A035CD" w:rsidRPr="002976D4" w:rsidRDefault="00AA77C8" w:rsidP="00500295">
      <w:pPr>
        <w:pStyle w:val="Heading2"/>
        <w:rPr>
          <w:color w:val="4472C4" w:themeColor="accent1"/>
        </w:rPr>
      </w:pPr>
      <w:bookmarkStart w:id="0" w:name="_Toc695233283"/>
      <w:r w:rsidRPr="0CF501EC">
        <w:rPr>
          <w:color w:val="4471C4"/>
        </w:rPr>
        <w:t>1</w:t>
      </w:r>
      <w:r w:rsidR="00500295" w:rsidRPr="0CF501EC">
        <w:rPr>
          <w:color w:val="4471C4"/>
        </w:rPr>
        <w:t xml:space="preserve">.1 </w:t>
      </w:r>
      <w:r w:rsidR="00A035CD" w:rsidRPr="0CF501EC">
        <w:rPr>
          <w:color w:val="4471C4"/>
        </w:rPr>
        <w:t>Introduction</w:t>
      </w:r>
      <w:bookmarkEnd w:id="0"/>
    </w:p>
    <w:p w14:paraId="0C03DED9" w14:textId="3BACB23F" w:rsidR="00DD5135" w:rsidRPr="00D676C3" w:rsidRDefault="007B268A" w:rsidP="005D2A2D">
      <w:pPr>
        <w:spacing w:after="0"/>
        <w:jc w:val="both"/>
      </w:pPr>
      <w:r>
        <w:rPr>
          <w:rFonts w:ascii="-webkit-standard" w:eastAsia="Times New Roman" w:hAnsi="-webkit-standard"/>
          <w:color w:val="000000"/>
          <w:sz w:val="27"/>
          <w:szCs w:val="27"/>
        </w:rPr>
        <w:t>Roles within health and social care are central to delivering safe, dignified, person-centred services, and the healthcare assistant role forms the foundation of much day-to-day support received by service users. Healthcare assistants provide compassionate, hands-on assistance to people who are older, disabled, unwell, or recovering from illness, and the quality of that assistance directly shapes health outcomes and the lived experience of care. This report sets out the nature of the role, identifies the most significant skills required to perform it well, and presents evidence-based strategies for professional development. Section 2 describes the role and examines three core skills, Section 3 outlines strategies to strengthen them, and Section 4 concludes.</w:t>
      </w:r>
    </w:p>
    <w:p w14:paraId="4CC61BC1" w14:textId="55FEF9DD" w:rsidR="00F36ADC" w:rsidRPr="00242974" w:rsidRDefault="00F36ADC" w:rsidP="0156E134">
      <w:pPr>
        <w:spacing w:after="0" w:line="240" w:lineRule="auto"/>
        <w:rPr>
          <w:sz w:val="22"/>
        </w:rPr>
      </w:pPr>
    </w:p>
    <w:p w14:paraId="64F36E68" w14:textId="53D69E21" w:rsidR="3C659699" w:rsidRDefault="3C659699" w:rsidP="0CF501EC">
      <w:pPr>
        <w:pStyle w:val="Heading2"/>
        <w:rPr>
          <w:color w:val="4472C4" w:themeColor="accent1"/>
        </w:rPr>
      </w:pPr>
      <w:bookmarkStart w:id="1" w:name="_Toc1915621813"/>
      <w:r w:rsidRPr="0CF501EC">
        <w:rPr>
          <w:color w:val="4471C4"/>
        </w:rPr>
        <w:t>2 [INSERT YOUR ROLE HERE]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4D8C3A68"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70818" w:rsidRPr="0CF501EC">
        <w:rPr>
          <w:color w:val="4471C4"/>
        </w:rPr>
        <w:t>[</w:t>
      </w:r>
      <w:r w:rsidR="00D676C3" w:rsidRPr="0CF501EC">
        <w:rPr>
          <w:color w:val="4471C4"/>
        </w:rPr>
        <w:t>INSERT YOUR ROLE HERE</w:t>
      </w:r>
      <w:r w:rsidR="00070818" w:rsidRPr="0CF501EC">
        <w:rPr>
          <w:color w:val="4471C4"/>
        </w:rPr>
        <w: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3BE9CE70" w14:textId="7BBBD5E8" w:rsidR="48942F29" w:rsidRPr="007B38D9" w:rsidRDefault="007B38D9" w:rsidP="24BEEA49">
      <w:pPr>
        <w:spacing w:after="0" w:line="240" w:lineRule="auto"/>
        <w:jc w:val="both"/>
        <w:rPr>
          <w:sz w:val="22"/>
        </w:rPr>
      </w:pPr>
      <w:r w:rsidRPr="24BEEA49">
        <w:rPr>
          <w:rFonts w:ascii="-webkit-standard" w:eastAsia="Times New Roman" w:hAnsi="-webkit-standard"/>
          <w:color w:val="000000" w:themeColor="text1"/>
          <w:sz w:val="27"/>
          <w:szCs w:val="27"/>
        </w:rPr>
        <w:t>The healthcare assistant role involves providing direct, frontline care to service users under the supervision of registered nurses, allied health professionals, or social care managers. According to NHS Health Careers (healthcareers.nhs.uk), the role spans both hospitals and community settings, with duties that include supporting people with personal care, mobility, nutrition, fluid intake, continence care, and the taking and recording of clinical observations. The importance of the role lies in its proximity to service users, as healthcare assistants are often the team members who spend the greatest amount of time with patients and residents, allowing them to notice subtle changes in wellbeing and to provide reassurance during moments of vulnerability. The main duties therefore extend beyond physical tasks to include emotional support, the accurate reporting of information to colleagues, and the upholding of dignity at all times, while the key skills required include strong communication, careful observation, empathy, reliability, and a commitment to person-centred practice as set out in the Care Certificate standards developed by Skills for Care (skillsforcare.org.uk</w:t>
      </w:r>
      <w:r w:rsidR="239D44BA" w:rsidRPr="24BEEA49">
        <w:rPr>
          <w:rFonts w:ascii="-webkit-standard" w:eastAsia="Times New Roman" w:hAnsi="-webkit-standard"/>
          <w:color w:val="000000" w:themeColor="text1"/>
          <w:sz w:val="27"/>
          <w:szCs w:val="27"/>
        </w:rPr>
        <w:t>).</w:t>
      </w:r>
    </w:p>
    <w:p w14:paraId="1CB8B0F1" w14:textId="34C40497" w:rsidR="0156E134" w:rsidRDefault="0156E134" w:rsidP="0156E134">
      <w:pPr>
        <w:spacing w:after="0" w:line="240" w:lineRule="auto"/>
        <w:jc w:val="both"/>
        <w:rPr>
          <w:sz w:val="22"/>
        </w:rPr>
      </w:pPr>
    </w:p>
    <w:p w14:paraId="4010C35E" w14:textId="04790414"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 [</w:t>
      </w:r>
      <w:r w:rsidR="00D676C3" w:rsidRPr="0CF501EC">
        <w:rPr>
          <w:color w:val="4471C4"/>
        </w:rPr>
        <w:t>INSERT YOUR ROLE HERE</w:t>
      </w:r>
      <w:r w:rsidR="00D4006B" w:rsidRPr="0CF501EC">
        <w:rPr>
          <w:color w:val="4471C4"/>
        </w:rPr>
        <w: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6A0DF5A4" w14:textId="0D60BF6E" w:rsidR="00396EA9" w:rsidRDefault="00396EA9">
      <w:pPr>
        <w:pStyle w:val="s4"/>
        <w:spacing w:before="0" w:beforeAutospacing="0" w:after="150" w:afterAutospacing="0"/>
        <w:rPr>
          <w:rFonts w:ascii="-webkit-standard" w:hAnsi="-webkit-standard" w:hint="eastAsia"/>
          <w:color w:val="000000"/>
          <w:sz w:val="27"/>
          <w:szCs w:val="27"/>
        </w:rPr>
      </w:pPr>
      <w:r>
        <w:rPr>
          <w:rFonts w:ascii="-webkit-standard" w:hAnsi="-webkit-standard"/>
          <w:color w:val="000000"/>
          <w:sz w:val="27"/>
          <w:szCs w:val="27"/>
        </w:rPr>
        <w:t xml:space="preserve">Effective communication sits at the centre of high-quality </w:t>
      </w:r>
      <w:r w:rsidR="002132CB">
        <w:rPr>
          <w:rFonts w:ascii="-webkit-standard" w:hAnsi="-webkit-standard" w:hint="eastAsia"/>
          <w:color w:val="000000"/>
          <w:sz w:val="27"/>
          <w:szCs w:val="27"/>
        </w:rPr>
        <w:t>care because</w:t>
      </w:r>
      <w:r>
        <w:rPr>
          <w:rFonts w:ascii="-webkit-standard" w:hAnsi="-webkit-standard"/>
          <w:color w:val="000000"/>
          <w:sz w:val="27"/>
          <w:szCs w:val="27"/>
        </w:rPr>
        <w:t xml:space="preserve"> every interaction between a healthcare assistant and a service user carries clinical, emotional, and relational consequences. As the National </w:t>
      </w:r>
      <w:proofErr w:type="spellStart"/>
      <w:r>
        <w:rPr>
          <w:rFonts w:ascii="-webkit-standard" w:hAnsi="-webkit-standard"/>
          <w:color w:val="000000"/>
          <w:sz w:val="27"/>
          <w:szCs w:val="27"/>
        </w:rPr>
        <w:t>Center</w:t>
      </w:r>
      <w:proofErr w:type="spellEnd"/>
      <w:r>
        <w:rPr>
          <w:rFonts w:ascii="-webkit-standard" w:hAnsi="-webkit-standard"/>
          <w:color w:val="000000"/>
          <w:sz w:val="27"/>
          <w:szCs w:val="27"/>
        </w:rPr>
        <w:t xml:space="preserve"> for Biotechnology Information highlights, communication must be adapted to the client's needs, with professionals expected to listen actively, use accessible language, and confirm understanding before acting (NCBI, 2023). A healthcare assistant may, for example, explain a personal care task to a confused older person using short sentences and gentle prompts so that consent is genuinely informed. Clear communication of this kind reduces errors and strengthens the therapeutic relationship, improving adherence to care plans and satisfaction with services (</w:t>
      </w:r>
      <w:proofErr w:type="spellStart"/>
      <w:r>
        <w:rPr>
          <w:rFonts w:ascii="-webkit-standard" w:hAnsi="-webkit-standard"/>
          <w:color w:val="000000"/>
          <w:sz w:val="27"/>
          <w:szCs w:val="27"/>
        </w:rPr>
        <w:t>Center</w:t>
      </w:r>
      <w:proofErr w:type="spellEnd"/>
      <w:r>
        <w:rPr>
          <w:rFonts w:ascii="-webkit-standard" w:hAnsi="-webkit-standard"/>
          <w:color w:val="000000"/>
          <w:sz w:val="27"/>
          <w:szCs w:val="27"/>
        </w:rPr>
        <w:t xml:space="preserve"> for Health Care Strategies, n.d.).</w:t>
      </w:r>
    </w:p>
    <w:p w14:paraId="3495874B" w14:textId="52ADD4EC" w:rsidR="00396EA9" w:rsidRDefault="00396EA9" w:rsidP="24BEEA49">
      <w:pPr>
        <w:pStyle w:val="s4"/>
        <w:spacing w:before="0" w:beforeAutospacing="0" w:after="150" w:afterAutospacing="0"/>
        <w:rPr>
          <w:rFonts w:ascii="-webkit-standard" w:hAnsi="-webkit-standard" w:hint="eastAsia"/>
          <w:color w:val="000000"/>
          <w:sz w:val="27"/>
          <w:szCs w:val="27"/>
        </w:rPr>
      </w:pPr>
      <w:r w:rsidRPr="24BEEA49">
        <w:rPr>
          <w:rFonts w:ascii="-webkit-standard" w:hAnsi="-webkit-standard"/>
          <w:color w:val="000000" w:themeColor="text1"/>
          <w:sz w:val="27"/>
          <w:szCs w:val="27"/>
        </w:rPr>
        <w:t xml:space="preserve">Accurate clinical observation is equally significant, because healthcare assistants are often the first staff to detect deterioration in a service user's condition. NHS Health Careers identifies observational skills as a defining characteristic of the role, reflecting the expectation that assistants will measure, record, and escalate vital signs within clear protocols (NHS Health Careers, n.d.). In a ward or care home, a healthcare assistant who notices a resident's breathing has become </w:t>
      </w:r>
      <w:r w:rsidR="0174FE42" w:rsidRPr="24BEEA49">
        <w:rPr>
          <w:rFonts w:ascii="-webkit-standard" w:hAnsi="-webkit-standard"/>
          <w:color w:val="000000" w:themeColor="text1"/>
          <w:sz w:val="27"/>
          <w:szCs w:val="27"/>
        </w:rPr>
        <w:t>shallow,</w:t>
      </w:r>
      <w:r w:rsidRPr="24BEEA49">
        <w:rPr>
          <w:rFonts w:ascii="-webkit-standard" w:hAnsi="-webkit-standard"/>
          <w:color w:val="000000" w:themeColor="text1"/>
          <w:sz w:val="27"/>
          <w:szCs w:val="27"/>
        </w:rPr>
        <w:t xml:space="preserve"> and their NEWS2 score is rising will escalate this to the registered nurse promptly, allowing timely intervention. Early warning systems such as NEWS2 depend entirely on the quality of frontline observations, so wellbeing and good practice reinforce each other (Mandatory Training Group, n.d.).</w:t>
      </w:r>
    </w:p>
    <w:p w14:paraId="6774259B" w14:textId="77777777" w:rsidR="00396EA9" w:rsidRDefault="00396EA9">
      <w:pPr>
        <w:pStyle w:val="s4"/>
        <w:spacing w:before="0" w:beforeAutospacing="0" w:after="150" w:afterAutospacing="0"/>
        <w:rPr>
          <w:rFonts w:ascii="-webkit-standard" w:hAnsi="-webkit-standard" w:hint="eastAsia"/>
          <w:color w:val="000000"/>
          <w:sz w:val="27"/>
          <w:szCs w:val="27"/>
        </w:rPr>
      </w:pPr>
      <w:r>
        <w:rPr>
          <w:rFonts w:ascii="-webkit-standard" w:hAnsi="-webkit-standard"/>
          <w:color w:val="000000"/>
          <w:sz w:val="27"/>
          <w:szCs w:val="27"/>
        </w:rPr>
        <w:t xml:space="preserve">Empathy and the preservation of dignity form the third pillar of skilled practice, as recognised by the National Institute for Health and Care Excellence, which states that people using services should feel treated with empathy, dignity, and respect (NICE, 2011). A healthcare assistant who closes a door before personal care, speaks quietly, and allows the person to do what they can for themselves illustrates empathy in action. </w:t>
      </w:r>
      <w:proofErr w:type="spellStart"/>
      <w:r>
        <w:rPr>
          <w:rFonts w:ascii="-webkit-standard" w:hAnsi="-webkit-standard"/>
          <w:color w:val="000000"/>
          <w:sz w:val="27"/>
          <w:szCs w:val="27"/>
        </w:rPr>
        <w:t>Moudatsou</w:t>
      </w:r>
      <w:proofErr w:type="spellEnd"/>
      <w:r>
        <w:rPr>
          <w:rFonts w:ascii="-webkit-standard" w:hAnsi="-webkit-standard"/>
          <w:color w:val="000000"/>
          <w:sz w:val="27"/>
          <w:szCs w:val="27"/>
        </w:rPr>
        <w:t xml:space="preserve"> and colleagues found that service users who experience empathy during treatment show better outcomes and a higher likelihood of clinical improvement (</w:t>
      </w:r>
      <w:proofErr w:type="spellStart"/>
      <w:r>
        <w:rPr>
          <w:rFonts w:ascii="-webkit-standard" w:hAnsi="-webkit-standard"/>
          <w:color w:val="000000"/>
          <w:sz w:val="27"/>
          <w:szCs w:val="27"/>
        </w:rPr>
        <w:t>Moudatsou</w:t>
      </w:r>
      <w:proofErr w:type="spellEnd"/>
      <w:r>
        <w:rPr>
          <w:rFonts w:ascii="-webkit-standard" w:hAnsi="-webkit-standard"/>
          <w:color w:val="000000"/>
          <w:sz w:val="27"/>
          <w:szCs w:val="27"/>
        </w:rPr>
        <w:t xml:space="preserve"> et al., 2020). The Social Care Institute for Excellence similarly notes that warmth and kindness are how dignity is delivered in everyday practice (SCIE, n.d.).</w:t>
      </w:r>
    </w:p>
    <w:p w14:paraId="0CC8958D" w14:textId="6B12B4F5" w:rsidR="001811C1" w:rsidRDefault="00396EA9" w:rsidP="24BEEA49">
      <w:pPr>
        <w:pStyle w:val="s4"/>
        <w:spacing w:before="0" w:beforeAutospacing="0" w:after="150" w:afterAutospacing="0"/>
        <w:rPr>
          <w:rFonts w:ascii="-webkit-standard" w:hAnsi="-webkit-standard" w:hint="eastAsia"/>
          <w:color w:val="000000"/>
          <w:sz w:val="27"/>
          <w:szCs w:val="27"/>
        </w:rPr>
      </w:pPr>
      <w:r w:rsidRPr="24BEEA49">
        <w:rPr>
          <w:rFonts w:ascii="-webkit-standard" w:hAnsi="-webkit-standard"/>
          <w:color w:val="000000" w:themeColor="text1"/>
          <w:sz w:val="27"/>
          <w:szCs w:val="27"/>
        </w:rPr>
        <w:t>When these three skills are absent or underdeveloped, the consequences can be serious. Poor communication is a leading contributor to avoidable incidents, weak observation allows deterioration to go unnoticed, and a lack of empathy has been linked to reduced adherence and distress (Ekpenyong et al., 2021). The Care Quality Commission reinforces this through Regulation 9, which requires that care be tailored to the individual's needs and preferences, meaning organisations must ensure staff are competent in all three areas (CQC, 2015). Communication, observation, and empathy are therefore not optional extras but core safeguards of safe, person-centred care.</w:t>
      </w:r>
    </w:p>
    <w:p w14:paraId="7338813D" w14:textId="77777777" w:rsidR="00C85A7C" w:rsidRPr="00242974" w:rsidRDefault="00C85A7C" w:rsidP="00C85A7C">
      <w:pPr>
        <w:spacing w:after="0" w:line="240" w:lineRule="auto"/>
        <w:jc w:val="both"/>
        <w:rPr>
          <w:sz w:val="21"/>
          <w:szCs w:val="21"/>
        </w:rPr>
      </w:pPr>
    </w:p>
    <w:p w14:paraId="2CAEA1EC" w14:textId="7A99F5B9"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 [INSERT YOUR ROLE HERE]</w:t>
      </w:r>
      <w:bookmarkEnd w:id="4"/>
    </w:p>
    <w:p w14:paraId="01C49510" w14:textId="12680EE0"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 [</w:t>
      </w:r>
      <w:r w:rsidR="00D676C3" w:rsidRPr="0CF501EC">
        <w:rPr>
          <w:color w:val="4471C4"/>
        </w:rPr>
        <w:t>INSERT YOUR ROLE HERE</w:t>
      </w:r>
      <w:r w:rsidR="00070818" w:rsidRPr="0CF501EC">
        <w:rPr>
          <w:color w:val="4471C4"/>
        </w:rPr>
        <w:t>]</w:t>
      </w:r>
      <w:bookmarkEnd w:id="5"/>
    </w:p>
    <w:p w14:paraId="769E8DE9" w14:textId="44E5535E" w:rsidR="00F8162A" w:rsidRDefault="00F8162A">
      <w:pPr>
        <w:pStyle w:val="s4"/>
        <w:spacing w:before="0" w:beforeAutospacing="0" w:after="150" w:afterAutospacing="0"/>
        <w:rPr>
          <w:rFonts w:ascii="-webkit-standard" w:hAnsi="-webkit-standard" w:hint="eastAsia"/>
          <w:color w:val="000000"/>
          <w:sz w:val="27"/>
          <w:szCs w:val="27"/>
        </w:rPr>
      </w:pPr>
      <w:r>
        <w:rPr>
          <w:rFonts w:ascii="-webkit-standard" w:hAnsi="-webkit-standard"/>
          <w:color w:val="000000"/>
          <w:sz w:val="27"/>
          <w:szCs w:val="27"/>
        </w:rPr>
        <w:t xml:space="preserve">Reflective practice is a powerful strategy for strengthening empathy and dignity in </w:t>
      </w:r>
      <w:r w:rsidR="00EE72ED">
        <w:rPr>
          <w:rFonts w:ascii="-webkit-standard" w:hAnsi="-webkit-standard" w:hint="eastAsia"/>
          <w:color w:val="000000"/>
          <w:sz w:val="27"/>
          <w:szCs w:val="27"/>
        </w:rPr>
        <w:t>care because</w:t>
      </w:r>
      <w:r>
        <w:rPr>
          <w:rFonts w:ascii="-webkit-standard" w:hAnsi="-webkit-standard"/>
          <w:color w:val="000000"/>
          <w:sz w:val="27"/>
          <w:szCs w:val="27"/>
        </w:rPr>
        <w:t xml:space="preserve"> it requires practitioners to revisit experiences, analyse emotional responses, and plan for improvement in a structured way. The University of Edinburgh's Reflection Toolkit, drawing on Gibbs' Reflective Cycle, sets out a six-stage process of description, feelings, evaluation, analysis, conclusion, and action plan that supports deep learning from real events (University of Edinburgh, n.d.). A healthcare assistant who has supported a distressed resident during personal care might describe what happened, explore their own feelings, evaluate what went well, and plan how to respond more calmly next time, embedding empathy as an active skill rather than a vague intention. The evidence base shows that reflective practice enables practitioners to draw on previous experiences to render more effective judgement in clinical situations, making it directly relevant to the emotional demands of the role (ScienceDirect, 2019).</w:t>
      </w:r>
    </w:p>
    <w:p w14:paraId="3BB70ABF" w14:textId="77777777" w:rsidR="00F8162A" w:rsidRDefault="00F8162A">
      <w:pPr>
        <w:pStyle w:val="s4"/>
        <w:spacing w:before="0" w:beforeAutospacing="0" w:after="150" w:afterAutospacing="0"/>
        <w:rPr>
          <w:rFonts w:ascii="-webkit-standard" w:hAnsi="-webkit-standard" w:hint="eastAsia"/>
          <w:color w:val="000000"/>
          <w:sz w:val="27"/>
          <w:szCs w:val="27"/>
        </w:rPr>
      </w:pPr>
      <w:r>
        <w:rPr>
          <w:rFonts w:ascii="-webkit-standard" w:hAnsi="-webkit-standard"/>
          <w:color w:val="000000"/>
          <w:sz w:val="27"/>
          <w:szCs w:val="27"/>
        </w:rPr>
        <w:t>Simulation-based training offers an evidence-based route to improving both communication and clinical observation, as it allows healthcare assistants to practise challenging scenarios in a safe environment before encountering them in real practice. A systematic review by Blackmore and colleagues reports that simulation-based education can improve communication skills among healthcare professionals, particularly when scenarios replicate the pressure of clinical handover and difficult conversations (Blackmore et al., 2018). For communication, a simulated conversation with an anxious relative or a person living with dementia gives the assistant an opportunity to rehearse tone, pace, and open questions, with feedback from a facilitator reinforcing strengths and correcting weaknesses. At the same time, simulation scenarios built around NEWS2 observation, sepsis recognition, and handover using tools such as ISBAR allow assistants to practise the precise sequence of measuring, interpreting, and escalating vital signs, so that observation skills become automatic under pressure (Johns Hopkins, n.d.). The strategy works because repeated deliberate practice in realistic conditions builds confidence, reduces anxiety, and links theory directly to action.</w:t>
      </w:r>
    </w:p>
    <w:p w14:paraId="782418D3" w14:textId="77777777" w:rsidR="00F8162A" w:rsidRDefault="00F8162A">
      <w:pPr>
        <w:pStyle w:val="s4"/>
        <w:spacing w:before="0" w:beforeAutospacing="0" w:after="150" w:afterAutospacing="0"/>
        <w:rPr>
          <w:rFonts w:ascii="-webkit-standard" w:hAnsi="-webkit-standard" w:hint="eastAsia"/>
          <w:color w:val="000000"/>
          <w:sz w:val="27"/>
          <w:szCs w:val="27"/>
        </w:rPr>
      </w:pPr>
      <w:r>
        <w:rPr>
          <w:rFonts w:ascii="-webkit-standard" w:hAnsi="-webkit-standard"/>
          <w:color w:val="000000"/>
          <w:sz w:val="27"/>
          <w:szCs w:val="27"/>
        </w:rPr>
        <w:t>Structured clinical supervision and mentorship provide a third strategy that supports the long-term consolidation of all three skills, particularly during the early years of practice. The Skills for Care evidence summary on supervision of support workers describes supervision as a process of guiding, monitoring, and coaching workers to promote compliance with standards and assure high-quality care, framing it as far more than a managerial check-in (Skills for Care, n.d.). Under a supportive supervisor, a healthcare assistant can discuss recent cases, reflect on communication choices, review observation charts, and explore how dignity was upheld, receiving constructive feedback that shapes future behaviour. An integrative review of supervision, support, and mentoring interventions for health practitioners similarly found that structured supervision programmes improve both practitioner confidence and the quality of care delivered (Moran et al., 2014). This strategy is effective because it embeds skill development within the working day, ensuring that improvement is continuous rather than confined to occasional training events.</w:t>
      </w:r>
    </w:p>
    <w:p w14:paraId="029A5F75" w14:textId="7861E1FD" w:rsidR="6F3208D0" w:rsidRPr="00F8162A" w:rsidRDefault="6F3208D0" w:rsidP="00F8162A">
      <w:pPr>
        <w:spacing w:after="0"/>
        <w:rPr>
          <w:rFonts w:eastAsia="Segoe UI" w:cs="Segoe UI"/>
          <w:b/>
          <w:bCs/>
          <w:sz w:val="22"/>
        </w:rPr>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5E0D5A64" w14:textId="77777777" w:rsidR="00DE6C00" w:rsidRPr="00DE6C00" w:rsidRDefault="00DE6C00" w:rsidP="00DE6C00">
      <w:pPr>
        <w:spacing w:after="150" w:line="240" w:lineRule="auto"/>
        <w:rPr>
          <w:rFonts w:ascii="-webkit-standard" w:hAnsi="-webkit-standard" w:cs="Times New Roman" w:hint="eastAsia"/>
          <w:color w:val="000000"/>
          <w:kern w:val="0"/>
          <w:sz w:val="27"/>
          <w:szCs w:val="27"/>
          <w:lang w:eastAsia="en-GB"/>
          <w14:ligatures w14:val="none"/>
        </w:rPr>
      </w:pPr>
      <w:r w:rsidRPr="00DE6C00">
        <w:rPr>
          <w:rFonts w:ascii="-webkit-standard" w:hAnsi="-webkit-standard" w:cs="Times New Roman"/>
          <w:color w:val="000000"/>
          <w:kern w:val="0"/>
          <w:sz w:val="27"/>
          <w:szCs w:val="27"/>
          <w:lang w:eastAsia="en-GB"/>
          <w14:ligatures w14:val="none"/>
        </w:rPr>
        <w:t>Healthcare assistants occupy a critical position within the health and social care workforce, and the quality of their communication, observation, and empathy directly shapes whether service users experience care as safe, dignified, and person-centred. The report has shown that these three skills are interdependent, that their absence carries real clinical and ethical risks, and that targeted strategies such as reflective practice, simulation-based training, and structured supervision can produce measurable improvements in practice. Investing in the development of these skills is therefore not only a matter of professional growth but a core component of safe, high-quality care for every service user, and it remains essential that organisations continue to support healthcare assistants in building and maintaining these capabilities throughout their careers.</w:t>
      </w:r>
    </w:p>
    <w:p w14:paraId="415185EB" w14:textId="77777777" w:rsidR="00DE6C00" w:rsidRPr="00DE6C00" w:rsidRDefault="00DE6C00" w:rsidP="00DE6C00">
      <w:pPr>
        <w:spacing w:after="0" w:line="240" w:lineRule="auto"/>
        <w:rPr>
          <w:rFonts w:ascii="Times New Roman" w:eastAsia="Times New Roman" w:hAnsi="Times New Roman" w:cs="Times New Roman"/>
          <w:kern w:val="0"/>
          <w:sz w:val="24"/>
          <w:szCs w:val="24"/>
          <w:lang w:eastAsia="en-GB"/>
          <w14:ligatures w14:val="none"/>
        </w:rPr>
      </w:pPr>
    </w:p>
    <w:p w14:paraId="3F34EF19" w14:textId="67B97C67" w:rsidR="00D676C3" w:rsidRDefault="00D676C3">
      <w:pPr>
        <w:rPr>
          <w:sz w:val="21"/>
          <w:szCs w:val="21"/>
        </w:rPr>
      </w:pP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549B506B" w14:textId="77777777" w:rsidR="00710916" w:rsidRDefault="00710916">
      <w:pPr>
        <w:pStyle w:val="s12"/>
        <w:spacing w:before="0" w:beforeAutospacing="0" w:after="90" w:afterAutospacing="0"/>
        <w:rPr>
          <w:rFonts w:ascii="-webkit-standard" w:hAnsi="-webkit-standard" w:hint="eastAsia"/>
          <w:color w:val="000000"/>
          <w:sz w:val="27"/>
          <w:szCs w:val="27"/>
        </w:rPr>
      </w:pPr>
      <w:r>
        <w:rPr>
          <w:rFonts w:ascii="-webkit-standard" w:hAnsi="-webkit-standard"/>
          <w:color w:val="000000"/>
          <w:sz w:val="27"/>
          <w:szCs w:val="27"/>
        </w:rPr>
        <w:t xml:space="preserve">Blackmore, A., </w:t>
      </w:r>
      <w:proofErr w:type="spellStart"/>
      <w:r>
        <w:rPr>
          <w:rFonts w:ascii="-webkit-standard" w:hAnsi="-webkit-standard"/>
          <w:color w:val="000000"/>
          <w:sz w:val="27"/>
          <w:szCs w:val="27"/>
        </w:rPr>
        <w:t>Vasileiou</w:t>
      </w:r>
      <w:proofErr w:type="spellEnd"/>
      <w:r>
        <w:rPr>
          <w:rFonts w:ascii="-webkit-standard" w:hAnsi="-webkit-standard"/>
          <w:color w:val="000000"/>
          <w:sz w:val="27"/>
          <w:szCs w:val="27"/>
        </w:rPr>
        <w:t xml:space="preserve"> </w:t>
      </w:r>
      <w:proofErr w:type="spellStart"/>
      <w:r>
        <w:rPr>
          <w:rFonts w:ascii="-webkit-standard" w:hAnsi="-webkit-standard"/>
          <w:color w:val="000000"/>
          <w:sz w:val="27"/>
          <w:szCs w:val="27"/>
        </w:rPr>
        <w:t>Kasfiki</w:t>
      </w:r>
      <w:proofErr w:type="spellEnd"/>
      <w:r>
        <w:rPr>
          <w:rFonts w:ascii="-webkit-standard" w:hAnsi="-webkit-standard"/>
          <w:color w:val="000000"/>
          <w:sz w:val="27"/>
          <w:szCs w:val="27"/>
        </w:rPr>
        <w:t xml:space="preserve">, E., &amp; </w:t>
      </w:r>
      <w:proofErr w:type="spellStart"/>
      <w:r>
        <w:rPr>
          <w:rFonts w:ascii="-webkit-standard" w:hAnsi="-webkit-standard"/>
          <w:color w:val="000000"/>
          <w:sz w:val="27"/>
          <w:szCs w:val="27"/>
        </w:rPr>
        <w:t>Purva</w:t>
      </w:r>
      <w:proofErr w:type="spellEnd"/>
      <w:r>
        <w:rPr>
          <w:rFonts w:ascii="-webkit-standard" w:hAnsi="-webkit-standard"/>
          <w:color w:val="000000"/>
          <w:sz w:val="27"/>
          <w:szCs w:val="27"/>
        </w:rPr>
        <w:t>, M. (2018). Simulation-based education to improve communication skills: A systematic review and identification of current best practice. BMJ Simulation &amp; Technology Enhanced Learning, 4(4), 159–164. https://pmc.ncbi.nlm.nih.gov/articles/PMC8990192/</w:t>
      </w:r>
    </w:p>
    <w:p w14:paraId="6568FC26" w14:textId="77777777" w:rsidR="00710916" w:rsidRDefault="00710916">
      <w:pPr>
        <w:pStyle w:val="s12"/>
        <w:spacing w:before="0" w:beforeAutospacing="0" w:after="90" w:afterAutospacing="0"/>
        <w:rPr>
          <w:rFonts w:ascii="-webkit-standard" w:hAnsi="-webkit-standard" w:hint="eastAsia"/>
          <w:color w:val="000000"/>
          <w:sz w:val="27"/>
          <w:szCs w:val="27"/>
        </w:rPr>
      </w:pPr>
      <w:r>
        <w:rPr>
          <w:rFonts w:ascii="-webkit-standard" w:hAnsi="-webkit-standard"/>
          <w:color w:val="000000"/>
          <w:sz w:val="27"/>
          <w:szCs w:val="27"/>
        </w:rPr>
        <w:t>Care Quality Commission. (2015). Regulation 9: Person-centred care. https://www.cqc.org.uk/guidance-regulation/providers/regulations-service-providers-and-managers/health-social-care-act/regulation-9</w:t>
      </w:r>
    </w:p>
    <w:p w14:paraId="079E317F" w14:textId="77777777" w:rsidR="00710916" w:rsidRDefault="00710916">
      <w:pPr>
        <w:pStyle w:val="s12"/>
        <w:spacing w:before="0" w:beforeAutospacing="0" w:after="90" w:afterAutospacing="0"/>
        <w:rPr>
          <w:rFonts w:ascii="-webkit-standard" w:hAnsi="-webkit-standard" w:hint="eastAsia"/>
          <w:color w:val="000000"/>
          <w:sz w:val="27"/>
          <w:szCs w:val="27"/>
        </w:rPr>
      </w:pPr>
      <w:proofErr w:type="spellStart"/>
      <w:r>
        <w:rPr>
          <w:rFonts w:ascii="-webkit-standard" w:hAnsi="-webkit-standard"/>
          <w:color w:val="000000"/>
          <w:sz w:val="27"/>
          <w:szCs w:val="27"/>
        </w:rPr>
        <w:t>Center</w:t>
      </w:r>
      <w:proofErr w:type="spellEnd"/>
      <w:r>
        <w:rPr>
          <w:rFonts w:ascii="-webkit-standard" w:hAnsi="-webkit-standard"/>
          <w:color w:val="000000"/>
          <w:sz w:val="27"/>
          <w:szCs w:val="27"/>
        </w:rPr>
        <w:t xml:space="preserve"> for Health Care Strategies. (n.d.). Improving verbal communication to promote patient health literacy. https://www.chcs.org/resource/improving-verbal-communication-to-promote-patient-health-literacy/</w:t>
      </w:r>
    </w:p>
    <w:p w14:paraId="5ADD99FF" w14:textId="77777777" w:rsidR="00710916" w:rsidRDefault="00710916">
      <w:pPr>
        <w:pStyle w:val="s12"/>
        <w:spacing w:before="0" w:beforeAutospacing="0" w:after="90" w:afterAutospacing="0"/>
        <w:rPr>
          <w:rFonts w:ascii="-webkit-standard" w:hAnsi="-webkit-standard" w:hint="eastAsia"/>
          <w:color w:val="000000"/>
          <w:sz w:val="27"/>
          <w:szCs w:val="27"/>
        </w:rPr>
      </w:pPr>
      <w:proofErr w:type="spellStart"/>
      <w:r>
        <w:rPr>
          <w:rFonts w:ascii="-webkit-standard" w:hAnsi="-webkit-standard"/>
          <w:color w:val="000000"/>
          <w:sz w:val="27"/>
          <w:szCs w:val="27"/>
        </w:rPr>
        <w:t>Ekpenyong</w:t>
      </w:r>
      <w:proofErr w:type="spellEnd"/>
      <w:r>
        <w:rPr>
          <w:rFonts w:ascii="-webkit-standard" w:hAnsi="-webkit-standard"/>
          <w:color w:val="000000"/>
          <w:sz w:val="27"/>
          <w:szCs w:val="27"/>
        </w:rPr>
        <w:t>, M. S., et al. (2021). Exploring the perceptions of dignity among patients and nurses in hospital settings. https://pmc.ncbi.nlm.nih.gov/articles/PMC8899300/</w:t>
      </w:r>
    </w:p>
    <w:p w14:paraId="0269A2B5" w14:textId="77777777" w:rsidR="00710916" w:rsidRDefault="00710916">
      <w:pPr>
        <w:pStyle w:val="s12"/>
        <w:spacing w:before="0" w:beforeAutospacing="0" w:after="90" w:afterAutospacing="0"/>
        <w:rPr>
          <w:rFonts w:ascii="-webkit-standard" w:hAnsi="-webkit-standard" w:hint="eastAsia"/>
          <w:color w:val="000000"/>
          <w:sz w:val="27"/>
          <w:szCs w:val="27"/>
        </w:rPr>
      </w:pPr>
      <w:r>
        <w:rPr>
          <w:rFonts w:ascii="-webkit-standard" w:hAnsi="-webkit-standard"/>
          <w:color w:val="000000"/>
          <w:sz w:val="27"/>
          <w:szCs w:val="27"/>
        </w:rPr>
        <w:t>Health Education England. (n.d.). The Care Certificate. https://www.hee.nhs.uk/our-work/care-certificate</w:t>
      </w:r>
    </w:p>
    <w:p w14:paraId="2993AFC7" w14:textId="77777777" w:rsidR="00710916" w:rsidRDefault="00710916">
      <w:pPr>
        <w:pStyle w:val="s12"/>
        <w:spacing w:before="0" w:beforeAutospacing="0" w:after="90" w:afterAutospacing="0"/>
        <w:rPr>
          <w:rFonts w:ascii="-webkit-standard" w:hAnsi="-webkit-standard" w:hint="eastAsia"/>
          <w:color w:val="000000"/>
          <w:sz w:val="27"/>
          <w:szCs w:val="27"/>
        </w:rPr>
      </w:pPr>
      <w:r>
        <w:rPr>
          <w:rFonts w:ascii="-webkit-standard" w:hAnsi="-webkit-standard"/>
          <w:color w:val="000000"/>
          <w:sz w:val="27"/>
          <w:szCs w:val="27"/>
        </w:rPr>
        <w:t>Johns Hopkins University. (n.d.). Use of virtual clinical simulation to improve communication skills. https://pure.johnshopkins.edu/en/publications/use-of-virtual-clinical-simulation-to-improve-communication-skill-3</w:t>
      </w:r>
    </w:p>
    <w:p w14:paraId="21CB3DB6" w14:textId="77777777" w:rsidR="00710916" w:rsidRDefault="00710916">
      <w:pPr>
        <w:pStyle w:val="s12"/>
        <w:spacing w:before="0" w:beforeAutospacing="0" w:after="90" w:afterAutospacing="0"/>
        <w:rPr>
          <w:rFonts w:ascii="-webkit-standard" w:hAnsi="-webkit-standard" w:hint="eastAsia"/>
          <w:color w:val="000000"/>
          <w:sz w:val="27"/>
          <w:szCs w:val="27"/>
        </w:rPr>
      </w:pPr>
      <w:r>
        <w:rPr>
          <w:rFonts w:ascii="-webkit-standard" w:hAnsi="-webkit-standard"/>
          <w:color w:val="000000"/>
          <w:sz w:val="27"/>
          <w:szCs w:val="27"/>
        </w:rPr>
        <w:t>Mandatory Training Group. (n.d.). Clinical observations and NEWS2 – Level 3. https://www.mandatorytraining.co.uk/products/courses-clinical-observations-news2-level-3</w:t>
      </w:r>
    </w:p>
    <w:p w14:paraId="0D0B467D" w14:textId="77777777" w:rsidR="00710916" w:rsidRDefault="00710916">
      <w:pPr>
        <w:pStyle w:val="s12"/>
        <w:spacing w:before="0" w:beforeAutospacing="0" w:after="90" w:afterAutospacing="0"/>
        <w:rPr>
          <w:rFonts w:ascii="-webkit-standard" w:hAnsi="-webkit-standard" w:hint="eastAsia"/>
          <w:color w:val="000000"/>
          <w:sz w:val="27"/>
          <w:szCs w:val="27"/>
        </w:rPr>
      </w:pPr>
      <w:r>
        <w:rPr>
          <w:rFonts w:ascii="-webkit-standard" w:hAnsi="-webkit-standard"/>
          <w:color w:val="000000"/>
          <w:sz w:val="27"/>
          <w:szCs w:val="27"/>
        </w:rPr>
        <w:t xml:space="preserve">Moran, A. M., Coyle, J., Pope, R., </w:t>
      </w:r>
      <w:proofErr w:type="spellStart"/>
      <w:r>
        <w:rPr>
          <w:rFonts w:ascii="-webkit-standard" w:hAnsi="-webkit-standard"/>
          <w:color w:val="000000"/>
          <w:sz w:val="27"/>
          <w:szCs w:val="27"/>
        </w:rPr>
        <w:t>Boxall</w:t>
      </w:r>
      <w:proofErr w:type="spellEnd"/>
      <w:r>
        <w:rPr>
          <w:rFonts w:ascii="-webkit-standard" w:hAnsi="-webkit-standard"/>
          <w:color w:val="000000"/>
          <w:sz w:val="27"/>
          <w:szCs w:val="27"/>
        </w:rPr>
        <w:t xml:space="preserve">, D., </w:t>
      </w:r>
      <w:proofErr w:type="spellStart"/>
      <w:r>
        <w:rPr>
          <w:rFonts w:ascii="-webkit-standard" w:hAnsi="-webkit-standard"/>
          <w:color w:val="000000"/>
          <w:sz w:val="27"/>
          <w:szCs w:val="27"/>
        </w:rPr>
        <w:t>Nancarrow</w:t>
      </w:r>
      <w:proofErr w:type="spellEnd"/>
      <w:r>
        <w:rPr>
          <w:rFonts w:ascii="-webkit-standard" w:hAnsi="-webkit-standard"/>
          <w:color w:val="000000"/>
          <w:sz w:val="27"/>
          <w:szCs w:val="27"/>
        </w:rPr>
        <w:t>, S. A., &amp; Young, J. (2014). Supervision, support and mentoring interventions for health practitioners in rural and remote contexts: An integrative review and thematic synthesis of the literature to identify mechanisms for successful outcomes. Human Resources for Health, 12, 10. https://pmc.ncbi.nlm.nih.gov/articles/PMC3944003/</w:t>
      </w:r>
    </w:p>
    <w:p w14:paraId="049BD4F3" w14:textId="77777777" w:rsidR="00710916" w:rsidRDefault="00710916">
      <w:pPr>
        <w:pStyle w:val="s12"/>
        <w:spacing w:before="0" w:beforeAutospacing="0" w:after="90" w:afterAutospacing="0"/>
        <w:rPr>
          <w:rFonts w:ascii="-webkit-standard" w:hAnsi="-webkit-standard" w:hint="eastAsia"/>
          <w:color w:val="000000"/>
          <w:sz w:val="27"/>
          <w:szCs w:val="27"/>
        </w:rPr>
      </w:pPr>
      <w:proofErr w:type="spellStart"/>
      <w:r>
        <w:rPr>
          <w:rFonts w:ascii="-webkit-standard" w:hAnsi="-webkit-standard"/>
          <w:color w:val="000000"/>
          <w:sz w:val="27"/>
          <w:szCs w:val="27"/>
        </w:rPr>
        <w:t>Moudatsou</w:t>
      </w:r>
      <w:proofErr w:type="spellEnd"/>
      <w:r>
        <w:rPr>
          <w:rFonts w:ascii="-webkit-standard" w:hAnsi="-webkit-standard"/>
          <w:color w:val="000000"/>
          <w:sz w:val="27"/>
          <w:szCs w:val="27"/>
        </w:rPr>
        <w:t>, M., et al. (2020). The role of empathy in health and social care professionals. https://pmc.ncbi.nlm.nih.gov/articles/PMC7151200/</w:t>
      </w:r>
    </w:p>
    <w:p w14:paraId="69450FD8" w14:textId="77777777" w:rsidR="00710916" w:rsidRDefault="00710916">
      <w:pPr>
        <w:pStyle w:val="s12"/>
        <w:spacing w:before="0" w:beforeAutospacing="0" w:after="90" w:afterAutospacing="0"/>
        <w:rPr>
          <w:rFonts w:ascii="-webkit-standard" w:hAnsi="-webkit-standard" w:hint="eastAsia"/>
          <w:color w:val="000000"/>
          <w:sz w:val="27"/>
          <w:szCs w:val="27"/>
        </w:rPr>
      </w:pPr>
      <w:r>
        <w:rPr>
          <w:rFonts w:ascii="-webkit-standard" w:hAnsi="-webkit-standard"/>
          <w:color w:val="000000"/>
          <w:sz w:val="27"/>
          <w:szCs w:val="27"/>
        </w:rPr>
        <w:t xml:space="preserve">National </w:t>
      </w:r>
      <w:proofErr w:type="spellStart"/>
      <w:r>
        <w:rPr>
          <w:rFonts w:ascii="-webkit-standard" w:hAnsi="-webkit-standard"/>
          <w:color w:val="000000"/>
          <w:sz w:val="27"/>
          <w:szCs w:val="27"/>
        </w:rPr>
        <w:t>Center</w:t>
      </w:r>
      <w:proofErr w:type="spellEnd"/>
      <w:r>
        <w:rPr>
          <w:rFonts w:ascii="-webkit-standard" w:hAnsi="-webkit-standard"/>
          <w:color w:val="000000"/>
          <w:sz w:val="27"/>
          <w:szCs w:val="27"/>
        </w:rPr>
        <w:t xml:space="preserve"> for Biotechnology Information. (2023). Communicate professionally within a health care setting. https://www.ncbi.nlm.nih.gov/books/NBK599382/</w:t>
      </w:r>
    </w:p>
    <w:p w14:paraId="197DB9B2" w14:textId="77777777" w:rsidR="00710916" w:rsidRDefault="00710916">
      <w:pPr>
        <w:pStyle w:val="s12"/>
        <w:spacing w:before="0" w:beforeAutospacing="0" w:after="90" w:afterAutospacing="0"/>
        <w:rPr>
          <w:rFonts w:ascii="-webkit-standard" w:hAnsi="-webkit-standard" w:hint="eastAsia"/>
          <w:color w:val="000000"/>
          <w:sz w:val="27"/>
          <w:szCs w:val="27"/>
        </w:rPr>
      </w:pPr>
      <w:r>
        <w:rPr>
          <w:rFonts w:ascii="-webkit-standard" w:hAnsi="-webkit-standard"/>
          <w:color w:val="000000"/>
          <w:sz w:val="27"/>
          <w:szCs w:val="27"/>
        </w:rPr>
        <w:t>National Institute for Health and Care Excellence. (2011). Quality standard QS14 – Service user experience in mental health services: Quality statement 1 – Empathy, dignity and respect. https://www.nice.org.uk/guidance/qs14/chapter/quality-statement-1-empathy-dignity-and-respect</w:t>
      </w:r>
    </w:p>
    <w:p w14:paraId="0749AE8B" w14:textId="77777777" w:rsidR="00710916" w:rsidRDefault="00710916">
      <w:pPr>
        <w:pStyle w:val="s12"/>
        <w:spacing w:before="0" w:beforeAutospacing="0" w:after="90" w:afterAutospacing="0"/>
        <w:rPr>
          <w:rFonts w:ascii="-webkit-standard" w:hAnsi="-webkit-standard" w:hint="eastAsia"/>
          <w:color w:val="000000"/>
          <w:sz w:val="27"/>
          <w:szCs w:val="27"/>
        </w:rPr>
      </w:pPr>
      <w:r>
        <w:rPr>
          <w:rFonts w:ascii="-webkit-standard" w:hAnsi="-webkit-standard"/>
          <w:color w:val="000000"/>
          <w:sz w:val="27"/>
          <w:szCs w:val="27"/>
        </w:rPr>
        <w:t>NHS Health Careers. (n.d.). Healthcare assistant. https://www.healthcareers.nhs.uk/explore-roles/healthcare-support-worker/roles-healthcare-support-worker/healthcare-assistant</w:t>
      </w:r>
    </w:p>
    <w:p w14:paraId="30B9CBE9" w14:textId="77777777" w:rsidR="00710916" w:rsidRDefault="00710916">
      <w:pPr>
        <w:pStyle w:val="s12"/>
        <w:spacing w:before="0" w:beforeAutospacing="0" w:after="90" w:afterAutospacing="0"/>
        <w:rPr>
          <w:rFonts w:ascii="-webkit-standard" w:hAnsi="-webkit-standard" w:hint="eastAsia"/>
          <w:color w:val="000000"/>
          <w:sz w:val="27"/>
          <w:szCs w:val="27"/>
        </w:rPr>
      </w:pPr>
      <w:r>
        <w:rPr>
          <w:rFonts w:ascii="-webkit-standard" w:hAnsi="-webkit-standard"/>
          <w:color w:val="000000"/>
          <w:sz w:val="27"/>
          <w:szCs w:val="27"/>
        </w:rPr>
        <w:t>ScienceDirect. (2019). The role of reflective practice in healthcare professions. https://www.sciencedirect.com/science/article/abs/pii/S155174111930097X</w:t>
      </w:r>
    </w:p>
    <w:p w14:paraId="62D07313" w14:textId="77777777" w:rsidR="00710916" w:rsidRDefault="00710916">
      <w:pPr>
        <w:pStyle w:val="s12"/>
        <w:spacing w:before="0" w:beforeAutospacing="0" w:after="90" w:afterAutospacing="0"/>
        <w:rPr>
          <w:rFonts w:ascii="-webkit-standard" w:hAnsi="-webkit-standard" w:hint="eastAsia"/>
          <w:color w:val="000000"/>
          <w:sz w:val="27"/>
          <w:szCs w:val="27"/>
        </w:rPr>
      </w:pPr>
      <w:r>
        <w:rPr>
          <w:rFonts w:ascii="-webkit-standard" w:hAnsi="-webkit-standard"/>
          <w:color w:val="000000"/>
          <w:sz w:val="27"/>
          <w:szCs w:val="27"/>
        </w:rPr>
        <w:t>Skills for Care. (n.d.). Care Certificate standards. https://www.skillsforcare.org.uk/Developing-your-workforce/Care-Certificate/Care-Certificate-standards.aspx</w:t>
      </w:r>
    </w:p>
    <w:p w14:paraId="71DB7A0A" w14:textId="77777777" w:rsidR="00710916" w:rsidRDefault="00710916">
      <w:pPr>
        <w:pStyle w:val="s12"/>
        <w:spacing w:before="0" w:beforeAutospacing="0" w:after="90" w:afterAutospacing="0"/>
        <w:rPr>
          <w:rFonts w:ascii="-webkit-standard" w:hAnsi="-webkit-standard" w:hint="eastAsia"/>
          <w:color w:val="000000"/>
          <w:sz w:val="27"/>
          <w:szCs w:val="27"/>
        </w:rPr>
      </w:pPr>
      <w:r>
        <w:rPr>
          <w:rFonts w:ascii="-webkit-standard" w:hAnsi="-webkit-standard"/>
          <w:color w:val="000000"/>
          <w:sz w:val="27"/>
          <w:szCs w:val="27"/>
        </w:rPr>
        <w:t>Skills for Care. (n.d.). Supervision for support workers – evidence summary. https://d2ew8vb2gktr0m.cloudfront.net/files/resources/Support_worker_supervision_evidence_summary.pdf</w:t>
      </w:r>
    </w:p>
    <w:p w14:paraId="0BE5BF2E" w14:textId="77777777" w:rsidR="00710916" w:rsidRDefault="00710916">
      <w:pPr>
        <w:pStyle w:val="s12"/>
        <w:spacing w:before="0" w:beforeAutospacing="0" w:after="90" w:afterAutospacing="0"/>
        <w:rPr>
          <w:rFonts w:ascii="-webkit-standard" w:hAnsi="-webkit-standard" w:hint="eastAsia"/>
          <w:color w:val="000000"/>
          <w:sz w:val="27"/>
          <w:szCs w:val="27"/>
        </w:rPr>
      </w:pPr>
      <w:r>
        <w:rPr>
          <w:rFonts w:ascii="-webkit-standard" w:hAnsi="-webkit-standard"/>
          <w:color w:val="000000"/>
          <w:sz w:val="27"/>
          <w:szCs w:val="27"/>
        </w:rPr>
        <w:t>Social Care Institute for Excellence. (n.d.). Warmth and kindness to bring dignity in care. https://www.scie.org.uk/providing-care/dignity-in-care/warmth-and-kindness/</w:t>
      </w:r>
    </w:p>
    <w:p w14:paraId="07E4109F" w14:textId="77777777" w:rsidR="00710916" w:rsidRDefault="00710916">
      <w:pPr>
        <w:pStyle w:val="s12"/>
        <w:spacing w:before="0" w:beforeAutospacing="0" w:after="90" w:afterAutospacing="0"/>
        <w:rPr>
          <w:rFonts w:ascii="-webkit-standard" w:hAnsi="-webkit-standard" w:hint="eastAsia"/>
          <w:color w:val="000000"/>
          <w:sz w:val="27"/>
          <w:szCs w:val="27"/>
        </w:rPr>
      </w:pPr>
      <w:r>
        <w:rPr>
          <w:rFonts w:ascii="-webkit-standard" w:hAnsi="-webkit-standard"/>
          <w:color w:val="000000"/>
          <w:sz w:val="27"/>
          <w:szCs w:val="27"/>
        </w:rPr>
        <w:t>The Access Group. (n.d.). The 15 standards of the Care Certificate. https://www.theaccessgroup.com/en-gb/health-social-care/resources/care-certificate-standards/</w:t>
      </w:r>
    </w:p>
    <w:p w14:paraId="535E4D1F" w14:textId="77777777" w:rsidR="00710916" w:rsidRDefault="00710916">
      <w:pPr>
        <w:pStyle w:val="s12"/>
        <w:spacing w:before="0" w:beforeAutospacing="0" w:after="90" w:afterAutospacing="0"/>
        <w:rPr>
          <w:rFonts w:ascii="-webkit-standard" w:hAnsi="-webkit-standard" w:hint="eastAsia"/>
          <w:color w:val="000000"/>
          <w:sz w:val="27"/>
          <w:szCs w:val="27"/>
        </w:rPr>
      </w:pPr>
      <w:r>
        <w:rPr>
          <w:rFonts w:ascii="-webkit-standard" w:hAnsi="-webkit-standard"/>
          <w:color w:val="000000"/>
          <w:sz w:val="27"/>
          <w:szCs w:val="27"/>
        </w:rPr>
        <w:t>University of Edinburgh. (n.d.). Gibbs' Reflective Cycle – Reflection Toolkit. https://reflection.ed.ac.uk/reflectors-toolkit/reflecting-on-experience/gibbs-reflective-cycle</w:t>
      </w:r>
    </w:p>
    <w:p w14:paraId="7B12CEED" w14:textId="4D63790B" w:rsidR="006232DF" w:rsidRPr="00D676C3" w:rsidRDefault="006232DF" w:rsidP="006232DF">
      <w:pPr>
        <w:spacing w:after="0" w:line="240" w:lineRule="auto"/>
        <w:rPr>
          <w:sz w:val="22"/>
        </w:rPr>
      </w:pPr>
    </w:p>
    <w:p w14:paraId="1D0F2D59" w14:textId="04FD5966" w:rsidR="004552CE" w:rsidRPr="005E44B5" w:rsidRDefault="004552CE" w:rsidP="005E44B5">
      <w:pPr>
        <w:rPr>
          <w:color w:val="FF0000"/>
        </w:rPr>
      </w:pP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39C78B5" w14:textId="77777777" w:rsidR="00E9564C" w:rsidRDefault="00E9564C" w:rsidP="003C7C97">
      <w:pPr>
        <w:spacing w:after="0" w:line="240" w:lineRule="auto"/>
      </w:pPr>
      <w:r>
        <w:separator/>
      </w:r>
    </w:p>
  </w:endnote>
  <w:endnote w:type="continuationSeparator" w:id="0">
    <w:p w14:paraId="0836FB3C" w14:textId="77777777" w:rsidR="00E9564C" w:rsidRDefault="00E9564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D00DC9E" w14:textId="77777777" w:rsidR="00E9564C" w:rsidRDefault="00E9564C" w:rsidP="003C7C97">
      <w:pPr>
        <w:spacing w:after="0" w:line="240" w:lineRule="auto"/>
      </w:pPr>
      <w:r>
        <w:separator/>
      </w:r>
    </w:p>
  </w:footnote>
  <w:footnote w:type="continuationSeparator" w:id="0">
    <w:p w14:paraId="43A54D0E" w14:textId="77777777" w:rsidR="00E9564C" w:rsidRDefault="00E9564C"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866685CA">
      <w:start w:val="1"/>
      <w:numFmt w:val="bullet"/>
      <w:lvlText w:val=""/>
      <w:lvlJc w:val="left"/>
      <w:pPr>
        <w:ind w:left="720" w:hanging="360"/>
      </w:pPr>
      <w:rPr>
        <w:rFonts w:ascii="Symbol" w:hAnsi="Symbol" w:hint="default"/>
      </w:rPr>
    </w:lvl>
    <w:lvl w:ilvl="1" w:tplc="28B4F0C0">
      <w:start w:val="1"/>
      <w:numFmt w:val="bullet"/>
      <w:lvlText w:val="o"/>
      <w:lvlJc w:val="left"/>
      <w:pPr>
        <w:ind w:left="1440" w:hanging="360"/>
      </w:pPr>
      <w:rPr>
        <w:rFonts w:ascii="Courier New" w:hAnsi="Courier New" w:hint="default"/>
      </w:rPr>
    </w:lvl>
    <w:lvl w:ilvl="2" w:tplc="9940989A">
      <w:start w:val="1"/>
      <w:numFmt w:val="bullet"/>
      <w:lvlText w:val=""/>
      <w:lvlJc w:val="left"/>
      <w:pPr>
        <w:ind w:left="2160" w:hanging="360"/>
      </w:pPr>
      <w:rPr>
        <w:rFonts w:ascii="Wingdings" w:hAnsi="Wingdings" w:hint="default"/>
      </w:rPr>
    </w:lvl>
    <w:lvl w:ilvl="3" w:tplc="BDE8ECA0">
      <w:start w:val="1"/>
      <w:numFmt w:val="bullet"/>
      <w:lvlText w:val=""/>
      <w:lvlJc w:val="left"/>
      <w:pPr>
        <w:ind w:left="2880" w:hanging="360"/>
      </w:pPr>
      <w:rPr>
        <w:rFonts w:ascii="Symbol" w:hAnsi="Symbol" w:hint="default"/>
      </w:rPr>
    </w:lvl>
    <w:lvl w:ilvl="4" w:tplc="3A064D7A">
      <w:start w:val="1"/>
      <w:numFmt w:val="bullet"/>
      <w:lvlText w:val="o"/>
      <w:lvlJc w:val="left"/>
      <w:pPr>
        <w:ind w:left="3600" w:hanging="360"/>
      </w:pPr>
      <w:rPr>
        <w:rFonts w:ascii="Courier New" w:hAnsi="Courier New" w:hint="default"/>
      </w:rPr>
    </w:lvl>
    <w:lvl w:ilvl="5" w:tplc="B6B0F0AA">
      <w:start w:val="1"/>
      <w:numFmt w:val="bullet"/>
      <w:lvlText w:val=""/>
      <w:lvlJc w:val="left"/>
      <w:pPr>
        <w:ind w:left="4320" w:hanging="360"/>
      </w:pPr>
      <w:rPr>
        <w:rFonts w:ascii="Wingdings" w:hAnsi="Wingdings" w:hint="default"/>
      </w:rPr>
    </w:lvl>
    <w:lvl w:ilvl="6" w:tplc="40D237E2">
      <w:start w:val="1"/>
      <w:numFmt w:val="bullet"/>
      <w:lvlText w:val=""/>
      <w:lvlJc w:val="left"/>
      <w:pPr>
        <w:ind w:left="5040" w:hanging="360"/>
      </w:pPr>
      <w:rPr>
        <w:rFonts w:ascii="Symbol" w:hAnsi="Symbol" w:hint="default"/>
      </w:rPr>
    </w:lvl>
    <w:lvl w:ilvl="7" w:tplc="3614EA68">
      <w:start w:val="1"/>
      <w:numFmt w:val="bullet"/>
      <w:lvlText w:val="o"/>
      <w:lvlJc w:val="left"/>
      <w:pPr>
        <w:ind w:left="5760" w:hanging="360"/>
      </w:pPr>
      <w:rPr>
        <w:rFonts w:ascii="Courier New" w:hAnsi="Courier New" w:hint="default"/>
      </w:rPr>
    </w:lvl>
    <w:lvl w:ilvl="8" w:tplc="2766C7F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2832714C">
      <w:start w:val="1"/>
      <w:numFmt w:val="bullet"/>
      <w:lvlText w:val=""/>
      <w:lvlJc w:val="left"/>
      <w:pPr>
        <w:ind w:left="720" w:hanging="360"/>
      </w:pPr>
      <w:rPr>
        <w:rFonts w:ascii="Symbol" w:hAnsi="Symbol" w:hint="default"/>
      </w:rPr>
    </w:lvl>
    <w:lvl w:ilvl="1" w:tplc="0840D126">
      <w:start w:val="1"/>
      <w:numFmt w:val="bullet"/>
      <w:lvlText w:val="o"/>
      <w:lvlJc w:val="left"/>
      <w:pPr>
        <w:ind w:left="1440" w:hanging="360"/>
      </w:pPr>
      <w:rPr>
        <w:rFonts w:ascii="Courier New" w:hAnsi="Courier New" w:hint="default"/>
      </w:rPr>
    </w:lvl>
    <w:lvl w:ilvl="2" w:tplc="4CA82B72">
      <w:start w:val="1"/>
      <w:numFmt w:val="bullet"/>
      <w:lvlText w:val=""/>
      <w:lvlJc w:val="left"/>
      <w:pPr>
        <w:ind w:left="2160" w:hanging="360"/>
      </w:pPr>
      <w:rPr>
        <w:rFonts w:ascii="Wingdings" w:hAnsi="Wingdings" w:hint="default"/>
      </w:rPr>
    </w:lvl>
    <w:lvl w:ilvl="3" w:tplc="323A435C">
      <w:start w:val="1"/>
      <w:numFmt w:val="bullet"/>
      <w:lvlText w:val=""/>
      <w:lvlJc w:val="left"/>
      <w:pPr>
        <w:ind w:left="2880" w:hanging="360"/>
      </w:pPr>
      <w:rPr>
        <w:rFonts w:ascii="Symbol" w:hAnsi="Symbol" w:hint="default"/>
      </w:rPr>
    </w:lvl>
    <w:lvl w:ilvl="4" w:tplc="8C0E6D86">
      <w:start w:val="1"/>
      <w:numFmt w:val="bullet"/>
      <w:lvlText w:val="o"/>
      <w:lvlJc w:val="left"/>
      <w:pPr>
        <w:ind w:left="3600" w:hanging="360"/>
      </w:pPr>
      <w:rPr>
        <w:rFonts w:ascii="Courier New" w:hAnsi="Courier New" w:hint="default"/>
      </w:rPr>
    </w:lvl>
    <w:lvl w:ilvl="5" w:tplc="0846B794">
      <w:start w:val="1"/>
      <w:numFmt w:val="bullet"/>
      <w:lvlText w:val=""/>
      <w:lvlJc w:val="left"/>
      <w:pPr>
        <w:ind w:left="4320" w:hanging="360"/>
      </w:pPr>
      <w:rPr>
        <w:rFonts w:ascii="Wingdings" w:hAnsi="Wingdings" w:hint="default"/>
      </w:rPr>
    </w:lvl>
    <w:lvl w:ilvl="6" w:tplc="509E1862">
      <w:start w:val="1"/>
      <w:numFmt w:val="bullet"/>
      <w:lvlText w:val=""/>
      <w:lvlJc w:val="left"/>
      <w:pPr>
        <w:ind w:left="5040" w:hanging="360"/>
      </w:pPr>
      <w:rPr>
        <w:rFonts w:ascii="Symbol" w:hAnsi="Symbol" w:hint="default"/>
      </w:rPr>
    </w:lvl>
    <w:lvl w:ilvl="7" w:tplc="D0D067BE">
      <w:start w:val="1"/>
      <w:numFmt w:val="bullet"/>
      <w:lvlText w:val="o"/>
      <w:lvlJc w:val="left"/>
      <w:pPr>
        <w:ind w:left="5760" w:hanging="360"/>
      </w:pPr>
      <w:rPr>
        <w:rFonts w:ascii="Courier New" w:hAnsi="Courier New" w:hint="default"/>
      </w:rPr>
    </w:lvl>
    <w:lvl w:ilvl="8" w:tplc="49B408D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F4E22152">
      <w:start w:val="1"/>
      <w:numFmt w:val="bullet"/>
      <w:lvlText w:val=""/>
      <w:lvlJc w:val="left"/>
      <w:pPr>
        <w:ind w:left="720" w:hanging="360"/>
      </w:pPr>
      <w:rPr>
        <w:rFonts w:ascii="Symbol" w:hAnsi="Symbol" w:hint="default"/>
      </w:rPr>
    </w:lvl>
    <w:lvl w:ilvl="1" w:tplc="D3286434">
      <w:start w:val="1"/>
      <w:numFmt w:val="bullet"/>
      <w:lvlText w:val="o"/>
      <w:lvlJc w:val="left"/>
      <w:pPr>
        <w:ind w:left="1440" w:hanging="360"/>
      </w:pPr>
      <w:rPr>
        <w:rFonts w:ascii="Courier New" w:hAnsi="Courier New" w:hint="default"/>
      </w:rPr>
    </w:lvl>
    <w:lvl w:ilvl="2" w:tplc="830CC5C6">
      <w:start w:val="1"/>
      <w:numFmt w:val="bullet"/>
      <w:lvlText w:val=""/>
      <w:lvlJc w:val="left"/>
      <w:pPr>
        <w:ind w:left="2160" w:hanging="360"/>
      </w:pPr>
      <w:rPr>
        <w:rFonts w:ascii="Wingdings" w:hAnsi="Wingdings" w:hint="default"/>
      </w:rPr>
    </w:lvl>
    <w:lvl w:ilvl="3" w:tplc="C9382222">
      <w:start w:val="1"/>
      <w:numFmt w:val="bullet"/>
      <w:lvlText w:val=""/>
      <w:lvlJc w:val="left"/>
      <w:pPr>
        <w:ind w:left="2880" w:hanging="360"/>
      </w:pPr>
      <w:rPr>
        <w:rFonts w:ascii="Symbol" w:hAnsi="Symbol" w:hint="default"/>
      </w:rPr>
    </w:lvl>
    <w:lvl w:ilvl="4" w:tplc="CE3E9E96">
      <w:start w:val="1"/>
      <w:numFmt w:val="bullet"/>
      <w:lvlText w:val="o"/>
      <w:lvlJc w:val="left"/>
      <w:pPr>
        <w:ind w:left="3600" w:hanging="360"/>
      </w:pPr>
      <w:rPr>
        <w:rFonts w:ascii="Courier New" w:hAnsi="Courier New" w:hint="default"/>
      </w:rPr>
    </w:lvl>
    <w:lvl w:ilvl="5" w:tplc="6B56405A">
      <w:start w:val="1"/>
      <w:numFmt w:val="bullet"/>
      <w:lvlText w:val=""/>
      <w:lvlJc w:val="left"/>
      <w:pPr>
        <w:ind w:left="4320" w:hanging="360"/>
      </w:pPr>
      <w:rPr>
        <w:rFonts w:ascii="Wingdings" w:hAnsi="Wingdings" w:hint="default"/>
      </w:rPr>
    </w:lvl>
    <w:lvl w:ilvl="6" w:tplc="2280CB52">
      <w:start w:val="1"/>
      <w:numFmt w:val="bullet"/>
      <w:lvlText w:val=""/>
      <w:lvlJc w:val="left"/>
      <w:pPr>
        <w:ind w:left="5040" w:hanging="360"/>
      </w:pPr>
      <w:rPr>
        <w:rFonts w:ascii="Symbol" w:hAnsi="Symbol" w:hint="default"/>
      </w:rPr>
    </w:lvl>
    <w:lvl w:ilvl="7" w:tplc="BD68F8EE">
      <w:start w:val="1"/>
      <w:numFmt w:val="bullet"/>
      <w:lvlText w:val="o"/>
      <w:lvlJc w:val="left"/>
      <w:pPr>
        <w:ind w:left="5760" w:hanging="360"/>
      </w:pPr>
      <w:rPr>
        <w:rFonts w:ascii="Courier New" w:hAnsi="Courier New" w:hint="default"/>
      </w:rPr>
    </w:lvl>
    <w:lvl w:ilvl="8" w:tplc="8856DFC0">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FFFFFFF"/>
    <w:lvl w:ilvl="0" w:tplc="7F209494">
      <w:start w:val="1"/>
      <w:numFmt w:val="bullet"/>
      <w:lvlText w:val=""/>
      <w:lvlJc w:val="left"/>
      <w:pPr>
        <w:ind w:left="720" w:hanging="360"/>
      </w:pPr>
      <w:rPr>
        <w:rFonts w:ascii="Symbol" w:hAnsi="Symbol" w:hint="default"/>
      </w:rPr>
    </w:lvl>
    <w:lvl w:ilvl="1" w:tplc="763AED74">
      <w:start w:val="1"/>
      <w:numFmt w:val="bullet"/>
      <w:lvlText w:val="o"/>
      <w:lvlJc w:val="left"/>
      <w:pPr>
        <w:ind w:left="1440" w:hanging="360"/>
      </w:pPr>
      <w:rPr>
        <w:rFonts w:ascii="Courier New" w:hAnsi="Courier New" w:hint="default"/>
      </w:rPr>
    </w:lvl>
    <w:lvl w:ilvl="2" w:tplc="18B411F6">
      <w:start w:val="1"/>
      <w:numFmt w:val="bullet"/>
      <w:lvlText w:val=""/>
      <w:lvlJc w:val="left"/>
      <w:pPr>
        <w:ind w:left="2160" w:hanging="360"/>
      </w:pPr>
      <w:rPr>
        <w:rFonts w:ascii="Wingdings" w:hAnsi="Wingdings" w:hint="default"/>
      </w:rPr>
    </w:lvl>
    <w:lvl w:ilvl="3" w:tplc="6130D3D0">
      <w:start w:val="1"/>
      <w:numFmt w:val="bullet"/>
      <w:lvlText w:val=""/>
      <w:lvlJc w:val="left"/>
      <w:pPr>
        <w:ind w:left="2880" w:hanging="360"/>
      </w:pPr>
      <w:rPr>
        <w:rFonts w:ascii="Symbol" w:hAnsi="Symbol" w:hint="default"/>
      </w:rPr>
    </w:lvl>
    <w:lvl w:ilvl="4" w:tplc="52004A2A">
      <w:start w:val="1"/>
      <w:numFmt w:val="bullet"/>
      <w:lvlText w:val="o"/>
      <w:lvlJc w:val="left"/>
      <w:pPr>
        <w:ind w:left="3600" w:hanging="360"/>
      </w:pPr>
      <w:rPr>
        <w:rFonts w:ascii="Courier New" w:hAnsi="Courier New" w:hint="default"/>
      </w:rPr>
    </w:lvl>
    <w:lvl w:ilvl="5" w:tplc="95820FA2">
      <w:start w:val="1"/>
      <w:numFmt w:val="bullet"/>
      <w:lvlText w:val=""/>
      <w:lvlJc w:val="left"/>
      <w:pPr>
        <w:ind w:left="4320" w:hanging="360"/>
      </w:pPr>
      <w:rPr>
        <w:rFonts w:ascii="Wingdings" w:hAnsi="Wingdings" w:hint="default"/>
      </w:rPr>
    </w:lvl>
    <w:lvl w:ilvl="6" w:tplc="1214E2A4">
      <w:start w:val="1"/>
      <w:numFmt w:val="bullet"/>
      <w:lvlText w:val=""/>
      <w:lvlJc w:val="left"/>
      <w:pPr>
        <w:ind w:left="5040" w:hanging="360"/>
      </w:pPr>
      <w:rPr>
        <w:rFonts w:ascii="Symbol" w:hAnsi="Symbol" w:hint="default"/>
      </w:rPr>
    </w:lvl>
    <w:lvl w:ilvl="7" w:tplc="6D84DB94">
      <w:start w:val="1"/>
      <w:numFmt w:val="bullet"/>
      <w:lvlText w:val="o"/>
      <w:lvlJc w:val="left"/>
      <w:pPr>
        <w:ind w:left="5760" w:hanging="360"/>
      </w:pPr>
      <w:rPr>
        <w:rFonts w:ascii="Courier New" w:hAnsi="Courier New" w:hint="default"/>
      </w:rPr>
    </w:lvl>
    <w:lvl w:ilvl="8" w:tplc="4FC4871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FFFFFF"/>
    <w:lvl w:ilvl="0" w:tplc="C75482B4">
      <w:start w:val="1"/>
      <w:numFmt w:val="bullet"/>
      <w:lvlText w:val=""/>
      <w:lvlJc w:val="left"/>
      <w:pPr>
        <w:ind w:left="720" w:hanging="360"/>
      </w:pPr>
      <w:rPr>
        <w:rFonts w:ascii="Symbol" w:hAnsi="Symbol" w:hint="default"/>
      </w:rPr>
    </w:lvl>
    <w:lvl w:ilvl="1" w:tplc="B184C006">
      <w:start w:val="1"/>
      <w:numFmt w:val="bullet"/>
      <w:lvlText w:val="o"/>
      <w:lvlJc w:val="left"/>
      <w:pPr>
        <w:ind w:left="1440" w:hanging="360"/>
      </w:pPr>
      <w:rPr>
        <w:rFonts w:ascii="Courier New" w:hAnsi="Courier New" w:hint="default"/>
      </w:rPr>
    </w:lvl>
    <w:lvl w:ilvl="2" w:tplc="481E303E">
      <w:start w:val="1"/>
      <w:numFmt w:val="bullet"/>
      <w:lvlText w:val=""/>
      <w:lvlJc w:val="left"/>
      <w:pPr>
        <w:ind w:left="2160" w:hanging="360"/>
      </w:pPr>
      <w:rPr>
        <w:rFonts w:ascii="Wingdings" w:hAnsi="Wingdings" w:hint="default"/>
      </w:rPr>
    </w:lvl>
    <w:lvl w:ilvl="3" w:tplc="39A6042E">
      <w:start w:val="1"/>
      <w:numFmt w:val="bullet"/>
      <w:lvlText w:val=""/>
      <w:lvlJc w:val="left"/>
      <w:pPr>
        <w:ind w:left="2880" w:hanging="360"/>
      </w:pPr>
      <w:rPr>
        <w:rFonts w:ascii="Symbol" w:hAnsi="Symbol" w:hint="default"/>
      </w:rPr>
    </w:lvl>
    <w:lvl w:ilvl="4" w:tplc="A850999C">
      <w:start w:val="1"/>
      <w:numFmt w:val="bullet"/>
      <w:lvlText w:val="o"/>
      <w:lvlJc w:val="left"/>
      <w:pPr>
        <w:ind w:left="3600" w:hanging="360"/>
      </w:pPr>
      <w:rPr>
        <w:rFonts w:ascii="Courier New" w:hAnsi="Courier New" w:hint="default"/>
      </w:rPr>
    </w:lvl>
    <w:lvl w:ilvl="5" w:tplc="9C1EC9F2">
      <w:start w:val="1"/>
      <w:numFmt w:val="bullet"/>
      <w:lvlText w:val=""/>
      <w:lvlJc w:val="left"/>
      <w:pPr>
        <w:ind w:left="4320" w:hanging="360"/>
      </w:pPr>
      <w:rPr>
        <w:rFonts w:ascii="Wingdings" w:hAnsi="Wingdings" w:hint="default"/>
      </w:rPr>
    </w:lvl>
    <w:lvl w:ilvl="6" w:tplc="ED6E3AFC">
      <w:start w:val="1"/>
      <w:numFmt w:val="bullet"/>
      <w:lvlText w:val=""/>
      <w:lvlJc w:val="left"/>
      <w:pPr>
        <w:ind w:left="5040" w:hanging="360"/>
      </w:pPr>
      <w:rPr>
        <w:rFonts w:ascii="Symbol" w:hAnsi="Symbol" w:hint="default"/>
      </w:rPr>
    </w:lvl>
    <w:lvl w:ilvl="7" w:tplc="26C004DE">
      <w:start w:val="1"/>
      <w:numFmt w:val="bullet"/>
      <w:lvlText w:val="o"/>
      <w:lvlJc w:val="left"/>
      <w:pPr>
        <w:ind w:left="5760" w:hanging="360"/>
      </w:pPr>
      <w:rPr>
        <w:rFonts w:ascii="Courier New" w:hAnsi="Courier New" w:hint="default"/>
      </w:rPr>
    </w:lvl>
    <w:lvl w:ilvl="8" w:tplc="06589704">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FFFFFFF"/>
    <w:lvl w:ilvl="0" w:tplc="705AA9CE">
      <w:start w:val="1"/>
      <w:numFmt w:val="bullet"/>
      <w:lvlText w:val=""/>
      <w:lvlJc w:val="left"/>
      <w:pPr>
        <w:ind w:left="720" w:hanging="360"/>
      </w:pPr>
      <w:rPr>
        <w:rFonts w:ascii="Symbol" w:hAnsi="Symbol" w:hint="default"/>
      </w:rPr>
    </w:lvl>
    <w:lvl w:ilvl="1" w:tplc="D618EDB6">
      <w:start w:val="1"/>
      <w:numFmt w:val="bullet"/>
      <w:lvlText w:val="o"/>
      <w:lvlJc w:val="left"/>
      <w:pPr>
        <w:ind w:left="1440" w:hanging="360"/>
      </w:pPr>
      <w:rPr>
        <w:rFonts w:ascii="Courier New" w:hAnsi="Courier New" w:hint="default"/>
      </w:rPr>
    </w:lvl>
    <w:lvl w:ilvl="2" w:tplc="FC32D048">
      <w:start w:val="1"/>
      <w:numFmt w:val="bullet"/>
      <w:lvlText w:val=""/>
      <w:lvlJc w:val="left"/>
      <w:pPr>
        <w:ind w:left="2160" w:hanging="360"/>
      </w:pPr>
      <w:rPr>
        <w:rFonts w:ascii="Wingdings" w:hAnsi="Wingdings" w:hint="default"/>
      </w:rPr>
    </w:lvl>
    <w:lvl w:ilvl="3" w:tplc="0590E654">
      <w:start w:val="1"/>
      <w:numFmt w:val="bullet"/>
      <w:lvlText w:val=""/>
      <w:lvlJc w:val="left"/>
      <w:pPr>
        <w:ind w:left="2880" w:hanging="360"/>
      </w:pPr>
      <w:rPr>
        <w:rFonts w:ascii="Symbol" w:hAnsi="Symbol" w:hint="default"/>
      </w:rPr>
    </w:lvl>
    <w:lvl w:ilvl="4" w:tplc="D5F6DF68">
      <w:start w:val="1"/>
      <w:numFmt w:val="bullet"/>
      <w:lvlText w:val="o"/>
      <w:lvlJc w:val="left"/>
      <w:pPr>
        <w:ind w:left="3600" w:hanging="360"/>
      </w:pPr>
      <w:rPr>
        <w:rFonts w:ascii="Courier New" w:hAnsi="Courier New" w:hint="default"/>
      </w:rPr>
    </w:lvl>
    <w:lvl w:ilvl="5" w:tplc="447CCF36">
      <w:start w:val="1"/>
      <w:numFmt w:val="bullet"/>
      <w:lvlText w:val=""/>
      <w:lvlJc w:val="left"/>
      <w:pPr>
        <w:ind w:left="4320" w:hanging="360"/>
      </w:pPr>
      <w:rPr>
        <w:rFonts w:ascii="Wingdings" w:hAnsi="Wingdings" w:hint="default"/>
      </w:rPr>
    </w:lvl>
    <w:lvl w:ilvl="6" w:tplc="EC76228C">
      <w:start w:val="1"/>
      <w:numFmt w:val="bullet"/>
      <w:lvlText w:val=""/>
      <w:lvlJc w:val="left"/>
      <w:pPr>
        <w:ind w:left="5040" w:hanging="360"/>
      </w:pPr>
      <w:rPr>
        <w:rFonts w:ascii="Symbol" w:hAnsi="Symbol" w:hint="default"/>
      </w:rPr>
    </w:lvl>
    <w:lvl w:ilvl="7" w:tplc="BAA27CD6">
      <w:start w:val="1"/>
      <w:numFmt w:val="bullet"/>
      <w:lvlText w:val="o"/>
      <w:lvlJc w:val="left"/>
      <w:pPr>
        <w:ind w:left="5760" w:hanging="360"/>
      </w:pPr>
      <w:rPr>
        <w:rFonts w:ascii="Courier New" w:hAnsi="Courier New" w:hint="default"/>
      </w:rPr>
    </w:lvl>
    <w:lvl w:ilvl="8" w:tplc="96641946">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4459675">
    <w:abstractNumId w:val="11"/>
  </w:num>
  <w:num w:numId="2" w16cid:durableId="547760623">
    <w:abstractNumId w:val="12"/>
  </w:num>
  <w:num w:numId="3" w16cid:durableId="1144589947">
    <w:abstractNumId w:val="1"/>
  </w:num>
  <w:num w:numId="4" w16cid:durableId="1994291749">
    <w:abstractNumId w:val="3"/>
  </w:num>
  <w:num w:numId="5" w16cid:durableId="423495598">
    <w:abstractNumId w:val="15"/>
  </w:num>
  <w:num w:numId="6" w16cid:durableId="2133553420">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11C1"/>
    <w:rsid w:val="00183CB9"/>
    <w:rsid w:val="00184A9A"/>
    <w:rsid w:val="001947DF"/>
    <w:rsid w:val="001B22BB"/>
    <w:rsid w:val="001B619C"/>
    <w:rsid w:val="001D1D3C"/>
    <w:rsid w:val="002132CB"/>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EA9"/>
    <w:rsid w:val="00396F60"/>
    <w:rsid w:val="003A51D6"/>
    <w:rsid w:val="003B125E"/>
    <w:rsid w:val="003B2A5E"/>
    <w:rsid w:val="003C7C97"/>
    <w:rsid w:val="003E582E"/>
    <w:rsid w:val="00406B8D"/>
    <w:rsid w:val="00410068"/>
    <w:rsid w:val="0041618E"/>
    <w:rsid w:val="0042295C"/>
    <w:rsid w:val="00426EEC"/>
    <w:rsid w:val="004466C3"/>
    <w:rsid w:val="004552CE"/>
    <w:rsid w:val="0047F652"/>
    <w:rsid w:val="00481FF7"/>
    <w:rsid w:val="00500295"/>
    <w:rsid w:val="00501AAF"/>
    <w:rsid w:val="00527AFA"/>
    <w:rsid w:val="005419DA"/>
    <w:rsid w:val="00560E01"/>
    <w:rsid w:val="005678AC"/>
    <w:rsid w:val="005679BD"/>
    <w:rsid w:val="005709B1"/>
    <w:rsid w:val="00572B3B"/>
    <w:rsid w:val="005836D2"/>
    <w:rsid w:val="00587C58"/>
    <w:rsid w:val="005A7FD4"/>
    <w:rsid w:val="005B1A84"/>
    <w:rsid w:val="005D1AF9"/>
    <w:rsid w:val="005D2A2D"/>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0916"/>
    <w:rsid w:val="007138EF"/>
    <w:rsid w:val="007632A9"/>
    <w:rsid w:val="00774092"/>
    <w:rsid w:val="0077598F"/>
    <w:rsid w:val="00782830"/>
    <w:rsid w:val="0078664A"/>
    <w:rsid w:val="007A3D10"/>
    <w:rsid w:val="007B0F6D"/>
    <w:rsid w:val="007B268A"/>
    <w:rsid w:val="007B38D9"/>
    <w:rsid w:val="007C62C3"/>
    <w:rsid w:val="007D25AA"/>
    <w:rsid w:val="007D4252"/>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08AD"/>
    <w:rsid w:val="00AE35BF"/>
    <w:rsid w:val="00B1067E"/>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550F6"/>
    <w:rsid w:val="00D64A0D"/>
    <w:rsid w:val="00D676C3"/>
    <w:rsid w:val="00D750B4"/>
    <w:rsid w:val="00D81C18"/>
    <w:rsid w:val="00D8461A"/>
    <w:rsid w:val="00D95CAF"/>
    <w:rsid w:val="00DB60B6"/>
    <w:rsid w:val="00DC1CC6"/>
    <w:rsid w:val="00DD5135"/>
    <w:rsid w:val="00DE6C00"/>
    <w:rsid w:val="00E067A8"/>
    <w:rsid w:val="00E13924"/>
    <w:rsid w:val="00E15FD5"/>
    <w:rsid w:val="00E1725A"/>
    <w:rsid w:val="00E33758"/>
    <w:rsid w:val="00E53E5E"/>
    <w:rsid w:val="00E64325"/>
    <w:rsid w:val="00E673C5"/>
    <w:rsid w:val="00E67967"/>
    <w:rsid w:val="00E74150"/>
    <w:rsid w:val="00E82723"/>
    <w:rsid w:val="00E9564C"/>
    <w:rsid w:val="00EA29A5"/>
    <w:rsid w:val="00EC107C"/>
    <w:rsid w:val="00EC7EBE"/>
    <w:rsid w:val="00EC7FD2"/>
    <w:rsid w:val="00ED5964"/>
    <w:rsid w:val="00EE72ED"/>
    <w:rsid w:val="00F1720B"/>
    <w:rsid w:val="00F36ADC"/>
    <w:rsid w:val="00F605C6"/>
    <w:rsid w:val="00F6785B"/>
    <w:rsid w:val="00F8162A"/>
    <w:rsid w:val="00F9012D"/>
    <w:rsid w:val="00F915D6"/>
    <w:rsid w:val="00FF2B0A"/>
    <w:rsid w:val="00FF5D06"/>
    <w:rsid w:val="0156E134"/>
    <w:rsid w:val="0174FE42"/>
    <w:rsid w:val="02AEF76F"/>
    <w:rsid w:val="039D865D"/>
    <w:rsid w:val="03AB903A"/>
    <w:rsid w:val="03F72721"/>
    <w:rsid w:val="04019B15"/>
    <w:rsid w:val="04D669FE"/>
    <w:rsid w:val="071F48DC"/>
    <w:rsid w:val="0A1BD9C6"/>
    <w:rsid w:val="0C5D0C5C"/>
    <w:rsid w:val="0CF501EC"/>
    <w:rsid w:val="13BD3D5D"/>
    <w:rsid w:val="14AA69B9"/>
    <w:rsid w:val="18625B0D"/>
    <w:rsid w:val="1A27FBCF"/>
    <w:rsid w:val="1D6726A1"/>
    <w:rsid w:val="1E060DF5"/>
    <w:rsid w:val="1F09BC6E"/>
    <w:rsid w:val="209C6AFA"/>
    <w:rsid w:val="239B752F"/>
    <w:rsid w:val="239D44BA"/>
    <w:rsid w:val="24BEEA49"/>
    <w:rsid w:val="28E29A39"/>
    <w:rsid w:val="2BDF5C80"/>
    <w:rsid w:val="3464B4D3"/>
    <w:rsid w:val="35EDF16F"/>
    <w:rsid w:val="3697CCBD"/>
    <w:rsid w:val="37E0668F"/>
    <w:rsid w:val="3C659699"/>
    <w:rsid w:val="3D6135D7"/>
    <w:rsid w:val="40F0AB75"/>
    <w:rsid w:val="45F7FCBB"/>
    <w:rsid w:val="47AB21B7"/>
    <w:rsid w:val="48942F29"/>
    <w:rsid w:val="4972012C"/>
    <w:rsid w:val="4DA29D29"/>
    <w:rsid w:val="4E707105"/>
    <w:rsid w:val="506F78BE"/>
    <w:rsid w:val="5293F137"/>
    <w:rsid w:val="549B9698"/>
    <w:rsid w:val="54E49551"/>
    <w:rsid w:val="556E2D6A"/>
    <w:rsid w:val="5617AA6E"/>
    <w:rsid w:val="59AB5A3E"/>
    <w:rsid w:val="59FDF74E"/>
    <w:rsid w:val="5B5435BF"/>
    <w:rsid w:val="5CE671C3"/>
    <w:rsid w:val="5CF7C3DB"/>
    <w:rsid w:val="5D18D413"/>
    <w:rsid w:val="5D49BF1F"/>
    <w:rsid w:val="5EB28EA7"/>
    <w:rsid w:val="621430C3"/>
    <w:rsid w:val="6288133F"/>
    <w:rsid w:val="653BE314"/>
    <w:rsid w:val="655ACEAB"/>
    <w:rsid w:val="6647C72F"/>
    <w:rsid w:val="66EBA1AA"/>
    <w:rsid w:val="674276F3"/>
    <w:rsid w:val="697B2DD9"/>
    <w:rsid w:val="6CD03BBB"/>
    <w:rsid w:val="6DAC9956"/>
    <w:rsid w:val="6F3208D0"/>
    <w:rsid w:val="759A1527"/>
    <w:rsid w:val="77CB36E0"/>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s4">
    <w:name w:val="s4"/>
    <w:basedOn w:val="Normal"/>
    <w:rsid w:val="001811C1"/>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paragraph" w:customStyle="1" w:styleId="s12">
    <w:name w:val="s12"/>
    <w:basedOn w:val="Normal"/>
    <w:rsid w:val="00710916"/>
    <w:pPr>
      <w:spacing w:before="100" w:beforeAutospacing="1" w:after="100" w:afterAutospacing="1" w:line="240" w:lineRule="auto"/>
    </w:pPr>
    <w:rPr>
      <w:rFonts w:ascii="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2149</Words>
  <Characters>12253</Characters>
  <Application>Microsoft Office Word</Application>
  <DocSecurity>0</DocSecurity>
  <Lines>102</Lines>
  <Paragraphs>28</Paragraphs>
  <ScaleCrop>false</ScaleCrop>
  <Company>University of Wales Trinity Saint David</Company>
  <LinksUpToDate>false</LinksUpToDate>
  <CharactersWithSpaces>14374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Moustapha Ndiaye (2540504)</cp:lastModifiedBy>
  <cp:revision>15</cp:revision>
  <dcterms:created xsi:type="dcterms:W3CDTF">2026-08-13T11:52:00Z</dcterms:created>
  <dcterms:modified xsi:type="dcterms:W3CDTF">2026-08-14T23:55:00Z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