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8EB33" w14:textId="77777777" w:rsidR="00C625E3" w:rsidRPr="00854702" w:rsidRDefault="00C625E3" w:rsidP="00854702">
      <w:pPr>
        <w:spacing w:line="360" w:lineRule="auto"/>
        <w:jc w:val="center"/>
        <w:rPr>
          <w:rFonts w:ascii="Arial" w:hAnsi="Arial" w:cs="Arial"/>
          <w:b/>
          <w:sz w:val="24"/>
        </w:rPr>
      </w:pPr>
      <w:bookmarkStart w:id="0" w:name="_Hlk8037876"/>
      <w:r w:rsidRPr="00854702">
        <w:rPr>
          <w:rFonts w:ascii="Arial" w:hAnsi="Arial" w:cs="Arial"/>
          <w:b/>
          <w:sz w:val="24"/>
        </w:rPr>
        <w:t>How were women involved in the Peasants’ Revolt of 1381, and why is their involvement significant to the study of gender in fourteenth-century England?</w:t>
      </w:r>
    </w:p>
    <w:p w14:paraId="3043C4A4" w14:textId="77777777" w:rsidR="00C625E3" w:rsidRPr="00854702" w:rsidRDefault="00C625E3" w:rsidP="00854702">
      <w:pPr>
        <w:spacing w:line="360" w:lineRule="auto"/>
        <w:rPr>
          <w:rFonts w:ascii="Arial" w:hAnsi="Arial" w:cs="Arial"/>
          <w:sz w:val="24"/>
        </w:rPr>
      </w:pPr>
      <w:r w:rsidRPr="00854702">
        <w:rPr>
          <w:rFonts w:ascii="Arial" w:hAnsi="Arial" w:cs="Arial"/>
          <w:sz w:val="24"/>
        </w:rPr>
        <w:t>One of the most infamous figures of the Peasants’ Revolt is the rebellious peasant leader known as Walter “Wat” Tyler, and in a period of social disruption once presumably dominated by men, women appear to have slipped through the pages of contemporary writing. Much of the surviving contemporary work is evidently heavily influenced by men of monastic houses, and pioneering historians such as Elizabeth van Houts and Eileen Power will prove particularly useful when exploring the role of women within fourteenth-century society, essentially using modern scholarship to rewrite women back into ecclesiastical histories and chronicles.</w:t>
      </w:r>
      <w:r w:rsidRPr="00854702">
        <w:rPr>
          <w:rStyle w:val="FootnoteReference"/>
          <w:rFonts w:ascii="Arial" w:hAnsi="Arial" w:cs="Arial"/>
          <w:sz w:val="24"/>
        </w:rPr>
        <w:footnoteReference w:id="1"/>
      </w:r>
      <w:r w:rsidRPr="00854702">
        <w:rPr>
          <w:rFonts w:ascii="Arial" w:hAnsi="Arial" w:cs="Arial"/>
          <w:sz w:val="24"/>
        </w:rPr>
        <w:t xml:space="preserve"> Being able to utilise the majority of surviving written material from the fourteenth century such as legal documentation and literary works, allows the essay to explore the involvement of women without the sole reliance on heavily influential monastic texts. There are of course distinctions to be made when assuming women’s involvement in the Peasants’ Revolt, as many women were unlikely to have been willing participants and should therefore be considered as victims, an idea that will inevitably change the eventual answer to the above research question. </w:t>
      </w:r>
    </w:p>
    <w:p w14:paraId="32DB9B80" w14:textId="10B032AC" w:rsidR="00C625E3" w:rsidRPr="00854702" w:rsidRDefault="00C625E3" w:rsidP="00854702">
      <w:pPr>
        <w:spacing w:line="360" w:lineRule="auto"/>
        <w:rPr>
          <w:rFonts w:ascii="Arial" w:hAnsi="Arial" w:cs="Arial"/>
          <w:sz w:val="24"/>
        </w:rPr>
      </w:pPr>
      <w:r w:rsidRPr="00854702">
        <w:rPr>
          <w:rFonts w:ascii="Arial" w:hAnsi="Arial" w:cs="Arial"/>
          <w:sz w:val="24"/>
        </w:rPr>
        <w:t xml:space="preserve">There are numerous modern academic works exploring the roles of women in fourteenth-century Europe, in addition to innumerable works on the Peasants’ Revolt, </w:t>
      </w:r>
      <w:proofErr w:type="gramStart"/>
      <w:r w:rsidRPr="00854702">
        <w:rPr>
          <w:rFonts w:ascii="Arial" w:hAnsi="Arial" w:cs="Arial"/>
          <w:sz w:val="24"/>
        </w:rPr>
        <w:t>however</w:t>
      </w:r>
      <w:proofErr w:type="gramEnd"/>
      <w:r w:rsidRPr="00854702">
        <w:rPr>
          <w:rFonts w:ascii="Arial" w:hAnsi="Arial" w:cs="Arial"/>
          <w:sz w:val="24"/>
        </w:rPr>
        <w:t xml:space="preserve"> there appears to be very little cross over between the two areas of research. This does not </w:t>
      </w:r>
      <w:r w:rsidR="00DC621C">
        <w:rPr>
          <w:rFonts w:ascii="Arial" w:hAnsi="Arial" w:cs="Arial"/>
          <w:sz w:val="24"/>
        </w:rPr>
        <w:t>the</w:t>
      </w:r>
      <w:r w:rsidRPr="00854702">
        <w:rPr>
          <w:rFonts w:ascii="Arial" w:hAnsi="Arial" w:cs="Arial"/>
          <w:sz w:val="24"/>
        </w:rPr>
        <w:t>r</w:t>
      </w:r>
      <w:r w:rsidR="00DC621C">
        <w:rPr>
          <w:rFonts w:ascii="Arial" w:hAnsi="Arial" w:cs="Arial"/>
          <w:sz w:val="24"/>
        </w:rPr>
        <w:t>efore</w:t>
      </w:r>
      <w:r w:rsidRPr="00854702">
        <w:rPr>
          <w:rFonts w:ascii="Arial" w:hAnsi="Arial" w:cs="Arial"/>
          <w:sz w:val="24"/>
        </w:rPr>
        <w:t xml:space="preserve"> discredit the work of historians such as Sylvia Federico, whose work titled </w:t>
      </w:r>
      <w:r w:rsidRPr="00854702">
        <w:rPr>
          <w:rFonts w:ascii="Arial" w:hAnsi="Arial" w:cs="Arial"/>
          <w:i/>
          <w:sz w:val="24"/>
        </w:rPr>
        <w:t xml:space="preserve">The Imaginary Society: Women in 1381 </w:t>
      </w:r>
      <w:r w:rsidRPr="00854702">
        <w:rPr>
          <w:rFonts w:ascii="Arial" w:hAnsi="Arial" w:cs="Arial"/>
          <w:sz w:val="24"/>
        </w:rPr>
        <w:t>presents a narrowed focus of research that will prove incredibly useful to this essay.</w:t>
      </w:r>
      <w:r w:rsidRPr="00854702">
        <w:rPr>
          <w:rStyle w:val="FootnoteReference"/>
          <w:rFonts w:ascii="Arial" w:hAnsi="Arial" w:cs="Arial"/>
          <w:sz w:val="24"/>
        </w:rPr>
        <w:footnoteReference w:id="2"/>
      </w:r>
      <w:r w:rsidRPr="00854702">
        <w:rPr>
          <w:rFonts w:ascii="Arial" w:hAnsi="Arial" w:cs="Arial"/>
          <w:sz w:val="24"/>
        </w:rPr>
        <w:t xml:space="preserve"> The ability to identify the lack of academic focus on female involvement during the Peasants’ Revolt will prove crucial to the consideration of contemporary source material used by historians and the impact on modern scholarly works. It seems beneficial to discuss the problematic use of the phrasing ‘The Peasants’ Revolt’ within an academic context, being worthy of note that those partaking in the revolt were not entirely of the lower echelons of society, and to use the phrase within academic work disregards individuals of higher authority whose </w:t>
      </w:r>
      <w:r w:rsidRPr="00854702">
        <w:rPr>
          <w:rFonts w:ascii="Arial" w:hAnsi="Arial" w:cs="Arial"/>
          <w:sz w:val="24"/>
        </w:rPr>
        <w:lastRenderedPageBreak/>
        <w:t>involvement in the rebellion against taxation would have had significant impact. Historians Terry Jones and Alan Ereira mention the term to be academically inappropriate due to the lack of faith in Jean Froissart’s evaluation of the events of 1381, his crude and harsh portrayal of participants are no longer accepted as an accurate representation of medieval society.</w:t>
      </w:r>
      <w:r w:rsidRPr="00854702">
        <w:rPr>
          <w:rStyle w:val="FootnoteReference"/>
          <w:rFonts w:ascii="Arial" w:hAnsi="Arial" w:cs="Arial"/>
          <w:sz w:val="24"/>
        </w:rPr>
        <w:footnoteReference w:id="3"/>
      </w:r>
      <w:r w:rsidRPr="00854702">
        <w:rPr>
          <w:rFonts w:ascii="Arial" w:hAnsi="Arial" w:cs="Arial"/>
          <w:sz w:val="24"/>
        </w:rPr>
        <w:t xml:space="preserve"> The medieval French historian and author</w:t>
      </w:r>
      <w:r w:rsidRPr="00854702">
        <w:rPr>
          <w:rFonts w:ascii="Arial" w:hAnsi="Arial" w:cs="Arial"/>
          <w:i/>
          <w:sz w:val="24"/>
        </w:rPr>
        <w:t xml:space="preserve"> </w:t>
      </w:r>
      <w:r w:rsidRPr="00854702">
        <w:rPr>
          <w:rFonts w:ascii="Arial" w:hAnsi="Arial" w:cs="Arial"/>
          <w:sz w:val="24"/>
        </w:rPr>
        <w:t>Jean Froissart appears as a vital chronicler during the first half of the Hundred Years War, with his great interest in chivalry presenting a particularly negative portrayal of the uprising and reaffirms many other contemporary chroniclers.</w:t>
      </w:r>
      <w:r w:rsidRPr="00854702">
        <w:rPr>
          <w:rStyle w:val="FootnoteReference"/>
          <w:rFonts w:ascii="Arial" w:hAnsi="Arial" w:cs="Arial"/>
          <w:sz w:val="24"/>
        </w:rPr>
        <w:footnoteReference w:id="4"/>
      </w:r>
      <w:r w:rsidRPr="00854702">
        <w:rPr>
          <w:rFonts w:ascii="Arial" w:hAnsi="Arial" w:cs="Arial"/>
          <w:sz w:val="24"/>
        </w:rPr>
        <w:t xml:space="preserve"> The ability to compare contemporary chronicles enables modern scholars to explore the ‘identity’ of those participating in the revolt, and question whether they really were ‘rustics’ instead of socially oppressed men and women.</w:t>
      </w:r>
    </w:p>
    <w:p w14:paraId="2DE941C3" w14:textId="77777777" w:rsidR="00C625E3" w:rsidRPr="00854702" w:rsidRDefault="00C625E3" w:rsidP="00854702">
      <w:pPr>
        <w:spacing w:line="360" w:lineRule="auto"/>
        <w:rPr>
          <w:rFonts w:ascii="Arial" w:hAnsi="Arial" w:cs="Arial"/>
          <w:sz w:val="24"/>
        </w:rPr>
      </w:pPr>
      <w:r w:rsidRPr="00854702">
        <w:rPr>
          <w:rFonts w:ascii="Arial" w:hAnsi="Arial" w:cs="Arial"/>
          <w:sz w:val="24"/>
        </w:rPr>
        <w:t>In order to consider the involvement of women in the uprising, the essay will rely upon surviving contemporary material, with both implicit and explicit references to women of the fourteenth century. The essay will benefit heavily from surviving written material, drawing upon legal and secular works such as records of pardons and taxation documents in order to establish statistics that may prove beneficial to historians. Furthermore, contemporary literature emphasising socially normative views on both the lower tiers of society as well as women will prove useful to the essay, in particular the work of Geoffrey Chaucer has been favoured by modern scholars as a result of the implicit information given through his unwitting testimony.</w:t>
      </w:r>
      <w:r w:rsidRPr="00854702">
        <w:rPr>
          <w:rStyle w:val="FootnoteReference"/>
          <w:rFonts w:ascii="Arial" w:hAnsi="Arial" w:cs="Arial"/>
          <w:sz w:val="24"/>
        </w:rPr>
        <w:footnoteReference w:id="5"/>
      </w:r>
      <w:r w:rsidRPr="00854702">
        <w:rPr>
          <w:rFonts w:ascii="Arial" w:hAnsi="Arial" w:cs="Arial"/>
          <w:sz w:val="24"/>
        </w:rPr>
        <w:t xml:space="preserve"> As mentioned briefly above, there could arguably be absences in existing literature on female involvement in the events of 1381, with vast quantities of academic research into women of the fourteenth century as well as the events of the Peasants’ Revolt, there is limited crossover between the two areas of academic interest.</w:t>
      </w:r>
      <w:r w:rsidRPr="00854702">
        <w:rPr>
          <w:rStyle w:val="FootnoteReference"/>
          <w:rFonts w:ascii="Arial" w:hAnsi="Arial" w:cs="Arial"/>
          <w:sz w:val="24"/>
        </w:rPr>
        <w:footnoteReference w:id="6"/>
      </w:r>
      <w:r w:rsidRPr="00854702">
        <w:rPr>
          <w:rFonts w:ascii="Arial" w:hAnsi="Arial" w:cs="Arial"/>
          <w:sz w:val="24"/>
        </w:rPr>
        <w:t xml:space="preserve"> With a lack of explicit contemporary information on female involvement in the uprising, there could therefore be an explanation for the narrow modern academic research. In addition to reading works by academics with research interests in gender studies, the essay will also benefit from </w:t>
      </w:r>
      <w:r w:rsidRPr="00854702">
        <w:rPr>
          <w:rFonts w:ascii="Arial" w:hAnsi="Arial" w:cs="Arial"/>
          <w:sz w:val="24"/>
        </w:rPr>
        <w:lastRenderedPageBreak/>
        <w:t>work by historians of social and economic disciplines in order to understand general motivations for revolt, and how these may have influenced women of the fourteenth century to partake.</w:t>
      </w:r>
      <w:r w:rsidRPr="00854702">
        <w:rPr>
          <w:rStyle w:val="FootnoteReference"/>
          <w:rFonts w:ascii="Arial" w:hAnsi="Arial" w:cs="Arial"/>
          <w:sz w:val="24"/>
        </w:rPr>
        <w:footnoteReference w:id="7"/>
      </w:r>
      <w:r w:rsidRPr="00854702">
        <w:rPr>
          <w:rFonts w:ascii="Arial" w:hAnsi="Arial" w:cs="Arial"/>
          <w:sz w:val="24"/>
        </w:rPr>
        <w:t xml:space="preserve">  </w:t>
      </w:r>
    </w:p>
    <w:p w14:paraId="688C9B85" w14:textId="77777777" w:rsidR="00C625E3" w:rsidRPr="00854702" w:rsidRDefault="00C625E3" w:rsidP="00854702">
      <w:pPr>
        <w:spacing w:line="360" w:lineRule="auto"/>
        <w:rPr>
          <w:rFonts w:ascii="Arial" w:hAnsi="Arial" w:cs="Arial"/>
          <w:sz w:val="24"/>
        </w:rPr>
      </w:pPr>
      <w:r w:rsidRPr="00854702">
        <w:rPr>
          <w:rFonts w:ascii="Arial" w:hAnsi="Arial" w:cs="Arial"/>
          <w:sz w:val="24"/>
        </w:rPr>
        <w:t>Gender Studies is established as an academic discipline in the late-twentieth century, driven by the activism of the women’s liberation movement that would ultimately change how women have been documented throughout history, ‘set up as courses within traditional disciplines such as sociology, literature, and history, to add knowledge provided by, for, and about women that had previously been systematically hidden or side-lined.’</w:t>
      </w:r>
      <w:r w:rsidRPr="00854702">
        <w:rPr>
          <w:rStyle w:val="FootnoteReference"/>
          <w:rFonts w:ascii="Arial" w:hAnsi="Arial" w:cs="Arial"/>
          <w:sz w:val="24"/>
        </w:rPr>
        <w:footnoteReference w:id="8"/>
      </w:r>
      <w:r w:rsidRPr="00854702">
        <w:rPr>
          <w:rFonts w:ascii="Arial" w:hAnsi="Arial" w:cs="Arial"/>
          <w:sz w:val="24"/>
        </w:rPr>
        <w:t xml:space="preserve"> The gradual shift from feminist studies to gender studies sees the continuation of medieval women being written back into contemporary documentation, along with the overarching academic understanding of all members of society, just as women are inferior to queens, lower class men were equally as inferior and insignificant to kings and noblemen.</w:t>
      </w:r>
      <w:r w:rsidRPr="00854702">
        <w:rPr>
          <w:rStyle w:val="FootnoteReference"/>
          <w:rFonts w:ascii="Arial" w:hAnsi="Arial" w:cs="Arial"/>
          <w:sz w:val="24"/>
        </w:rPr>
        <w:footnoteReference w:id="9"/>
      </w:r>
      <w:r w:rsidRPr="00854702">
        <w:rPr>
          <w:rFonts w:ascii="Arial" w:hAnsi="Arial" w:cs="Arial"/>
          <w:sz w:val="24"/>
        </w:rPr>
        <w:t xml:space="preserve"> The essay will make great use of modern academics who have seen fit to rewrite women into the secular and monastic pages of the fourteenth century, having been dominated greatly by ecclesiastical men.</w:t>
      </w:r>
      <w:r w:rsidRPr="00854702">
        <w:rPr>
          <w:rStyle w:val="FootnoteReference"/>
          <w:rFonts w:ascii="Arial" w:hAnsi="Arial" w:cs="Arial"/>
          <w:sz w:val="24"/>
        </w:rPr>
        <w:footnoteReference w:id="10"/>
      </w:r>
      <w:r w:rsidRPr="00854702">
        <w:rPr>
          <w:rFonts w:ascii="Arial" w:hAnsi="Arial" w:cs="Arial"/>
          <w:sz w:val="24"/>
        </w:rPr>
        <w:t xml:space="preserve"> Some medieval historians have acknowledged that both gender and sex prove to be strictly constructed by society, as mentioned by Madeline H Caviness, who highlights the separation between higher ranks of society through activities and dress, however within the lower echelons of medieval Europe, women and men often perform the same activities.</w:t>
      </w:r>
      <w:r w:rsidRPr="00854702">
        <w:rPr>
          <w:rStyle w:val="FootnoteReference"/>
          <w:rFonts w:ascii="Arial" w:hAnsi="Arial" w:cs="Arial"/>
          <w:sz w:val="24"/>
        </w:rPr>
        <w:footnoteReference w:id="11"/>
      </w:r>
      <w:r w:rsidRPr="00854702">
        <w:rPr>
          <w:rFonts w:ascii="Arial" w:hAnsi="Arial" w:cs="Arial"/>
          <w:sz w:val="24"/>
        </w:rPr>
        <w:t xml:space="preserve"> There is the developed understanding that within ideas of medieval ideology, individuals such as Aquinas were granted high praise and acknowledgement for ideas surrounding female inferiority to men, contributing heavily to a god-fearing society under the control of the Catholic Church.</w:t>
      </w:r>
      <w:r w:rsidRPr="00854702">
        <w:rPr>
          <w:rStyle w:val="FootnoteReference"/>
          <w:rFonts w:ascii="Arial" w:hAnsi="Arial" w:cs="Arial"/>
          <w:sz w:val="24"/>
        </w:rPr>
        <w:footnoteReference w:id="12"/>
      </w:r>
      <w:r w:rsidRPr="00854702">
        <w:rPr>
          <w:rFonts w:ascii="Arial" w:hAnsi="Arial" w:cs="Arial"/>
          <w:sz w:val="24"/>
        </w:rPr>
        <w:t xml:space="preserve">  Elizabeth van Houts states clearly in her work that ‘once the issue of gender is introduced, the scope of the study is greatly broadened’, an argument that testifies for the ever increasing interest and literature on </w:t>
      </w:r>
      <w:r w:rsidRPr="00854702">
        <w:rPr>
          <w:rFonts w:ascii="Arial" w:hAnsi="Arial" w:cs="Arial"/>
          <w:sz w:val="24"/>
        </w:rPr>
        <w:lastRenderedPageBreak/>
        <w:t>all members of medieval society, without the limitations of gender and class.</w:t>
      </w:r>
      <w:r w:rsidRPr="00854702">
        <w:rPr>
          <w:rStyle w:val="FootnoteReference"/>
          <w:rFonts w:ascii="Arial" w:hAnsi="Arial" w:cs="Arial"/>
          <w:sz w:val="24"/>
        </w:rPr>
        <w:footnoteReference w:id="13"/>
      </w:r>
      <w:r w:rsidRPr="00854702">
        <w:rPr>
          <w:rFonts w:ascii="Arial" w:hAnsi="Arial" w:cs="Arial"/>
          <w:sz w:val="24"/>
        </w:rPr>
        <w:t xml:space="preserve"> This does not however discredit the importance of gender studies to medieval historians; Caviness highlights that some scholars show a certain resistance to the claim that feminism is coming to a close and with the increasing body of academic work, medieval historians have only broadened the understanding of medieval Europe.</w:t>
      </w:r>
      <w:r w:rsidRPr="00854702">
        <w:rPr>
          <w:rStyle w:val="FootnoteReference"/>
          <w:rFonts w:ascii="Arial" w:hAnsi="Arial" w:cs="Arial"/>
          <w:sz w:val="24"/>
        </w:rPr>
        <w:footnoteReference w:id="14"/>
      </w:r>
    </w:p>
    <w:bookmarkEnd w:id="0"/>
    <w:p w14:paraId="75373AAB" w14:textId="68C9057E" w:rsidR="00C625E3" w:rsidRPr="00854702" w:rsidRDefault="00C625E3" w:rsidP="00854702">
      <w:pPr>
        <w:spacing w:line="360" w:lineRule="auto"/>
        <w:rPr>
          <w:rFonts w:ascii="Arial" w:hAnsi="Arial" w:cs="Arial"/>
          <w:sz w:val="24"/>
        </w:rPr>
      </w:pPr>
      <w:r w:rsidRPr="00854702">
        <w:rPr>
          <w:rFonts w:ascii="Arial" w:hAnsi="Arial" w:cs="Arial"/>
          <w:sz w:val="24"/>
        </w:rPr>
        <w:t>It would be foolish to consider the socio-economic factors for female involvement in the uprising without briefly exploring the impact that the Black Death would have had on society. Having reduced the population of Europe significantly, the Black Death undoubtedly led to a strain on social structures, with labourers then able to demand wage increases and move across the country in search of better paid work, subsequently contributing to the urbanisation of towns and counties.</w:t>
      </w:r>
      <w:r w:rsidRPr="00854702">
        <w:rPr>
          <w:rStyle w:val="FootnoteReference"/>
          <w:rFonts w:ascii="Arial" w:hAnsi="Arial" w:cs="Arial"/>
          <w:sz w:val="24"/>
        </w:rPr>
        <w:footnoteReference w:id="15"/>
      </w:r>
      <w:r w:rsidRPr="00854702">
        <w:rPr>
          <w:rFonts w:ascii="Arial" w:hAnsi="Arial" w:cs="Arial"/>
          <w:sz w:val="24"/>
        </w:rPr>
        <w:t xml:space="preserve"> Historian Philip Ziegler makes reference to the weakened power of the landowner and the relief that the third poll tax would have caused, that ‘the result was resentment on the part of the serfs which simmered angrily for thirty years and finally erupted in 1381 in the shape of the Peasants’ Revolt.’</w:t>
      </w:r>
      <w:r w:rsidRPr="00854702">
        <w:rPr>
          <w:rStyle w:val="FootnoteReference"/>
          <w:rFonts w:ascii="Arial" w:hAnsi="Arial" w:cs="Arial"/>
          <w:sz w:val="24"/>
        </w:rPr>
        <w:footnoteReference w:id="16"/>
      </w:r>
      <w:r w:rsidRPr="00854702">
        <w:rPr>
          <w:rFonts w:ascii="Arial" w:hAnsi="Arial" w:cs="Arial"/>
          <w:sz w:val="24"/>
        </w:rPr>
        <w:t xml:space="preserve"> Ziegler does however highlight the issue of establishing the outbreak of plague as the eventual key cause of the Peasants’ Revolt, instead stating alongside the works of A E Levett and Rodney Hilton that the culmination of factors including the aftermath of the plague contribute to the events of 1381.</w:t>
      </w:r>
      <w:r w:rsidRPr="00854702">
        <w:rPr>
          <w:rStyle w:val="FootnoteReference"/>
          <w:rFonts w:ascii="Arial" w:hAnsi="Arial" w:cs="Arial"/>
          <w:sz w:val="24"/>
        </w:rPr>
        <w:footnoteReference w:id="17"/>
      </w:r>
      <w:r w:rsidRPr="00854702">
        <w:rPr>
          <w:rFonts w:ascii="Arial" w:hAnsi="Arial" w:cs="Arial"/>
          <w:sz w:val="24"/>
        </w:rPr>
        <w:t xml:space="preserve"> Considering the social and economic tensions of the mid-to-late-fourteenth century, it is conceivable that those suffering at the hands of their landlords and increased taxation, having faced economic difficulties and crop failures in the decades previous, would want to take part in a revolt that could have benefited all members of society, even those not explicitly present in surviving records. </w:t>
      </w:r>
    </w:p>
    <w:p w14:paraId="62D2ADE7" w14:textId="12C62F77" w:rsidR="00C625E3" w:rsidRPr="00854702" w:rsidRDefault="00C625E3" w:rsidP="00854702">
      <w:pPr>
        <w:spacing w:line="360" w:lineRule="auto"/>
        <w:rPr>
          <w:rFonts w:ascii="Arial" w:hAnsi="Arial" w:cs="Arial"/>
          <w:sz w:val="24"/>
        </w:rPr>
      </w:pPr>
      <w:r w:rsidRPr="00854702">
        <w:rPr>
          <w:rFonts w:ascii="Arial" w:hAnsi="Arial" w:cs="Arial"/>
          <w:sz w:val="24"/>
        </w:rPr>
        <w:t xml:space="preserve">It seems logical to firstly consider the political and social unrest of 1381 in order to explore female involvement in the Peasants’ Revolt, and then reflect upon the idea of women as victims of the uprising. Looking briefly at the previous effort by King Richard to continue raising funds for the Hundred Years war, the second poll tax of 1379 had incidentally favoured the married couple, being required to pay the same amount as a </w:t>
      </w:r>
      <w:r w:rsidRPr="00854702">
        <w:rPr>
          <w:rFonts w:ascii="Arial" w:hAnsi="Arial" w:cs="Arial"/>
          <w:sz w:val="24"/>
        </w:rPr>
        <w:lastRenderedPageBreak/>
        <w:t>single or widowed individual.</w:t>
      </w:r>
      <w:r w:rsidRPr="00854702">
        <w:rPr>
          <w:rStyle w:val="FootnoteReference"/>
          <w:rFonts w:ascii="Arial" w:hAnsi="Arial" w:cs="Arial"/>
          <w:sz w:val="24"/>
        </w:rPr>
        <w:footnoteReference w:id="18"/>
      </w:r>
      <w:r w:rsidRPr="00854702">
        <w:rPr>
          <w:rFonts w:ascii="Arial" w:hAnsi="Arial" w:cs="Arial"/>
          <w:sz w:val="24"/>
        </w:rPr>
        <w:t xml:space="preserve"> However, the third poll tax of 1381 changes English society significantly, as each person is required to pay a fixed amount determined by their social standing, and the way in which the taxation is collected would ultimately provide justification for the events that would occur.</w:t>
      </w:r>
      <w:r w:rsidRPr="00854702">
        <w:rPr>
          <w:rStyle w:val="FootnoteReference"/>
          <w:rFonts w:ascii="Arial" w:hAnsi="Arial" w:cs="Arial"/>
          <w:sz w:val="24"/>
        </w:rPr>
        <w:footnoteReference w:id="19"/>
      </w:r>
      <w:r w:rsidRPr="00854702">
        <w:rPr>
          <w:rFonts w:ascii="Arial" w:hAnsi="Arial" w:cs="Arial"/>
          <w:sz w:val="24"/>
        </w:rPr>
        <w:t xml:space="preserve"> There are historians such as P J P Goldberg who argue that as an illogical form of taxation, ‘its consequent maladministration was the immediate cause of the so-called Peasants’ Revolt’, but despite Goldberg’s definitive answer to revolt motivation, there are many other academics who consider the poll tax to be a contributing part of a culmination of triggers.</w:t>
      </w:r>
      <w:r w:rsidRPr="00854702">
        <w:rPr>
          <w:rStyle w:val="FootnoteReference"/>
          <w:rFonts w:ascii="Arial" w:hAnsi="Arial" w:cs="Arial"/>
          <w:sz w:val="24"/>
        </w:rPr>
        <w:footnoteReference w:id="20"/>
      </w:r>
      <w:r w:rsidRPr="00854702">
        <w:rPr>
          <w:rFonts w:ascii="Arial" w:hAnsi="Arial" w:cs="Arial"/>
          <w:sz w:val="24"/>
        </w:rPr>
        <w:t xml:space="preserve"> </w:t>
      </w:r>
      <w:r w:rsidRPr="00854702">
        <w:rPr>
          <w:rFonts w:ascii="Arial" w:hAnsi="Arial" w:cs="Arial"/>
          <w:i/>
          <w:sz w:val="24"/>
        </w:rPr>
        <w:t xml:space="preserve">The Imaginary Society: Women in 1381 </w:t>
      </w:r>
      <w:r w:rsidRPr="00854702">
        <w:rPr>
          <w:rFonts w:ascii="Arial" w:hAnsi="Arial" w:cs="Arial"/>
          <w:sz w:val="24"/>
        </w:rPr>
        <w:t>by historian Sylvia Federico details the impact that the third poll tax would have had on women, one that could understandably explain their desire for uprising and revolt.</w:t>
      </w:r>
      <w:r w:rsidRPr="00854702">
        <w:rPr>
          <w:rStyle w:val="FootnoteReference"/>
          <w:rFonts w:ascii="Arial" w:hAnsi="Arial" w:cs="Arial"/>
          <w:sz w:val="24"/>
        </w:rPr>
        <w:footnoteReference w:id="21"/>
      </w:r>
      <w:r w:rsidRPr="00854702">
        <w:rPr>
          <w:rFonts w:ascii="Arial" w:hAnsi="Arial" w:cs="Arial"/>
          <w:sz w:val="24"/>
        </w:rPr>
        <w:t xml:space="preserve"> Federico highlights the atrocities faced by women of the later fourteenth century, that ‘women were assimilated, assaulted, abducted and threatened with death, and their property was frequently stolen or destroyed.’</w:t>
      </w:r>
      <w:r w:rsidRPr="00854702">
        <w:rPr>
          <w:rStyle w:val="FootnoteReference"/>
          <w:rFonts w:ascii="Arial" w:hAnsi="Arial" w:cs="Arial"/>
          <w:sz w:val="24"/>
        </w:rPr>
        <w:footnoteReference w:id="22"/>
      </w:r>
      <w:r w:rsidRPr="00854702">
        <w:rPr>
          <w:rFonts w:ascii="Arial" w:hAnsi="Arial" w:cs="Arial"/>
          <w:sz w:val="24"/>
        </w:rPr>
        <w:t xml:space="preserve"> It is notable that the manner in which tax was collected presents an inequality through which the maltreatment of women would have undoubtedly contributed to motivations for revolt; wives were often hidden as tax collection came and those found alone were often violated to expose their married status.</w:t>
      </w:r>
      <w:r w:rsidRPr="00854702">
        <w:rPr>
          <w:rStyle w:val="FootnoteReference"/>
          <w:rFonts w:ascii="Arial" w:hAnsi="Arial" w:cs="Arial"/>
          <w:sz w:val="24"/>
        </w:rPr>
        <w:footnoteReference w:id="23"/>
      </w:r>
      <w:r w:rsidRPr="00854702">
        <w:rPr>
          <w:rFonts w:ascii="Arial" w:hAnsi="Arial" w:cs="Arial"/>
          <w:sz w:val="24"/>
        </w:rPr>
        <w:t xml:space="preserve"> When exploring the motivation for women to partake in the Peasants’ Revolt, as a clear contribution to the existing social and political tensions, the body of the violated woman becomes a symbol of </w:t>
      </w:r>
      <w:r w:rsidR="00C9734C">
        <w:rPr>
          <w:rFonts w:ascii="Arial" w:hAnsi="Arial" w:cs="Arial"/>
          <w:sz w:val="24"/>
        </w:rPr>
        <w:t>the uprising</w:t>
      </w:r>
      <w:r w:rsidRPr="00854702">
        <w:rPr>
          <w:rFonts w:ascii="Arial" w:hAnsi="Arial" w:cs="Arial"/>
          <w:sz w:val="24"/>
        </w:rPr>
        <w:t xml:space="preserve">. </w:t>
      </w:r>
    </w:p>
    <w:p w14:paraId="47665374" w14:textId="5D7ADB44" w:rsidR="00C625E3" w:rsidRPr="00854702" w:rsidRDefault="00C625E3" w:rsidP="00854702">
      <w:pPr>
        <w:spacing w:line="360" w:lineRule="auto"/>
        <w:rPr>
          <w:rFonts w:ascii="Arial" w:hAnsi="Arial" w:cs="Arial"/>
          <w:sz w:val="24"/>
        </w:rPr>
      </w:pPr>
      <w:r w:rsidRPr="00854702">
        <w:rPr>
          <w:rFonts w:ascii="Arial" w:hAnsi="Arial" w:cs="Arial"/>
          <w:sz w:val="24"/>
        </w:rPr>
        <w:t xml:space="preserve">In surviving documents such as the “Calendar of the Plea and Memoranda Rolls of the City of London” made available by British History Online, contemporary information about the testimonies of men who rebelled can be analysed to discover implicit details about the role women played in the events of 1381. Looking in particular at those recorded in July and August of the following year, a series of men involved in the rebellion ransacked the land and homes of many </w:t>
      </w:r>
      <w:proofErr w:type="gramStart"/>
      <w:r w:rsidRPr="00854702">
        <w:rPr>
          <w:rFonts w:ascii="Arial" w:hAnsi="Arial" w:cs="Arial"/>
          <w:sz w:val="24"/>
        </w:rPr>
        <w:t>higher class</w:t>
      </w:r>
      <w:proofErr w:type="gramEnd"/>
      <w:r w:rsidRPr="00854702">
        <w:rPr>
          <w:rFonts w:ascii="Arial" w:hAnsi="Arial" w:cs="Arial"/>
          <w:sz w:val="24"/>
        </w:rPr>
        <w:t xml:space="preserve"> men, and it is here that women are clearly victims of the Peasants’ Revolt. Although there are innumerable examples within the “Calendar of the Plea and Memoranda Rolls”, few cases are needed to identify an emerging pattern of women being treated as the possession of </w:t>
      </w:r>
      <w:r w:rsidRPr="00854702">
        <w:rPr>
          <w:rFonts w:ascii="Arial" w:hAnsi="Arial" w:cs="Arial"/>
          <w:sz w:val="24"/>
        </w:rPr>
        <w:lastRenderedPageBreak/>
        <w:t xml:space="preserve">their husbands and carried away with other stolen belongings. On 10 July 1382, Thomas Norwich came under the scrutiny of Henry de </w:t>
      </w:r>
      <w:proofErr w:type="spellStart"/>
      <w:r w:rsidRPr="00854702">
        <w:rPr>
          <w:rFonts w:ascii="Arial" w:hAnsi="Arial" w:cs="Arial"/>
          <w:sz w:val="24"/>
        </w:rPr>
        <w:t>Witon</w:t>
      </w:r>
      <w:proofErr w:type="spellEnd"/>
      <w:r w:rsidRPr="00854702">
        <w:rPr>
          <w:rFonts w:ascii="Arial" w:hAnsi="Arial" w:cs="Arial"/>
          <w:sz w:val="24"/>
        </w:rPr>
        <w:t xml:space="preserve"> in a plea of trespass for his actions between 1 August 1381 and 8 July, ultimately entering the house by force and eloigned the plaintiff’s wife Joan.</w:t>
      </w:r>
      <w:r w:rsidRPr="00854702">
        <w:rPr>
          <w:rStyle w:val="FootnoteReference"/>
          <w:rFonts w:ascii="Arial" w:hAnsi="Arial" w:cs="Arial"/>
          <w:sz w:val="24"/>
        </w:rPr>
        <w:footnoteReference w:id="24"/>
      </w:r>
      <w:r w:rsidRPr="00854702">
        <w:rPr>
          <w:rFonts w:ascii="Arial" w:hAnsi="Arial" w:cs="Arial"/>
          <w:sz w:val="24"/>
        </w:rPr>
        <w:t xml:space="preserve"> However once the case is brought to the jury, Thomas Norwich is deemed innocent of eloigning the wife of the plaintiff as ‘she was nothing but a common strumpet.’</w:t>
      </w:r>
      <w:r w:rsidRPr="00854702">
        <w:rPr>
          <w:rStyle w:val="FootnoteReference"/>
          <w:rFonts w:ascii="Arial" w:hAnsi="Arial" w:cs="Arial"/>
          <w:sz w:val="24"/>
        </w:rPr>
        <w:footnoteReference w:id="25"/>
      </w:r>
      <w:r w:rsidRPr="00854702">
        <w:rPr>
          <w:rFonts w:ascii="Arial" w:hAnsi="Arial" w:cs="Arial"/>
          <w:sz w:val="24"/>
        </w:rPr>
        <w:t xml:space="preserve"> Furthermore the use of language such as ‘strumpet’ within legal documentation raises questions within modern scholarship concerning fourteenth century views on</w:t>
      </w:r>
      <w:r w:rsidR="00C9734C">
        <w:rPr>
          <w:rFonts w:ascii="Arial" w:hAnsi="Arial" w:cs="Arial"/>
          <w:sz w:val="24"/>
        </w:rPr>
        <w:t xml:space="preserve"> </w:t>
      </w:r>
      <w:r w:rsidRPr="00854702">
        <w:rPr>
          <w:rFonts w:ascii="Arial" w:hAnsi="Arial" w:cs="Arial"/>
          <w:sz w:val="24"/>
        </w:rPr>
        <w:t xml:space="preserve">women, that the capture of any person would be disregarded after consideration of their poor morality. Despite the above example, there are numerous cases in which men were found guilty of eloigning noblemen’s wives and charged accordingly; in August 1382, a fishmonger named John </w:t>
      </w:r>
      <w:proofErr w:type="spellStart"/>
      <w:r w:rsidRPr="00854702">
        <w:rPr>
          <w:rFonts w:ascii="Arial" w:hAnsi="Arial" w:cs="Arial"/>
          <w:sz w:val="24"/>
        </w:rPr>
        <w:t>Hankyn</w:t>
      </w:r>
      <w:proofErr w:type="spellEnd"/>
      <w:r w:rsidRPr="00854702">
        <w:rPr>
          <w:rFonts w:ascii="Arial" w:hAnsi="Arial" w:cs="Arial"/>
          <w:sz w:val="24"/>
        </w:rPr>
        <w:t xml:space="preserve"> was found guilty having eloigned the wife of Richard </w:t>
      </w:r>
      <w:proofErr w:type="spellStart"/>
      <w:r w:rsidRPr="00854702">
        <w:rPr>
          <w:rFonts w:ascii="Arial" w:hAnsi="Arial" w:cs="Arial"/>
          <w:sz w:val="24"/>
        </w:rPr>
        <w:t>Elme</w:t>
      </w:r>
      <w:proofErr w:type="spellEnd"/>
      <w:r w:rsidRPr="00854702">
        <w:rPr>
          <w:rFonts w:ascii="Arial" w:hAnsi="Arial" w:cs="Arial"/>
          <w:sz w:val="24"/>
        </w:rPr>
        <w:t>.</w:t>
      </w:r>
      <w:r w:rsidRPr="00854702">
        <w:rPr>
          <w:rStyle w:val="FootnoteReference"/>
          <w:rFonts w:ascii="Arial" w:hAnsi="Arial" w:cs="Arial"/>
          <w:sz w:val="24"/>
        </w:rPr>
        <w:footnoteReference w:id="26"/>
      </w:r>
      <w:r w:rsidRPr="00854702">
        <w:rPr>
          <w:rFonts w:ascii="Arial" w:hAnsi="Arial" w:cs="Arial"/>
          <w:sz w:val="24"/>
        </w:rPr>
        <w:t xml:space="preserve"> The availability of the “Calendar of Pleas and Memoranda” provides modern academics with crucial information about the aftermath and judicial actions of the Peasants’ Revolt in addition to the unintentional details that can be gained concerning the role women and wives played as the victims of angry peasants.</w:t>
      </w:r>
    </w:p>
    <w:p w14:paraId="3B9C6F7E" w14:textId="77777777" w:rsidR="00C625E3" w:rsidRPr="00854702" w:rsidRDefault="00C625E3" w:rsidP="00854702">
      <w:pPr>
        <w:spacing w:line="360" w:lineRule="auto"/>
        <w:rPr>
          <w:rFonts w:ascii="Arial" w:hAnsi="Arial" w:cs="Arial"/>
          <w:sz w:val="24"/>
        </w:rPr>
      </w:pPr>
      <w:r w:rsidRPr="00854702">
        <w:rPr>
          <w:rFonts w:ascii="Arial" w:hAnsi="Arial" w:cs="Arial"/>
          <w:sz w:val="24"/>
        </w:rPr>
        <w:t xml:space="preserve">Continuing to explore the mention of women in contemporary material on the Peasants’ Revolt, in the </w:t>
      </w:r>
      <w:r w:rsidRPr="00854702">
        <w:rPr>
          <w:rFonts w:ascii="Arial" w:hAnsi="Arial" w:cs="Arial"/>
          <w:i/>
          <w:sz w:val="24"/>
        </w:rPr>
        <w:t xml:space="preserve">Historia </w:t>
      </w:r>
      <w:proofErr w:type="spellStart"/>
      <w:r w:rsidRPr="00854702">
        <w:rPr>
          <w:rFonts w:ascii="Arial" w:hAnsi="Arial" w:cs="Arial"/>
          <w:i/>
          <w:sz w:val="24"/>
        </w:rPr>
        <w:t>Anglicana</w:t>
      </w:r>
      <w:proofErr w:type="spellEnd"/>
      <w:r w:rsidRPr="00854702">
        <w:rPr>
          <w:rFonts w:ascii="Arial" w:hAnsi="Arial" w:cs="Arial"/>
          <w:i/>
          <w:sz w:val="24"/>
        </w:rPr>
        <w:t xml:space="preserve"> </w:t>
      </w:r>
      <w:r w:rsidRPr="00854702">
        <w:rPr>
          <w:rFonts w:ascii="Arial" w:hAnsi="Arial" w:cs="Arial"/>
          <w:sz w:val="24"/>
        </w:rPr>
        <w:t>by Thomas Walsingham the mention of women suggests that those who were married in particular were not participants of the uprising instead being abandoned by their husbands who chose to revolt.</w:t>
      </w:r>
      <w:r w:rsidRPr="00854702">
        <w:rPr>
          <w:rStyle w:val="FootnoteReference"/>
          <w:rFonts w:ascii="Arial" w:hAnsi="Arial" w:cs="Arial"/>
          <w:sz w:val="24"/>
        </w:rPr>
        <w:footnoteReference w:id="27"/>
      </w:r>
      <w:r w:rsidRPr="00854702">
        <w:rPr>
          <w:rFonts w:ascii="Arial" w:hAnsi="Arial" w:cs="Arial"/>
          <w:sz w:val="24"/>
        </w:rPr>
        <w:t xml:space="preserve"> His frequent use of the name ‘rustics’ does appear to be an inclusive term, with there being little clarification as to who is being referred to, usually given to the lower echelons of society by many chronicle writers and the king himself. Walsingham on occasion does </w:t>
      </w:r>
      <w:proofErr w:type="gramStart"/>
      <w:r w:rsidRPr="00854702">
        <w:rPr>
          <w:rFonts w:ascii="Arial" w:hAnsi="Arial" w:cs="Arial"/>
          <w:sz w:val="24"/>
        </w:rPr>
        <w:t>make reference</w:t>
      </w:r>
      <w:proofErr w:type="gramEnd"/>
      <w:r w:rsidRPr="00854702">
        <w:rPr>
          <w:rFonts w:ascii="Arial" w:hAnsi="Arial" w:cs="Arial"/>
          <w:sz w:val="24"/>
        </w:rPr>
        <w:t xml:space="preserve"> to the actions of rebelling men, perhaps therefore disassociating women from those who rebelled. This separation of women continues further, ‘so terrible a threat compelled all to assemble and abandon the business of ploughing and </w:t>
      </w:r>
      <w:r w:rsidRPr="00854702">
        <w:rPr>
          <w:rFonts w:ascii="Arial" w:hAnsi="Arial" w:cs="Arial"/>
          <w:sz w:val="24"/>
        </w:rPr>
        <w:lastRenderedPageBreak/>
        <w:t>sowing as well as their wives and estates.’</w:t>
      </w:r>
      <w:r w:rsidRPr="00854702">
        <w:rPr>
          <w:rStyle w:val="FootnoteReference"/>
          <w:rFonts w:ascii="Arial" w:hAnsi="Arial" w:cs="Arial"/>
          <w:sz w:val="24"/>
        </w:rPr>
        <w:footnoteReference w:id="28"/>
      </w:r>
      <w:r w:rsidRPr="00854702">
        <w:rPr>
          <w:rFonts w:ascii="Arial" w:hAnsi="Arial" w:cs="Arial"/>
          <w:sz w:val="24"/>
        </w:rPr>
        <w:t xml:space="preserve"> If as Walsingham states, married women were left behind by their husbands, could it therefore for assumed that all women were absent from the events of 1381? Despite this, it seems unlikely that all women may have been exempt from the revolt, but when considering the socially constructed lifestyle of married life it does seem that their ability to join the rebellion may have been prevented by family and estate obligations. Throughout the extracts of Walsingham available in Dobson’s work there remains an absence of women, and he states that following the peak of the revolt ‘the men of Essex […] longed to see their homes, wives and children once again’, thus suggesting that the ‘abandoned’ wives of rebel men awaited their return rather than joining them in the uprising.</w:t>
      </w:r>
      <w:r w:rsidRPr="00854702">
        <w:rPr>
          <w:rStyle w:val="FootnoteReference"/>
          <w:rFonts w:ascii="Arial" w:hAnsi="Arial" w:cs="Arial"/>
          <w:sz w:val="24"/>
        </w:rPr>
        <w:footnoteReference w:id="29"/>
      </w:r>
      <w:r w:rsidRPr="00854702">
        <w:rPr>
          <w:rFonts w:ascii="Arial" w:hAnsi="Arial" w:cs="Arial"/>
          <w:sz w:val="24"/>
        </w:rPr>
        <w:t xml:space="preserve"> The view of women as nonparticipants or perhaps even victims of the Peasants’ Revolt is one that can be supported by contemporary evidence, although not always stated explicitly.</w:t>
      </w:r>
    </w:p>
    <w:p w14:paraId="7B6E1341" w14:textId="00EE73F3" w:rsidR="00C625E3" w:rsidRPr="00854702" w:rsidRDefault="00C625E3" w:rsidP="00854702">
      <w:pPr>
        <w:spacing w:line="360" w:lineRule="auto"/>
        <w:rPr>
          <w:rFonts w:ascii="Arial" w:hAnsi="Arial" w:cs="Arial"/>
          <w:sz w:val="24"/>
        </w:rPr>
      </w:pPr>
      <w:r w:rsidRPr="00854702">
        <w:rPr>
          <w:rFonts w:ascii="Arial" w:hAnsi="Arial" w:cs="Arial"/>
          <w:sz w:val="24"/>
        </w:rPr>
        <w:t xml:space="preserve">In contrast to the above evidence highlighting women to be victims of the Peasants’ Revolt, there are contemporary written sources that prove women to have been active participants occasionally adopting leadership roles. Geoffrey Chaucer is said to have started </w:t>
      </w:r>
      <w:r w:rsidRPr="00854702">
        <w:rPr>
          <w:rFonts w:ascii="Arial" w:hAnsi="Arial" w:cs="Arial"/>
          <w:i/>
          <w:sz w:val="24"/>
        </w:rPr>
        <w:t>The Canterbury Tales</w:t>
      </w:r>
      <w:r w:rsidRPr="00854702">
        <w:rPr>
          <w:rFonts w:ascii="Arial" w:hAnsi="Arial" w:cs="Arial"/>
          <w:sz w:val="24"/>
        </w:rPr>
        <w:t xml:space="preserve"> sometime around the late fourteenth century, in which one of the only female pilgrims portrays those stronger merchant class women or </w:t>
      </w:r>
      <w:r w:rsidRPr="00854702">
        <w:rPr>
          <w:rFonts w:ascii="Arial" w:hAnsi="Arial" w:cs="Arial"/>
          <w:i/>
          <w:sz w:val="24"/>
        </w:rPr>
        <w:t xml:space="preserve">femme soles </w:t>
      </w:r>
      <w:r w:rsidRPr="00854702">
        <w:rPr>
          <w:rFonts w:ascii="Arial" w:hAnsi="Arial" w:cs="Arial"/>
          <w:sz w:val="24"/>
        </w:rPr>
        <w:t>who may have been able to actively partake in the uprising.</w:t>
      </w:r>
      <w:r w:rsidRPr="00854702">
        <w:rPr>
          <w:rStyle w:val="FootnoteReference"/>
          <w:rFonts w:ascii="Arial" w:hAnsi="Arial" w:cs="Arial"/>
          <w:sz w:val="24"/>
        </w:rPr>
        <w:footnoteReference w:id="30"/>
      </w:r>
      <w:r w:rsidRPr="00854702">
        <w:rPr>
          <w:rFonts w:ascii="Arial" w:hAnsi="Arial" w:cs="Arial"/>
          <w:sz w:val="24"/>
        </w:rPr>
        <w:t xml:space="preserve"> The term </w:t>
      </w:r>
      <w:r w:rsidRPr="00854702">
        <w:rPr>
          <w:rFonts w:ascii="Arial" w:hAnsi="Arial" w:cs="Arial"/>
          <w:i/>
          <w:sz w:val="24"/>
        </w:rPr>
        <w:t xml:space="preserve">femme sole </w:t>
      </w:r>
      <w:r w:rsidRPr="00854702">
        <w:rPr>
          <w:rFonts w:ascii="Arial" w:hAnsi="Arial" w:cs="Arial"/>
          <w:sz w:val="24"/>
        </w:rPr>
        <w:t>is explored in depth by Eileen Power, who defines the phrase within the context of courtly romance as being powerful yet inferior women as a result of their gender.</w:t>
      </w:r>
      <w:r w:rsidRPr="00854702">
        <w:rPr>
          <w:rStyle w:val="FootnoteReference"/>
          <w:rFonts w:ascii="Arial" w:hAnsi="Arial" w:cs="Arial"/>
          <w:sz w:val="24"/>
        </w:rPr>
        <w:footnoteReference w:id="31"/>
      </w:r>
      <w:r w:rsidRPr="00854702">
        <w:rPr>
          <w:rFonts w:ascii="Arial" w:hAnsi="Arial" w:cs="Arial"/>
          <w:sz w:val="24"/>
        </w:rPr>
        <w:t xml:space="preserve"> The Wife of Bath is described in the </w:t>
      </w:r>
      <w:r w:rsidRPr="00854702">
        <w:rPr>
          <w:rFonts w:ascii="Arial" w:hAnsi="Arial" w:cs="Arial"/>
          <w:i/>
          <w:sz w:val="24"/>
        </w:rPr>
        <w:t>General Prologue</w:t>
      </w:r>
      <w:r w:rsidRPr="00854702">
        <w:rPr>
          <w:rFonts w:ascii="Arial" w:hAnsi="Arial" w:cs="Arial"/>
          <w:sz w:val="24"/>
        </w:rPr>
        <w:t xml:space="preserve"> as being authoritative and at times brash, ‘In al the </w:t>
      </w:r>
      <w:proofErr w:type="spellStart"/>
      <w:r w:rsidRPr="00854702">
        <w:rPr>
          <w:rFonts w:ascii="Arial" w:hAnsi="Arial" w:cs="Arial"/>
          <w:sz w:val="24"/>
        </w:rPr>
        <w:t>parisshe</w:t>
      </w:r>
      <w:proofErr w:type="spellEnd"/>
      <w:r w:rsidRPr="00854702">
        <w:rPr>
          <w:rFonts w:ascii="Arial" w:hAnsi="Arial" w:cs="Arial"/>
          <w:sz w:val="24"/>
        </w:rPr>
        <w:t xml:space="preserve"> </w:t>
      </w:r>
      <w:proofErr w:type="spellStart"/>
      <w:r w:rsidRPr="00854702">
        <w:rPr>
          <w:rFonts w:ascii="Arial" w:hAnsi="Arial" w:cs="Arial"/>
          <w:sz w:val="24"/>
        </w:rPr>
        <w:t>wif</w:t>
      </w:r>
      <w:proofErr w:type="spellEnd"/>
      <w:r w:rsidRPr="00854702">
        <w:rPr>
          <w:rFonts w:ascii="Arial" w:hAnsi="Arial" w:cs="Arial"/>
          <w:sz w:val="24"/>
        </w:rPr>
        <w:t xml:space="preserve"> ne was there noon / That to the </w:t>
      </w:r>
      <w:proofErr w:type="spellStart"/>
      <w:r w:rsidRPr="00854702">
        <w:rPr>
          <w:rFonts w:ascii="Arial" w:hAnsi="Arial" w:cs="Arial"/>
          <w:sz w:val="24"/>
        </w:rPr>
        <w:t>offrynge</w:t>
      </w:r>
      <w:proofErr w:type="spellEnd"/>
      <w:r w:rsidRPr="00854702">
        <w:rPr>
          <w:rFonts w:ascii="Arial" w:hAnsi="Arial" w:cs="Arial"/>
          <w:sz w:val="24"/>
        </w:rPr>
        <w:t xml:space="preserve"> </w:t>
      </w:r>
      <w:proofErr w:type="spellStart"/>
      <w:r w:rsidRPr="00854702">
        <w:rPr>
          <w:rFonts w:ascii="Arial" w:hAnsi="Arial" w:cs="Arial"/>
          <w:sz w:val="24"/>
        </w:rPr>
        <w:t>bifore</w:t>
      </w:r>
      <w:proofErr w:type="spellEnd"/>
      <w:r w:rsidRPr="00854702">
        <w:rPr>
          <w:rFonts w:ascii="Arial" w:hAnsi="Arial" w:cs="Arial"/>
          <w:sz w:val="24"/>
        </w:rPr>
        <w:t xml:space="preserve"> hire </w:t>
      </w:r>
      <w:proofErr w:type="spellStart"/>
      <w:r w:rsidRPr="00854702">
        <w:rPr>
          <w:rFonts w:ascii="Arial" w:hAnsi="Arial" w:cs="Arial"/>
          <w:sz w:val="24"/>
        </w:rPr>
        <w:t>sholde</w:t>
      </w:r>
      <w:proofErr w:type="spellEnd"/>
      <w:r w:rsidRPr="00854702">
        <w:rPr>
          <w:rFonts w:ascii="Arial" w:hAnsi="Arial" w:cs="Arial"/>
          <w:sz w:val="24"/>
        </w:rPr>
        <w:t xml:space="preserve">  goon; / And if </w:t>
      </w:r>
      <w:proofErr w:type="spellStart"/>
      <w:r w:rsidRPr="00854702">
        <w:rPr>
          <w:rFonts w:ascii="Arial" w:hAnsi="Arial" w:cs="Arial"/>
          <w:sz w:val="24"/>
        </w:rPr>
        <w:t>ther</w:t>
      </w:r>
      <w:proofErr w:type="spellEnd"/>
      <w:r w:rsidRPr="00854702">
        <w:rPr>
          <w:rFonts w:ascii="Arial" w:hAnsi="Arial" w:cs="Arial"/>
          <w:sz w:val="24"/>
        </w:rPr>
        <w:t xml:space="preserve"> </w:t>
      </w:r>
      <w:proofErr w:type="spellStart"/>
      <w:r w:rsidRPr="00854702">
        <w:rPr>
          <w:rFonts w:ascii="Arial" w:hAnsi="Arial" w:cs="Arial"/>
          <w:sz w:val="24"/>
        </w:rPr>
        <w:t>dide</w:t>
      </w:r>
      <w:proofErr w:type="spellEnd"/>
      <w:r w:rsidRPr="00854702">
        <w:rPr>
          <w:rFonts w:ascii="Arial" w:hAnsi="Arial" w:cs="Arial"/>
          <w:sz w:val="24"/>
        </w:rPr>
        <w:t xml:space="preserve">, </w:t>
      </w:r>
      <w:proofErr w:type="spellStart"/>
      <w:r w:rsidRPr="00854702">
        <w:rPr>
          <w:rFonts w:ascii="Arial" w:hAnsi="Arial" w:cs="Arial"/>
          <w:sz w:val="24"/>
        </w:rPr>
        <w:t>certeyn</w:t>
      </w:r>
      <w:proofErr w:type="spellEnd"/>
      <w:r w:rsidRPr="00854702">
        <w:rPr>
          <w:rFonts w:ascii="Arial" w:hAnsi="Arial" w:cs="Arial"/>
          <w:sz w:val="24"/>
        </w:rPr>
        <w:t xml:space="preserve"> so </w:t>
      </w:r>
      <w:proofErr w:type="spellStart"/>
      <w:r w:rsidRPr="00854702">
        <w:rPr>
          <w:rFonts w:ascii="Arial" w:hAnsi="Arial" w:cs="Arial"/>
          <w:sz w:val="24"/>
        </w:rPr>
        <w:t>wrooth</w:t>
      </w:r>
      <w:proofErr w:type="spellEnd"/>
      <w:r w:rsidRPr="00854702">
        <w:rPr>
          <w:rFonts w:ascii="Arial" w:hAnsi="Arial" w:cs="Arial"/>
          <w:sz w:val="24"/>
        </w:rPr>
        <w:t xml:space="preserve"> was she / That she was out of </w:t>
      </w:r>
      <w:proofErr w:type="spellStart"/>
      <w:r w:rsidRPr="00854702">
        <w:rPr>
          <w:rFonts w:ascii="Arial" w:hAnsi="Arial" w:cs="Arial"/>
          <w:sz w:val="24"/>
        </w:rPr>
        <w:t>alle</w:t>
      </w:r>
      <w:proofErr w:type="spellEnd"/>
      <w:r w:rsidRPr="00854702">
        <w:rPr>
          <w:rFonts w:ascii="Arial" w:hAnsi="Arial" w:cs="Arial"/>
          <w:sz w:val="24"/>
        </w:rPr>
        <w:t xml:space="preserve"> </w:t>
      </w:r>
      <w:proofErr w:type="spellStart"/>
      <w:r w:rsidRPr="00854702">
        <w:rPr>
          <w:rFonts w:ascii="Arial" w:hAnsi="Arial" w:cs="Arial"/>
          <w:sz w:val="24"/>
        </w:rPr>
        <w:t>charitee</w:t>
      </w:r>
      <w:proofErr w:type="spellEnd"/>
      <w:r w:rsidRPr="00854702">
        <w:rPr>
          <w:rFonts w:ascii="Arial" w:hAnsi="Arial" w:cs="Arial"/>
          <w:sz w:val="24"/>
        </w:rPr>
        <w:t>.’</w:t>
      </w:r>
      <w:r w:rsidRPr="00854702">
        <w:rPr>
          <w:rStyle w:val="FootnoteReference"/>
          <w:rFonts w:ascii="Arial" w:hAnsi="Arial" w:cs="Arial"/>
          <w:sz w:val="24"/>
        </w:rPr>
        <w:footnoteReference w:id="32"/>
      </w:r>
      <w:r w:rsidRPr="00854702">
        <w:rPr>
          <w:rFonts w:ascii="Arial" w:hAnsi="Arial" w:cs="Arial"/>
          <w:sz w:val="24"/>
        </w:rPr>
        <w:t xml:space="preserve"> Her authority and influence within her parish could perhaps suggest that women categorised as </w:t>
      </w:r>
      <w:r w:rsidRPr="00854702">
        <w:rPr>
          <w:rFonts w:ascii="Arial" w:hAnsi="Arial" w:cs="Arial"/>
          <w:i/>
          <w:sz w:val="24"/>
        </w:rPr>
        <w:t xml:space="preserve">femme soles </w:t>
      </w:r>
      <w:r w:rsidRPr="00854702">
        <w:rPr>
          <w:rFonts w:ascii="Arial" w:hAnsi="Arial" w:cs="Arial"/>
          <w:sz w:val="24"/>
        </w:rPr>
        <w:t xml:space="preserve">may have been able to partake in social uprisings, although there is little contemporary evidence to support this idea. Nonetheless, Chaucer’s description of the Wife of Bath cannot be viewed as an entirely negative view on women, and in the introduction to </w:t>
      </w:r>
      <w:r w:rsidRPr="00854702">
        <w:rPr>
          <w:rFonts w:ascii="Arial" w:hAnsi="Arial" w:cs="Arial"/>
          <w:i/>
          <w:sz w:val="24"/>
        </w:rPr>
        <w:t xml:space="preserve">The Riverside Chaucer </w:t>
      </w:r>
      <w:r w:rsidRPr="00854702">
        <w:rPr>
          <w:rFonts w:ascii="Arial" w:hAnsi="Arial" w:cs="Arial"/>
          <w:sz w:val="24"/>
        </w:rPr>
        <w:t xml:space="preserve">it is highlighted that although </w:t>
      </w:r>
      <w:r w:rsidRPr="00854702">
        <w:rPr>
          <w:rFonts w:ascii="Arial" w:hAnsi="Arial" w:cs="Arial"/>
          <w:i/>
          <w:sz w:val="24"/>
        </w:rPr>
        <w:t>‘</w:t>
      </w:r>
      <w:r w:rsidRPr="00854702">
        <w:rPr>
          <w:rFonts w:ascii="Arial" w:hAnsi="Arial" w:cs="Arial"/>
          <w:sz w:val="24"/>
        </w:rPr>
        <w:t xml:space="preserve">most of her characteristics can be traced in anti-feminine </w:t>
      </w:r>
      <w:r w:rsidRPr="00854702">
        <w:rPr>
          <w:rFonts w:ascii="Arial" w:hAnsi="Arial" w:cs="Arial"/>
          <w:sz w:val="24"/>
        </w:rPr>
        <w:lastRenderedPageBreak/>
        <w:t>satire and she herself embodies almost all of the faults traditionally attributed to women […] her frankness, vigour, and good humour render her a zestful and engaging defender of life itself.’</w:t>
      </w:r>
      <w:r w:rsidRPr="00854702">
        <w:rPr>
          <w:rStyle w:val="FootnoteReference"/>
          <w:rFonts w:ascii="Arial" w:hAnsi="Arial" w:cs="Arial"/>
          <w:sz w:val="24"/>
        </w:rPr>
        <w:footnoteReference w:id="33"/>
      </w:r>
      <w:r w:rsidRPr="00854702">
        <w:rPr>
          <w:rFonts w:ascii="Arial" w:hAnsi="Arial" w:cs="Arial"/>
          <w:i/>
          <w:sz w:val="24"/>
        </w:rPr>
        <w:t xml:space="preserve"> </w:t>
      </w:r>
      <w:r w:rsidRPr="00854702">
        <w:rPr>
          <w:rFonts w:ascii="Arial" w:hAnsi="Arial" w:cs="Arial"/>
          <w:sz w:val="24"/>
        </w:rPr>
        <w:t xml:space="preserve">Despite the arguably positive characteristics of the </w:t>
      </w:r>
      <w:r w:rsidRPr="00854702">
        <w:rPr>
          <w:rFonts w:ascii="Arial" w:hAnsi="Arial" w:cs="Arial"/>
          <w:i/>
          <w:sz w:val="24"/>
        </w:rPr>
        <w:t xml:space="preserve">femme sole </w:t>
      </w:r>
      <w:r w:rsidRPr="00854702">
        <w:rPr>
          <w:rFonts w:ascii="Arial" w:hAnsi="Arial" w:cs="Arial"/>
          <w:sz w:val="24"/>
        </w:rPr>
        <w:t xml:space="preserve">in </w:t>
      </w:r>
      <w:r w:rsidRPr="00854702">
        <w:rPr>
          <w:rFonts w:ascii="Arial" w:hAnsi="Arial" w:cs="Arial"/>
          <w:i/>
          <w:sz w:val="24"/>
        </w:rPr>
        <w:t>The Wife of Bath</w:t>
      </w:r>
      <w:r w:rsidRPr="00854702">
        <w:rPr>
          <w:rFonts w:ascii="Arial" w:hAnsi="Arial" w:cs="Arial"/>
          <w:sz w:val="24"/>
        </w:rPr>
        <w:t xml:space="preserve"> there are obvious limitations to using it as an unwitting testimony to the role of women within the late-fourteenth century. Federico highlights that ‘Chaucer, Gower, Knighton, and Walsingham portray the rebellion and its women in ways that not only reiterate the roles suggested by the judicial records – they also suggest the background, motives and consequences of those roles.’</w:t>
      </w:r>
      <w:r w:rsidRPr="00854702">
        <w:rPr>
          <w:rFonts w:ascii="Arial" w:hAnsi="Arial" w:cs="Arial"/>
          <w:sz w:val="24"/>
          <w:vertAlign w:val="superscript"/>
        </w:rPr>
        <w:footnoteReference w:id="34"/>
      </w:r>
      <w:r w:rsidRPr="00854702">
        <w:rPr>
          <w:rFonts w:ascii="Arial" w:hAnsi="Arial" w:cs="Arial"/>
          <w:sz w:val="24"/>
        </w:rPr>
        <w:t xml:space="preserve"> It could be considered a confirmation of women’s roles as stated in judicial records, with further evidence to support these judgement</w:t>
      </w:r>
      <w:r w:rsidR="00074594">
        <w:rPr>
          <w:rFonts w:ascii="Arial" w:hAnsi="Arial" w:cs="Arial"/>
          <w:sz w:val="24"/>
        </w:rPr>
        <w:t>s</w:t>
      </w:r>
      <w:r w:rsidRPr="00854702">
        <w:rPr>
          <w:rFonts w:ascii="Arial" w:hAnsi="Arial" w:cs="Arial"/>
          <w:sz w:val="24"/>
        </w:rPr>
        <w:t xml:space="preserve">, however, it seems more likely that writers such as Chaucer would have been heavily influenced by the views of their own society. </w:t>
      </w:r>
    </w:p>
    <w:p w14:paraId="48E5A6B0" w14:textId="77777777" w:rsidR="00C625E3" w:rsidRPr="00854702" w:rsidRDefault="00C625E3" w:rsidP="00854702">
      <w:pPr>
        <w:spacing w:line="360" w:lineRule="auto"/>
        <w:rPr>
          <w:rFonts w:ascii="Arial" w:hAnsi="Arial" w:cs="Arial"/>
          <w:sz w:val="24"/>
        </w:rPr>
      </w:pPr>
      <w:r w:rsidRPr="00854702">
        <w:rPr>
          <w:rFonts w:ascii="Arial" w:hAnsi="Arial" w:cs="Arial"/>
          <w:sz w:val="24"/>
        </w:rPr>
        <w:t>Furthermore, surviving inquisition records from Essex in 1381, available through the National Archive, also provide clear evidence for women as key participants of the uprising. This particular extract has been taken from the commission of Oyer and Terminer, as conducted at Havering and Chelmsford between 26 June to 2 July 1381 by the commissioners Robert Tresilian and William Morrers, appointed to investigate crimes such as treason, extortions, trespasses and damages against the people of Essex.</w:t>
      </w:r>
      <w:r w:rsidRPr="00854702">
        <w:rPr>
          <w:rStyle w:val="FootnoteReference"/>
          <w:rFonts w:ascii="Arial" w:hAnsi="Arial" w:cs="Arial"/>
          <w:sz w:val="24"/>
        </w:rPr>
        <w:footnoteReference w:id="35"/>
      </w:r>
      <w:r w:rsidRPr="00854702">
        <w:rPr>
          <w:rFonts w:ascii="Arial" w:hAnsi="Arial" w:cs="Arial"/>
          <w:sz w:val="24"/>
        </w:rPr>
        <w:t xml:space="preserve"> Amongst an extensive list of names belonging to individuals who led and supported the trespass and damage to the estates of numerous men, is a woman named ‘</w:t>
      </w:r>
      <w:proofErr w:type="spellStart"/>
      <w:r w:rsidRPr="00854702">
        <w:rPr>
          <w:rFonts w:ascii="Arial" w:hAnsi="Arial" w:cs="Arial"/>
          <w:sz w:val="24"/>
        </w:rPr>
        <w:t>Nicholus</w:t>
      </w:r>
      <w:proofErr w:type="spellEnd"/>
      <w:r w:rsidRPr="00854702">
        <w:rPr>
          <w:rFonts w:ascii="Arial" w:hAnsi="Arial" w:cs="Arial"/>
          <w:sz w:val="24"/>
        </w:rPr>
        <w:t xml:space="preserve"> </w:t>
      </w:r>
      <w:proofErr w:type="spellStart"/>
      <w:r w:rsidRPr="00854702">
        <w:rPr>
          <w:rFonts w:ascii="Arial" w:hAnsi="Arial" w:cs="Arial"/>
          <w:sz w:val="24"/>
        </w:rPr>
        <w:t>Cartere</w:t>
      </w:r>
      <w:proofErr w:type="spellEnd"/>
      <w:r w:rsidRPr="00854702">
        <w:rPr>
          <w:rFonts w:ascii="Arial" w:hAnsi="Arial" w:cs="Arial"/>
          <w:sz w:val="24"/>
        </w:rPr>
        <w:t xml:space="preserve"> qui </w:t>
      </w:r>
      <w:proofErr w:type="spellStart"/>
      <w:r w:rsidRPr="00854702">
        <w:rPr>
          <w:rFonts w:ascii="Arial" w:hAnsi="Arial" w:cs="Arial"/>
          <w:sz w:val="24"/>
        </w:rPr>
        <w:t>uxorum</w:t>
      </w:r>
      <w:proofErr w:type="spellEnd"/>
      <w:r w:rsidRPr="00854702">
        <w:rPr>
          <w:rFonts w:ascii="Arial" w:hAnsi="Arial" w:cs="Arial"/>
          <w:sz w:val="24"/>
        </w:rPr>
        <w:t xml:space="preserve"> </w:t>
      </w:r>
      <w:proofErr w:type="spellStart"/>
      <w:r w:rsidRPr="00854702">
        <w:rPr>
          <w:rFonts w:ascii="Arial" w:hAnsi="Arial" w:cs="Arial"/>
          <w:sz w:val="24"/>
        </w:rPr>
        <w:t>nuper</w:t>
      </w:r>
      <w:proofErr w:type="spellEnd"/>
      <w:r w:rsidRPr="00854702">
        <w:rPr>
          <w:rFonts w:ascii="Arial" w:hAnsi="Arial" w:cs="Arial"/>
          <w:sz w:val="24"/>
        </w:rPr>
        <w:t xml:space="preserve"> </w:t>
      </w:r>
      <w:proofErr w:type="spellStart"/>
      <w:r w:rsidRPr="00854702">
        <w:rPr>
          <w:rFonts w:ascii="Arial" w:hAnsi="Arial" w:cs="Arial"/>
          <w:sz w:val="24"/>
        </w:rPr>
        <w:t>Willelmi</w:t>
      </w:r>
      <w:proofErr w:type="spellEnd"/>
      <w:r w:rsidRPr="00854702">
        <w:rPr>
          <w:rFonts w:ascii="Arial" w:hAnsi="Arial" w:cs="Arial"/>
          <w:sz w:val="24"/>
        </w:rPr>
        <w:t xml:space="preserve"> </w:t>
      </w:r>
      <w:proofErr w:type="spellStart"/>
      <w:r w:rsidRPr="00854702">
        <w:rPr>
          <w:rFonts w:ascii="Arial" w:hAnsi="Arial" w:cs="Arial"/>
          <w:sz w:val="24"/>
        </w:rPr>
        <w:t>Dekne</w:t>
      </w:r>
      <w:proofErr w:type="spellEnd"/>
      <w:r w:rsidRPr="00854702">
        <w:rPr>
          <w:rFonts w:ascii="Arial" w:hAnsi="Arial" w:cs="Arial"/>
          <w:sz w:val="24"/>
        </w:rPr>
        <w:t xml:space="preserve"> </w:t>
      </w:r>
      <w:proofErr w:type="spellStart"/>
      <w:r w:rsidRPr="00854702">
        <w:rPr>
          <w:rFonts w:ascii="Arial" w:hAnsi="Arial" w:cs="Arial"/>
          <w:sz w:val="24"/>
        </w:rPr>
        <w:t>duxit</w:t>
      </w:r>
      <w:proofErr w:type="spellEnd"/>
      <w:r w:rsidRPr="00854702">
        <w:rPr>
          <w:rFonts w:ascii="Arial" w:hAnsi="Arial" w:cs="Arial"/>
          <w:sz w:val="24"/>
        </w:rPr>
        <w:t xml:space="preserve"> de South </w:t>
      </w:r>
      <w:proofErr w:type="spellStart"/>
      <w:r w:rsidRPr="00854702">
        <w:rPr>
          <w:rFonts w:ascii="Arial" w:hAnsi="Arial" w:cs="Arial"/>
          <w:sz w:val="24"/>
        </w:rPr>
        <w:t>Beniflete</w:t>
      </w:r>
      <w:proofErr w:type="spellEnd"/>
      <w:r w:rsidRPr="00854702">
        <w:rPr>
          <w:rFonts w:ascii="Arial" w:hAnsi="Arial" w:cs="Arial"/>
          <w:sz w:val="24"/>
        </w:rPr>
        <w:t xml:space="preserve">’ (Nichola </w:t>
      </w:r>
      <w:proofErr w:type="spellStart"/>
      <w:r w:rsidRPr="00854702">
        <w:rPr>
          <w:rFonts w:ascii="Arial" w:hAnsi="Arial" w:cs="Arial"/>
          <w:sz w:val="24"/>
        </w:rPr>
        <w:t>Cartere</w:t>
      </w:r>
      <w:proofErr w:type="spellEnd"/>
      <w:r w:rsidRPr="00854702">
        <w:rPr>
          <w:rFonts w:ascii="Arial" w:hAnsi="Arial" w:cs="Arial"/>
          <w:sz w:val="24"/>
        </w:rPr>
        <w:t xml:space="preserve"> who was lately taken as wife by William </w:t>
      </w:r>
      <w:proofErr w:type="spellStart"/>
      <w:r w:rsidRPr="00854702">
        <w:rPr>
          <w:rFonts w:ascii="Arial" w:hAnsi="Arial" w:cs="Arial"/>
          <w:sz w:val="24"/>
        </w:rPr>
        <w:t>Dekne</w:t>
      </w:r>
      <w:proofErr w:type="spellEnd"/>
      <w:r w:rsidRPr="00854702">
        <w:rPr>
          <w:rFonts w:ascii="Arial" w:hAnsi="Arial" w:cs="Arial"/>
          <w:sz w:val="24"/>
        </w:rPr>
        <w:t xml:space="preserve"> of South Benfleet).</w:t>
      </w:r>
      <w:r w:rsidRPr="00854702">
        <w:rPr>
          <w:rStyle w:val="FootnoteReference"/>
          <w:rFonts w:ascii="Arial" w:hAnsi="Arial" w:cs="Arial"/>
          <w:sz w:val="24"/>
        </w:rPr>
        <w:footnoteReference w:id="36"/>
      </w:r>
      <w:r w:rsidRPr="00854702">
        <w:rPr>
          <w:rFonts w:ascii="Arial" w:hAnsi="Arial" w:cs="Arial"/>
          <w:sz w:val="24"/>
        </w:rPr>
        <w:t xml:space="preserve"> Despite the name appearing as ‘</w:t>
      </w:r>
      <w:proofErr w:type="spellStart"/>
      <w:r w:rsidRPr="00854702">
        <w:rPr>
          <w:rFonts w:ascii="Arial" w:hAnsi="Arial" w:cs="Arial"/>
          <w:sz w:val="24"/>
        </w:rPr>
        <w:t>Nicholus</w:t>
      </w:r>
      <w:proofErr w:type="spellEnd"/>
      <w:r w:rsidRPr="00854702">
        <w:rPr>
          <w:rFonts w:ascii="Arial" w:hAnsi="Arial" w:cs="Arial"/>
          <w:sz w:val="24"/>
        </w:rPr>
        <w:t xml:space="preserve">’ within the original Latin document, the description of her recent marriage undoubtedly identifies her as a woman, even further supported by the lack of her husband’s name being mentioned. Looking in particular at the language used, ‘etc quarto </w:t>
      </w:r>
      <w:proofErr w:type="spellStart"/>
      <w:r w:rsidRPr="00854702">
        <w:rPr>
          <w:rFonts w:ascii="Arial" w:hAnsi="Arial" w:cs="Arial"/>
          <w:sz w:val="24"/>
        </w:rPr>
        <w:t>fuerunt</w:t>
      </w:r>
      <w:proofErr w:type="spellEnd"/>
      <w:r w:rsidRPr="00854702">
        <w:rPr>
          <w:rFonts w:ascii="Arial" w:hAnsi="Arial" w:cs="Arial"/>
          <w:sz w:val="24"/>
        </w:rPr>
        <w:t xml:space="preserve"> </w:t>
      </w:r>
      <w:proofErr w:type="spellStart"/>
      <w:r w:rsidRPr="00854702">
        <w:rPr>
          <w:rFonts w:ascii="Arial" w:hAnsi="Arial" w:cs="Arial"/>
          <w:sz w:val="24"/>
        </w:rPr>
        <w:t>ductores</w:t>
      </w:r>
      <w:proofErr w:type="spellEnd"/>
      <w:r w:rsidRPr="00854702">
        <w:rPr>
          <w:rFonts w:ascii="Arial" w:hAnsi="Arial" w:cs="Arial"/>
          <w:sz w:val="24"/>
        </w:rPr>
        <w:t xml:space="preserve"> et </w:t>
      </w:r>
      <w:proofErr w:type="spellStart"/>
      <w:r w:rsidRPr="00854702">
        <w:rPr>
          <w:rFonts w:ascii="Arial" w:hAnsi="Arial" w:cs="Arial"/>
          <w:sz w:val="24"/>
        </w:rPr>
        <w:t>manutentores</w:t>
      </w:r>
      <w:proofErr w:type="spellEnd"/>
      <w:r w:rsidRPr="00854702">
        <w:rPr>
          <w:rFonts w:ascii="Arial" w:hAnsi="Arial" w:cs="Arial"/>
          <w:sz w:val="24"/>
        </w:rPr>
        <w:t xml:space="preserve"> </w:t>
      </w:r>
      <w:proofErr w:type="spellStart"/>
      <w:r w:rsidRPr="00854702">
        <w:rPr>
          <w:rFonts w:ascii="Arial" w:hAnsi="Arial" w:cs="Arial"/>
          <w:sz w:val="24"/>
        </w:rPr>
        <w:t>comitive</w:t>
      </w:r>
      <w:proofErr w:type="spellEnd"/>
      <w:r w:rsidRPr="00854702">
        <w:rPr>
          <w:rFonts w:ascii="Arial" w:hAnsi="Arial" w:cs="Arial"/>
          <w:sz w:val="24"/>
        </w:rPr>
        <w:t xml:space="preserve"> </w:t>
      </w:r>
      <w:proofErr w:type="spellStart"/>
      <w:r w:rsidRPr="00854702">
        <w:rPr>
          <w:rFonts w:ascii="Arial" w:hAnsi="Arial" w:cs="Arial"/>
          <w:sz w:val="24"/>
        </w:rPr>
        <w:t>inique</w:t>
      </w:r>
      <w:proofErr w:type="spellEnd"/>
      <w:r w:rsidRPr="00854702">
        <w:rPr>
          <w:rFonts w:ascii="Arial" w:hAnsi="Arial" w:cs="Arial"/>
          <w:sz w:val="24"/>
        </w:rPr>
        <w:t xml:space="preserve"> </w:t>
      </w:r>
      <w:proofErr w:type="spellStart"/>
      <w:r w:rsidRPr="00854702">
        <w:rPr>
          <w:rFonts w:ascii="Arial" w:hAnsi="Arial" w:cs="Arial"/>
          <w:sz w:val="24"/>
        </w:rPr>
        <w:t>ad</w:t>
      </w:r>
      <w:proofErr w:type="spellEnd"/>
      <w:r w:rsidRPr="00854702">
        <w:rPr>
          <w:rFonts w:ascii="Arial" w:hAnsi="Arial" w:cs="Arial"/>
          <w:sz w:val="24"/>
        </w:rPr>
        <w:t xml:space="preserve"> </w:t>
      </w:r>
      <w:proofErr w:type="spellStart"/>
      <w:r w:rsidRPr="00854702">
        <w:rPr>
          <w:rFonts w:ascii="Arial" w:hAnsi="Arial" w:cs="Arial"/>
          <w:sz w:val="24"/>
        </w:rPr>
        <w:t>manerium</w:t>
      </w:r>
      <w:proofErr w:type="spellEnd"/>
      <w:r w:rsidRPr="00854702">
        <w:rPr>
          <w:rFonts w:ascii="Arial" w:hAnsi="Arial" w:cs="Arial"/>
          <w:sz w:val="24"/>
        </w:rPr>
        <w:t xml:space="preserve"> </w:t>
      </w:r>
      <w:proofErr w:type="spellStart"/>
      <w:r w:rsidRPr="00854702">
        <w:rPr>
          <w:rFonts w:ascii="Arial" w:hAnsi="Arial" w:cs="Arial"/>
          <w:sz w:val="24"/>
        </w:rPr>
        <w:t>Galfridi</w:t>
      </w:r>
      <w:proofErr w:type="spellEnd"/>
      <w:r w:rsidRPr="00854702">
        <w:rPr>
          <w:rFonts w:ascii="Arial" w:hAnsi="Arial" w:cs="Arial"/>
          <w:sz w:val="24"/>
        </w:rPr>
        <w:t xml:space="preserve"> </w:t>
      </w:r>
      <w:proofErr w:type="spellStart"/>
      <w:r w:rsidRPr="00854702">
        <w:rPr>
          <w:rFonts w:ascii="Arial" w:hAnsi="Arial" w:cs="Arial"/>
          <w:sz w:val="24"/>
        </w:rPr>
        <w:t>Dersham</w:t>
      </w:r>
      <w:proofErr w:type="spellEnd"/>
      <w:r w:rsidRPr="00854702">
        <w:rPr>
          <w:rFonts w:ascii="Arial" w:hAnsi="Arial" w:cs="Arial"/>
          <w:sz w:val="24"/>
        </w:rPr>
        <w:t xml:space="preserve"> de </w:t>
      </w:r>
      <w:proofErr w:type="spellStart"/>
      <w:r w:rsidRPr="00854702">
        <w:rPr>
          <w:rFonts w:ascii="Arial" w:hAnsi="Arial" w:cs="Arial"/>
          <w:sz w:val="24"/>
        </w:rPr>
        <w:t>Bernhalle</w:t>
      </w:r>
      <w:proofErr w:type="spellEnd"/>
      <w:r w:rsidRPr="00854702">
        <w:rPr>
          <w:rFonts w:ascii="Arial" w:hAnsi="Arial" w:cs="Arial"/>
          <w:sz w:val="24"/>
        </w:rPr>
        <w:t>’ makes it clear that those individuals identified led ‘the commons’ to commit offences against the manors of Essex.</w:t>
      </w:r>
      <w:r w:rsidRPr="00854702">
        <w:rPr>
          <w:rStyle w:val="FootnoteReference"/>
          <w:rFonts w:ascii="Arial" w:hAnsi="Arial" w:cs="Arial"/>
          <w:sz w:val="24"/>
        </w:rPr>
        <w:footnoteReference w:id="37"/>
      </w:r>
      <w:r w:rsidRPr="00854702">
        <w:rPr>
          <w:rFonts w:ascii="Arial" w:hAnsi="Arial" w:cs="Arial"/>
          <w:sz w:val="24"/>
        </w:rPr>
        <w:t xml:space="preserve"> In contrast to the role of women mentioned earlier in the essay, Nichola </w:t>
      </w:r>
      <w:proofErr w:type="spellStart"/>
      <w:r w:rsidRPr="00854702">
        <w:rPr>
          <w:rFonts w:ascii="Arial" w:hAnsi="Arial" w:cs="Arial"/>
          <w:sz w:val="24"/>
        </w:rPr>
        <w:t>Cartere</w:t>
      </w:r>
      <w:proofErr w:type="spellEnd"/>
      <w:r w:rsidRPr="00854702">
        <w:rPr>
          <w:rFonts w:ascii="Arial" w:hAnsi="Arial" w:cs="Arial"/>
          <w:sz w:val="24"/>
        </w:rPr>
        <w:t xml:space="preserve"> does not appear to be a victim of the revolt and brings to light the varied positions women would have taken </w:t>
      </w:r>
      <w:r w:rsidRPr="00854702">
        <w:rPr>
          <w:rFonts w:ascii="Arial" w:hAnsi="Arial" w:cs="Arial"/>
          <w:sz w:val="24"/>
        </w:rPr>
        <w:lastRenderedPageBreak/>
        <w:t>during the summer of 1381. It becomes clear through research that fourteenth century cannot be grouped by gender or by class, that their involvement in the Peasants’ Revolt is likely to have been the result of their surroundings and circumstance.</w:t>
      </w:r>
    </w:p>
    <w:p w14:paraId="2D38945E" w14:textId="77777777" w:rsidR="00C625E3" w:rsidRPr="00854702" w:rsidRDefault="00C625E3" w:rsidP="00854702">
      <w:pPr>
        <w:spacing w:line="360" w:lineRule="auto"/>
        <w:rPr>
          <w:rFonts w:ascii="Arial" w:hAnsi="Arial" w:cs="Arial"/>
          <w:sz w:val="24"/>
        </w:rPr>
      </w:pPr>
      <w:r w:rsidRPr="00854702">
        <w:rPr>
          <w:rFonts w:ascii="Arial" w:hAnsi="Arial" w:cs="Arial"/>
          <w:sz w:val="24"/>
        </w:rPr>
        <w:t xml:space="preserve">It seems significant to consider the role of Anne of Bohemia in the aftermath of the Peasants’ Revolt to draw clear comparisons with those who were participants or victims. Despite there being little mention of women in contemporary chronicles and accounts, the arrival of Anne of Bohemia is marked clearly within surviving documents. A key chronicle that relies upon the arrival of Anne is </w:t>
      </w:r>
      <w:r w:rsidRPr="00854702">
        <w:rPr>
          <w:rFonts w:ascii="Arial" w:hAnsi="Arial" w:cs="Arial"/>
          <w:i/>
          <w:sz w:val="24"/>
        </w:rPr>
        <w:t xml:space="preserve">The Westminster Chronicle </w:t>
      </w:r>
      <w:r w:rsidRPr="00854702">
        <w:rPr>
          <w:rFonts w:ascii="Arial" w:hAnsi="Arial" w:cs="Arial"/>
          <w:sz w:val="24"/>
        </w:rPr>
        <w:t>as mentioned above, complied between 1381 and 1394 and describes her landing in England shortly before Christmas of 1381, then her marriage to King Richard II on 20 January 1382.</w:t>
      </w:r>
      <w:r w:rsidRPr="00854702">
        <w:rPr>
          <w:rStyle w:val="FootnoteReference"/>
          <w:rFonts w:ascii="Arial" w:hAnsi="Arial" w:cs="Arial"/>
          <w:sz w:val="24"/>
        </w:rPr>
        <w:footnoteReference w:id="38"/>
      </w:r>
      <w:r w:rsidRPr="00854702">
        <w:rPr>
          <w:rFonts w:ascii="Arial" w:hAnsi="Arial" w:cs="Arial"/>
          <w:sz w:val="24"/>
        </w:rPr>
        <w:t xml:space="preserve"> Dates of significance such as the marriage of the king would prove vital to fourteenth century society as important markers of time, through which modern scholars can attempt to date works with accuracy. In </w:t>
      </w:r>
      <w:r w:rsidRPr="00854702">
        <w:rPr>
          <w:rFonts w:ascii="Arial" w:hAnsi="Arial" w:cs="Arial"/>
          <w:i/>
          <w:sz w:val="24"/>
        </w:rPr>
        <w:t>Medieval Lives</w:t>
      </w:r>
      <w:r w:rsidRPr="00854702">
        <w:rPr>
          <w:rFonts w:ascii="Arial" w:hAnsi="Arial" w:cs="Arial"/>
          <w:sz w:val="24"/>
        </w:rPr>
        <w:t>, Jones and Ereira state that Anne of Bohemia would have been crucial to the implacable judgment of the king, that</w:t>
      </w:r>
      <w:r w:rsidRPr="00854702">
        <w:rPr>
          <w:rFonts w:ascii="Arial" w:hAnsi="Arial" w:cs="Arial"/>
          <w:color w:val="009999"/>
          <w:sz w:val="24"/>
        </w:rPr>
        <w:t xml:space="preserve"> </w:t>
      </w:r>
      <w:r w:rsidRPr="00854702">
        <w:rPr>
          <w:rFonts w:ascii="Arial" w:hAnsi="Arial" w:cs="Arial"/>
          <w:sz w:val="24"/>
        </w:rPr>
        <w:t>‘it seems likely that she had a powerful influence over her husband.’</w:t>
      </w:r>
      <w:r w:rsidRPr="00854702">
        <w:rPr>
          <w:rStyle w:val="FootnoteReference"/>
          <w:rFonts w:ascii="Arial" w:hAnsi="Arial" w:cs="Arial"/>
          <w:sz w:val="24"/>
        </w:rPr>
        <w:footnoteReference w:id="39"/>
      </w:r>
      <w:r w:rsidRPr="00854702">
        <w:rPr>
          <w:rFonts w:ascii="Arial" w:hAnsi="Arial" w:cs="Arial"/>
          <w:sz w:val="24"/>
        </w:rPr>
        <w:t xml:space="preserve"> As some historians argue, Anne had an important influence over the judicial process following the Peasants’ Revolt, and it seems fitting whilst considering the role of women during the uprising to consider a woman who had arguably one of the most powerful positions. An extract of the </w:t>
      </w:r>
      <w:r w:rsidRPr="00854702">
        <w:rPr>
          <w:rFonts w:ascii="Arial" w:hAnsi="Arial" w:cs="Arial"/>
          <w:i/>
          <w:sz w:val="24"/>
        </w:rPr>
        <w:t xml:space="preserve">Chronicon Henrici Knighton </w:t>
      </w:r>
      <w:r w:rsidRPr="00854702">
        <w:rPr>
          <w:rFonts w:ascii="Arial" w:hAnsi="Arial" w:cs="Arial"/>
          <w:sz w:val="24"/>
        </w:rPr>
        <w:t xml:space="preserve">as found in </w:t>
      </w:r>
      <w:r w:rsidRPr="00854702">
        <w:rPr>
          <w:rFonts w:ascii="Arial" w:hAnsi="Arial" w:cs="Arial"/>
          <w:i/>
          <w:sz w:val="24"/>
        </w:rPr>
        <w:t xml:space="preserve">The Peasants’ Revolt of 1381 </w:t>
      </w:r>
      <w:r w:rsidRPr="00854702">
        <w:rPr>
          <w:rFonts w:ascii="Arial" w:hAnsi="Arial" w:cs="Arial"/>
          <w:sz w:val="24"/>
        </w:rPr>
        <w:t>by R B Dobson references a considerable number of pardons between 1382 and 1383 that were said to have been granted at her request.</w:t>
      </w:r>
      <w:r w:rsidRPr="00854702">
        <w:rPr>
          <w:rStyle w:val="FootnoteReference"/>
          <w:rFonts w:ascii="Arial" w:hAnsi="Arial" w:cs="Arial"/>
          <w:sz w:val="24"/>
        </w:rPr>
        <w:footnoteReference w:id="40"/>
      </w:r>
      <w:r w:rsidRPr="00854702">
        <w:rPr>
          <w:rFonts w:ascii="Arial" w:hAnsi="Arial" w:cs="Arial"/>
          <w:sz w:val="24"/>
        </w:rPr>
        <w:t xml:space="preserve"> However, Dobson raises doubts that Anne of Bohemia had any more influence on Richard II than is presumed, perhaps therefore highlighting the socially constructed gender roles of the fourteenth century continue through the class system.</w:t>
      </w:r>
      <w:r w:rsidRPr="00854702">
        <w:rPr>
          <w:rStyle w:val="FootnoteReference"/>
          <w:rFonts w:ascii="Arial" w:hAnsi="Arial" w:cs="Arial"/>
          <w:sz w:val="24"/>
        </w:rPr>
        <w:footnoteReference w:id="41"/>
      </w:r>
    </w:p>
    <w:p w14:paraId="6EA0993C" w14:textId="77777777" w:rsidR="00C625E3" w:rsidRPr="00854702" w:rsidRDefault="00C625E3" w:rsidP="00854702">
      <w:pPr>
        <w:spacing w:line="360" w:lineRule="auto"/>
        <w:rPr>
          <w:rFonts w:ascii="Arial" w:hAnsi="Arial" w:cs="Arial"/>
          <w:sz w:val="24"/>
        </w:rPr>
      </w:pPr>
      <w:r w:rsidRPr="00854702">
        <w:rPr>
          <w:rFonts w:ascii="Arial" w:hAnsi="Arial" w:cs="Arial"/>
          <w:sz w:val="24"/>
        </w:rPr>
        <w:t xml:space="preserve">Having addressed contemporary evidence for women as both victims and participants of the Peasants’ Revolt above, it becomes clear that the absence of women within modern scholarship on the uprising is an issue that has not yet been developed fully as a research interest. There are modern scholars such as Sylvia Federico have clearly acknowledged female involvement in the Peasants’ Revolt, and the use of primary </w:t>
      </w:r>
      <w:r w:rsidRPr="00854702">
        <w:rPr>
          <w:rFonts w:ascii="Arial" w:hAnsi="Arial" w:cs="Arial"/>
          <w:sz w:val="24"/>
        </w:rPr>
        <w:lastRenderedPageBreak/>
        <w:t>source material emphasises the ability to discover the lives of women from seemingly male dominated resources. ‘No one source will tell us what really happened in 1381, but by reading these sources together […] we can hear not only what may have happened by also why it mattered to contemporary observers.’</w:t>
      </w:r>
      <w:r w:rsidRPr="00854702">
        <w:rPr>
          <w:rStyle w:val="FootnoteReference"/>
          <w:rFonts w:ascii="Arial" w:hAnsi="Arial" w:cs="Arial"/>
          <w:sz w:val="24"/>
        </w:rPr>
        <w:footnoteReference w:id="42"/>
      </w:r>
      <w:r w:rsidRPr="00854702">
        <w:rPr>
          <w:rFonts w:ascii="Arial" w:hAnsi="Arial" w:cs="Arial"/>
          <w:sz w:val="24"/>
        </w:rPr>
        <w:t xml:space="preserve"> As Federico highlights, in order to understand the events of the Peasants’ Revolt, there cannot be sole reliance on one contemporary source to discover the motivations and actions of all members of society.</w:t>
      </w:r>
      <w:r w:rsidRPr="00854702">
        <w:rPr>
          <w:rStyle w:val="FootnoteReference"/>
          <w:rFonts w:ascii="Arial" w:hAnsi="Arial" w:cs="Arial"/>
          <w:sz w:val="24"/>
        </w:rPr>
        <w:footnoteReference w:id="43"/>
      </w:r>
      <w:r w:rsidRPr="00854702">
        <w:rPr>
          <w:rFonts w:ascii="Arial" w:hAnsi="Arial" w:cs="Arial"/>
          <w:sz w:val="24"/>
        </w:rPr>
        <w:t xml:space="preserve"> Eileen Power’s work titled </w:t>
      </w:r>
      <w:r w:rsidRPr="00854702">
        <w:rPr>
          <w:rFonts w:ascii="Arial" w:hAnsi="Arial" w:cs="Arial"/>
          <w:i/>
          <w:sz w:val="24"/>
        </w:rPr>
        <w:t xml:space="preserve">Medieval Women </w:t>
      </w:r>
      <w:r w:rsidRPr="00854702">
        <w:rPr>
          <w:rFonts w:ascii="Arial" w:hAnsi="Arial" w:cs="Arial"/>
          <w:sz w:val="24"/>
        </w:rPr>
        <w:t>also highlights that all members of lower society are absent from much of the surviving contemporary records, but also stresses the usefulness of such sources when pieced together, ‘the common folk, of whom we catch innumerable glimpses in the records of manors or boroughs, rarely uttered a word above the whistle of a scythe or the hum of a loom.’</w:t>
      </w:r>
      <w:r w:rsidRPr="00854702">
        <w:rPr>
          <w:rStyle w:val="FootnoteReference"/>
          <w:rFonts w:ascii="Arial" w:hAnsi="Arial" w:cs="Arial"/>
          <w:sz w:val="24"/>
        </w:rPr>
        <w:footnoteReference w:id="44"/>
      </w:r>
      <w:r w:rsidRPr="00854702">
        <w:rPr>
          <w:rFonts w:ascii="Arial" w:hAnsi="Arial" w:cs="Arial"/>
          <w:sz w:val="24"/>
        </w:rPr>
        <w:t xml:space="preserve"> It is rarely through direct speech or authorship that modern readers can gain an understanding of medieval society, and much like the academic discipline of gender studies within the medieval period, historians must rely upon the information that lies between the lines. </w:t>
      </w:r>
    </w:p>
    <w:p w14:paraId="222390C1" w14:textId="77777777" w:rsidR="00C625E3" w:rsidRPr="00854702" w:rsidRDefault="00C625E3" w:rsidP="00854702">
      <w:pPr>
        <w:spacing w:line="360" w:lineRule="auto"/>
        <w:rPr>
          <w:rFonts w:ascii="Arial" w:hAnsi="Arial" w:cs="Arial"/>
          <w:sz w:val="24"/>
        </w:rPr>
      </w:pPr>
      <w:r w:rsidRPr="00854702">
        <w:rPr>
          <w:rFonts w:ascii="Arial" w:hAnsi="Arial" w:cs="Arial"/>
          <w:sz w:val="24"/>
        </w:rPr>
        <w:t>Despite looking at contemporary material as evidence of women as either victims or participants, it is probable that women were subjected to a multitude of roles, therefore making it difficult to clearly categorise documented individuals.  Can it therefore be deciphered that regardless of their ‘involvement’ in the Peasants’ Revolt, women were both participants and victims? Sylvia Federico’s argument proved to be extremely useful to the essay itself, considering the victimisation of women during the events of 1381 alongside the use of gender studies as a historiographical approach allowing for careful consideration of the social context of the fourteenth century.</w:t>
      </w:r>
      <w:r w:rsidRPr="00854702">
        <w:rPr>
          <w:rStyle w:val="FootnoteReference"/>
          <w:rFonts w:ascii="Arial" w:hAnsi="Arial" w:cs="Arial"/>
          <w:sz w:val="24"/>
        </w:rPr>
        <w:footnoteReference w:id="45"/>
      </w:r>
      <w:r w:rsidRPr="00854702">
        <w:rPr>
          <w:rFonts w:ascii="Arial" w:hAnsi="Arial" w:cs="Arial"/>
          <w:sz w:val="24"/>
        </w:rPr>
        <w:t xml:space="preserve"> Federico explores the hostility married women faced as though guilty by association, ‘should she be considered a rebel sympathiser, as the property judgement implicitly assumes, or is she a victim of the rebellion.’</w:t>
      </w:r>
      <w:r w:rsidRPr="00854702">
        <w:rPr>
          <w:rStyle w:val="FootnoteReference"/>
          <w:rFonts w:ascii="Arial" w:hAnsi="Arial" w:cs="Arial"/>
          <w:sz w:val="24"/>
        </w:rPr>
        <w:footnoteReference w:id="46"/>
      </w:r>
      <w:r w:rsidRPr="00854702">
        <w:rPr>
          <w:rFonts w:ascii="Arial" w:hAnsi="Arial" w:cs="Arial"/>
          <w:sz w:val="24"/>
        </w:rPr>
        <w:t xml:space="preserve"> As mentioned earlier in the essay, some women were abandoned by their husbands during the uprising which undoubtedly raises suspicions of the ‘rebel sympathiser’ image that is documented by some contemporary authors. In a period dominated by strict social structures of class and gender, would fourteenth century women have been able to place themselves as either victims or participants? </w:t>
      </w:r>
      <w:r w:rsidRPr="00854702">
        <w:rPr>
          <w:rFonts w:ascii="Arial" w:hAnsi="Arial" w:cs="Arial"/>
          <w:sz w:val="24"/>
        </w:rPr>
        <w:lastRenderedPageBreak/>
        <w:t>The reality of fourteenth century society seemingly creates blurred lines in the recorded expectations of women, and the ability to decipher the involvement of women in the Peasants’ Revolt becomes muddled with other important contemporary issues such as class and marital status. Caviness highlights this further by stating that ‘some scholars have argued that medieval women (notably queens and abbesses) had great power, others spoke for the women – including some of the same – who were disempowered by the gender (and class) system.’</w:t>
      </w:r>
      <w:r w:rsidRPr="00854702">
        <w:rPr>
          <w:rStyle w:val="FootnoteReference"/>
          <w:rFonts w:ascii="Arial" w:hAnsi="Arial" w:cs="Arial"/>
          <w:sz w:val="24"/>
        </w:rPr>
        <w:footnoteReference w:id="47"/>
      </w:r>
      <w:r w:rsidRPr="00854702">
        <w:rPr>
          <w:rFonts w:ascii="Arial" w:hAnsi="Arial" w:cs="Arial"/>
          <w:sz w:val="24"/>
        </w:rPr>
        <w:t xml:space="preserve"> With crucial social structures like gender and class dominating society, the lack of information on women and lower class men of the fourteenth century makes the focus of gender studies and the movement to rewrite absent figures from the pages of history all the more significant for understanding periods of extreme social tension.</w:t>
      </w:r>
    </w:p>
    <w:p w14:paraId="4974FCA0" w14:textId="77777777" w:rsidR="00C625E3" w:rsidRPr="00854702" w:rsidRDefault="00C625E3" w:rsidP="00854702">
      <w:pPr>
        <w:spacing w:line="360" w:lineRule="auto"/>
        <w:rPr>
          <w:rFonts w:ascii="Arial" w:hAnsi="Arial" w:cs="Arial"/>
          <w:sz w:val="24"/>
        </w:rPr>
      </w:pPr>
      <w:r w:rsidRPr="00854702">
        <w:rPr>
          <w:rFonts w:ascii="Arial" w:hAnsi="Arial" w:cs="Arial"/>
          <w:sz w:val="24"/>
        </w:rPr>
        <w:t>Although the Peasants’ Revolt undoubtedly had female participants, it is difficult to establish their motivation for doing so when the fourteenth century was a period of significant social unrest. Continuing from the above paragraph, Federico mentions the difficulties of understanding women’s roles within the context of the fourteenth century, ‘women did not, in other words, play solely one particular sort of role or another but, rather, many – and interpreting this plurality is as challenging as defining ‘men’s roles’ in The Rising.’</w:t>
      </w:r>
      <w:r w:rsidRPr="00854702">
        <w:rPr>
          <w:rStyle w:val="FootnoteReference"/>
          <w:rFonts w:ascii="Arial" w:hAnsi="Arial" w:cs="Arial"/>
          <w:sz w:val="24"/>
        </w:rPr>
        <w:footnoteReference w:id="48"/>
      </w:r>
      <w:r w:rsidRPr="00854702">
        <w:rPr>
          <w:rFonts w:ascii="Arial" w:hAnsi="Arial" w:cs="Arial"/>
          <w:sz w:val="24"/>
        </w:rPr>
        <w:t xml:space="preserve"> It becomes clear that women were part of a more significant grouping, that although the socially constructed view on women was at times oppressive, their role as a peasant or member of the lower classes meant more during the events of 1381. The concept of a woman’s role within the class structure having more importance is emphasised concisely by Rigby, ‘this, when women participated in collective social unrest […] it tended to be on class grounds, as peasants or artisans, rather than as women per se.’</w:t>
      </w:r>
      <w:r w:rsidRPr="00854702">
        <w:rPr>
          <w:rStyle w:val="FootnoteReference"/>
          <w:rFonts w:ascii="Arial" w:hAnsi="Arial" w:cs="Arial"/>
          <w:sz w:val="24"/>
        </w:rPr>
        <w:footnoteReference w:id="49"/>
      </w:r>
      <w:r w:rsidRPr="00854702">
        <w:rPr>
          <w:rFonts w:ascii="Arial" w:hAnsi="Arial" w:cs="Arial"/>
          <w:sz w:val="24"/>
        </w:rPr>
        <w:t xml:space="preserve"> Through increasing social tensions following events such as the Black Death, it is clear that women would have had the opportunity to revolt as members of the rising lower classes, but it is difficult to categorise their motivations as an uprising against the issues surrounding gender constructs. In the Westminster Chronicle, the author states that when it came to the judgement of those involved in the Peasants’ Revolt, that all members of class and gender were able to accuse one another in a period of heightened social disputes, including women as accusers and the accused.</w:t>
      </w:r>
      <w:r w:rsidRPr="00854702">
        <w:rPr>
          <w:rStyle w:val="FootnoteReference"/>
          <w:rFonts w:ascii="Arial" w:hAnsi="Arial" w:cs="Arial"/>
          <w:sz w:val="24"/>
        </w:rPr>
        <w:footnoteReference w:id="50"/>
      </w:r>
      <w:r w:rsidRPr="00854702">
        <w:rPr>
          <w:rFonts w:ascii="Arial" w:hAnsi="Arial" w:cs="Arial"/>
          <w:sz w:val="24"/>
        </w:rPr>
        <w:t xml:space="preserve"> </w:t>
      </w:r>
      <w:r w:rsidRPr="00854702">
        <w:rPr>
          <w:rFonts w:ascii="Arial" w:hAnsi="Arial" w:cs="Arial"/>
          <w:sz w:val="24"/>
        </w:rPr>
        <w:lastRenderedPageBreak/>
        <w:t>‘</w:t>
      </w:r>
      <w:proofErr w:type="spellStart"/>
      <w:r w:rsidRPr="00854702">
        <w:rPr>
          <w:rFonts w:ascii="Arial" w:hAnsi="Arial" w:cs="Arial"/>
          <w:sz w:val="24"/>
        </w:rPr>
        <w:t>miserum</w:t>
      </w:r>
      <w:proofErr w:type="spellEnd"/>
      <w:r w:rsidRPr="00854702">
        <w:rPr>
          <w:rFonts w:ascii="Arial" w:hAnsi="Arial" w:cs="Arial"/>
          <w:sz w:val="24"/>
        </w:rPr>
        <w:t xml:space="preserve"> </w:t>
      </w:r>
      <w:proofErr w:type="spellStart"/>
      <w:r w:rsidRPr="00854702">
        <w:rPr>
          <w:rFonts w:ascii="Arial" w:hAnsi="Arial" w:cs="Arial"/>
          <w:sz w:val="24"/>
        </w:rPr>
        <w:t>erat</w:t>
      </w:r>
      <w:proofErr w:type="spellEnd"/>
      <w:r w:rsidRPr="00854702">
        <w:rPr>
          <w:rFonts w:ascii="Arial" w:hAnsi="Arial" w:cs="Arial"/>
          <w:sz w:val="24"/>
        </w:rPr>
        <w:t xml:space="preserve"> </w:t>
      </w:r>
      <w:proofErr w:type="spellStart"/>
      <w:r w:rsidRPr="00854702">
        <w:rPr>
          <w:rFonts w:ascii="Arial" w:hAnsi="Arial" w:cs="Arial"/>
          <w:sz w:val="24"/>
        </w:rPr>
        <w:t>intuen</w:t>
      </w:r>
      <w:proofErr w:type="spellEnd"/>
      <w:r w:rsidRPr="00854702">
        <w:rPr>
          <w:rFonts w:ascii="Arial" w:hAnsi="Arial" w:cs="Arial"/>
          <w:sz w:val="24"/>
        </w:rPr>
        <w:t xml:space="preserve"> </w:t>
      </w:r>
      <w:proofErr w:type="spellStart"/>
      <w:r w:rsidRPr="00854702">
        <w:rPr>
          <w:rFonts w:ascii="Arial" w:hAnsi="Arial" w:cs="Arial"/>
          <w:sz w:val="24"/>
        </w:rPr>
        <w:t>zeli</w:t>
      </w:r>
      <w:proofErr w:type="spellEnd"/>
      <w:r w:rsidRPr="00854702">
        <w:rPr>
          <w:rFonts w:ascii="Arial" w:hAnsi="Arial" w:cs="Arial"/>
          <w:sz w:val="24"/>
        </w:rPr>
        <w:t xml:space="preserve"> </w:t>
      </w:r>
      <w:proofErr w:type="spellStart"/>
      <w:r w:rsidRPr="00854702">
        <w:rPr>
          <w:rFonts w:ascii="Arial" w:hAnsi="Arial" w:cs="Arial"/>
          <w:sz w:val="24"/>
        </w:rPr>
        <w:t>voto</w:t>
      </w:r>
      <w:proofErr w:type="spellEnd"/>
      <w:r w:rsidRPr="00854702">
        <w:rPr>
          <w:rFonts w:ascii="Arial" w:hAnsi="Arial" w:cs="Arial"/>
          <w:sz w:val="24"/>
        </w:rPr>
        <w:t xml:space="preserve"> </w:t>
      </w:r>
      <w:proofErr w:type="spellStart"/>
      <w:r w:rsidRPr="00854702">
        <w:rPr>
          <w:rFonts w:ascii="Arial" w:hAnsi="Arial" w:cs="Arial"/>
          <w:sz w:val="24"/>
        </w:rPr>
        <w:t>faventibus</w:t>
      </w:r>
      <w:proofErr w:type="spellEnd"/>
      <w:r w:rsidRPr="00854702">
        <w:rPr>
          <w:rFonts w:ascii="Arial" w:hAnsi="Arial" w:cs="Arial"/>
          <w:sz w:val="24"/>
        </w:rPr>
        <w:t xml:space="preserve"> </w:t>
      </w:r>
      <w:proofErr w:type="spellStart"/>
      <w:r w:rsidRPr="00854702">
        <w:rPr>
          <w:rFonts w:ascii="Arial" w:hAnsi="Arial" w:cs="Arial"/>
          <w:sz w:val="24"/>
        </w:rPr>
        <w:t>penes</w:t>
      </w:r>
      <w:proofErr w:type="spellEnd"/>
      <w:r w:rsidRPr="00854702">
        <w:rPr>
          <w:rFonts w:ascii="Arial" w:hAnsi="Arial" w:cs="Arial"/>
          <w:sz w:val="24"/>
        </w:rPr>
        <w:t xml:space="preserve"> </w:t>
      </w:r>
      <w:proofErr w:type="spellStart"/>
      <w:r w:rsidRPr="00854702">
        <w:rPr>
          <w:rFonts w:ascii="Arial" w:hAnsi="Arial" w:cs="Arial"/>
          <w:sz w:val="24"/>
        </w:rPr>
        <w:t>servum</w:t>
      </w:r>
      <w:proofErr w:type="spellEnd"/>
      <w:r w:rsidRPr="00854702">
        <w:rPr>
          <w:rFonts w:ascii="Arial" w:hAnsi="Arial" w:cs="Arial"/>
          <w:sz w:val="24"/>
        </w:rPr>
        <w:t xml:space="preserve"> </w:t>
      </w:r>
      <w:proofErr w:type="spellStart"/>
      <w:r w:rsidRPr="00854702">
        <w:rPr>
          <w:rFonts w:ascii="Arial" w:hAnsi="Arial" w:cs="Arial"/>
          <w:sz w:val="24"/>
        </w:rPr>
        <w:t>dominum</w:t>
      </w:r>
      <w:proofErr w:type="spellEnd"/>
      <w:r w:rsidRPr="00854702">
        <w:rPr>
          <w:rFonts w:ascii="Arial" w:hAnsi="Arial" w:cs="Arial"/>
          <w:sz w:val="24"/>
        </w:rPr>
        <w:t xml:space="preserve"> </w:t>
      </w:r>
      <w:proofErr w:type="spellStart"/>
      <w:r w:rsidRPr="00854702">
        <w:rPr>
          <w:rFonts w:ascii="Arial" w:hAnsi="Arial" w:cs="Arial"/>
          <w:sz w:val="24"/>
        </w:rPr>
        <w:t>accusare</w:t>
      </w:r>
      <w:proofErr w:type="spellEnd"/>
      <w:r w:rsidRPr="00854702">
        <w:rPr>
          <w:rFonts w:ascii="Arial" w:hAnsi="Arial" w:cs="Arial"/>
          <w:sz w:val="24"/>
        </w:rPr>
        <w:t xml:space="preserve">, </w:t>
      </w:r>
      <w:proofErr w:type="spellStart"/>
      <w:r w:rsidRPr="00854702">
        <w:rPr>
          <w:rFonts w:ascii="Arial" w:hAnsi="Arial" w:cs="Arial"/>
          <w:sz w:val="24"/>
        </w:rPr>
        <w:t>civem</w:t>
      </w:r>
      <w:proofErr w:type="spellEnd"/>
      <w:r w:rsidRPr="00854702">
        <w:rPr>
          <w:rFonts w:ascii="Arial" w:hAnsi="Arial" w:cs="Arial"/>
          <w:sz w:val="24"/>
        </w:rPr>
        <w:t xml:space="preserve"> in </w:t>
      </w:r>
      <w:proofErr w:type="spellStart"/>
      <w:r w:rsidRPr="00854702">
        <w:rPr>
          <w:rFonts w:ascii="Arial" w:hAnsi="Arial" w:cs="Arial"/>
          <w:sz w:val="24"/>
        </w:rPr>
        <w:t>sibi</w:t>
      </w:r>
      <w:proofErr w:type="spellEnd"/>
      <w:r w:rsidRPr="00854702">
        <w:rPr>
          <w:rFonts w:ascii="Arial" w:hAnsi="Arial" w:cs="Arial"/>
          <w:sz w:val="24"/>
        </w:rPr>
        <w:t xml:space="preserve"> </w:t>
      </w:r>
      <w:proofErr w:type="spellStart"/>
      <w:r w:rsidRPr="00854702">
        <w:rPr>
          <w:rFonts w:ascii="Arial" w:hAnsi="Arial" w:cs="Arial"/>
          <w:sz w:val="24"/>
        </w:rPr>
        <w:t>conterminum</w:t>
      </w:r>
      <w:proofErr w:type="spellEnd"/>
      <w:r w:rsidRPr="00854702">
        <w:rPr>
          <w:rFonts w:ascii="Arial" w:hAnsi="Arial" w:cs="Arial"/>
          <w:sz w:val="24"/>
        </w:rPr>
        <w:t xml:space="preserve"> </w:t>
      </w:r>
      <w:proofErr w:type="spellStart"/>
      <w:r w:rsidRPr="00854702">
        <w:rPr>
          <w:rFonts w:ascii="Arial" w:hAnsi="Arial" w:cs="Arial"/>
          <w:sz w:val="24"/>
        </w:rPr>
        <w:t>insurge</w:t>
      </w:r>
      <w:proofErr w:type="spellEnd"/>
      <w:r w:rsidRPr="00854702">
        <w:rPr>
          <w:rFonts w:ascii="Arial" w:hAnsi="Arial" w:cs="Arial"/>
          <w:sz w:val="24"/>
        </w:rPr>
        <w:t xml:space="preserve">, </w:t>
      </w:r>
      <w:proofErr w:type="spellStart"/>
      <w:r w:rsidRPr="00854702">
        <w:rPr>
          <w:rFonts w:ascii="Arial" w:hAnsi="Arial" w:cs="Arial"/>
          <w:sz w:val="24"/>
        </w:rPr>
        <w:t>uxorum</w:t>
      </w:r>
      <w:proofErr w:type="spellEnd"/>
      <w:r w:rsidRPr="00854702">
        <w:rPr>
          <w:rFonts w:ascii="Arial" w:hAnsi="Arial" w:cs="Arial"/>
          <w:sz w:val="24"/>
        </w:rPr>
        <w:t xml:space="preserve"> </w:t>
      </w:r>
      <w:proofErr w:type="spellStart"/>
      <w:r w:rsidRPr="00854702">
        <w:rPr>
          <w:rFonts w:ascii="Arial" w:hAnsi="Arial" w:cs="Arial"/>
          <w:sz w:val="24"/>
        </w:rPr>
        <w:t>dampriare</w:t>
      </w:r>
      <w:proofErr w:type="spellEnd"/>
      <w:r w:rsidRPr="00854702">
        <w:rPr>
          <w:rFonts w:ascii="Arial" w:hAnsi="Arial" w:cs="Arial"/>
          <w:sz w:val="24"/>
        </w:rPr>
        <w:t xml:space="preserve"> </w:t>
      </w:r>
      <w:proofErr w:type="spellStart"/>
      <w:r w:rsidRPr="00854702">
        <w:rPr>
          <w:rFonts w:ascii="Arial" w:hAnsi="Arial" w:cs="Arial"/>
          <w:sz w:val="24"/>
        </w:rPr>
        <w:t>mantum</w:t>
      </w:r>
      <w:proofErr w:type="spellEnd"/>
      <w:r w:rsidRPr="00854702">
        <w:rPr>
          <w:rFonts w:ascii="Arial" w:hAnsi="Arial" w:cs="Arial"/>
          <w:sz w:val="24"/>
        </w:rPr>
        <w:t xml:space="preserve">, </w:t>
      </w:r>
      <w:proofErr w:type="spellStart"/>
      <w:r w:rsidRPr="00854702">
        <w:rPr>
          <w:rFonts w:ascii="Arial" w:hAnsi="Arial" w:cs="Arial"/>
          <w:sz w:val="24"/>
        </w:rPr>
        <w:t>domine</w:t>
      </w:r>
      <w:proofErr w:type="spellEnd"/>
      <w:r w:rsidRPr="00854702">
        <w:rPr>
          <w:rFonts w:ascii="Arial" w:hAnsi="Arial" w:cs="Arial"/>
          <w:sz w:val="24"/>
        </w:rPr>
        <w:t xml:space="preserve"> </w:t>
      </w:r>
      <w:proofErr w:type="spellStart"/>
      <w:r w:rsidRPr="00854702">
        <w:rPr>
          <w:rFonts w:ascii="Arial" w:hAnsi="Arial" w:cs="Arial"/>
          <w:sz w:val="24"/>
        </w:rPr>
        <w:t>ariculm</w:t>
      </w:r>
      <w:proofErr w:type="spellEnd"/>
      <w:r w:rsidRPr="00854702">
        <w:rPr>
          <w:rFonts w:ascii="Arial" w:hAnsi="Arial" w:cs="Arial"/>
          <w:sz w:val="24"/>
        </w:rPr>
        <w:t xml:space="preserve"> </w:t>
      </w:r>
      <w:proofErr w:type="spellStart"/>
      <w:r w:rsidRPr="00854702">
        <w:rPr>
          <w:rFonts w:ascii="Arial" w:hAnsi="Arial" w:cs="Arial"/>
          <w:sz w:val="24"/>
        </w:rPr>
        <w:t>minan</w:t>
      </w:r>
      <w:proofErr w:type="spellEnd"/>
      <w:r w:rsidRPr="00854702">
        <w:rPr>
          <w:rFonts w:ascii="Arial" w:hAnsi="Arial" w:cs="Arial"/>
          <w:sz w:val="24"/>
        </w:rPr>
        <w:t>’ (with the penalties so favourable to the aspirations of jealousy it was saddening to see the servant accusing his master, the citizen rising up again his neighbour, the wife convicting her husband, the maid threatening her mistress).</w:t>
      </w:r>
      <w:r w:rsidRPr="00854702">
        <w:rPr>
          <w:rStyle w:val="FootnoteReference"/>
          <w:rFonts w:ascii="Arial" w:hAnsi="Arial" w:cs="Arial"/>
          <w:sz w:val="24"/>
        </w:rPr>
        <w:footnoteReference w:id="51"/>
      </w:r>
      <w:r w:rsidRPr="00854702">
        <w:rPr>
          <w:rFonts w:ascii="Arial" w:hAnsi="Arial" w:cs="Arial"/>
          <w:sz w:val="24"/>
        </w:rPr>
        <w:t xml:space="preserve"> </w:t>
      </w:r>
    </w:p>
    <w:p w14:paraId="280C6F07" w14:textId="77777777" w:rsidR="00C625E3" w:rsidRPr="00854702" w:rsidRDefault="00C625E3" w:rsidP="00854702">
      <w:pPr>
        <w:spacing w:line="360" w:lineRule="auto"/>
        <w:rPr>
          <w:rFonts w:ascii="Arial" w:hAnsi="Arial" w:cs="Arial"/>
          <w:sz w:val="24"/>
        </w:rPr>
      </w:pPr>
      <w:r w:rsidRPr="00854702">
        <w:rPr>
          <w:rFonts w:ascii="Arial" w:hAnsi="Arial" w:cs="Arial"/>
          <w:sz w:val="24"/>
        </w:rPr>
        <w:t xml:space="preserve">To conclude, women were evidently involved in the Peasants’ Revolt of 1381 though it cannot be fully deciphered what their role is likely to have been as many contemporary sources fail to expand their use of the terms ‘rustics’ or ‘commons’. The minimal mention of women within contemporary written material has clearly impacted the quantity of modern scholarship on female involvement in the uprising, however the ability to analyse material from a multitude of primary sources allows for an image of the fourteenth-century woman to be sewn together. It becomes clear however that the absence of women may not be entirely deliberate, the purpose of the source must of course be taken into consideration. The multifaceted role of the late-fourteenth-century woman presents difficulties when attempting to decipher a categorical role during the revolt, arguably all medieval women were victims to their social constraints, yet </w:t>
      </w:r>
      <w:r w:rsidRPr="00854702">
        <w:rPr>
          <w:rFonts w:ascii="Arial" w:hAnsi="Arial" w:cs="Arial"/>
          <w:i/>
          <w:sz w:val="24"/>
        </w:rPr>
        <w:t xml:space="preserve">femme soles </w:t>
      </w:r>
      <w:r w:rsidRPr="00854702">
        <w:rPr>
          <w:rFonts w:ascii="Arial" w:hAnsi="Arial" w:cs="Arial"/>
          <w:sz w:val="24"/>
        </w:rPr>
        <w:t>such as Chaucer’s Wife of Bath present power equal to that of the higher tiers of lower society. Eileen Power recognises the difficulties with exploring the ‘role’ of women within the medieval period, ‘the position of women is one thing in theory, another in legal position, yet another in everyday life.’</w:t>
      </w:r>
      <w:r w:rsidRPr="00854702">
        <w:rPr>
          <w:rStyle w:val="FootnoteReference"/>
          <w:rFonts w:ascii="Arial" w:hAnsi="Arial" w:cs="Arial"/>
          <w:sz w:val="24"/>
        </w:rPr>
        <w:footnoteReference w:id="52"/>
      </w:r>
      <w:r w:rsidRPr="00854702">
        <w:rPr>
          <w:rFonts w:ascii="Arial" w:hAnsi="Arial" w:cs="Arial"/>
          <w:sz w:val="24"/>
        </w:rPr>
        <w:t xml:space="preserve"> It can therefore be seen that the study of female involvement during the Peasants’ Revolt gives modern scholars whose research lies within the discipline of gender studies the ability to continue academic movements of rewriting women back into the male dominated primary texts stemming from legal courts and ecclesiastical institutions. Key historians such as Eileen Power and Elizabeth van Houts have contributed heavily to the modern scholar’s approach to gender within the medieval period, and subsequently emphasise why the discovery of women through implicit references and unwitting testimony are so significant to gender studies as an academic discipline. </w:t>
      </w:r>
    </w:p>
    <w:p w14:paraId="000C1E69" w14:textId="77777777" w:rsidR="00C625E3" w:rsidRPr="00854702" w:rsidRDefault="00C625E3" w:rsidP="00C625E3">
      <w:pPr>
        <w:rPr>
          <w:rFonts w:ascii="Arial" w:hAnsi="Arial" w:cs="Arial"/>
          <w:sz w:val="24"/>
        </w:rPr>
      </w:pPr>
    </w:p>
    <w:p w14:paraId="6BF764D4" w14:textId="392D9B66" w:rsidR="00AD37F2" w:rsidRDefault="00AD37F2">
      <w:pPr>
        <w:rPr>
          <w:sz w:val="24"/>
        </w:rPr>
      </w:pPr>
    </w:p>
    <w:p w14:paraId="25AF6DD9" w14:textId="5615F6D9" w:rsidR="00EC6241" w:rsidRDefault="00EC6241">
      <w:pPr>
        <w:rPr>
          <w:sz w:val="24"/>
        </w:rPr>
      </w:pPr>
    </w:p>
    <w:p w14:paraId="6180750F" w14:textId="77777777" w:rsidR="00EC6241" w:rsidRPr="00EC6241" w:rsidRDefault="00EC6241" w:rsidP="00EC6241">
      <w:pPr>
        <w:rPr>
          <w:rFonts w:ascii="Arial" w:hAnsi="Arial" w:cs="Arial"/>
          <w:b/>
          <w:sz w:val="24"/>
        </w:rPr>
      </w:pPr>
      <w:bookmarkStart w:id="3" w:name="_Hlk3139548"/>
      <w:bookmarkStart w:id="4" w:name="_GoBack"/>
      <w:bookmarkEnd w:id="4"/>
      <w:r w:rsidRPr="00EC6241">
        <w:rPr>
          <w:rFonts w:ascii="Arial" w:hAnsi="Arial" w:cs="Arial"/>
          <w:b/>
          <w:sz w:val="24"/>
        </w:rPr>
        <w:lastRenderedPageBreak/>
        <w:t xml:space="preserve">Project Bibliography </w:t>
      </w:r>
    </w:p>
    <w:p w14:paraId="1817AF45" w14:textId="77777777" w:rsidR="00EC6241" w:rsidRPr="00EC6241" w:rsidRDefault="00EC6241" w:rsidP="00EC6241">
      <w:pPr>
        <w:rPr>
          <w:rFonts w:ascii="Arial" w:hAnsi="Arial" w:cs="Arial"/>
          <w:b/>
          <w:sz w:val="24"/>
        </w:rPr>
      </w:pPr>
      <w:r w:rsidRPr="00EC6241">
        <w:rPr>
          <w:rFonts w:ascii="Arial" w:hAnsi="Arial" w:cs="Arial"/>
          <w:b/>
          <w:sz w:val="24"/>
        </w:rPr>
        <w:t xml:space="preserve">Primary </w:t>
      </w:r>
    </w:p>
    <w:p w14:paraId="5FABB658" w14:textId="7FE3517C" w:rsidR="00EC6241" w:rsidRDefault="00EC6241" w:rsidP="00EC6241">
      <w:pPr>
        <w:rPr>
          <w:rFonts w:ascii="Arial" w:hAnsi="Arial" w:cs="Arial"/>
          <w:sz w:val="24"/>
        </w:rPr>
      </w:pPr>
      <w:r w:rsidRPr="00EC6241">
        <w:rPr>
          <w:rFonts w:ascii="Arial" w:hAnsi="Arial" w:cs="Arial"/>
          <w:sz w:val="24"/>
        </w:rPr>
        <w:t>Chaucer, Geoffrey, </w:t>
      </w:r>
      <w:bookmarkStart w:id="5" w:name="_Hlk8305827"/>
      <w:r w:rsidRPr="00EC6241">
        <w:rPr>
          <w:rFonts w:ascii="Arial" w:hAnsi="Arial" w:cs="Arial"/>
          <w:i/>
          <w:iCs/>
          <w:sz w:val="24"/>
        </w:rPr>
        <w:t>The Riverside Chaucer</w:t>
      </w:r>
      <w:r w:rsidRPr="00EC6241">
        <w:rPr>
          <w:rFonts w:ascii="Arial" w:hAnsi="Arial" w:cs="Arial"/>
          <w:iCs/>
          <w:sz w:val="24"/>
        </w:rPr>
        <w:t xml:space="preserve">, ed. </w:t>
      </w:r>
      <w:r w:rsidRPr="00EC6241">
        <w:rPr>
          <w:rFonts w:ascii="Arial" w:hAnsi="Arial" w:cs="Arial"/>
          <w:sz w:val="24"/>
        </w:rPr>
        <w:t>Larry Dean Benson, Fred Norris Robinson and Christopher Cannon (Oxford: Oxford University Press, 2008).</w:t>
      </w:r>
      <w:bookmarkEnd w:id="5"/>
    </w:p>
    <w:p w14:paraId="4EB9F97B" w14:textId="4D21C8F8" w:rsidR="00C90821" w:rsidRPr="00C90821" w:rsidRDefault="00C90821" w:rsidP="00EC6241">
      <w:pPr>
        <w:rPr>
          <w:rFonts w:ascii="Arial" w:hAnsi="Arial" w:cs="Arial"/>
          <w:sz w:val="24"/>
        </w:rPr>
      </w:pPr>
      <w:r>
        <w:rPr>
          <w:rFonts w:ascii="Arial" w:hAnsi="Arial" w:cs="Arial"/>
          <w:sz w:val="24"/>
        </w:rPr>
        <w:t xml:space="preserve">Knighton, Henry, </w:t>
      </w:r>
      <w:r>
        <w:rPr>
          <w:rFonts w:ascii="Arial" w:hAnsi="Arial" w:cs="Arial"/>
          <w:i/>
          <w:sz w:val="24"/>
        </w:rPr>
        <w:t>Chronicon Henrici Knighton</w:t>
      </w:r>
      <w:r>
        <w:rPr>
          <w:rFonts w:ascii="Arial" w:hAnsi="Arial" w:cs="Arial"/>
          <w:sz w:val="24"/>
        </w:rPr>
        <w:t xml:space="preserve"> in </w:t>
      </w:r>
      <w:r w:rsidRPr="00EC6241">
        <w:rPr>
          <w:rFonts w:ascii="Arial" w:hAnsi="Arial" w:cs="Arial"/>
          <w:sz w:val="24"/>
        </w:rPr>
        <w:t>Dobson, Richard Barrie, </w:t>
      </w:r>
      <w:r w:rsidRPr="00EC6241">
        <w:rPr>
          <w:rFonts w:ascii="Arial" w:hAnsi="Arial" w:cs="Arial"/>
          <w:i/>
          <w:iCs/>
          <w:sz w:val="24"/>
        </w:rPr>
        <w:t>The Peasants' Revolt Of 1381</w:t>
      </w:r>
      <w:r w:rsidRPr="00EC6241">
        <w:rPr>
          <w:rFonts w:ascii="Arial" w:hAnsi="Arial" w:cs="Arial"/>
          <w:sz w:val="24"/>
        </w:rPr>
        <w:t> (</w:t>
      </w:r>
      <w:proofErr w:type="spellStart"/>
      <w:r w:rsidRPr="00EC6241">
        <w:rPr>
          <w:rFonts w:ascii="Arial" w:hAnsi="Arial" w:cs="Arial"/>
          <w:sz w:val="24"/>
        </w:rPr>
        <w:t>Houndmills</w:t>
      </w:r>
      <w:proofErr w:type="spellEnd"/>
      <w:r w:rsidRPr="00EC6241">
        <w:rPr>
          <w:rFonts w:ascii="Arial" w:hAnsi="Arial" w:cs="Arial"/>
          <w:sz w:val="24"/>
        </w:rPr>
        <w:t>: Macmillan, 1993).</w:t>
      </w:r>
    </w:p>
    <w:p w14:paraId="597F245C" w14:textId="77777777" w:rsidR="00EC6241" w:rsidRPr="00EC6241" w:rsidRDefault="00EC6241" w:rsidP="00EC6241">
      <w:pPr>
        <w:rPr>
          <w:rFonts w:ascii="Arial" w:hAnsi="Arial" w:cs="Arial"/>
          <w:sz w:val="24"/>
        </w:rPr>
      </w:pPr>
      <w:bookmarkStart w:id="6" w:name="_Hlk8299410"/>
      <w:r w:rsidRPr="00EC6241">
        <w:rPr>
          <w:rFonts w:ascii="Arial" w:hAnsi="Arial" w:cs="Arial"/>
          <w:sz w:val="24"/>
        </w:rPr>
        <w:t xml:space="preserve">“Inquisition into Offences Committed in Essex, 1381” </w:t>
      </w:r>
      <w:r w:rsidRPr="00EC6241">
        <w:rPr>
          <w:rFonts w:ascii="Arial" w:hAnsi="Arial" w:cs="Arial"/>
          <w:i/>
          <w:sz w:val="24"/>
        </w:rPr>
        <w:t xml:space="preserve">National Archives </w:t>
      </w:r>
      <w:r w:rsidRPr="00EC6241">
        <w:rPr>
          <w:rFonts w:ascii="Arial" w:hAnsi="Arial" w:cs="Arial"/>
          <w:sz w:val="24"/>
        </w:rPr>
        <w:t xml:space="preserve">&lt;http://www.nationalarchives.gov.uk/pathways/citizenship/citizen_subject/docs/indictment_rebels.htm&gt; [Last Accessed 14 Feb 2019] </w:t>
      </w:r>
    </w:p>
    <w:bookmarkEnd w:id="6"/>
    <w:p w14:paraId="7DA2C7D1" w14:textId="77777777" w:rsidR="00EC6241" w:rsidRPr="00EC6241" w:rsidRDefault="00EC6241" w:rsidP="00EC6241">
      <w:pPr>
        <w:rPr>
          <w:rFonts w:ascii="Arial" w:hAnsi="Arial" w:cs="Arial"/>
          <w:sz w:val="24"/>
        </w:rPr>
      </w:pPr>
      <w:r w:rsidRPr="00EC6241">
        <w:rPr>
          <w:rFonts w:ascii="Arial" w:hAnsi="Arial" w:cs="Arial"/>
          <w:sz w:val="24"/>
        </w:rPr>
        <w:t xml:space="preserve">“Roll A </w:t>
      </w:r>
      <w:proofErr w:type="gramStart"/>
      <w:r w:rsidRPr="00EC6241">
        <w:rPr>
          <w:rFonts w:ascii="Arial" w:hAnsi="Arial" w:cs="Arial"/>
          <w:sz w:val="24"/>
        </w:rPr>
        <w:t>24 :</w:t>
      </w:r>
      <w:proofErr w:type="gramEnd"/>
      <w:r w:rsidRPr="00EC6241">
        <w:rPr>
          <w:rFonts w:ascii="Arial" w:hAnsi="Arial" w:cs="Arial"/>
          <w:sz w:val="24"/>
        </w:rPr>
        <w:t xml:space="preserve"> 1380-81” </w:t>
      </w:r>
      <w:r w:rsidRPr="00EC6241">
        <w:rPr>
          <w:rFonts w:ascii="Arial" w:hAnsi="Arial" w:cs="Arial"/>
          <w:i/>
          <w:sz w:val="24"/>
        </w:rPr>
        <w:t xml:space="preserve">Calendar of the Plea and Memoranda Rolls of the City of London: volume 2, 1364-1381. </w:t>
      </w:r>
      <w:r w:rsidRPr="00EC6241">
        <w:rPr>
          <w:rFonts w:ascii="Arial" w:hAnsi="Arial" w:cs="Arial"/>
          <w:sz w:val="24"/>
        </w:rPr>
        <w:t>ed. A H Thomas (London: His Majesty’s Stationery Office, 1929) pp275-302. British History Online. &lt;http://www.british-history.ac.uk/plea-memoranda-rolls/vol2/pp275-302&gt; [Last Accessed: 2 March 2019]</w:t>
      </w:r>
    </w:p>
    <w:p w14:paraId="68D89A6E" w14:textId="77777777" w:rsidR="00EC6241" w:rsidRPr="00EC6241" w:rsidRDefault="00EC6241" w:rsidP="00EC6241">
      <w:pPr>
        <w:rPr>
          <w:rFonts w:ascii="Arial" w:hAnsi="Arial" w:cs="Arial"/>
          <w:sz w:val="24"/>
        </w:rPr>
      </w:pPr>
      <w:bookmarkStart w:id="7" w:name="_Hlk8302894"/>
      <w:r w:rsidRPr="00EC6241">
        <w:rPr>
          <w:rFonts w:ascii="Arial" w:hAnsi="Arial" w:cs="Arial"/>
          <w:sz w:val="24"/>
        </w:rPr>
        <w:t xml:space="preserve">“Roll A </w:t>
      </w:r>
      <w:proofErr w:type="gramStart"/>
      <w:r w:rsidRPr="00EC6241">
        <w:rPr>
          <w:rFonts w:ascii="Arial" w:hAnsi="Arial" w:cs="Arial"/>
          <w:sz w:val="24"/>
        </w:rPr>
        <w:t>25 :</w:t>
      </w:r>
      <w:proofErr w:type="gramEnd"/>
      <w:r w:rsidRPr="00EC6241">
        <w:rPr>
          <w:rFonts w:ascii="Arial" w:hAnsi="Arial" w:cs="Arial"/>
          <w:sz w:val="24"/>
        </w:rPr>
        <w:t xml:space="preserve"> 1381-83” </w:t>
      </w:r>
      <w:r w:rsidRPr="00EC6241">
        <w:rPr>
          <w:rFonts w:ascii="Arial" w:hAnsi="Arial" w:cs="Arial"/>
          <w:i/>
          <w:sz w:val="24"/>
        </w:rPr>
        <w:t xml:space="preserve">Calendar of the Plea and Memoranda Rolls of the City of London: volume 3, 1381-1412. </w:t>
      </w:r>
      <w:r w:rsidRPr="00EC6241">
        <w:rPr>
          <w:rFonts w:ascii="Arial" w:hAnsi="Arial" w:cs="Arial"/>
          <w:sz w:val="24"/>
        </w:rPr>
        <w:t>ed. A H Thomas (London: His Majesty’s Stationery Office, 1929) pp1-35. British History Online. &lt;http://www.british-history.ac.uk/plea-memoranda-rolls/vol3/pp1-35&gt; [Last Accessed: 2 March 2019]</w:t>
      </w:r>
    </w:p>
    <w:bookmarkEnd w:id="7"/>
    <w:p w14:paraId="58A95164" w14:textId="77777777" w:rsidR="00EC6241" w:rsidRPr="00EC6241" w:rsidRDefault="00EC6241" w:rsidP="00EC6241">
      <w:pPr>
        <w:rPr>
          <w:rFonts w:ascii="Arial" w:hAnsi="Arial" w:cs="Arial"/>
          <w:sz w:val="24"/>
        </w:rPr>
      </w:pPr>
      <w:r w:rsidRPr="00EC6241">
        <w:rPr>
          <w:rFonts w:ascii="Arial" w:hAnsi="Arial" w:cs="Arial"/>
          <w:i/>
          <w:sz w:val="24"/>
        </w:rPr>
        <w:t>The Anonimalle Chronicle 1333 to 1381</w:t>
      </w:r>
      <w:r w:rsidRPr="00EC6241">
        <w:rPr>
          <w:rFonts w:ascii="Arial" w:hAnsi="Arial" w:cs="Arial"/>
          <w:sz w:val="24"/>
        </w:rPr>
        <w:t xml:space="preserve"> ed. V H Galbraith (Manchester: Manchester University Press, 1970) </w:t>
      </w:r>
    </w:p>
    <w:p w14:paraId="72A44497" w14:textId="77777777" w:rsidR="00EC6241" w:rsidRPr="00EC6241" w:rsidRDefault="00EC6241" w:rsidP="00EC6241">
      <w:pPr>
        <w:rPr>
          <w:rFonts w:ascii="Arial" w:hAnsi="Arial" w:cs="Arial"/>
          <w:sz w:val="24"/>
        </w:rPr>
      </w:pPr>
      <w:r w:rsidRPr="00EC6241">
        <w:rPr>
          <w:rFonts w:ascii="Arial" w:hAnsi="Arial" w:cs="Arial"/>
          <w:i/>
          <w:sz w:val="24"/>
        </w:rPr>
        <w:t xml:space="preserve">The Chronicle of Adam of </w:t>
      </w:r>
      <w:proofErr w:type="spellStart"/>
      <w:r w:rsidRPr="00EC6241">
        <w:rPr>
          <w:rFonts w:ascii="Arial" w:hAnsi="Arial" w:cs="Arial"/>
          <w:i/>
          <w:sz w:val="24"/>
        </w:rPr>
        <w:t>Usk</w:t>
      </w:r>
      <w:proofErr w:type="spellEnd"/>
      <w:r w:rsidRPr="00EC6241">
        <w:rPr>
          <w:rFonts w:ascii="Arial" w:hAnsi="Arial" w:cs="Arial"/>
          <w:sz w:val="24"/>
        </w:rPr>
        <w:t>, ed. Edward M Thompson (</w:t>
      </w:r>
      <w:proofErr w:type="spellStart"/>
      <w:r w:rsidRPr="00EC6241">
        <w:rPr>
          <w:rFonts w:ascii="Arial" w:hAnsi="Arial" w:cs="Arial"/>
          <w:sz w:val="24"/>
        </w:rPr>
        <w:t>Felinfach</w:t>
      </w:r>
      <w:proofErr w:type="spellEnd"/>
      <w:r w:rsidRPr="00EC6241">
        <w:rPr>
          <w:rFonts w:ascii="Arial" w:hAnsi="Arial" w:cs="Arial"/>
          <w:sz w:val="24"/>
        </w:rPr>
        <w:t xml:space="preserve">: </w:t>
      </w:r>
      <w:proofErr w:type="spellStart"/>
      <w:r w:rsidRPr="00EC6241">
        <w:rPr>
          <w:rFonts w:ascii="Arial" w:hAnsi="Arial" w:cs="Arial"/>
          <w:sz w:val="24"/>
        </w:rPr>
        <w:t>Llanerch</w:t>
      </w:r>
      <w:proofErr w:type="spellEnd"/>
      <w:r w:rsidRPr="00EC6241">
        <w:rPr>
          <w:rFonts w:ascii="Arial" w:hAnsi="Arial" w:cs="Arial"/>
          <w:sz w:val="24"/>
        </w:rPr>
        <w:t xml:space="preserve"> Enterprises, 1990) </w:t>
      </w:r>
    </w:p>
    <w:p w14:paraId="22E837D6" w14:textId="7DB4E278" w:rsidR="00EC6241" w:rsidRDefault="00EC6241" w:rsidP="00EC6241">
      <w:pPr>
        <w:rPr>
          <w:rFonts w:ascii="Arial" w:hAnsi="Arial" w:cs="Arial"/>
          <w:sz w:val="24"/>
        </w:rPr>
      </w:pPr>
      <w:r w:rsidRPr="00EC6241">
        <w:rPr>
          <w:rFonts w:ascii="Arial" w:hAnsi="Arial" w:cs="Arial"/>
          <w:i/>
          <w:sz w:val="24"/>
        </w:rPr>
        <w:t xml:space="preserve">The Westminster Chronicle 1381-1394 </w:t>
      </w:r>
      <w:r w:rsidRPr="00EC6241">
        <w:rPr>
          <w:rFonts w:ascii="Arial" w:hAnsi="Arial" w:cs="Arial"/>
          <w:sz w:val="24"/>
        </w:rPr>
        <w:t xml:space="preserve">ed. and trans. L C Hector and Barbara F Harvey (Oxford: Clarendon Press, 1982) </w:t>
      </w:r>
    </w:p>
    <w:p w14:paraId="1F6110B4" w14:textId="267F110E" w:rsidR="0050385D" w:rsidRPr="0050385D" w:rsidRDefault="0050385D" w:rsidP="00EC6241">
      <w:pPr>
        <w:rPr>
          <w:rFonts w:ascii="Arial" w:hAnsi="Arial" w:cs="Arial"/>
          <w:sz w:val="24"/>
        </w:rPr>
      </w:pPr>
      <w:r>
        <w:rPr>
          <w:rFonts w:ascii="Arial" w:hAnsi="Arial" w:cs="Arial"/>
          <w:sz w:val="24"/>
        </w:rPr>
        <w:t xml:space="preserve">Walsingham, Thomas, </w:t>
      </w:r>
      <w:r>
        <w:rPr>
          <w:rFonts w:ascii="Arial" w:hAnsi="Arial" w:cs="Arial"/>
          <w:i/>
          <w:sz w:val="24"/>
        </w:rPr>
        <w:t xml:space="preserve">Chronicon </w:t>
      </w:r>
      <w:proofErr w:type="spellStart"/>
      <w:r>
        <w:rPr>
          <w:rFonts w:ascii="Arial" w:hAnsi="Arial" w:cs="Arial"/>
          <w:i/>
          <w:sz w:val="24"/>
        </w:rPr>
        <w:t>Angliae</w:t>
      </w:r>
      <w:proofErr w:type="spellEnd"/>
      <w:r>
        <w:rPr>
          <w:rFonts w:ascii="Arial" w:hAnsi="Arial" w:cs="Arial"/>
          <w:i/>
          <w:sz w:val="24"/>
        </w:rPr>
        <w:t xml:space="preserve"> </w:t>
      </w:r>
      <w:r>
        <w:rPr>
          <w:rFonts w:ascii="Arial" w:hAnsi="Arial" w:cs="Arial"/>
          <w:sz w:val="24"/>
        </w:rPr>
        <w:t xml:space="preserve">in </w:t>
      </w:r>
      <w:r w:rsidRPr="00EC6241">
        <w:rPr>
          <w:rFonts w:ascii="Arial" w:hAnsi="Arial" w:cs="Arial"/>
          <w:sz w:val="24"/>
        </w:rPr>
        <w:t>Dobson, Richard Barrie, </w:t>
      </w:r>
      <w:r w:rsidRPr="00EC6241">
        <w:rPr>
          <w:rFonts w:ascii="Arial" w:hAnsi="Arial" w:cs="Arial"/>
          <w:i/>
          <w:iCs/>
          <w:sz w:val="24"/>
        </w:rPr>
        <w:t>The Peasants' Revolt Of 1381</w:t>
      </w:r>
      <w:r w:rsidRPr="00EC6241">
        <w:rPr>
          <w:rFonts w:ascii="Arial" w:hAnsi="Arial" w:cs="Arial"/>
          <w:sz w:val="24"/>
        </w:rPr>
        <w:t> (</w:t>
      </w:r>
      <w:proofErr w:type="spellStart"/>
      <w:r w:rsidRPr="00EC6241">
        <w:rPr>
          <w:rFonts w:ascii="Arial" w:hAnsi="Arial" w:cs="Arial"/>
          <w:sz w:val="24"/>
        </w:rPr>
        <w:t>Houndmills</w:t>
      </w:r>
      <w:proofErr w:type="spellEnd"/>
      <w:r w:rsidRPr="00EC6241">
        <w:rPr>
          <w:rFonts w:ascii="Arial" w:hAnsi="Arial" w:cs="Arial"/>
          <w:sz w:val="24"/>
        </w:rPr>
        <w:t>: Macmillan, 1993).</w:t>
      </w:r>
    </w:p>
    <w:p w14:paraId="41B2E4A2" w14:textId="77777777" w:rsidR="00EC6241" w:rsidRPr="00EC6241" w:rsidRDefault="00EC6241" w:rsidP="00EC6241">
      <w:pPr>
        <w:rPr>
          <w:rFonts w:ascii="Arial" w:hAnsi="Arial" w:cs="Arial"/>
          <w:b/>
          <w:sz w:val="24"/>
        </w:rPr>
      </w:pPr>
      <w:r w:rsidRPr="00EC6241">
        <w:rPr>
          <w:rFonts w:ascii="Arial" w:hAnsi="Arial" w:cs="Arial"/>
          <w:b/>
          <w:sz w:val="24"/>
        </w:rPr>
        <w:t xml:space="preserve">Secondary </w:t>
      </w:r>
    </w:p>
    <w:p w14:paraId="06F9F72B" w14:textId="77777777" w:rsidR="00EC6241" w:rsidRPr="00EC6241" w:rsidRDefault="00EC6241" w:rsidP="00EC6241">
      <w:pPr>
        <w:rPr>
          <w:rFonts w:ascii="Arial" w:hAnsi="Arial" w:cs="Arial"/>
          <w:sz w:val="24"/>
        </w:rPr>
      </w:pPr>
      <w:bookmarkStart w:id="8" w:name="_Hlk8298569"/>
      <w:r w:rsidRPr="00EC6241">
        <w:rPr>
          <w:rFonts w:ascii="Arial" w:hAnsi="Arial" w:cs="Arial"/>
          <w:sz w:val="24"/>
        </w:rPr>
        <w:t xml:space="preserve">Caviness, Madeline H, </w:t>
      </w:r>
      <w:bookmarkStart w:id="9" w:name="_Hlk8300204"/>
      <w:r w:rsidRPr="00EC6241">
        <w:rPr>
          <w:rFonts w:ascii="Arial" w:hAnsi="Arial" w:cs="Arial"/>
          <w:sz w:val="24"/>
        </w:rPr>
        <w:t xml:space="preserve">“Feminism, Gender Studies and Medieval Studies”, </w:t>
      </w:r>
      <w:bookmarkEnd w:id="9"/>
      <w:r w:rsidRPr="00EC6241">
        <w:rPr>
          <w:rFonts w:ascii="Arial" w:hAnsi="Arial" w:cs="Arial"/>
          <w:i/>
          <w:sz w:val="24"/>
        </w:rPr>
        <w:t>Diogenes</w:t>
      </w:r>
      <w:r w:rsidRPr="00EC6241">
        <w:rPr>
          <w:rFonts w:ascii="Arial" w:hAnsi="Arial" w:cs="Arial"/>
          <w:sz w:val="24"/>
        </w:rPr>
        <w:t>, 57.1, Feb 2010, pp30-45, &lt;https://dx.doi.org/10.1177/0392192110369441&gt; [Last Accessed: 09 May 2019]</w:t>
      </w:r>
    </w:p>
    <w:bookmarkEnd w:id="8"/>
    <w:p w14:paraId="3E8BD7B5" w14:textId="77777777" w:rsidR="00EC6241" w:rsidRPr="00EC6241" w:rsidRDefault="00EC6241" w:rsidP="00EC6241">
      <w:pPr>
        <w:rPr>
          <w:rFonts w:ascii="Arial" w:hAnsi="Arial" w:cs="Arial"/>
          <w:sz w:val="24"/>
        </w:rPr>
      </w:pPr>
      <w:r w:rsidRPr="00EC6241">
        <w:rPr>
          <w:rFonts w:ascii="Arial" w:hAnsi="Arial" w:cs="Arial"/>
          <w:sz w:val="24"/>
        </w:rPr>
        <w:t>Dobson, Richard Barrie, </w:t>
      </w:r>
      <w:r w:rsidRPr="00EC6241">
        <w:rPr>
          <w:rFonts w:ascii="Arial" w:hAnsi="Arial" w:cs="Arial"/>
          <w:i/>
          <w:iCs/>
          <w:sz w:val="24"/>
        </w:rPr>
        <w:t>The Peasants' Revolt Of 1381</w:t>
      </w:r>
      <w:r w:rsidRPr="00EC6241">
        <w:rPr>
          <w:rFonts w:ascii="Arial" w:hAnsi="Arial" w:cs="Arial"/>
          <w:sz w:val="24"/>
        </w:rPr>
        <w:t> (</w:t>
      </w:r>
      <w:proofErr w:type="spellStart"/>
      <w:r w:rsidRPr="00EC6241">
        <w:rPr>
          <w:rFonts w:ascii="Arial" w:hAnsi="Arial" w:cs="Arial"/>
          <w:sz w:val="24"/>
        </w:rPr>
        <w:t>Houndmills</w:t>
      </w:r>
      <w:proofErr w:type="spellEnd"/>
      <w:r w:rsidRPr="00EC6241">
        <w:rPr>
          <w:rFonts w:ascii="Arial" w:hAnsi="Arial" w:cs="Arial"/>
          <w:sz w:val="24"/>
        </w:rPr>
        <w:t>: Macmillan, 1993).</w:t>
      </w:r>
    </w:p>
    <w:p w14:paraId="15DEFF3E" w14:textId="77777777" w:rsidR="00EC6241" w:rsidRPr="00EC6241" w:rsidRDefault="00EC6241" w:rsidP="00EC6241">
      <w:pPr>
        <w:rPr>
          <w:rFonts w:ascii="Arial" w:hAnsi="Arial" w:cs="Arial"/>
          <w:sz w:val="24"/>
        </w:rPr>
      </w:pPr>
      <w:r w:rsidRPr="00EC6241">
        <w:rPr>
          <w:rFonts w:ascii="Arial" w:hAnsi="Arial" w:cs="Arial"/>
          <w:sz w:val="24"/>
        </w:rPr>
        <w:t xml:space="preserve">Federico, Sylvia, </w:t>
      </w:r>
      <w:bookmarkStart w:id="10" w:name="_Hlk8300059"/>
      <w:r w:rsidRPr="00EC6241">
        <w:rPr>
          <w:rFonts w:ascii="Arial" w:hAnsi="Arial" w:cs="Arial"/>
          <w:sz w:val="24"/>
        </w:rPr>
        <w:t>“The Imaginary Society: Women in 1381”</w:t>
      </w:r>
      <w:bookmarkEnd w:id="10"/>
      <w:r w:rsidRPr="00EC6241">
        <w:rPr>
          <w:rFonts w:ascii="Arial" w:hAnsi="Arial" w:cs="Arial"/>
          <w:sz w:val="24"/>
        </w:rPr>
        <w:t xml:space="preserve">, </w:t>
      </w:r>
      <w:r w:rsidRPr="00EC6241">
        <w:rPr>
          <w:rFonts w:ascii="Arial" w:hAnsi="Arial" w:cs="Arial"/>
          <w:i/>
          <w:sz w:val="24"/>
        </w:rPr>
        <w:t xml:space="preserve">The Journal </w:t>
      </w:r>
      <w:proofErr w:type="spellStart"/>
      <w:r w:rsidRPr="00EC6241">
        <w:rPr>
          <w:rFonts w:ascii="Arial" w:hAnsi="Arial" w:cs="Arial"/>
          <w:i/>
          <w:sz w:val="24"/>
        </w:rPr>
        <w:t>od</w:t>
      </w:r>
      <w:proofErr w:type="spellEnd"/>
      <w:r w:rsidRPr="00EC6241">
        <w:rPr>
          <w:rFonts w:ascii="Arial" w:hAnsi="Arial" w:cs="Arial"/>
          <w:i/>
          <w:sz w:val="24"/>
        </w:rPr>
        <w:t xml:space="preserve"> British Studies</w:t>
      </w:r>
      <w:r w:rsidRPr="00EC6241">
        <w:rPr>
          <w:rFonts w:ascii="Arial" w:hAnsi="Arial" w:cs="Arial"/>
          <w:sz w:val="24"/>
        </w:rPr>
        <w:t>, vol.40, no.2 (2001) pp159-183 &lt;https://www.jstor.org/stable/3070734&gt;</w:t>
      </w:r>
    </w:p>
    <w:p w14:paraId="26F2A1C0" w14:textId="77777777" w:rsidR="00EC6241" w:rsidRPr="00EC6241" w:rsidRDefault="00EC6241" w:rsidP="00EC6241">
      <w:pPr>
        <w:rPr>
          <w:rFonts w:ascii="Arial" w:hAnsi="Arial" w:cs="Arial"/>
          <w:sz w:val="24"/>
        </w:rPr>
      </w:pPr>
      <w:r w:rsidRPr="00EC6241">
        <w:rPr>
          <w:rFonts w:ascii="Arial" w:hAnsi="Arial" w:cs="Arial"/>
          <w:sz w:val="24"/>
        </w:rPr>
        <w:t xml:space="preserve">Goldberg, P. J. P, </w:t>
      </w:r>
      <w:bookmarkStart w:id="11" w:name="_Hlk8302453"/>
      <w:r w:rsidRPr="00EC6241">
        <w:rPr>
          <w:rFonts w:ascii="Arial" w:hAnsi="Arial" w:cs="Arial"/>
          <w:sz w:val="24"/>
        </w:rPr>
        <w:t xml:space="preserve">"Urban Identity </w:t>
      </w:r>
      <w:proofErr w:type="gramStart"/>
      <w:r w:rsidRPr="00EC6241">
        <w:rPr>
          <w:rFonts w:ascii="Arial" w:hAnsi="Arial" w:cs="Arial"/>
          <w:sz w:val="24"/>
        </w:rPr>
        <w:t>And</w:t>
      </w:r>
      <w:proofErr w:type="gramEnd"/>
      <w:r w:rsidRPr="00EC6241">
        <w:rPr>
          <w:rFonts w:ascii="Arial" w:hAnsi="Arial" w:cs="Arial"/>
          <w:sz w:val="24"/>
        </w:rPr>
        <w:t xml:space="preserve"> The Poll Taxes Of 1377, 1379, And 1381"</w:t>
      </w:r>
      <w:bookmarkEnd w:id="11"/>
      <w:r w:rsidRPr="00EC6241">
        <w:rPr>
          <w:rFonts w:ascii="Arial" w:hAnsi="Arial" w:cs="Arial"/>
          <w:sz w:val="24"/>
        </w:rPr>
        <w:t>, </w:t>
      </w:r>
      <w:r w:rsidRPr="00EC6241">
        <w:rPr>
          <w:rFonts w:ascii="Arial" w:hAnsi="Arial" w:cs="Arial"/>
          <w:i/>
          <w:iCs/>
          <w:sz w:val="24"/>
        </w:rPr>
        <w:t>The Economic History Review</w:t>
      </w:r>
      <w:r w:rsidRPr="00EC6241">
        <w:rPr>
          <w:rFonts w:ascii="Arial" w:hAnsi="Arial" w:cs="Arial"/>
          <w:sz w:val="24"/>
        </w:rPr>
        <w:t>, 43.2 (1990), pp194-216 &lt;https://doi.org/10.2307/2596786&gt;</w:t>
      </w:r>
    </w:p>
    <w:p w14:paraId="45340D61" w14:textId="77777777" w:rsidR="00EC6241" w:rsidRPr="00EC6241" w:rsidRDefault="00EC6241" w:rsidP="00EC6241">
      <w:pPr>
        <w:rPr>
          <w:rFonts w:ascii="Arial" w:hAnsi="Arial" w:cs="Arial"/>
          <w:sz w:val="24"/>
        </w:rPr>
      </w:pPr>
      <w:r w:rsidRPr="00EC6241">
        <w:rPr>
          <w:rFonts w:ascii="Arial" w:hAnsi="Arial" w:cs="Arial"/>
          <w:sz w:val="24"/>
        </w:rPr>
        <w:t>Griffin, Gabriele, "Gender Studies." A Dictionary of Gender Studies</w:t>
      </w:r>
      <w:proofErr w:type="gramStart"/>
      <w:r w:rsidRPr="00EC6241">
        <w:rPr>
          <w:rFonts w:ascii="Arial" w:hAnsi="Arial" w:cs="Arial"/>
          <w:sz w:val="24"/>
        </w:rPr>
        <w:t>. :</w:t>
      </w:r>
      <w:proofErr w:type="gramEnd"/>
      <w:r w:rsidRPr="00EC6241">
        <w:rPr>
          <w:rFonts w:ascii="Arial" w:hAnsi="Arial" w:cs="Arial"/>
          <w:sz w:val="24"/>
        </w:rPr>
        <w:t> Oxford University Press, January 01, 2017. Oxford Reference. &lt;http://www.oxfordreference.com/view/10.1093/acref/9780191834837.001.0001/acref-9780191834837-e-167&gt; [Last Accessed: 25 April 2019]</w:t>
      </w:r>
    </w:p>
    <w:p w14:paraId="78F218C7" w14:textId="77777777" w:rsidR="00EC6241" w:rsidRPr="00EC6241" w:rsidRDefault="00EC6241" w:rsidP="00EC6241">
      <w:pPr>
        <w:rPr>
          <w:rFonts w:ascii="Arial" w:hAnsi="Arial" w:cs="Arial"/>
          <w:sz w:val="24"/>
        </w:rPr>
      </w:pPr>
      <w:r w:rsidRPr="00EC6241">
        <w:rPr>
          <w:rFonts w:ascii="Arial" w:hAnsi="Arial" w:cs="Arial"/>
          <w:sz w:val="24"/>
        </w:rPr>
        <w:lastRenderedPageBreak/>
        <w:t xml:space="preserve">Houts, Elizabeth van, </w:t>
      </w:r>
      <w:r w:rsidRPr="00EC6241">
        <w:rPr>
          <w:rFonts w:ascii="Arial" w:hAnsi="Arial" w:cs="Arial"/>
          <w:i/>
          <w:sz w:val="24"/>
        </w:rPr>
        <w:t xml:space="preserve">Memory and Gender in Medieval Europe, 900-1200 </w:t>
      </w:r>
      <w:r w:rsidRPr="00EC6241">
        <w:rPr>
          <w:rFonts w:ascii="Arial" w:hAnsi="Arial" w:cs="Arial"/>
          <w:sz w:val="24"/>
        </w:rPr>
        <w:t xml:space="preserve">(Basingstoke: Macmillan, 1999) </w:t>
      </w:r>
    </w:p>
    <w:p w14:paraId="7AAD82A0" w14:textId="77777777" w:rsidR="00EC6241" w:rsidRPr="00EC6241" w:rsidRDefault="00EC6241" w:rsidP="00EC6241">
      <w:pPr>
        <w:rPr>
          <w:rFonts w:ascii="Arial" w:hAnsi="Arial" w:cs="Arial"/>
          <w:sz w:val="24"/>
        </w:rPr>
      </w:pPr>
      <w:r w:rsidRPr="00EC6241">
        <w:rPr>
          <w:rFonts w:ascii="Arial" w:hAnsi="Arial" w:cs="Arial"/>
          <w:sz w:val="24"/>
        </w:rPr>
        <w:t xml:space="preserve">"Jean Froissart | French Poet </w:t>
      </w:r>
      <w:proofErr w:type="gramStart"/>
      <w:r w:rsidRPr="00EC6241">
        <w:rPr>
          <w:rFonts w:ascii="Arial" w:hAnsi="Arial" w:cs="Arial"/>
          <w:sz w:val="24"/>
        </w:rPr>
        <w:t>And</w:t>
      </w:r>
      <w:proofErr w:type="gramEnd"/>
      <w:r w:rsidRPr="00EC6241">
        <w:rPr>
          <w:rFonts w:ascii="Arial" w:hAnsi="Arial" w:cs="Arial"/>
          <w:sz w:val="24"/>
        </w:rPr>
        <w:t xml:space="preserve"> Historian", </w:t>
      </w:r>
      <w:r w:rsidRPr="00EC6241">
        <w:rPr>
          <w:rFonts w:ascii="Arial" w:hAnsi="Arial" w:cs="Arial"/>
          <w:i/>
          <w:iCs/>
          <w:sz w:val="24"/>
        </w:rPr>
        <w:t>Encyclopedia Britannica</w:t>
      </w:r>
      <w:r w:rsidRPr="00EC6241">
        <w:rPr>
          <w:rFonts w:ascii="Arial" w:hAnsi="Arial" w:cs="Arial"/>
          <w:sz w:val="24"/>
        </w:rPr>
        <w:t>, 2019 &lt;https://www.britannica.com/biography/Jean-Froissart&gt; [Last Accessed: 9 May 2019]</w:t>
      </w:r>
    </w:p>
    <w:p w14:paraId="6D792989" w14:textId="77777777" w:rsidR="00EC6241" w:rsidRPr="00EC6241" w:rsidRDefault="00EC6241" w:rsidP="00EC6241">
      <w:pPr>
        <w:rPr>
          <w:rFonts w:ascii="Arial" w:hAnsi="Arial" w:cs="Arial"/>
          <w:sz w:val="24"/>
        </w:rPr>
      </w:pPr>
      <w:r w:rsidRPr="00EC6241">
        <w:rPr>
          <w:rFonts w:ascii="Arial" w:hAnsi="Arial" w:cs="Arial"/>
          <w:sz w:val="24"/>
        </w:rPr>
        <w:t>Jones, Terry and Alan Ereira, </w:t>
      </w:r>
      <w:bookmarkStart w:id="12" w:name="_Hlk8306121"/>
      <w:r w:rsidRPr="00EC6241">
        <w:rPr>
          <w:rFonts w:ascii="Arial" w:hAnsi="Arial" w:cs="Arial"/>
          <w:i/>
          <w:iCs/>
          <w:sz w:val="24"/>
        </w:rPr>
        <w:t>Medieval Lives</w:t>
      </w:r>
      <w:r w:rsidRPr="00EC6241">
        <w:rPr>
          <w:rFonts w:ascii="Arial" w:hAnsi="Arial" w:cs="Arial"/>
          <w:sz w:val="24"/>
        </w:rPr>
        <w:t> </w:t>
      </w:r>
      <w:bookmarkEnd w:id="12"/>
      <w:r w:rsidRPr="00EC6241">
        <w:rPr>
          <w:rFonts w:ascii="Arial" w:hAnsi="Arial" w:cs="Arial"/>
          <w:sz w:val="24"/>
        </w:rPr>
        <w:t>(London: BBC Books, 2005)</w:t>
      </w:r>
    </w:p>
    <w:p w14:paraId="5C3B5EE2" w14:textId="77777777" w:rsidR="00EC6241" w:rsidRPr="00EC6241" w:rsidRDefault="00EC6241" w:rsidP="00EC6241">
      <w:pPr>
        <w:rPr>
          <w:rFonts w:ascii="Arial" w:hAnsi="Arial" w:cs="Arial"/>
          <w:sz w:val="24"/>
        </w:rPr>
      </w:pPr>
      <w:bookmarkStart w:id="13" w:name="_Hlk8298999"/>
      <w:proofErr w:type="spellStart"/>
      <w:r w:rsidRPr="00EC6241">
        <w:rPr>
          <w:rFonts w:ascii="Arial" w:hAnsi="Arial" w:cs="Arial"/>
          <w:sz w:val="24"/>
        </w:rPr>
        <w:t>Leyser</w:t>
      </w:r>
      <w:proofErr w:type="spellEnd"/>
      <w:r w:rsidRPr="00EC6241">
        <w:rPr>
          <w:rFonts w:ascii="Arial" w:hAnsi="Arial" w:cs="Arial"/>
          <w:sz w:val="24"/>
        </w:rPr>
        <w:t xml:space="preserve">, Henrietta, </w:t>
      </w:r>
      <w:r w:rsidRPr="00EC6241">
        <w:rPr>
          <w:rFonts w:ascii="Arial" w:hAnsi="Arial" w:cs="Arial"/>
          <w:i/>
          <w:sz w:val="24"/>
        </w:rPr>
        <w:t>Medieval Women: A Social History of Women in England 450-1500</w:t>
      </w:r>
      <w:bookmarkEnd w:id="13"/>
      <w:r w:rsidRPr="00EC6241">
        <w:rPr>
          <w:rFonts w:ascii="Arial" w:hAnsi="Arial" w:cs="Arial"/>
          <w:i/>
          <w:sz w:val="24"/>
        </w:rPr>
        <w:t xml:space="preserve"> </w:t>
      </w:r>
      <w:r w:rsidRPr="00EC6241">
        <w:rPr>
          <w:rFonts w:ascii="Arial" w:hAnsi="Arial" w:cs="Arial"/>
          <w:sz w:val="24"/>
        </w:rPr>
        <w:t xml:space="preserve">(London: Phoenix, 1999) </w:t>
      </w:r>
    </w:p>
    <w:p w14:paraId="6CB3F684" w14:textId="77777777" w:rsidR="00EC6241" w:rsidRPr="00EC6241" w:rsidRDefault="00EC6241" w:rsidP="00EC6241">
      <w:pPr>
        <w:rPr>
          <w:rFonts w:ascii="Arial" w:hAnsi="Arial" w:cs="Arial"/>
          <w:sz w:val="24"/>
        </w:rPr>
      </w:pPr>
      <w:r w:rsidRPr="00EC6241">
        <w:rPr>
          <w:rFonts w:ascii="Arial" w:hAnsi="Arial" w:cs="Arial"/>
          <w:sz w:val="24"/>
        </w:rPr>
        <w:t xml:space="preserve">Power, Eileen, </w:t>
      </w:r>
      <w:bookmarkStart w:id="14" w:name="_Hlk8299153"/>
      <w:r w:rsidRPr="00EC6241">
        <w:rPr>
          <w:rFonts w:ascii="Arial" w:hAnsi="Arial" w:cs="Arial"/>
          <w:i/>
          <w:sz w:val="24"/>
        </w:rPr>
        <w:t>Medieval Women</w:t>
      </w:r>
      <w:bookmarkEnd w:id="14"/>
      <w:r w:rsidRPr="00EC6241">
        <w:rPr>
          <w:rFonts w:ascii="Arial" w:hAnsi="Arial" w:cs="Arial"/>
          <w:sz w:val="24"/>
        </w:rPr>
        <w:t>,</w:t>
      </w:r>
      <w:r w:rsidRPr="00EC6241">
        <w:rPr>
          <w:rFonts w:ascii="Arial" w:hAnsi="Arial" w:cs="Arial"/>
          <w:i/>
          <w:sz w:val="24"/>
        </w:rPr>
        <w:t xml:space="preserve"> </w:t>
      </w:r>
      <w:r w:rsidRPr="00EC6241">
        <w:rPr>
          <w:rFonts w:ascii="Arial" w:hAnsi="Arial" w:cs="Arial"/>
          <w:sz w:val="24"/>
        </w:rPr>
        <w:t xml:space="preserve">ed. M </w:t>
      </w:r>
      <w:proofErr w:type="spellStart"/>
      <w:r w:rsidRPr="00EC6241">
        <w:rPr>
          <w:rFonts w:ascii="Arial" w:hAnsi="Arial" w:cs="Arial"/>
          <w:sz w:val="24"/>
        </w:rPr>
        <w:t>M</w:t>
      </w:r>
      <w:proofErr w:type="spellEnd"/>
      <w:r w:rsidRPr="00EC6241">
        <w:rPr>
          <w:rFonts w:ascii="Arial" w:hAnsi="Arial" w:cs="Arial"/>
          <w:sz w:val="24"/>
        </w:rPr>
        <w:t xml:space="preserve"> </w:t>
      </w:r>
      <w:proofErr w:type="spellStart"/>
      <w:r w:rsidRPr="00EC6241">
        <w:rPr>
          <w:rFonts w:ascii="Arial" w:hAnsi="Arial" w:cs="Arial"/>
          <w:sz w:val="24"/>
        </w:rPr>
        <w:t>Postan</w:t>
      </w:r>
      <w:proofErr w:type="spellEnd"/>
      <w:r w:rsidRPr="00EC6241">
        <w:rPr>
          <w:rFonts w:ascii="Arial" w:hAnsi="Arial" w:cs="Arial"/>
          <w:sz w:val="24"/>
        </w:rPr>
        <w:t xml:space="preserve"> (Cambridge University Press, 1975) </w:t>
      </w:r>
    </w:p>
    <w:p w14:paraId="4F050DCE" w14:textId="77777777" w:rsidR="00EC6241" w:rsidRPr="00EC6241" w:rsidRDefault="00EC6241" w:rsidP="00EC6241">
      <w:pPr>
        <w:rPr>
          <w:rFonts w:ascii="Arial" w:hAnsi="Arial" w:cs="Arial"/>
          <w:sz w:val="24"/>
        </w:rPr>
      </w:pPr>
      <w:proofErr w:type="spellStart"/>
      <w:r w:rsidRPr="00EC6241">
        <w:rPr>
          <w:rFonts w:ascii="Arial" w:hAnsi="Arial" w:cs="Arial"/>
          <w:sz w:val="24"/>
        </w:rPr>
        <w:t>Rieder</w:t>
      </w:r>
      <w:proofErr w:type="spellEnd"/>
      <w:r w:rsidRPr="00EC6241">
        <w:rPr>
          <w:rFonts w:ascii="Arial" w:hAnsi="Arial" w:cs="Arial"/>
          <w:sz w:val="24"/>
        </w:rPr>
        <w:t>, Paula M, “The Uses and Misuses of Misogyny: A Critical Historiography of the Language of Medieval Women’s Oppression.” </w:t>
      </w:r>
      <w:r w:rsidRPr="00EC6241">
        <w:rPr>
          <w:rFonts w:ascii="Arial" w:hAnsi="Arial" w:cs="Arial"/>
          <w:i/>
          <w:iCs/>
          <w:sz w:val="24"/>
        </w:rPr>
        <w:t>Historical Reflections</w:t>
      </w:r>
      <w:r w:rsidRPr="00EC6241">
        <w:rPr>
          <w:rFonts w:ascii="Arial" w:hAnsi="Arial" w:cs="Arial"/>
          <w:sz w:val="24"/>
        </w:rPr>
        <w:t>, vol. 38, no. 1 (Spring 2012) pp. 1–18. </w:t>
      </w:r>
      <w:r w:rsidRPr="00EC6241">
        <w:rPr>
          <w:rFonts w:ascii="Arial" w:hAnsi="Arial" w:cs="Arial"/>
          <w:i/>
          <w:iCs/>
          <w:sz w:val="24"/>
        </w:rPr>
        <w:t>EBSCOhost</w:t>
      </w:r>
      <w:r w:rsidRPr="00EC6241">
        <w:rPr>
          <w:rFonts w:ascii="Arial" w:hAnsi="Arial" w:cs="Arial"/>
          <w:sz w:val="24"/>
        </w:rPr>
        <w:t xml:space="preserve"> &lt;https://10.3167/hrrh.2012.380101&gt;</w:t>
      </w:r>
    </w:p>
    <w:p w14:paraId="0FEF6863" w14:textId="77777777" w:rsidR="00EC6241" w:rsidRPr="00EC6241" w:rsidRDefault="00EC6241" w:rsidP="00EC6241">
      <w:pPr>
        <w:rPr>
          <w:rFonts w:ascii="Arial" w:hAnsi="Arial" w:cs="Arial"/>
          <w:sz w:val="24"/>
        </w:rPr>
      </w:pPr>
      <w:r w:rsidRPr="00EC6241">
        <w:rPr>
          <w:rFonts w:ascii="Arial" w:hAnsi="Arial" w:cs="Arial"/>
          <w:sz w:val="24"/>
        </w:rPr>
        <w:t xml:space="preserve">Rigby, Stephen, </w:t>
      </w:r>
      <w:bookmarkStart w:id="15" w:name="_Hlk8299846"/>
      <w:r w:rsidRPr="00EC6241">
        <w:rPr>
          <w:rFonts w:ascii="Arial" w:hAnsi="Arial" w:cs="Arial"/>
          <w:i/>
          <w:sz w:val="24"/>
        </w:rPr>
        <w:t>English Society in the Later Middle Ages</w:t>
      </w:r>
      <w:bookmarkEnd w:id="15"/>
      <w:r w:rsidRPr="00EC6241">
        <w:rPr>
          <w:rFonts w:ascii="Arial" w:hAnsi="Arial" w:cs="Arial"/>
          <w:i/>
          <w:sz w:val="24"/>
        </w:rPr>
        <w:t xml:space="preserve">: Class, Status and Gender </w:t>
      </w:r>
      <w:r w:rsidRPr="00EC6241">
        <w:rPr>
          <w:rFonts w:ascii="Arial" w:hAnsi="Arial" w:cs="Arial"/>
          <w:sz w:val="24"/>
        </w:rPr>
        <w:t xml:space="preserve">(London: Macmillan, 1995) </w:t>
      </w:r>
    </w:p>
    <w:p w14:paraId="6E845B8E" w14:textId="77777777" w:rsidR="00EC6241" w:rsidRPr="00EC6241" w:rsidRDefault="00EC6241" w:rsidP="00EC6241">
      <w:pPr>
        <w:rPr>
          <w:rFonts w:ascii="Arial" w:hAnsi="Arial" w:cs="Arial"/>
          <w:sz w:val="24"/>
        </w:rPr>
      </w:pPr>
      <w:bookmarkStart w:id="16" w:name="_Hlk8299208"/>
      <w:r w:rsidRPr="00EC6241">
        <w:rPr>
          <w:rFonts w:ascii="Arial" w:hAnsi="Arial" w:cs="Arial"/>
          <w:sz w:val="24"/>
        </w:rPr>
        <w:t xml:space="preserve">Ziegler, Philip, </w:t>
      </w:r>
      <w:r w:rsidRPr="00EC6241">
        <w:rPr>
          <w:rFonts w:ascii="Arial" w:hAnsi="Arial" w:cs="Arial"/>
          <w:i/>
          <w:sz w:val="24"/>
        </w:rPr>
        <w:t xml:space="preserve">The Black Death </w:t>
      </w:r>
      <w:r w:rsidRPr="00EC6241">
        <w:rPr>
          <w:rFonts w:ascii="Arial" w:hAnsi="Arial" w:cs="Arial"/>
          <w:sz w:val="24"/>
        </w:rPr>
        <w:t>(Stroud: The History Press, 2010)</w:t>
      </w:r>
      <w:bookmarkEnd w:id="16"/>
    </w:p>
    <w:bookmarkEnd w:id="3"/>
    <w:p w14:paraId="66B93C43" w14:textId="77777777" w:rsidR="00EC6241" w:rsidRPr="00EC6241" w:rsidRDefault="00EC6241" w:rsidP="00EC6241">
      <w:pPr>
        <w:rPr>
          <w:rFonts w:ascii="Arial" w:hAnsi="Arial" w:cs="Arial"/>
          <w:sz w:val="24"/>
        </w:rPr>
      </w:pPr>
    </w:p>
    <w:p w14:paraId="6B49C2E9" w14:textId="77777777" w:rsidR="00EC6241" w:rsidRPr="00EC6241" w:rsidRDefault="00EC6241" w:rsidP="00EC6241">
      <w:pPr>
        <w:rPr>
          <w:rFonts w:ascii="Arial" w:hAnsi="Arial" w:cs="Arial"/>
          <w:sz w:val="24"/>
        </w:rPr>
      </w:pPr>
    </w:p>
    <w:p w14:paraId="3C95FFBB" w14:textId="77777777" w:rsidR="00EC6241" w:rsidRPr="00854702" w:rsidRDefault="00EC6241">
      <w:pPr>
        <w:rPr>
          <w:sz w:val="24"/>
        </w:rPr>
      </w:pPr>
    </w:p>
    <w:sectPr w:rsidR="00EC6241" w:rsidRPr="00854702" w:rsidSect="00854702">
      <w:headerReference w:type="default" r:id="rId6"/>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BC562" w14:textId="77777777" w:rsidR="00AC42C4" w:rsidRDefault="00AC42C4" w:rsidP="00C625E3">
      <w:pPr>
        <w:spacing w:after="0" w:line="240" w:lineRule="auto"/>
      </w:pPr>
      <w:r>
        <w:separator/>
      </w:r>
    </w:p>
  </w:endnote>
  <w:endnote w:type="continuationSeparator" w:id="0">
    <w:p w14:paraId="7C092E86" w14:textId="77777777" w:rsidR="00AC42C4" w:rsidRDefault="00AC42C4" w:rsidP="00C62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8E4BE" w14:textId="77777777" w:rsidR="00AC42C4" w:rsidRDefault="00AC42C4" w:rsidP="00C625E3">
      <w:pPr>
        <w:spacing w:after="0" w:line="240" w:lineRule="auto"/>
      </w:pPr>
      <w:r>
        <w:separator/>
      </w:r>
    </w:p>
  </w:footnote>
  <w:footnote w:type="continuationSeparator" w:id="0">
    <w:p w14:paraId="5E6065BB" w14:textId="77777777" w:rsidR="00AC42C4" w:rsidRDefault="00AC42C4" w:rsidP="00C625E3">
      <w:pPr>
        <w:spacing w:after="0" w:line="240" w:lineRule="auto"/>
      </w:pPr>
      <w:r>
        <w:continuationSeparator/>
      </w:r>
    </w:p>
  </w:footnote>
  <w:footnote w:id="1">
    <w:p w14:paraId="07C2BC0A" w14:textId="77777777" w:rsidR="00C625E3" w:rsidRPr="00F84914" w:rsidRDefault="00C625E3" w:rsidP="00C625E3">
      <w:pPr>
        <w:pStyle w:val="FootnoteText"/>
        <w:rPr>
          <w:rFonts w:ascii="Arial" w:hAnsi="Arial" w:cs="Arial"/>
        </w:rPr>
      </w:pPr>
      <w:r w:rsidRPr="00723ABB">
        <w:rPr>
          <w:rStyle w:val="FootnoteReference"/>
          <w:rFonts w:ascii="Arial" w:hAnsi="Arial" w:cs="Arial"/>
        </w:rPr>
        <w:footnoteRef/>
      </w:r>
      <w:r w:rsidRPr="00723ABB">
        <w:rPr>
          <w:rFonts w:ascii="Arial" w:hAnsi="Arial" w:cs="Arial"/>
        </w:rPr>
        <w:t xml:space="preserve"> </w:t>
      </w:r>
      <w:r w:rsidRPr="00F84914">
        <w:rPr>
          <w:rFonts w:ascii="Arial" w:hAnsi="Arial" w:cs="Arial"/>
        </w:rPr>
        <w:t>Elizabeth van</w:t>
      </w:r>
      <w:r w:rsidRPr="00723ABB">
        <w:rPr>
          <w:rFonts w:ascii="Arial" w:hAnsi="Arial" w:cs="Arial"/>
        </w:rPr>
        <w:t xml:space="preserve"> </w:t>
      </w:r>
      <w:proofErr w:type="gramStart"/>
      <w:r w:rsidRPr="00F84914">
        <w:rPr>
          <w:rFonts w:ascii="Arial" w:hAnsi="Arial" w:cs="Arial"/>
        </w:rPr>
        <w:t xml:space="preserve">Houts,  </w:t>
      </w:r>
      <w:r w:rsidRPr="00F84914">
        <w:rPr>
          <w:rFonts w:ascii="Arial" w:hAnsi="Arial" w:cs="Arial"/>
          <w:i/>
        </w:rPr>
        <w:t>Memory</w:t>
      </w:r>
      <w:proofErr w:type="gramEnd"/>
      <w:r w:rsidRPr="00F84914">
        <w:rPr>
          <w:rFonts w:ascii="Arial" w:hAnsi="Arial" w:cs="Arial"/>
          <w:i/>
        </w:rPr>
        <w:t xml:space="preserve"> and Gender in Medieval Europe, 900-1200 </w:t>
      </w:r>
      <w:r w:rsidRPr="00F84914">
        <w:rPr>
          <w:rFonts w:ascii="Arial" w:hAnsi="Arial" w:cs="Arial"/>
        </w:rPr>
        <w:t>(Basingstoke: Macmillan, 1999)</w:t>
      </w:r>
      <w:r w:rsidRPr="00723ABB">
        <w:rPr>
          <w:rFonts w:ascii="Arial" w:hAnsi="Arial" w:cs="Arial"/>
        </w:rPr>
        <w:t>.</w:t>
      </w:r>
      <w:r w:rsidRPr="00F84914">
        <w:rPr>
          <w:rFonts w:ascii="Arial" w:hAnsi="Arial" w:cs="Arial"/>
        </w:rPr>
        <w:t xml:space="preserve"> </w:t>
      </w:r>
    </w:p>
    <w:p w14:paraId="54B4913E" w14:textId="77777777" w:rsidR="00C625E3" w:rsidRPr="00723ABB" w:rsidRDefault="00C625E3" w:rsidP="00C625E3">
      <w:pPr>
        <w:pStyle w:val="FootnoteText"/>
        <w:rPr>
          <w:rFonts w:ascii="Arial" w:hAnsi="Arial" w:cs="Arial"/>
        </w:rPr>
      </w:pPr>
      <w:r w:rsidRPr="00723ABB">
        <w:rPr>
          <w:rFonts w:ascii="Arial" w:hAnsi="Arial" w:cs="Arial"/>
        </w:rPr>
        <w:t xml:space="preserve"> </w:t>
      </w:r>
      <w:r w:rsidRPr="00F84914">
        <w:rPr>
          <w:rFonts w:ascii="Arial" w:hAnsi="Arial" w:cs="Arial"/>
        </w:rPr>
        <w:t>Eileen</w:t>
      </w:r>
      <w:r w:rsidRPr="00723ABB">
        <w:rPr>
          <w:rFonts w:ascii="Arial" w:hAnsi="Arial" w:cs="Arial"/>
        </w:rPr>
        <w:t xml:space="preserve"> </w:t>
      </w:r>
      <w:r w:rsidRPr="00F84914">
        <w:rPr>
          <w:rFonts w:ascii="Arial" w:hAnsi="Arial" w:cs="Arial"/>
        </w:rPr>
        <w:t xml:space="preserve">Power, </w:t>
      </w:r>
      <w:r w:rsidRPr="00F84914">
        <w:rPr>
          <w:rFonts w:ascii="Arial" w:hAnsi="Arial" w:cs="Arial"/>
          <w:i/>
        </w:rPr>
        <w:t>Medieval Women</w:t>
      </w:r>
      <w:r w:rsidRPr="00F84914">
        <w:rPr>
          <w:rFonts w:ascii="Arial" w:hAnsi="Arial" w:cs="Arial"/>
        </w:rPr>
        <w:t>,</w:t>
      </w:r>
      <w:r w:rsidRPr="00F84914">
        <w:rPr>
          <w:rFonts w:ascii="Arial" w:hAnsi="Arial" w:cs="Arial"/>
          <w:i/>
        </w:rPr>
        <w:t xml:space="preserve"> </w:t>
      </w:r>
      <w:r w:rsidRPr="00F84914">
        <w:rPr>
          <w:rFonts w:ascii="Arial" w:hAnsi="Arial" w:cs="Arial"/>
        </w:rPr>
        <w:t xml:space="preserve">ed. M </w:t>
      </w:r>
      <w:proofErr w:type="spellStart"/>
      <w:r w:rsidRPr="00F84914">
        <w:rPr>
          <w:rFonts w:ascii="Arial" w:hAnsi="Arial" w:cs="Arial"/>
        </w:rPr>
        <w:t>M</w:t>
      </w:r>
      <w:proofErr w:type="spellEnd"/>
      <w:r w:rsidRPr="00F84914">
        <w:rPr>
          <w:rFonts w:ascii="Arial" w:hAnsi="Arial" w:cs="Arial"/>
        </w:rPr>
        <w:t xml:space="preserve"> </w:t>
      </w:r>
      <w:proofErr w:type="spellStart"/>
      <w:r w:rsidRPr="00F84914">
        <w:rPr>
          <w:rFonts w:ascii="Arial" w:hAnsi="Arial" w:cs="Arial"/>
        </w:rPr>
        <w:t>Postan</w:t>
      </w:r>
      <w:proofErr w:type="spellEnd"/>
      <w:r w:rsidRPr="00F84914">
        <w:rPr>
          <w:rFonts w:ascii="Arial" w:hAnsi="Arial" w:cs="Arial"/>
        </w:rPr>
        <w:t xml:space="preserve"> (Cambridge University Press, 1975)</w:t>
      </w:r>
      <w:r w:rsidRPr="00723ABB">
        <w:rPr>
          <w:rFonts w:ascii="Arial" w:hAnsi="Arial" w:cs="Arial"/>
        </w:rPr>
        <w:t>.</w:t>
      </w:r>
    </w:p>
  </w:footnote>
  <w:footnote w:id="2">
    <w:p w14:paraId="2E34C78C" w14:textId="77777777" w:rsidR="00C625E3" w:rsidRPr="00723ABB" w:rsidRDefault="00C625E3" w:rsidP="00C625E3">
      <w:pPr>
        <w:pStyle w:val="FootnoteText"/>
        <w:rPr>
          <w:rFonts w:ascii="Arial" w:hAnsi="Arial" w:cs="Arial"/>
        </w:rPr>
      </w:pPr>
      <w:r w:rsidRPr="00723ABB">
        <w:rPr>
          <w:rStyle w:val="FootnoteReference"/>
          <w:rFonts w:ascii="Arial" w:hAnsi="Arial" w:cs="Arial"/>
        </w:rPr>
        <w:footnoteRef/>
      </w:r>
      <w:r w:rsidRPr="00723ABB">
        <w:rPr>
          <w:rFonts w:ascii="Arial" w:hAnsi="Arial" w:cs="Arial"/>
        </w:rPr>
        <w:t xml:space="preserve"> Sylvia Federico, “The Imaginary Society: Women in 1381”, </w:t>
      </w:r>
      <w:r w:rsidRPr="00723ABB">
        <w:rPr>
          <w:rFonts w:ascii="Arial" w:hAnsi="Arial" w:cs="Arial"/>
          <w:i/>
        </w:rPr>
        <w:t>The Journal of British Studies</w:t>
      </w:r>
      <w:r w:rsidRPr="00723ABB">
        <w:rPr>
          <w:rFonts w:ascii="Arial" w:hAnsi="Arial" w:cs="Arial"/>
        </w:rPr>
        <w:t>, vol.40, no.2 (2001) pp159-183 &lt;https://www.jstor.org/stable/3070734&gt;.</w:t>
      </w:r>
    </w:p>
  </w:footnote>
  <w:footnote w:id="3">
    <w:p w14:paraId="39D81F66" w14:textId="77777777" w:rsidR="00C625E3" w:rsidRPr="00723ABB" w:rsidRDefault="00C625E3" w:rsidP="00C625E3">
      <w:pPr>
        <w:pStyle w:val="FootnoteText"/>
        <w:rPr>
          <w:rFonts w:ascii="Arial" w:hAnsi="Arial" w:cs="Arial"/>
        </w:rPr>
      </w:pPr>
      <w:r w:rsidRPr="00723ABB">
        <w:rPr>
          <w:rStyle w:val="FootnoteReference"/>
          <w:rFonts w:ascii="Arial" w:hAnsi="Arial" w:cs="Arial"/>
        </w:rPr>
        <w:footnoteRef/>
      </w:r>
      <w:r w:rsidRPr="00723ABB">
        <w:rPr>
          <w:rFonts w:ascii="Arial" w:hAnsi="Arial" w:cs="Arial"/>
        </w:rPr>
        <w:t xml:space="preserve"> Terry Jones and Alan Ereira, </w:t>
      </w:r>
      <w:r w:rsidRPr="00723ABB">
        <w:rPr>
          <w:rFonts w:ascii="Arial" w:hAnsi="Arial" w:cs="Arial"/>
          <w:i/>
          <w:iCs/>
        </w:rPr>
        <w:t>Medieval Lives</w:t>
      </w:r>
      <w:r w:rsidRPr="00723ABB">
        <w:rPr>
          <w:rFonts w:ascii="Arial" w:hAnsi="Arial" w:cs="Arial"/>
        </w:rPr>
        <w:t> (London: BBC Books, 2005).</w:t>
      </w:r>
    </w:p>
  </w:footnote>
  <w:footnote w:id="4">
    <w:p w14:paraId="33396838" w14:textId="77777777" w:rsidR="00C625E3" w:rsidRDefault="00C625E3" w:rsidP="00C625E3">
      <w:pPr>
        <w:pStyle w:val="FootnoteText"/>
      </w:pPr>
      <w:r w:rsidRPr="00723ABB">
        <w:rPr>
          <w:rStyle w:val="FootnoteReference"/>
          <w:rFonts w:ascii="Arial" w:hAnsi="Arial" w:cs="Arial"/>
        </w:rPr>
        <w:footnoteRef/>
      </w:r>
      <w:r w:rsidRPr="00723ABB">
        <w:rPr>
          <w:rFonts w:ascii="Arial" w:hAnsi="Arial" w:cs="Arial"/>
        </w:rPr>
        <w:t xml:space="preserve"> "Jean Froissart | French Poet </w:t>
      </w:r>
      <w:proofErr w:type="gramStart"/>
      <w:r w:rsidRPr="00723ABB">
        <w:rPr>
          <w:rFonts w:ascii="Arial" w:hAnsi="Arial" w:cs="Arial"/>
        </w:rPr>
        <w:t>And</w:t>
      </w:r>
      <w:proofErr w:type="gramEnd"/>
      <w:r w:rsidRPr="00723ABB">
        <w:rPr>
          <w:rFonts w:ascii="Arial" w:hAnsi="Arial" w:cs="Arial"/>
        </w:rPr>
        <w:t xml:space="preserve"> Historian", </w:t>
      </w:r>
      <w:r w:rsidRPr="00723ABB">
        <w:rPr>
          <w:rFonts w:ascii="Arial" w:hAnsi="Arial" w:cs="Arial"/>
          <w:i/>
          <w:iCs/>
        </w:rPr>
        <w:t>Encyclopedia Britannica</w:t>
      </w:r>
      <w:r w:rsidRPr="00723ABB">
        <w:rPr>
          <w:rFonts w:ascii="Arial" w:hAnsi="Arial" w:cs="Arial"/>
        </w:rPr>
        <w:t>, 2019 &lt;https://www.britannica.com/biography/Jean-Froissart&gt; [Accessed 9 May 2019].</w:t>
      </w:r>
    </w:p>
  </w:footnote>
  <w:footnote w:id="5">
    <w:p w14:paraId="3C5FEFDB" w14:textId="77777777" w:rsidR="00C625E3" w:rsidRPr="008641ED" w:rsidRDefault="00C625E3" w:rsidP="00C625E3">
      <w:pPr>
        <w:spacing w:after="0"/>
        <w:rPr>
          <w:rFonts w:ascii="Arial" w:hAnsi="Arial" w:cs="Arial"/>
          <w:sz w:val="20"/>
          <w:szCs w:val="20"/>
        </w:rPr>
      </w:pPr>
      <w:r w:rsidRPr="008641ED">
        <w:rPr>
          <w:rStyle w:val="FootnoteReference"/>
          <w:rFonts w:ascii="Arial" w:hAnsi="Arial" w:cs="Arial"/>
          <w:sz w:val="20"/>
          <w:szCs w:val="20"/>
        </w:rPr>
        <w:footnoteRef/>
      </w:r>
      <w:r w:rsidRPr="008641ED">
        <w:rPr>
          <w:rFonts w:ascii="Arial" w:hAnsi="Arial" w:cs="Arial"/>
          <w:sz w:val="20"/>
          <w:szCs w:val="20"/>
        </w:rPr>
        <w:t xml:space="preserve"> Geoffrey Chaucer, </w:t>
      </w:r>
      <w:r w:rsidRPr="008641ED">
        <w:rPr>
          <w:rFonts w:ascii="Arial" w:hAnsi="Arial" w:cs="Arial"/>
          <w:i/>
          <w:iCs/>
          <w:sz w:val="20"/>
          <w:szCs w:val="20"/>
        </w:rPr>
        <w:t>The Riverside Chaucer</w:t>
      </w:r>
      <w:r w:rsidRPr="008641ED">
        <w:rPr>
          <w:rFonts w:ascii="Arial" w:hAnsi="Arial" w:cs="Arial"/>
          <w:iCs/>
          <w:sz w:val="20"/>
          <w:szCs w:val="20"/>
        </w:rPr>
        <w:t xml:space="preserve">, ed. </w:t>
      </w:r>
      <w:r w:rsidRPr="008641ED">
        <w:rPr>
          <w:rFonts w:ascii="Arial" w:hAnsi="Arial" w:cs="Arial"/>
          <w:sz w:val="20"/>
          <w:szCs w:val="20"/>
        </w:rPr>
        <w:t>Larry Dean Benson, Fred Norris Robinson and Christopher Cannon (Oxford: Oxford University Press, 2008).</w:t>
      </w:r>
    </w:p>
  </w:footnote>
  <w:footnote w:id="6">
    <w:p w14:paraId="47817149"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For more on women see; </w:t>
      </w:r>
      <w:r w:rsidRPr="00F84914">
        <w:rPr>
          <w:rFonts w:ascii="Arial" w:hAnsi="Arial" w:cs="Arial"/>
        </w:rPr>
        <w:t>Eileen</w:t>
      </w:r>
      <w:r w:rsidRPr="008641ED">
        <w:rPr>
          <w:rFonts w:ascii="Arial" w:hAnsi="Arial" w:cs="Arial"/>
        </w:rPr>
        <w:t xml:space="preserve"> </w:t>
      </w:r>
      <w:r w:rsidRPr="00F84914">
        <w:rPr>
          <w:rFonts w:ascii="Arial" w:hAnsi="Arial" w:cs="Arial"/>
        </w:rPr>
        <w:t xml:space="preserve">Power, </w:t>
      </w:r>
      <w:r w:rsidRPr="00F84914">
        <w:rPr>
          <w:rFonts w:ascii="Arial" w:hAnsi="Arial" w:cs="Arial"/>
          <w:i/>
        </w:rPr>
        <w:t>Medieval Women</w:t>
      </w:r>
      <w:r w:rsidRPr="008641ED">
        <w:rPr>
          <w:rFonts w:ascii="Arial" w:hAnsi="Arial" w:cs="Arial"/>
          <w:i/>
        </w:rPr>
        <w:t xml:space="preserve"> </w:t>
      </w:r>
      <w:r w:rsidRPr="008641ED">
        <w:rPr>
          <w:rFonts w:ascii="Arial" w:hAnsi="Arial" w:cs="Arial"/>
        </w:rPr>
        <w:t xml:space="preserve">and Henrietta </w:t>
      </w:r>
      <w:proofErr w:type="spellStart"/>
      <w:r w:rsidRPr="008641ED">
        <w:rPr>
          <w:rFonts w:ascii="Arial" w:hAnsi="Arial" w:cs="Arial"/>
        </w:rPr>
        <w:t>Leyser</w:t>
      </w:r>
      <w:proofErr w:type="spellEnd"/>
      <w:r w:rsidRPr="008641ED">
        <w:rPr>
          <w:rFonts w:ascii="Arial" w:hAnsi="Arial" w:cs="Arial"/>
        </w:rPr>
        <w:t xml:space="preserve">, </w:t>
      </w:r>
      <w:r w:rsidRPr="008641ED">
        <w:rPr>
          <w:rFonts w:ascii="Arial" w:hAnsi="Arial" w:cs="Arial"/>
          <w:i/>
        </w:rPr>
        <w:t>Medieval Women: A Social History of Women in England 450-1500</w:t>
      </w:r>
      <w:r w:rsidRPr="008641ED">
        <w:rPr>
          <w:rFonts w:ascii="Arial" w:hAnsi="Arial" w:cs="Arial"/>
        </w:rPr>
        <w:t>.</w:t>
      </w:r>
    </w:p>
    <w:p w14:paraId="4BE3D75C" w14:textId="77777777" w:rsidR="00C625E3" w:rsidRPr="008641ED" w:rsidRDefault="00C625E3" w:rsidP="00C625E3">
      <w:pPr>
        <w:pStyle w:val="FootnoteText"/>
        <w:rPr>
          <w:rFonts w:ascii="Arial" w:hAnsi="Arial" w:cs="Arial"/>
        </w:rPr>
      </w:pPr>
      <w:r w:rsidRPr="008641ED">
        <w:rPr>
          <w:rFonts w:ascii="Arial" w:hAnsi="Arial" w:cs="Arial"/>
        </w:rPr>
        <w:t>Or for more on fourteenth-century England see</w:t>
      </w:r>
      <w:r>
        <w:rPr>
          <w:rFonts w:ascii="Arial" w:hAnsi="Arial" w:cs="Arial"/>
        </w:rPr>
        <w:t xml:space="preserve"> examples such as</w:t>
      </w:r>
      <w:r w:rsidRPr="008641ED">
        <w:rPr>
          <w:rFonts w:ascii="Arial" w:hAnsi="Arial" w:cs="Arial"/>
        </w:rPr>
        <w:t xml:space="preserve">; </w:t>
      </w:r>
      <w:r>
        <w:rPr>
          <w:rFonts w:ascii="Arial" w:hAnsi="Arial" w:cs="Arial"/>
        </w:rPr>
        <w:t xml:space="preserve">Stephen Rigby, </w:t>
      </w:r>
      <w:r w:rsidRPr="008641ED">
        <w:rPr>
          <w:rFonts w:ascii="Arial" w:hAnsi="Arial" w:cs="Arial"/>
          <w:i/>
        </w:rPr>
        <w:t>English Society in the Later Middle Ages: Class, Status and Gender</w:t>
      </w:r>
      <w:r>
        <w:rPr>
          <w:rFonts w:ascii="Arial" w:hAnsi="Arial" w:cs="Arial"/>
        </w:rPr>
        <w:t>.</w:t>
      </w:r>
    </w:p>
  </w:footnote>
  <w:footnote w:id="7">
    <w:p w14:paraId="7EC9B617"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For more on social and economic approaches see; Stephen Rigb</w:t>
      </w:r>
      <w:r>
        <w:rPr>
          <w:rFonts w:ascii="Arial" w:hAnsi="Arial" w:cs="Arial"/>
        </w:rPr>
        <w:t>y</w:t>
      </w:r>
      <w:r w:rsidRPr="008641ED">
        <w:rPr>
          <w:rFonts w:ascii="Arial" w:hAnsi="Arial" w:cs="Arial"/>
        </w:rPr>
        <w:t xml:space="preserve">, </w:t>
      </w:r>
      <w:r w:rsidRPr="008641ED">
        <w:rPr>
          <w:rFonts w:ascii="Arial" w:hAnsi="Arial" w:cs="Arial"/>
          <w:i/>
        </w:rPr>
        <w:t xml:space="preserve">English Society in the Later Middle Ages: Class, Status and Gender </w:t>
      </w:r>
      <w:r w:rsidRPr="008641ED">
        <w:rPr>
          <w:rFonts w:ascii="Arial" w:hAnsi="Arial" w:cs="Arial"/>
        </w:rPr>
        <w:t>(London: Macmillan, 1995).</w:t>
      </w:r>
    </w:p>
  </w:footnote>
  <w:footnote w:id="8">
    <w:p w14:paraId="1B5B901C"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Gabriele Griffin, "Gender Studies." A Dictionary of Gender Studies: Oxford University Press, January </w:t>
      </w:r>
      <w:proofErr w:type="gramStart"/>
      <w:r w:rsidRPr="008641ED">
        <w:rPr>
          <w:rFonts w:ascii="Arial" w:hAnsi="Arial" w:cs="Arial"/>
        </w:rPr>
        <w:t>01</w:t>
      </w:r>
      <w:proofErr w:type="gramEnd"/>
      <w:r w:rsidRPr="008641ED">
        <w:rPr>
          <w:rFonts w:ascii="Arial" w:hAnsi="Arial" w:cs="Arial"/>
        </w:rPr>
        <w:t xml:space="preserve"> 2017. </w:t>
      </w:r>
      <w:r w:rsidRPr="008641ED">
        <w:rPr>
          <w:rFonts w:ascii="Arial" w:hAnsi="Arial" w:cs="Arial"/>
          <w:i/>
        </w:rPr>
        <w:t>Oxford Reference</w:t>
      </w:r>
      <w:r w:rsidRPr="008641ED">
        <w:rPr>
          <w:rFonts w:ascii="Arial" w:hAnsi="Arial" w:cs="Arial"/>
        </w:rPr>
        <w:t>. &lt;http://www.oxfordreference.com/view/10.1093/acref/9780191834837.001.0001/acref-9780191834837-e-167&gt; [Last Accessed: 25 April 2019].</w:t>
      </w:r>
    </w:p>
  </w:footnote>
  <w:footnote w:id="9">
    <w:p w14:paraId="22B45079"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Madeline H Caviness, “Feminism, Gender Studies and Medieval Studies”, </w:t>
      </w:r>
      <w:r w:rsidRPr="008641ED">
        <w:rPr>
          <w:rFonts w:ascii="Arial" w:hAnsi="Arial" w:cs="Arial"/>
          <w:i/>
        </w:rPr>
        <w:t>Diogenes</w:t>
      </w:r>
      <w:r w:rsidRPr="008641ED">
        <w:rPr>
          <w:rFonts w:ascii="Arial" w:hAnsi="Arial" w:cs="Arial"/>
        </w:rPr>
        <w:t>, 57.1, Feb 2010, pp30-45, &lt;https://dx.doi.org/10.1177/0392192110369441&gt; [Last Accessed: 09 May 2019].</w:t>
      </w:r>
    </w:p>
  </w:footnote>
  <w:footnote w:id="10">
    <w:p w14:paraId="7A8004AD"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See; Sylvia Federico, “The Imaginary Society: Women in 1381” and </w:t>
      </w:r>
      <w:r w:rsidRPr="00F84914">
        <w:rPr>
          <w:rFonts w:ascii="Arial" w:hAnsi="Arial" w:cs="Arial"/>
        </w:rPr>
        <w:t>Elizabeth van</w:t>
      </w:r>
      <w:r w:rsidRPr="008641ED">
        <w:rPr>
          <w:rFonts w:ascii="Arial" w:hAnsi="Arial" w:cs="Arial"/>
        </w:rPr>
        <w:t xml:space="preserve"> </w:t>
      </w:r>
      <w:r w:rsidRPr="00F84914">
        <w:rPr>
          <w:rFonts w:ascii="Arial" w:hAnsi="Arial" w:cs="Arial"/>
        </w:rPr>
        <w:t xml:space="preserve">Houts, </w:t>
      </w:r>
      <w:r w:rsidRPr="00F84914">
        <w:rPr>
          <w:rFonts w:ascii="Arial" w:hAnsi="Arial" w:cs="Arial"/>
          <w:i/>
        </w:rPr>
        <w:t>Memory and Gender in Medieval Europe, 900-1200</w:t>
      </w:r>
      <w:r w:rsidRPr="008641ED">
        <w:rPr>
          <w:rFonts w:ascii="Arial" w:hAnsi="Arial" w:cs="Arial"/>
        </w:rPr>
        <w:t>.</w:t>
      </w:r>
    </w:p>
  </w:footnote>
  <w:footnote w:id="11">
    <w:p w14:paraId="1C404F12" w14:textId="77777777" w:rsidR="00C625E3" w:rsidRPr="008641ED" w:rsidRDefault="00C625E3" w:rsidP="00C625E3">
      <w:pPr>
        <w:pStyle w:val="FootnoteText"/>
        <w:rPr>
          <w:rFonts w:ascii="Arial" w:hAnsi="Arial" w:cs="Arial"/>
        </w:rPr>
      </w:pPr>
      <w:r w:rsidRPr="008641ED">
        <w:rPr>
          <w:rStyle w:val="FootnoteReference"/>
          <w:rFonts w:ascii="Arial" w:hAnsi="Arial" w:cs="Arial"/>
        </w:rPr>
        <w:footnoteRef/>
      </w:r>
      <w:r w:rsidRPr="008641ED">
        <w:rPr>
          <w:rFonts w:ascii="Arial" w:hAnsi="Arial" w:cs="Arial"/>
        </w:rPr>
        <w:t xml:space="preserve"> Caviness, “Feminism, Gender Studies and Medieval Studies”, p33.</w:t>
      </w:r>
    </w:p>
  </w:footnote>
  <w:footnote w:id="12">
    <w:p w14:paraId="6A262081" w14:textId="77777777" w:rsidR="00C625E3" w:rsidRPr="008641ED" w:rsidRDefault="00C625E3" w:rsidP="00C625E3">
      <w:pPr>
        <w:pStyle w:val="FootnoteText"/>
      </w:pPr>
      <w:r w:rsidRPr="008641ED">
        <w:rPr>
          <w:rStyle w:val="FootnoteReference"/>
          <w:rFonts w:ascii="Arial" w:hAnsi="Arial" w:cs="Arial"/>
        </w:rPr>
        <w:footnoteRef/>
      </w:r>
      <w:r w:rsidRPr="008641ED">
        <w:rPr>
          <w:rFonts w:ascii="Arial" w:hAnsi="Arial" w:cs="Arial"/>
        </w:rPr>
        <w:t xml:space="preserve"> Rigby, </w:t>
      </w:r>
      <w:r w:rsidRPr="008641ED">
        <w:rPr>
          <w:rFonts w:ascii="Arial" w:hAnsi="Arial" w:cs="Arial"/>
          <w:i/>
        </w:rPr>
        <w:t>English Society in the Later Middle Age</w:t>
      </w:r>
      <w:r>
        <w:rPr>
          <w:rFonts w:ascii="Arial" w:hAnsi="Arial" w:cs="Arial"/>
          <w:i/>
        </w:rPr>
        <w:t>s</w:t>
      </w:r>
      <w:r w:rsidRPr="008641ED">
        <w:rPr>
          <w:rFonts w:ascii="Arial" w:hAnsi="Arial" w:cs="Arial"/>
        </w:rPr>
        <w:t>, p247.</w:t>
      </w:r>
    </w:p>
  </w:footnote>
  <w:footnote w:id="13">
    <w:p w14:paraId="53B9F331"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sidRPr="00F84914">
        <w:rPr>
          <w:rFonts w:ascii="Arial" w:hAnsi="Arial" w:cs="Arial"/>
        </w:rPr>
        <w:t>Elizabeth van</w:t>
      </w:r>
      <w:r w:rsidRPr="00723ABB">
        <w:rPr>
          <w:rFonts w:ascii="Arial" w:hAnsi="Arial" w:cs="Arial"/>
        </w:rPr>
        <w:t xml:space="preserve"> </w:t>
      </w:r>
      <w:proofErr w:type="gramStart"/>
      <w:r w:rsidRPr="00F84914">
        <w:rPr>
          <w:rFonts w:ascii="Arial" w:hAnsi="Arial" w:cs="Arial"/>
        </w:rPr>
        <w:t xml:space="preserve">Houts,  </w:t>
      </w:r>
      <w:r w:rsidRPr="00F84914">
        <w:rPr>
          <w:rFonts w:ascii="Arial" w:hAnsi="Arial" w:cs="Arial"/>
          <w:i/>
        </w:rPr>
        <w:t>Memory</w:t>
      </w:r>
      <w:proofErr w:type="gramEnd"/>
      <w:r w:rsidRPr="00F84914">
        <w:rPr>
          <w:rFonts w:ascii="Arial" w:hAnsi="Arial" w:cs="Arial"/>
          <w:i/>
        </w:rPr>
        <w:t xml:space="preserve"> and Gender in Medieval Europe, 900-1200</w:t>
      </w:r>
      <w:r>
        <w:rPr>
          <w:rFonts w:ascii="Arial" w:hAnsi="Arial" w:cs="Arial"/>
        </w:rPr>
        <w:t>,</w:t>
      </w:r>
      <w:r w:rsidRPr="0041593A">
        <w:rPr>
          <w:rFonts w:ascii="Arial" w:hAnsi="Arial" w:cs="Arial"/>
        </w:rPr>
        <w:t xml:space="preserve"> p1</w:t>
      </w:r>
      <w:r>
        <w:rPr>
          <w:rFonts w:ascii="Arial" w:hAnsi="Arial" w:cs="Arial"/>
        </w:rPr>
        <w:t>.</w:t>
      </w:r>
    </w:p>
  </w:footnote>
  <w:footnote w:id="14">
    <w:p w14:paraId="1FB38215"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Pr>
          <w:rFonts w:ascii="Arial" w:hAnsi="Arial" w:cs="Arial"/>
        </w:rPr>
        <w:t xml:space="preserve">Caviness, </w:t>
      </w:r>
      <w:r w:rsidRPr="008641ED">
        <w:rPr>
          <w:rFonts w:ascii="Arial" w:hAnsi="Arial" w:cs="Arial"/>
        </w:rPr>
        <w:t xml:space="preserve">“Feminism, Gender Studies and Medieval Studies”, </w:t>
      </w:r>
      <w:r>
        <w:rPr>
          <w:rFonts w:ascii="Arial" w:hAnsi="Arial" w:cs="Arial"/>
        </w:rPr>
        <w:t>p41.</w:t>
      </w:r>
    </w:p>
  </w:footnote>
  <w:footnote w:id="15">
    <w:p w14:paraId="44922CF4" w14:textId="77777777" w:rsidR="00C625E3" w:rsidRPr="00C34594"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sidRPr="008641ED">
        <w:rPr>
          <w:rFonts w:ascii="Arial" w:hAnsi="Arial" w:cs="Arial"/>
        </w:rPr>
        <w:t xml:space="preserve">Rigby, </w:t>
      </w:r>
      <w:r w:rsidRPr="008641ED">
        <w:rPr>
          <w:rFonts w:ascii="Arial" w:hAnsi="Arial" w:cs="Arial"/>
          <w:i/>
        </w:rPr>
        <w:t>English Society in the Later Middle Age</w:t>
      </w:r>
      <w:r>
        <w:rPr>
          <w:rFonts w:ascii="Arial" w:hAnsi="Arial" w:cs="Arial"/>
          <w:i/>
        </w:rPr>
        <w:t>s</w:t>
      </w:r>
      <w:r>
        <w:rPr>
          <w:rFonts w:ascii="Arial" w:hAnsi="Arial" w:cs="Arial"/>
        </w:rPr>
        <w:t>.</w:t>
      </w:r>
    </w:p>
  </w:footnote>
  <w:footnote w:id="16">
    <w:p w14:paraId="36D377DD"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Philip Ziegler, </w:t>
      </w:r>
      <w:r w:rsidRPr="0041593A">
        <w:rPr>
          <w:rFonts w:ascii="Arial" w:hAnsi="Arial" w:cs="Arial"/>
          <w:i/>
        </w:rPr>
        <w:t xml:space="preserve">The Black Death </w:t>
      </w:r>
      <w:r w:rsidRPr="0041593A">
        <w:rPr>
          <w:rFonts w:ascii="Arial" w:hAnsi="Arial" w:cs="Arial"/>
        </w:rPr>
        <w:t>(Stroud: The History Press, 2010) p200.</w:t>
      </w:r>
    </w:p>
  </w:footnote>
  <w:footnote w:id="17">
    <w:p w14:paraId="69AA305A" w14:textId="77777777" w:rsidR="00C625E3"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Pr>
          <w:rFonts w:ascii="Arial" w:hAnsi="Arial" w:cs="Arial"/>
        </w:rPr>
        <w:t xml:space="preserve">Ziegler </w:t>
      </w:r>
      <w:proofErr w:type="gramStart"/>
      <w:r>
        <w:rPr>
          <w:rFonts w:ascii="Arial" w:hAnsi="Arial" w:cs="Arial"/>
        </w:rPr>
        <w:t>makes reference</w:t>
      </w:r>
      <w:proofErr w:type="gramEnd"/>
      <w:r>
        <w:rPr>
          <w:rFonts w:ascii="Arial" w:hAnsi="Arial" w:cs="Arial"/>
        </w:rPr>
        <w:t xml:space="preserve"> to the following works;</w:t>
      </w:r>
    </w:p>
    <w:p w14:paraId="410DC915" w14:textId="77777777" w:rsidR="00C625E3" w:rsidRDefault="00C625E3" w:rsidP="00C625E3">
      <w:pPr>
        <w:pStyle w:val="FootnoteText"/>
        <w:rPr>
          <w:rFonts w:ascii="Arial" w:hAnsi="Arial" w:cs="Arial"/>
        </w:rPr>
      </w:pPr>
      <w:r>
        <w:rPr>
          <w:rFonts w:ascii="Arial" w:hAnsi="Arial" w:cs="Arial"/>
        </w:rPr>
        <w:t xml:space="preserve">R H Hilton, “Peasant Movements in England Before 1381”, </w:t>
      </w:r>
      <w:r w:rsidRPr="00202814">
        <w:rPr>
          <w:rFonts w:ascii="Arial" w:hAnsi="Arial" w:cs="Arial"/>
          <w:i/>
        </w:rPr>
        <w:t>Econ</w:t>
      </w:r>
      <w:r>
        <w:rPr>
          <w:rFonts w:ascii="Arial" w:hAnsi="Arial" w:cs="Arial"/>
          <w:i/>
        </w:rPr>
        <w:t xml:space="preserve"> </w:t>
      </w:r>
      <w:proofErr w:type="spellStart"/>
      <w:r w:rsidRPr="00202814">
        <w:rPr>
          <w:rFonts w:ascii="Arial" w:hAnsi="Arial" w:cs="Arial"/>
          <w:i/>
        </w:rPr>
        <w:t>Hist</w:t>
      </w:r>
      <w:proofErr w:type="spellEnd"/>
      <w:r>
        <w:rPr>
          <w:rFonts w:ascii="Arial" w:hAnsi="Arial" w:cs="Arial"/>
        </w:rPr>
        <w:t>, Rev, 2</w:t>
      </w:r>
      <w:r w:rsidRPr="00202814">
        <w:rPr>
          <w:rFonts w:ascii="Arial" w:hAnsi="Arial" w:cs="Arial"/>
          <w:vertAlign w:val="superscript"/>
        </w:rPr>
        <w:t>nd</w:t>
      </w:r>
      <w:r>
        <w:rPr>
          <w:rFonts w:ascii="Arial" w:hAnsi="Arial" w:cs="Arial"/>
        </w:rPr>
        <w:t xml:space="preserve"> Ser, </w:t>
      </w:r>
      <w:proofErr w:type="spellStart"/>
      <w:r>
        <w:rPr>
          <w:rFonts w:ascii="Arial" w:hAnsi="Arial" w:cs="Arial"/>
        </w:rPr>
        <w:t>Vol.II</w:t>
      </w:r>
      <w:proofErr w:type="spellEnd"/>
      <w:r>
        <w:rPr>
          <w:rFonts w:ascii="Arial" w:hAnsi="Arial" w:cs="Arial"/>
        </w:rPr>
        <w:t>, 1949.</w:t>
      </w:r>
    </w:p>
    <w:p w14:paraId="48E8030B" w14:textId="77777777" w:rsidR="00C625E3" w:rsidRPr="0041593A" w:rsidRDefault="00C625E3" w:rsidP="00C625E3">
      <w:pPr>
        <w:pStyle w:val="FootnoteText"/>
        <w:rPr>
          <w:rFonts w:ascii="Arial" w:hAnsi="Arial" w:cs="Arial"/>
        </w:rPr>
      </w:pPr>
      <w:proofErr w:type="gramStart"/>
      <w:r>
        <w:rPr>
          <w:rFonts w:ascii="Arial" w:hAnsi="Arial" w:cs="Arial"/>
        </w:rPr>
        <w:t>A</w:t>
      </w:r>
      <w:proofErr w:type="gramEnd"/>
      <w:r>
        <w:rPr>
          <w:rFonts w:ascii="Arial" w:hAnsi="Arial" w:cs="Arial"/>
        </w:rPr>
        <w:t xml:space="preserve"> E Levett, </w:t>
      </w:r>
      <w:r w:rsidRPr="00202814">
        <w:rPr>
          <w:rFonts w:ascii="Arial" w:hAnsi="Arial" w:cs="Arial"/>
          <w:i/>
        </w:rPr>
        <w:t>The Black Death on the Estates of the See of Winchester</w:t>
      </w:r>
      <w:r>
        <w:rPr>
          <w:rFonts w:ascii="Arial" w:hAnsi="Arial" w:cs="Arial"/>
          <w:i/>
        </w:rPr>
        <w:t xml:space="preserve"> </w:t>
      </w:r>
      <w:r>
        <w:rPr>
          <w:rFonts w:ascii="Arial" w:hAnsi="Arial" w:cs="Arial"/>
        </w:rPr>
        <w:t>(Oxford, 1916).</w:t>
      </w:r>
    </w:p>
  </w:footnote>
  <w:footnote w:id="18">
    <w:p w14:paraId="07C9A3BA"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sidRPr="00F2537D">
        <w:rPr>
          <w:rFonts w:ascii="Arial" w:hAnsi="Arial" w:cs="Arial"/>
        </w:rPr>
        <w:t>Federico,</w:t>
      </w:r>
      <w:r w:rsidRPr="00F2537D">
        <w:rPr>
          <w:rFonts w:ascii="Arial" w:hAnsi="Arial" w:cs="Arial"/>
          <w:sz w:val="22"/>
          <w:szCs w:val="22"/>
        </w:rPr>
        <w:t xml:space="preserve"> </w:t>
      </w:r>
      <w:r w:rsidRPr="00F2537D">
        <w:rPr>
          <w:rFonts w:ascii="Arial" w:hAnsi="Arial" w:cs="Arial"/>
        </w:rPr>
        <w:t>“The Imaginary Society: Women in 1381”</w:t>
      </w:r>
      <w:r>
        <w:rPr>
          <w:rFonts w:ascii="Arial" w:hAnsi="Arial" w:cs="Arial"/>
        </w:rPr>
        <w:t>, p178.</w:t>
      </w:r>
    </w:p>
  </w:footnote>
  <w:footnote w:id="19">
    <w:p w14:paraId="5D9ACB2B"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Goldberg</w:t>
      </w:r>
      <w:r>
        <w:rPr>
          <w:rFonts w:ascii="Arial" w:hAnsi="Arial" w:cs="Arial"/>
        </w:rPr>
        <w:t xml:space="preserve">, </w:t>
      </w:r>
      <w:r w:rsidRPr="00A71A79">
        <w:rPr>
          <w:rFonts w:ascii="Arial" w:hAnsi="Arial" w:cs="Arial"/>
        </w:rPr>
        <w:t xml:space="preserve">"Urban Identity </w:t>
      </w:r>
      <w:proofErr w:type="gramStart"/>
      <w:r w:rsidRPr="00A71A79">
        <w:rPr>
          <w:rFonts w:ascii="Arial" w:hAnsi="Arial" w:cs="Arial"/>
        </w:rPr>
        <w:t>And</w:t>
      </w:r>
      <w:proofErr w:type="gramEnd"/>
      <w:r w:rsidRPr="00A71A79">
        <w:rPr>
          <w:rFonts w:ascii="Arial" w:hAnsi="Arial" w:cs="Arial"/>
        </w:rPr>
        <w:t xml:space="preserve"> The Poll Taxes Of 1377, 1379, And 1381"</w:t>
      </w:r>
      <w:r>
        <w:rPr>
          <w:rFonts w:ascii="Arial" w:hAnsi="Arial" w:cs="Arial"/>
        </w:rPr>
        <w:t>.</w:t>
      </w:r>
    </w:p>
  </w:footnote>
  <w:footnote w:id="20">
    <w:p w14:paraId="16711E18"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Goldberg</w:t>
      </w:r>
      <w:r>
        <w:rPr>
          <w:rFonts w:ascii="Arial" w:hAnsi="Arial" w:cs="Arial"/>
        </w:rPr>
        <w:t xml:space="preserve">, </w:t>
      </w:r>
      <w:r w:rsidRPr="00A71A79">
        <w:rPr>
          <w:rFonts w:ascii="Arial" w:hAnsi="Arial" w:cs="Arial"/>
        </w:rPr>
        <w:t xml:space="preserve">"Urban Identity </w:t>
      </w:r>
      <w:proofErr w:type="gramStart"/>
      <w:r w:rsidRPr="00A71A79">
        <w:rPr>
          <w:rFonts w:ascii="Arial" w:hAnsi="Arial" w:cs="Arial"/>
        </w:rPr>
        <w:t>And</w:t>
      </w:r>
      <w:proofErr w:type="gramEnd"/>
      <w:r w:rsidRPr="00A71A79">
        <w:rPr>
          <w:rFonts w:ascii="Arial" w:hAnsi="Arial" w:cs="Arial"/>
        </w:rPr>
        <w:t xml:space="preserve"> The Poll Taxes Of 1377, 1379, And 1381"</w:t>
      </w:r>
      <w:r>
        <w:rPr>
          <w:rFonts w:ascii="Arial" w:hAnsi="Arial" w:cs="Arial"/>
        </w:rPr>
        <w:t xml:space="preserve">, </w:t>
      </w:r>
      <w:r w:rsidRPr="0041593A">
        <w:rPr>
          <w:rFonts w:ascii="Arial" w:hAnsi="Arial" w:cs="Arial"/>
        </w:rPr>
        <w:t>p195</w:t>
      </w:r>
      <w:r>
        <w:rPr>
          <w:rFonts w:ascii="Arial" w:hAnsi="Arial" w:cs="Arial"/>
        </w:rPr>
        <w:t>.</w:t>
      </w:r>
    </w:p>
  </w:footnote>
  <w:footnote w:id="21">
    <w:p w14:paraId="0C9C40A9" w14:textId="77777777" w:rsidR="00C625E3" w:rsidRDefault="00C625E3" w:rsidP="00C625E3">
      <w:pPr>
        <w:pStyle w:val="FootnoteText"/>
      </w:pPr>
      <w:r w:rsidRPr="0041593A">
        <w:rPr>
          <w:rStyle w:val="FootnoteReference"/>
          <w:rFonts w:ascii="Arial" w:hAnsi="Arial" w:cs="Arial"/>
        </w:rPr>
        <w:footnoteRef/>
      </w:r>
      <w:r w:rsidRPr="0041593A">
        <w:rPr>
          <w:rFonts w:ascii="Arial" w:hAnsi="Arial" w:cs="Arial"/>
        </w:rPr>
        <w:t xml:space="preserve"> </w:t>
      </w:r>
      <w:r w:rsidRPr="00F2537D">
        <w:rPr>
          <w:rFonts w:ascii="Arial" w:hAnsi="Arial" w:cs="Arial"/>
        </w:rPr>
        <w:t>Federico,</w:t>
      </w:r>
      <w:r w:rsidRPr="00F2537D">
        <w:rPr>
          <w:rFonts w:ascii="Arial" w:hAnsi="Arial" w:cs="Arial"/>
          <w:sz w:val="22"/>
          <w:szCs w:val="22"/>
        </w:rPr>
        <w:t xml:space="preserve"> </w:t>
      </w:r>
      <w:r w:rsidRPr="00F2537D">
        <w:rPr>
          <w:rFonts w:ascii="Arial" w:hAnsi="Arial" w:cs="Arial"/>
        </w:rPr>
        <w:t>“The Imaginary Society: Women in 1381”</w:t>
      </w:r>
      <w:r>
        <w:rPr>
          <w:rFonts w:ascii="Arial" w:hAnsi="Arial" w:cs="Arial"/>
        </w:rPr>
        <w:t>.</w:t>
      </w:r>
      <w:r>
        <w:t xml:space="preserve"> </w:t>
      </w:r>
    </w:p>
  </w:footnote>
  <w:footnote w:id="22">
    <w:p w14:paraId="616940E0" w14:textId="77777777" w:rsidR="00C625E3" w:rsidRPr="005B1B9E"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Federico,</w:t>
      </w:r>
      <w:r w:rsidRPr="005B1B9E">
        <w:rPr>
          <w:rFonts w:ascii="Arial" w:hAnsi="Arial" w:cs="Arial"/>
          <w:sz w:val="22"/>
          <w:szCs w:val="22"/>
        </w:rPr>
        <w:t xml:space="preserve"> </w:t>
      </w:r>
      <w:r w:rsidRPr="005B1B9E">
        <w:rPr>
          <w:rFonts w:ascii="Arial" w:hAnsi="Arial" w:cs="Arial"/>
        </w:rPr>
        <w:t>“The Imaginary Society: Women in 1381”, p159.</w:t>
      </w:r>
    </w:p>
  </w:footnote>
  <w:footnote w:id="23">
    <w:p w14:paraId="1DEAB508" w14:textId="77777777" w:rsidR="00C625E3" w:rsidRPr="005B1B9E"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Federico,</w:t>
      </w:r>
      <w:r w:rsidRPr="005B1B9E">
        <w:rPr>
          <w:rFonts w:ascii="Arial" w:hAnsi="Arial" w:cs="Arial"/>
          <w:sz w:val="22"/>
          <w:szCs w:val="22"/>
        </w:rPr>
        <w:t xml:space="preserve"> </w:t>
      </w:r>
      <w:r w:rsidRPr="005B1B9E">
        <w:rPr>
          <w:rFonts w:ascii="Arial" w:hAnsi="Arial" w:cs="Arial"/>
        </w:rPr>
        <w:t xml:space="preserve">“The Imaginary Society: Women in 1381”, p179. </w:t>
      </w:r>
    </w:p>
  </w:footnote>
  <w:footnote w:id="24">
    <w:p w14:paraId="502FBDB6" w14:textId="77777777" w:rsidR="00C625E3" w:rsidRPr="005B1B9E"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w:t>
      </w:r>
      <w:r w:rsidRPr="007E0B9C">
        <w:rPr>
          <w:rFonts w:ascii="Arial" w:hAnsi="Arial" w:cs="Arial"/>
        </w:rPr>
        <w:t xml:space="preserve">“Roll A </w:t>
      </w:r>
      <w:proofErr w:type="gramStart"/>
      <w:r w:rsidRPr="007E0B9C">
        <w:rPr>
          <w:rFonts w:ascii="Arial" w:hAnsi="Arial" w:cs="Arial"/>
        </w:rPr>
        <w:t>25 :</w:t>
      </w:r>
      <w:proofErr w:type="gramEnd"/>
      <w:r w:rsidRPr="007E0B9C">
        <w:rPr>
          <w:rFonts w:ascii="Arial" w:hAnsi="Arial" w:cs="Arial"/>
        </w:rPr>
        <w:t xml:space="preserve"> 1381-83” </w:t>
      </w:r>
      <w:r w:rsidRPr="007E0B9C">
        <w:rPr>
          <w:rFonts w:ascii="Arial" w:hAnsi="Arial" w:cs="Arial"/>
          <w:i/>
        </w:rPr>
        <w:t xml:space="preserve">Calendar of the Plea and Memoranda Rolls of the City of London: volume 3, 1381-1412. </w:t>
      </w:r>
      <w:r w:rsidRPr="007E0B9C">
        <w:rPr>
          <w:rFonts w:ascii="Arial" w:hAnsi="Arial" w:cs="Arial"/>
        </w:rPr>
        <w:t>ed. A H Thomas (London: His Majesty’s Stationery Office, 1929) pp1-35. British History Online. &lt;http://www.british-history.ac.uk/plea-memoranda-rolls/vol3/pp1-35&gt; [Last Accessed: 2 March 2019]</w:t>
      </w:r>
      <w:r>
        <w:rPr>
          <w:rFonts w:ascii="Arial" w:hAnsi="Arial" w:cs="Arial"/>
        </w:rPr>
        <w:t>.</w:t>
      </w:r>
    </w:p>
  </w:footnote>
  <w:footnote w:id="25">
    <w:p w14:paraId="528DC5BC" w14:textId="77777777" w:rsidR="00C625E3" w:rsidRPr="005B1B9E"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w:t>
      </w:r>
      <w:r w:rsidRPr="007E0B9C">
        <w:rPr>
          <w:rFonts w:ascii="Arial" w:hAnsi="Arial" w:cs="Arial"/>
        </w:rPr>
        <w:t xml:space="preserve">“Roll A </w:t>
      </w:r>
      <w:proofErr w:type="gramStart"/>
      <w:r w:rsidRPr="007E0B9C">
        <w:rPr>
          <w:rFonts w:ascii="Arial" w:hAnsi="Arial" w:cs="Arial"/>
        </w:rPr>
        <w:t>25 :</w:t>
      </w:r>
      <w:proofErr w:type="gramEnd"/>
      <w:r w:rsidRPr="007E0B9C">
        <w:rPr>
          <w:rFonts w:ascii="Arial" w:hAnsi="Arial" w:cs="Arial"/>
        </w:rPr>
        <w:t xml:space="preserve"> 1381-83” </w:t>
      </w:r>
      <w:r w:rsidRPr="007E0B9C">
        <w:rPr>
          <w:rFonts w:ascii="Arial" w:hAnsi="Arial" w:cs="Arial"/>
          <w:i/>
        </w:rPr>
        <w:t>Calendar of the Plea and Memoranda Rolls of the City of London: volume 3, 1381-1412</w:t>
      </w:r>
      <w:r>
        <w:rPr>
          <w:rFonts w:ascii="Arial" w:hAnsi="Arial" w:cs="Arial"/>
        </w:rPr>
        <w:t>.</w:t>
      </w:r>
      <w:r w:rsidRPr="005B1B9E">
        <w:rPr>
          <w:rFonts w:ascii="Arial" w:hAnsi="Arial" w:cs="Arial"/>
        </w:rPr>
        <w:t xml:space="preserve"> </w:t>
      </w:r>
    </w:p>
  </w:footnote>
  <w:footnote w:id="26">
    <w:p w14:paraId="23E7963D" w14:textId="77777777" w:rsidR="00C625E3" w:rsidRPr="005B1B9E"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w:t>
      </w:r>
      <w:r w:rsidRPr="007E0B9C">
        <w:rPr>
          <w:rFonts w:ascii="Arial" w:hAnsi="Arial" w:cs="Arial"/>
        </w:rPr>
        <w:t xml:space="preserve">“Roll A </w:t>
      </w:r>
      <w:proofErr w:type="gramStart"/>
      <w:r w:rsidRPr="007E0B9C">
        <w:rPr>
          <w:rFonts w:ascii="Arial" w:hAnsi="Arial" w:cs="Arial"/>
        </w:rPr>
        <w:t>25 :</w:t>
      </w:r>
      <w:proofErr w:type="gramEnd"/>
      <w:r w:rsidRPr="007E0B9C">
        <w:rPr>
          <w:rFonts w:ascii="Arial" w:hAnsi="Arial" w:cs="Arial"/>
        </w:rPr>
        <w:t xml:space="preserve"> 1381-83” </w:t>
      </w:r>
      <w:r w:rsidRPr="007E0B9C">
        <w:rPr>
          <w:rFonts w:ascii="Arial" w:hAnsi="Arial" w:cs="Arial"/>
          <w:i/>
        </w:rPr>
        <w:t>Calendar of the Plea and Memoranda Rolls of the City of London: volume 3, 1381-1412</w:t>
      </w:r>
      <w:r>
        <w:rPr>
          <w:rFonts w:ascii="Arial" w:hAnsi="Arial" w:cs="Arial"/>
        </w:rPr>
        <w:t>.</w:t>
      </w:r>
    </w:p>
  </w:footnote>
  <w:footnote w:id="27">
    <w:p w14:paraId="067B6CF1" w14:textId="77777777" w:rsidR="00C625E3" w:rsidRPr="00CF7016" w:rsidRDefault="00C625E3" w:rsidP="00C625E3">
      <w:pPr>
        <w:pStyle w:val="FootnoteText"/>
        <w:rPr>
          <w:rFonts w:ascii="Arial" w:hAnsi="Arial" w:cs="Arial"/>
        </w:rPr>
      </w:pPr>
      <w:r w:rsidRPr="005B1B9E">
        <w:rPr>
          <w:rStyle w:val="FootnoteReference"/>
          <w:rFonts w:ascii="Arial" w:hAnsi="Arial" w:cs="Arial"/>
        </w:rPr>
        <w:footnoteRef/>
      </w:r>
      <w:r w:rsidRPr="005B1B9E">
        <w:rPr>
          <w:rFonts w:ascii="Arial" w:hAnsi="Arial" w:cs="Arial"/>
        </w:rPr>
        <w:t xml:space="preserve"> </w:t>
      </w:r>
      <w:r>
        <w:rPr>
          <w:rFonts w:ascii="Arial" w:hAnsi="Arial" w:cs="Arial"/>
        </w:rPr>
        <w:t xml:space="preserve">Thomas Walsingham, </w:t>
      </w:r>
      <w:r>
        <w:rPr>
          <w:rFonts w:ascii="Arial" w:hAnsi="Arial" w:cs="Arial"/>
          <w:i/>
        </w:rPr>
        <w:t xml:space="preserve">Chronicon </w:t>
      </w:r>
      <w:proofErr w:type="spellStart"/>
      <w:r>
        <w:rPr>
          <w:rFonts w:ascii="Arial" w:hAnsi="Arial" w:cs="Arial"/>
          <w:i/>
        </w:rPr>
        <w:t>Angliae</w:t>
      </w:r>
      <w:proofErr w:type="spellEnd"/>
      <w:r>
        <w:rPr>
          <w:rFonts w:ascii="Arial" w:hAnsi="Arial" w:cs="Arial"/>
          <w:i/>
        </w:rPr>
        <w:t xml:space="preserve"> </w:t>
      </w:r>
      <w:r>
        <w:rPr>
          <w:rFonts w:ascii="Arial" w:hAnsi="Arial" w:cs="Arial"/>
        </w:rPr>
        <w:t xml:space="preserve">as found in </w:t>
      </w:r>
      <w:r w:rsidRPr="00CF7016">
        <w:rPr>
          <w:rFonts w:ascii="Arial" w:hAnsi="Arial" w:cs="Arial"/>
        </w:rPr>
        <w:t>Richard Barrie Dobson,</w:t>
      </w:r>
      <w:r>
        <w:rPr>
          <w:rFonts w:ascii="Arial" w:hAnsi="Arial" w:cs="Arial"/>
        </w:rPr>
        <w:t xml:space="preserve"> </w:t>
      </w:r>
      <w:r w:rsidRPr="00CF7016">
        <w:rPr>
          <w:rFonts w:ascii="Arial" w:hAnsi="Arial" w:cs="Arial"/>
          <w:i/>
          <w:iCs/>
        </w:rPr>
        <w:t>The Peasants' Revolt Of 1381</w:t>
      </w:r>
      <w:r w:rsidRPr="00CF7016">
        <w:rPr>
          <w:rFonts w:ascii="Arial" w:hAnsi="Arial" w:cs="Arial"/>
        </w:rPr>
        <w:t> (</w:t>
      </w:r>
      <w:proofErr w:type="spellStart"/>
      <w:r w:rsidRPr="00CF7016">
        <w:rPr>
          <w:rFonts w:ascii="Arial" w:hAnsi="Arial" w:cs="Arial"/>
        </w:rPr>
        <w:t>Houndmills</w:t>
      </w:r>
      <w:proofErr w:type="spellEnd"/>
      <w:r w:rsidRPr="00CF7016">
        <w:rPr>
          <w:rFonts w:ascii="Arial" w:hAnsi="Arial" w:cs="Arial"/>
        </w:rPr>
        <w:t>: Macmillan, 1993).</w:t>
      </w:r>
    </w:p>
  </w:footnote>
  <w:footnote w:id="28">
    <w:p w14:paraId="480F17AB" w14:textId="77777777" w:rsidR="00C625E3" w:rsidRPr="00CF7016"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Walsingham, C</w:t>
      </w:r>
      <w:r w:rsidRPr="00CF7016">
        <w:rPr>
          <w:rFonts w:ascii="Arial" w:hAnsi="Arial" w:cs="Arial"/>
          <w:i/>
        </w:rPr>
        <w:t xml:space="preserve">hronicon </w:t>
      </w:r>
      <w:proofErr w:type="spellStart"/>
      <w:r w:rsidRPr="00CF7016">
        <w:rPr>
          <w:rFonts w:ascii="Arial" w:hAnsi="Arial" w:cs="Arial"/>
          <w:i/>
        </w:rPr>
        <w:t>Angliae</w:t>
      </w:r>
      <w:proofErr w:type="spellEnd"/>
      <w:r w:rsidRPr="00CF7016">
        <w:rPr>
          <w:rFonts w:ascii="Arial" w:hAnsi="Arial" w:cs="Arial"/>
        </w:rPr>
        <w:t xml:space="preserve">, in Dobson, </w:t>
      </w:r>
      <w:r w:rsidRPr="00CF7016">
        <w:rPr>
          <w:rFonts w:ascii="Arial" w:hAnsi="Arial" w:cs="Arial"/>
          <w:i/>
          <w:iCs/>
        </w:rPr>
        <w:t xml:space="preserve">The Peasants' Revolt of </w:t>
      </w:r>
      <w:r w:rsidRPr="00CF7016">
        <w:rPr>
          <w:rFonts w:ascii="Arial" w:hAnsi="Arial" w:cs="Arial"/>
          <w:iCs/>
        </w:rPr>
        <w:t xml:space="preserve">1381, </w:t>
      </w:r>
      <w:r w:rsidRPr="00CF7016">
        <w:rPr>
          <w:rFonts w:ascii="Arial" w:hAnsi="Arial" w:cs="Arial"/>
        </w:rPr>
        <w:t>p132.</w:t>
      </w:r>
    </w:p>
  </w:footnote>
  <w:footnote w:id="29">
    <w:p w14:paraId="060BC4DB" w14:textId="77777777" w:rsidR="00C625E3" w:rsidRPr="00CF7016"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Walsingham, C</w:t>
      </w:r>
      <w:r w:rsidRPr="00CF7016">
        <w:rPr>
          <w:rFonts w:ascii="Arial" w:hAnsi="Arial" w:cs="Arial"/>
          <w:i/>
        </w:rPr>
        <w:t xml:space="preserve">hronicon </w:t>
      </w:r>
      <w:proofErr w:type="spellStart"/>
      <w:r w:rsidRPr="00CF7016">
        <w:rPr>
          <w:rFonts w:ascii="Arial" w:hAnsi="Arial" w:cs="Arial"/>
          <w:i/>
        </w:rPr>
        <w:t>Angliae</w:t>
      </w:r>
      <w:proofErr w:type="spellEnd"/>
      <w:r w:rsidRPr="00CF7016">
        <w:rPr>
          <w:rFonts w:ascii="Arial" w:hAnsi="Arial" w:cs="Arial"/>
        </w:rPr>
        <w:t xml:space="preserve">, in Dobson, </w:t>
      </w:r>
      <w:r w:rsidRPr="00CF7016">
        <w:rPr>
          <w:rFonts w:ascii="Arial" w:hAnsi="Arial" w:cs="Arial"/>
          <w:i/>
          <w:iCs/>
        </w:rPr>
        <w:t xml:space="preserve">The Peasants' Revolt of </w:t>
      </w:r>
      <w:r w:rsidRPr="00CF7016">
        <w:rPr>
          <w:rFonts w:ascii="Arial" w:hAnsi="Arial" w:cs="Arial"/>
          <w:iCs/>
        </w:rPr>
        <w:t>1381,</w:t>
      </w:r>
      <w:r w:rsidRPr="00CF7016">
        <w:rPr>
          <w:rFonts w:ascii="Arial" w:hAnsi="Arial" w:cs="Arial"/>
        </w:rPr>
        <w:t xml:space="preserve"> p176</w:t>
      </w:r>
      <w:r>
        <w:rPr>
          <w:rFonts w:ascii="Arial" w:hAnsi="Arial" w:cs="Arial"/>
        </w:rPr>
        <w:t>.</w:t>
      </w:r>
    </w:p>
  </w:footnote>
  <w:footnote w:id="30">
    <w:p w14:paraId="0C8BAED9" w14:textId="77777777" w:rsidR="00C625E3" w:rsidRPr="00CF7016"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Introduction</w:t>
      </w:r>
      <w:r>
        <w:rPr>
          <w:rFonts w:ascii="Arial" w:hAnsi="Arial" w:cs="Arial"/>
        </w:rPr>
        <w:t xml:space="preserve"> to </w:t>
      </w:r>
      <w:r w:rsidRPr="00EF3692">
        <w:rPr>
          <w:rFonts w:ascii="Arial" w:hAnsi="Arial" w:cs="Arial"/>
          <w:i/>
          <w:iCs/>
        </w:rPr>
        <w:t>The Riverside Chaucer</w:t>
      </w:r>
      <w:r w:rsidRPr="00EF3692">
        <w:rPr>
          <w:rFonts w:ascii="Arial" w:hAnsi="Arial" w:cs="Arial"/>
          <w:iCs/>
        </w:rPr>
        <w:t xml:space="preserve">, ed. </w:t>
      </w:r>
      <w:r w:rsidRPr="00EF3692">
        <w:rPr>
          <w:rFonts w:ascii="Arial" w:hAnsi="Arial" w:cs="Arial"/>
        </w:rPr>
        <w:t>Larry Dean Benson, Fred Norris Robinson and Christopher Cannon (Oxford: Oxford University Press, 2008</w:t>
      </w:r>
      <w:r>
        <w:rPr>
          <w:rFonts w:ascii="Arial" w:hAnsi="Arial" w:cs="Arial"/>
        </w:rPr>
        <w:t>)</w:t>
      </w:r>
      <w:r w:rsidRPr="00CF7016">
        <w:rPr>
          <w:rFonts w:ascii="Arial" w:hAnsi="Arial" w:cs="Arial"/>
        </w:rPr>
        <w:t xml:space="preserve"> </w:t>
      </w:r>
      <w:proofErr w:type="spellStart"/>
      <w:proofErr w:type="gramStart"/>
      <w:r w:rsidRPr="00CF7016">
        <w:rPr>
          <w:rFonts w:ascii="Arial" w:hAnsi="Arial" w:cs="Arial"/>
        </w:rPr>
        <w:t>p.xxii</w:t>
      </w:r>
      <w:proofErr w:type="spellEnd"/>
      <w:r>
        <w:rPr>
          <w:rFonts w:ascii="Arial" w:hAnsi="Arial" w:cs="Arial"/>
        </w:rPr>
        <w:t>.</w:t>
      </w:r>
      <w:proofErr w:type="gramEnd"/>
    </w:p>
  </w:footnote>
  <w:footnote w:id="31">
    <w:p w14:paraId="65BF7187" w14:textId="77777777" w:rsidR="00C625E3" w:rsidRPr="00EF3692"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w:t>
      </w:r>
      <w:r>
        <w:rPr>
          <w:rFonts w:ascii="Arial" w:hAnsi="Arial" w:cs="Arial"/>
        </w:rPr>
        <w:t xml:space="preserve">Power, </w:t>
      </w:r>
      <w:r>
        <w:rPr>
          <w:rFonts w:ascii="Arial" w:hAnsi="Arial" w:cs="Arial"/>
          <w:i/>
        </w:rPr>
        <w:t>Medieval Women</w:t>
      </w:r>
      <w:r>
        <w:rPr>
          <w:rFonts w:ascii="Arial" w:hAnsi="Arial" w:cs="Arial"/>
        </w:rPr>
        <w:t>, p10.</w:t>
      </w:r>
    </w:p>
  </w:footnote>
  <w:footnote w:id="32">
    <w:p w14:paraId="7C7338CF" w14:textId="77777777" w:rsidR="00C625E3" w:rsidRPr="00CF7016"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w:t>
      </w:r>
      <w:r>
        <w:rPr>
          <w:rFonts w:ascii="Arial" w:hAnsi="Arial" w:cs="Arial"/>
        </w:rPr>
        <w:t>Geoffrey Chaucer, “</w:t>
      </w:r>
      <w:r w:rsidRPr="00CF7016">
        <w:rPr>
          <w:rFonts w:ascii="Arial" w:hAnsi="Arial" w:cs="Arial"/>
        </w:rPr>
        <w:t>General Prologue</w:t>
      </w:r>
      <w:r>
        <w:rPr>
          <w:rFonts w:ascii="Arial" w:hAnsi="Arial" w:cs="Arial"/>
        </w:rPr>
        <w:t xml:space="preserve">” of </w:t>
      </w:r>
      <w:r>
        <w:rPr>
          <w:rFonts w:ascii="Arial" w:hAnsi="Arial" w:cs="Arial"/>
          <w:i/>
        </w:rPr>
        <w:t xml:space="preserve">The Canterbury Tales </w:t>
      </w:r>
      <w:r>
        <w:rPr>
          <w:rFonts w:ascii="Arial" w:hAnsi="Arial" w:cs="Arial"/>
        </w:rPr>
        <w:t xml:space="preserve">in </w:t>
      </w:r>
      <w:r>
        <w:rPr>
          <w:rFonts w:ascii="Arial" w:hAnsi="Arial" w:cs="Arial"/>
          <w:i/>
        </w:rPr>
        <w:t>The Riverside Chaucer</w:t>
      </w:r>
      <w:r>
        <w:rPr>
          <w:rFonts w:ascii="Arial" w:hAnsi="Arial" w:cs="Arial"/>
        </w:rPr>
        <w:t>,</w:t>
      </w:r>
      <w:r w:rsidRPr="00CF7016">
        <w:rPr>
          <w:rFonts w:ascii="Arial" w:hAnsi="Arial" w:cs="Arial"/>
        </w:rPr>
        <w:t xml:space="preserve"> p30 l449-452</w:t>
      </w:r>
      <w:r>
        <w:rPr>
          <w:rFonts w:ascii="Arial" w:hAnsi="Arial" w:cs="Arial"/>
        </w:rPr>
        <w:t>.</w:t>
      </w:r>
    </w:p>
  </w:footnote>
  <w:footnote w:id="33">
    <w:p w14:paraId="6B574533" w14:textId="77777777" w:rsidR="00C625E3" w:rsidRPr="00CF7016" w:rsidRDefault="00C625E3" w:rsidP="00C625E3">
      <w:pPr>
        <w:pStyle w:val="FootnoteText"/>
        <w:rPr>
          <w:rFonts w:ascii="Arial" w:hAnsi="Arial" w:cs="Arial"/>
        </w:rPr>
      </w:pPr>
      <w:r w:rsidRPr="00CF7016">
        <w:rPr>
          <w:rStyle w:val="FootnoteReference"/>
          <w:rFonts w:ascii="Arial" w:hAnsi="Arial" w:cs="Arial"/>
        </w:rPr>
        <w:footnoteRef/>
      </w:r>
      <w:r w:rsidRPr="00CF7016">
        <w:rPr>
          <w:rFonts w:ascii="Arial" w:hAnsi="Arial" w:cs="Arial"/>
        </w:rPr>
        <w:t xml:space="preserve"> </w:t>
      </w:r>
      <w:r>
        <w:rPr>
          <w:rFonts w:ascii="Arial" w:hAnsi="Arial" w:cs="Arial"/>
        </w:rPr>
        <w:t xml:space="preserve">Chaucer, </w:t>
      </w:r>
      <w:r w:rsidRPr="00CF7016">
        <w:rPr>
          <w:rFonts w:ascii="Arial" w:hAnsi="Arial" w:cs="Arial"/>
        </w:rPr>
        <w:t xml:space="preserve">“The Canterbury Tales” in </w:t>
      </w:r>
      <w:r w:rsidRPr="00EF3692">
        <w:rPr>
          <w:rFonts w:ascii="Arial" w:hAnsi="Arial" w:cs="Arial"/>
          <w:i/>
        </w:rPr>
        <w:t>The Riverside Chaucer</w:t>
      </w:r>
      <w:r>
        <w:rPr>
          <w:rFonts w:ascii="Arial" w:hAnsi="Arial" w:cs="Arial"/>
        </w:rPr>
        <w:t>,</w:t>
      </w:r>
      <w:r w:rsidRPr="00CF7016">
        <w:rPr>
          <w:rFonts w:ascii="Arial" w:hAnsi="Arial" w:cs="Arial"/>
        </w:rPr>
        <w:t xml:space="preserve"> </w:t>
      </w:r>
      <w:r>
        <w:rPr>
          <w:rFonts w:ascii="Arial" w:hAnsi="Arial" w:cs="Arial"/>
        </w:rPr>
        <w:t>p</w:t>
      </w:r>
      <w:r w:rsidRPr="00CF7016">
        <w:rPr>
          <w:rFonts w:ascii="Arial" w:hAnsi="Arial" w:cs="Arial"/>
        </w:rPr>
        <w:t>11</w:t>
      </w:r>
      <w:r>
        <w:rPr>
          <w:rFonts w:ascii="Arial" w:hAnsi="Arial" w:cs="Arial"/>
        </w:rPr>
        <w:t>.</w:t>
      </w:r>
    </w:p>
  </w:footnote>
  <w:footnote w:id="34">
    <w:p w14:paraId="0E0693DE" w14:textId="77777777" w:rsidR="00C625E3" w:rsidRDefault="00C625E3" w:rsidP="00C625E3">
      <w:pPr>
        <w:pStyle w:val="FootnoteText"/>
      </w:pPr>
      <w:r w:rsidRPr="00CF7016">
        <w:rPr>
          <w:rStyle w:val="FootnoteReference"/>
          <w:rFonts w:ascii="Arial" w:hAnsi="Arial" w:cs="Arial"/>
        </w:rPr>
        <w:footnoteRef/>
      </w:r>
      <w:r w:rsidRPr="00CF7016">
        <w:rPr>
          <w:rFonts w:ascii="Arial" w:hAnsi="Arial" w:cs="Arial"/>
        </w:rPr>
        <w:t xml:space="preserve"> Federico,</w:t>
      </w:r>
      <w:r w:rsidRPr="00CF7016">
        <w:rPr>
          <w:rFonts w:ascii="Arial" w:hAnsi="Arial" w:cs="Arial"/>
          <w:sz w:val="22"/>
          <w:szCs w:val="22"/>
        </w:rPr>
        <w:t xml:space="preserve"> </w:t>
      </w:r>
      <w:r w:rsidRPr="00CF7016">
        <w:rPr>
          <w:rFonts w:ascii="Arial" w:hAnsi="Arial" w:cs="Arial"/>
        </w:rPr>
        <w:t>“The Imaginary Society: Women in 1381”, p174.</w:t>
      </w:r>
    </w:p>
  </w:footnote>
  <w:footnote w:id="35">
    <w:p w14:paraId="2D635323"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“Inquisition into Offences Committed in Essex, 1381” </w:t>
      </w:r>
      <w:r w:rsidRPr="00343830">
        <w:rPr>
          <w:rFonts w:ascii="Arial" w:hAnsi="Arial" w:cs="Arial"/>
          <w:i/>
        </w:rPr>
        <w:t xml:space="preserve">National Archives </w:t>
      </w:r>
      <w:r w:rsidRPr="00343830">
        <w:rPr>
          <w:rFonts w:ascii="Arial" w:hAnsi="Arial" w:cs="Arial"/>
        </w:rPr>
        <w:t>&lt;http://www.nationalarchives.gov.uk/pathways/citizenship/citizen_subject/docs/indictment_rebels.htm&gt; [Last Accessed 14 Feb 2019].</w:t>
      </w:r>
    </w:p>
  </w:footnote>
  <w:footnote w:id="36">
    <w:p w14:paraId="567934FD"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“Inquisition into Offences Committed in Essex, 1381” </w:t>
      </w:r>
      <w:r w:rsidRPr="00343830">
        <w:rPr>
          <w:rFonts w:ascii="Arial" w:hAnsi="Arial" w:cs="Arial"/>
          <w:i/>
        </w:rPr>
        <w:t>National Archives</w:t>
      </w:r>
      <w:r w:rsidRPr="00343830">
        <w:rPr>
          <w:rFonts w:ascii="Arial" w:hAnsi="Arial" w:cs="Arial"/>
        </w:rPr>
        <w:t>.</w:t>
      </w:r>
    </w:p>
  </w:footnote>
  <w:footnote w:id="37">
    <w:p w14:paraId="02F2AE7F"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“Inquisition into Offences Committed in Essex, 1381” </w:t>
      </w:r>
      <w:r w:rsidRPr="00343830">
        <w:rPr>
          <w:rFonts w:ascii="Arial" w:hAnsi="Arial" w:cs="Arial"/>
          <w:i/>
        </w:rPr>
        <w:t>National Archives</w:t>
      </w:r>
      <w:r w:rsidRPr="00343830">
        <w:rPr>
          <w:rFonts w:ascii="Arial" w:hAnsi="Arial" w:cs="Arial"/>
        </w:rPr>
        <w:t>.</w:t>
      </w:r>
      <w:r w:rsidRPr="00343830">
        <w:rPr>
          <w:rFonts w:ascii="Arial" w:hAnsi="Arial" w:cs="Arial"/>
          <w:i/>
        </w:rPr>
        <w:t xml:space="preserve"> </w:t>
      </w:r>
      <w:r w:rsidRPr="00343830">
        <w:rPr>
          <w:rFonts w:ascii="Arial" w:hAnsi="Arial" w:cs="Arial"/>
        </w:rPr>
        <w:t xml:space="preserve"> </w:t>
      </w:r>
    </w:p>
  </w:footnote>
  <w:footnote w:id="38">
    <w:p w14:paraId="331CF6C9"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w:t>
      </w:r>
      <w:bookmarkStart w:id="1" w:name="_Hlk8299928"/>
      <w:r w:rsidRPr="00343830">
        <w:rPr>
          <w:rFonts w:ascii="Arial" w:hAnsi="Arial" w:cs="Arial"/>
          <w:i/>
        </w:rPr>
        <w:t xml:space="preserve">The Westminster Chronicle 1381-1394 </w:t>
      </w:r>
      <w:r w:rsidRPr="00343830">
        <w:rPr>
          <w:rFonts w:ascii="Arial" w:hAnsi="Arial" w:cs="Arial"/>
        </w:rPr>
        <w:t xml:space="preserve">ed. and trans. L C Hector and Barbara F Harvey (Oxford: Clarendon Press, 1982) </w:t>
      </w:r>
      <w:bookmarkEnd w:id="1"/>
    </w:p>
  </w:footnote>
  <w:footnote w:id="39">
    <w:p w14:paraId="79343CC8"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Jones and Ereira, </w:t>
      </w:r>
      <w:r w:rsidRPr="00343830">
        <w:rPr>
          <w:rFonts w:ascii="Arial" w:hAnsi="Arial" w:cs="Arial"/>
          <w:i/>
          <w:iCs/>
        </w:rPr>
        <w:t>Medieval Lives</w:t>
      </w:r>
      <w:r w:rsidRPr="00343830">
        <w:rPr>
          <w:rFonts w:ascii="Arial" w:hAnsi="Arial" w:cs="Arial"/>
        </w:rPr>
        <w:t>, p183.</w:t>
      </w:r>
    </w:p>
  </w:footnote>
  <w:footnote w:id="40">
    <w:p w14:paraId="640CCB9A" w14:textId="77777777" w:rsidR="00C625E3" w:rsidRPr="0041593A"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w:t>
      </w:r>
      <w:r w:rsidRPr="00343830">
        <w:rPr>
          <w:rFonts w:ascii="Arial" w:hAnsi="Arial" w:cs="Arial"/>
          <w:i/>
        </w:rPr>
        <w:t xml:space="preserve">Chronicon Henrici Knighton </w:t>
      </w:r>
      <w:r w:rsidRPr="00343830">
        <w:rPr>
          <w:rFonts w:ascii="Arial" w:hAnsi="Arial" w:cs="Arial"/>
        </w:rPr>
        <w:t xml:space="preserve">in </w:t>
      </w:r>
      <w:bookmarkStart w:id="2" w:name="_Hlk8305281"/>
      <w:r w:rsidRPr="00343830">
        <w:rPr>
          <w:rFonts w:ascii="Arial" w:hAnsi="Arial" w:cs="Arial"/>
        </w:rPr>
        <w:t>Dobson, </w:t>
      </w:r>
      <w:r w:rsidRPr="00343830">
        <w:rPr>
          <w:rFonts w:ascii="Arial" w:hAnsi="Arial" w:cs="Arial"/>
          <w:i/>
          <w:iCs/>
        </w:rPr>
        <w:t>The Peasants' Revolt Of 1381</w:t>
      </w:r>
      <w:r w:rsidRPr="00343830">
        <w:rPr>
          <w:rFonts w:ascii="Arial" w:hAnsi="Arial" w:cs="Arial"/>
          <w:iCs/>
        </w:rPr>
        <w:t xml:space="preserve">, </w:t>
      </w:r>
      <w:bookmarkEnd w:id="2"/>
      <w:r w:rsidRPr="00343830">
        <w:rPr>
          <w:rFonts w:ascii="Arial" w:hAnsi="Arial" w:cs="Arial"/>
        </w:rPr>
        <w:t>p136.</w:t>
      </w:r>
    </w:p>
  </w:footnote>
  <w:footnote w:id="41">
    <w:p w14:paraId="59EBB207"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Dobson, </w:t>
      </w:r>
      <w:r w:rsidRPr="00343830">
        <w:rPr>
          <w:rFonts w:ascii="Arial" w:hAnsi="Arial" w:cs="Arial"/>
          <w:i/>
          <w:iCs/>
        </w:rPr>
        <w:t>The Peasants' Revolt Of 138,</w:t>
      </w:r>
      <w:r w:rsidRPr="00343830">
        <w:rPr>
          <w:rFonts w:ascii="Arial" w:hAnsi="Arial" w:cs="Arial"/>
        </w:rPr>
        <w:t xml:space="preserve"> p135.</w:t>
      </w:r>
    </w:p>
  </w:footnote>
  <w:footnote w:id="42">
    <w:p w14:paraId="4219A3A4"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Federico,</w:t>
      </w:r>
      <w:r w:rsidRPr="00343830">
        <w:rPr>
          <w:rFonts w:ascii="Arial" w:hAnsi="Arial" w:cs="Arial"/>
          <w:sz w:val="22"/>
          <w:szCs w:val="22"/>
        </w:rPr>
        <w:t xml:space="preserve"> </w:t>
      </w:r>
      <w:r w:rsidRPr="00343830">
        <w:rPr>
          <w:rFonts w:ascii="Arial" w:hAnsi="Arial" w:cs="Arial"/>
        </w:rPr>
        <w:t>“The Imaginary Society: Women in 1381”, p160.</w:t>
      </w:r>
    </w:p>
  </w:footnote>
  <w:footnote w:id="43">
    <w:p w14:paraId="6CA79009"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Federico,</w:t>
      </w:r>
      <w:r w:rsidRPr="00343830">
        <w:rPr>
          <w:rFonts w:ascii="Arial" w:hAnsi="Arial" w:cs="Arial"/>
          <w:sz w:val="22"/>
          <w:szCs w:val="22"/>
        </w:rPr>
        <w:t xml:space="preserve"> </w:t>
      </w:r>
      <w:r w:rsidRPr="00343830">
        <w:rPr>
          <w:rFonts w:ascii="Arial" w:hAnsi="Arial" w:cs="Arial"/>
        </w:rPr>
        <w:t>“The Imaginary Society: Women in 1381”.</w:t>
      </w:r>
    </w:p>
  </w:footnote>
  <w:footnote w:id="44">
    <w:p w14:paraId="734D91B7"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Power, </w:t>
      </w:r>
      <w:r w:rsidRPr="00343830">
        <w:rPr>
          <w:rFonts w:ascii="Arial" w:hAnsi="Arial" w:cs="Arial"/>
          <w:i/>
        </w:rPr>
        <w:t>Medieval Women</w:t>
      </w:r>
      <w:r w:rsidRPr="00343830">
        <w:rPr>
          <w:rFonts w:ascii="Arial" w:hAnsi="Arial" w:cs="Arial"/>
        </w:rPr>
        <w:t>, p11.</w:t>
      </w:r>
    </w:p>
  </w:footnote>
  <w:footnote w:id="45">
    <w:p w14:paraId="01DC21C7"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Federico,</w:t>
      </w:r>
      <w:r w:rsidRPr="00343830">
        <w:rPr>
          <w:rFonts w:ascii="Arial" w:hAnsi="Arial" w:cs="Arial"/>
          <w:sz w:val="22"/>
          <w:szCs w:val="22"/>
        </w:rPr>
        <w:t xml:space="preserve"> </w:t>
      </w:r>
      <w:r w:rsidRPr="00343830">
        <w:rPr>
          <w:rFonts w:ascii="Arial" w:hAnsi="Arial" w:cs="Arial"/>
        </w:rPr>
        <w:t>“The Imaginary Society: Women in 1381”.</w:t>
      </w:r>
    </w:p>
  </w:footnote>
  <w:footnote w:id="46">
    <w:p w14:paraId="7508925A" w14:textId="77777777" w:rsidR="00C625E3" w:rsidRPr="00343830"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Federico,</w:t>
      </w:r>
      <w:r w:rsidRPr="00343830">
        <w:rPr>
          <w:rFonts w:ascii="Arial" w:hAnsi="Arial" w:cs="Arial"/>
          <w:sz w:val="22"/>
          <w:szCs w:val="22"/>
        </w:rPr>
        <w:t xml:space="preserve"> </w:t>
      </w:r>
      <w:r w:rsidRPr="00343830">
        <w:rPr>
          <w:rFonts w:ascii="Arial" w:hAnsi="Arial" w:cs="Arial"/>
        </w:rPr>
        <w:t>“The Imaginary Society: Women in 1381”, p173.</w:t>
      </w:r>
    </w:p>
  </w:footnote>
  <w:footnote w:id="47">
    <w:p w14:paraId="64E37657" w14:textId="77777777" w:rsidR="00C625E3" w:rsidRPr="00F2537D" w:rsidRDefault="00C625E3" w:rsidP="00C625E3">
      <w:pPr>
        <w:pStyle w:val="FootnoteText"/>
        <w:rPr>
          <w:rFonts w:ascii="Arial" w:hAnsi="Arial" w:cs="Arial"/>
        </w:rPr>
      </w:pPr>
      <w:r w:rsidRPr="00343830">
        <w:rPr>
          <w:rStyle w:val="FootnoteReference"/>
          <w:rFonts w:ascii="Arial" w:hAnsi="Arial" w:cs="Arial"/>
        </w:rPr>
        <w:footnoteRef/>
      </w:r>
      <w:r w:rsidRPr="00343830">
        <w:rPr>
          <w:rFonts w:ascii="Arial" w:hAnsi="Arial" w:cs="Arial"/>
        </w:rPr>
        <w:t xml:space="preserve"> Caviness, “Feminism, Gender Studies and Medieval Studies”, p35.</w:t>
      </w:r>
    </w:p>
  </w:footnote>
  <w:footnote w:id="48">
    <w:p w14:paraId="053FCAE4" w14:textId="77777777" w:rsidR="00C625E3" w:rsidRDefault="00C625E3" w:rsidP="00C625E3">
      <w:pPr>
        <w:pStyle w:val="FootnoteText"/>
      </w:pPr>
      <w:r w:rsidRPr="00F2537D">
        <w:rPr>
          <w:rStyle w:val="FootnoteReference"/>
          <w:rFonts w:ascii="Arial" w:hAnsi="Arial" w:cs="Arial"/>
        </w:rPr>
        <w:footnoteRef/>
      </w:r>
      <w:r w:rsidRPr="00F2537D">
        <w:rPr>
          <w:rFonts w:ascii="Arial" w:hAnsi="Arial" w:cs="Arial"/>
        </w:rPr>
        <w:t xml:space="preserve"> Federico,</w:t>
      </w:r>
      <w:r w:rsidRPr="00F2537D">
        <w:rPr>
          <w:rFonts w:ascii="Arial" w:hAnsi="Arial" w:cs="Arial"/>
          <w:sz w:val="22"/>
          <w:szCs w:val="22"/>
        </w:rPr>
        <w:t xml:space="preserve"> </w:t>
      </w:r>
      <w:r w:rsidRPr="00F2537D">
        <w:rPr>
          <w:rFonts w:ascii="Arial" w:hAnsi="Arial" w:cs="Arial"/>
        </w:rPr>
        <w:t>“The Imaginary Society: Women in 1381”</w:t>
      </w:r>
      <w:r>
        <w:rPr>
          <w:rFonts w:ascii="Arial" w:hAnsi="Arial" w:cs="Arial"/>
        </w:rPr>
        <w:t xml:space="preserve">, </w:t>
      </w:r>
      <w:r w:rsidRPr="00F2537D">
        <w:rPr>
          <w:rFonts w:ascii="Arial" w:hAnsi="Arial" w:cs="Arial"/>
        </w:rPr>
        <w:t>p162</w:t>
      </w:r>
      <w:r>
        <w:rPr>
          <w:rFonts w:ascii="Arial" w:hAnsi="Arial" w:cs="Arial"/>
        </w:rPr>
        <w:t>.</w:t>
      </w:r>
    </w:p>
  </w:footnote>
  <w:footnote w:id="49">
    <w:p w14:paraId="7B5733CA"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Rigby</w:t>
      </w:r>
      <w:r>
        <w:rPr>
          <w:rFonts w:ascii="Arial" w:hAnsi="Arial" w:cs="Arial"/>
        </w:rPr>
        <w:t xml:space="preserve">, </w:t>
      </w:r>
      <w:r w:rsidRPr="0005712C">
        <w:rPr>
          <w:rFonts w:ascii="Arial" w:hAnsi="Arial" w:cs="Arial"/>
          <w:i/>
        </w:rPr>
        <w:t>English Society in the Later Middle Ages</w:t>
      </w:r>
      <w:r>
        <w:rPr>
          <w:rFonts w:ascii="Arial" w:hAnsi="Arial" w:cs="Arial"/>
        </w:rPr>
        <w:t>,</w:t>
      </w:r>
      <w:r w:rsidRPr="0041593A">
        <w:rPr>
          <w:rFonts w:ascii="Arial" w:hAnsi="Arial" w:cs="Arial"/>
        </w:rPr>
        <w:t xml:space="preserve"> pp280-1</w:t>
      </w:r>
      <w:r>
        <w:rPr>
          <w:rFonts w:ascii="Arial" w:hAnsi="Arial" w:cs="Arial"/>
        </w:rPr>
        <w:t>.</w:t>
      </w:r>
    </w:p>
  </w:footnote>
  <w:footnote w:id="50">
    <w:p w14:paraId="5B6AB79B" w14:textId="77777777" w:rsidR="00C625E3" w:rsidRPr="00F2537D" w:rsidRDefault="00C625E3" w:rsidP="00C625E3">
      <w:pPr>
        <w:pStyle w:val="FootnoteText"/>
        <w:rPr>
          <w:rFonts w:ascii="Arial" w:hAnsi="Arial" w:cs="Arial"/>
        </w:rPr>
      </w:pPr>
      <w:r w:rsidRPr="0041593A">
        <w:rPr>
          <w:rStyle w:val="FootnoteReference"/>
          <w:rFonts w:ascii="Arial" w:hAnsi="Arial" w:cs="Arial"/>
        </w:rPr>
        <w:footnoteRef/>
      </w:r>
      <w:r w:rsidRPr="0041593A">
        <w:rPr>
          <w:rFonts w:ascii="Arial" w:hAnsi="Arial" w:cs="Arial"/>
        </w:rPr>
        <w:t xml:space="preserve"> </w:t>
      </w:r>
      <w:r w:rsidRPr="0005712C">
        <w:rPr>
          <w:rFonts w:ascii="Arial" w:hAnsi="Arial" w:cs="Arial"/>
          <w:i/>
        </w:rPr>
        <w:t>The Westminster Chronicle 1381-1394</w:t>
      </w:r>
      <w:r>
        <w:rPr>
          <w:rFonts w:ascii="Arial" w:hAnsi="Arial" w:cs="Arial"/>
        </w:rPr>
        <w:t>.</w:t>
      </w:r>
    </w:p>
  </w:footnote>
  <w:footnote w:id="51">
    <w:p w14:paraId="28128C74" w14:textId="77777777" w:rsidR="00C625E3" w:rsidRPr="0041593A" w:rsidRDefault="00C625E3" w:rsidP="00C625E3">
      <w:pPr>
        <w:pStyle w:val="FootnoteText"/>
        <w:rPr>
          <w:rFonts w:ascii="Arial" w:hAnsi="Arial" w:cs="Arial"/>
        </w:rPr>
      </w:pPr>
      <w:r w:rsidRPr="0041593A">
        <w:rPr>
          <w:rStyle w:val="FootnoteReference"/>
          <w:rFonts w:ascii="Arial" w:hAnsi="Arial" w:cs="Arial"/>
        </w:rPr>
        <w:footnoteRef/>
      </w:r>
      <w:r>
        <w:rPr>
          <w:rFonts w:ascii="Arial" w:hAnsi="Arial" w:cs="Arial"/>
        </w:rPr>
        <w:t xml:space="preserve"> </w:t>
      </w:r>
      <w:r w:rsidRPr="0005712C">
        <w:rPr>
          <w:rFonts w:ascii="Arial" w:hAnsi="Arial" w:cs="Arial"/>
          <w:i/>
        </w:rPr>
        <w:t>The Westminster Chronicle 1381-1394</w:t>
      </w:r>
      <w:r w:rsidRPr="0005712C">
        <w:rPr>
          <w:rFonts w:ascii="Arial" w:hAnsi="Arial" w:cs="Arial"/>
        </w:rPr>
        <w:t>,</w:t>
      </w:r>
      <w:r>
        <w:rPr>
          <w:rFonts w:ascii="Arial" w:hAnsi="Arial" w:cs="Arial"/>
        </w:rPr>
        <w:t xml:space="preserve"> </w:t>
      </w:r>
      <w:r w:rsidRPr="0005712C">
        <w:rPr>
          <w:rFonts w:ascii="Arial" w:hAnsi="Arial" w:cs="Arial"/>
        </w:rPr>
        <w:t>p18</w:t>
      </w:r>
      <w:r>
        <w:rPr>
          <w:rFonts w:ascii="Arial" w:hAnsi="Arial" w:cs="Arial"/>
        </w:rPr>
        <w:t>.</w:t>
      </w:r>
    </w:p>
  </w:footnote>
  <w:footnote w:id="52">
    <w:p w14:paraId="6AA2FB21" w14:textId="77777777" w:rsidR="00C625E3" w:rsidRDefault="00C625E3" w:rsidP="00C625E3">
      <w:pPr>
        <w:pStyle w:val="FootnoteText"/>
      </w:pPr>
      <w:r w:rsidRPr="0041593A">
        <w:rPr>
          <w:rStyle w:val="FootnoteReference"/>
          <w:rFonts w:ascii="Arial" w:hAnsi="Arial" w:cs="Arial"/>
        </w:rPr>
        <w:footnoteRef/>
      </w:r>
      <w:r w:rsidRPr="0041593A">
        <w:rPr>
          <w:rFonts w:ascii="Arial" w:hAnsi="Arial" w:cs="Arial"/>
        </w:rPr>
        <w:t xml:space="preserve"> Power, </w:t>
      </w:r>
      <w:r w:rsidRPr="0041593A">
        <w:rPr>
          <w:rFonts w:ascii="Arial" w:hAnsi="Arial" w:cs="Arial"/>
          <w:i/>
        </w:rPr>
        <w:t>Medieval Women</w:t>
      </w:r>
      <w:r w:rsidRPr="0041593A">
        <w:rPr>
          <w:rFonts w:ascii="Arial" w:hAnsi="Arial" w:cs="Arial"/>
        </w:rPr>
        <w:t>, p9.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E4CC0" w14:textId="77777777" w:rsidR="00C625E3" w:rsidRPr="009564D7" w:rsidRDefault="00C625E3" w:rsidP="00854702">
    <w:pPr>
      <w:pStyle w:val="Header"/>
      <w:jc w:val="right"/>
      <w:rPr>
        <w:rFonts w:ascii="Arial" w:hAnsi="Arial" w:cs="Arial"/>
      </w:rPr>
    </w:pPr>
    <w:r w:rsidRPr="009564D7">
      <w:rPr>
        <w:rFonts w:ascii="Arial" w:hAnsi="Arial" w:cs="Arial"/>
      </w:rPr>
      <w:t xml:space="preserve">HPHI5017 - Independent Project </w:t>
    </w:r>
  </w:p>
  <w:p w14:paraId="6AE32F4C" w14:textId="77777777" w:rsidR="00C625E3" w:rsidRPr="009564D7" w:rsidRDefault="00C625E3" w:rsidP="00854702">
    <w:pPr>
      <w:pStyle w:val="Header"/>
      <w:spacing w:after="240"/>
      <w:jc w:val="right"/>
      <w:rPr>
        <w:rFonts w:ascii="Arial" w:hAnsi="Arial" w:cs="Arial"/>
      </w:rPr>
    </w:pPr>
    <w:r w:rsidRPr="009564D7">
      <w:rPr>
        <w:rFonts w:ascii="Arial" w:hAnsi="Arial" w:cs="Arial"/>
      </w:rPr>
      <w:t xml:space="preserve">1701128 </w:t>
    </w:r>
    <w:r w:rsidR="00854702" w:rsidRPr="009564D7">
      <w:rPr>
        <w:rFonts w:ascii="Arial" w:hAnsi="Arial" w:cs="Arial"/>
      </w:rPr>
      <w:t xml:space="preserve">- </w:t>
    </w:r>
    <w:r w:rsidRPr="009564D7">
      <w:rPr>
        <w:rFonts w:ascii="Arial" w:hAnsi="Arial" w:cs="Arial"/>
      </w:rPr>
      <w:t xml:space="preserve">Ruth Hardy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E3"/>
    <w:rsid w:val="00074594"/>
    <w:rsid w:val="00081CFF"/>
    <w:rsid w:val="001D1C9D"/>
    <w:rsid w:val="00257A03"/>
    <w:rsid w:val="004B0DA1"/>
    <w:rsid w:val="0050385D"/>
    <w:rsid w:val="00854702"/>
    <w:rsid w:val="009066C4"/>
    <w:rsid w:val="009564D7"/>
    <w:rsid w:val="00AB5410"/>
    <w:rsid w:val="00AC42C4"/>
    <w:rsid w:val="00AD37F2"/>
    <w:rsid w:val="00AD65C7"/>
    <w:rsid w:val="00B74ACF"/>
    <w:rsid w:val="00C625E3"/>
    <w:rsid w:val="00C90821"/>
    <w:rsid w:val="00C9734C"/>
    <w:rsid w:val="00DC621C"/>
    <w:rsid w:val="00EC6241"/>
    <w:rsid w:val="00FA2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352D6F"/>
  <w15:chartTrackingRefBased/>
  <w15:docId w15:val="{8A60C2D0-AD98-450B-AA45-0F4E702D5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5E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625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25E3"/>
    <w:rPr>
      <w:sz w:val="20"/>
      <w:szCs w:val="20"/>
    </w:rPr>
  </w:style>
  <w:style w:type="character" w:styleId="FootnoteReference">
    <w:name w:val="footnote reference"/>
    <w:basedOn w:val="DefaultParagraphFont"/>
    <w:uiPriority w:val="99"/>
    <w:semiHidden/>
    <w:unhideWhenUsed/>
    <w:rsid w:val="00C625E3"/>
    <w:rPr>
      <w:vertAlign w:val="superscript"/>
    </w:rPr>
  </w:style>
  <w:style w:type="paragraph" w:styleId="Header">
    <w:name w:val="header"/>
    <w:basedOn w:val="Normal"/>
    <w:link w:val="HeaderChar"/>
    <w:uiPriority w:val="99"/>
    <w:unhideWhenUsed/>
    <w:rsid w:val="00C62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5E3"/>
  </w:style>
  <w:style w:type="paragraph" w:styleId="Footer">
    <w:name w:val="footer"/>
    <w:basedOn w:val="Normal"/>
    <w:link w:val="FooterChar"/>
    <w:uiPriority w:val="99"/>
    <w:unhideWhenUsed/>
    <w:rsid w:val="00C62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14</Pages>
  <Words>4672</Words>
  <Characters>26635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cp:keywords/>
  <dc:description/>
  <cp:lastModifiedBy>Ruth Hardy (1701128)</cp:lastModifiedBy>
  <cp:revision>14</cp:revision>
  <dcterms:created xsi:type="dcterms:W3CDTF">2019-05-10T07:08:00Z</dcterms:created>
  <dcterms:modified xsi:type="dcterms:W3CDTF">2019-05-10T09:08:00Z</dcterms:modified>
</cp:coreProperties>
</file>