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624079706"/>
        <w:docPartObj>
          <w:docPartGallery w:val="Cover Pages"/>
          <w:docPartUnique/>
        </w:docPartObj>
      </w:sdtPr>
      <w:sdtContent>
        <w:p w14:paraId="170036C4" w14:textId="2B569DE0" w:rsidR="002846E5" w:rsidRDefault="002846E5">
          <w:r>
            <w:rPr>
              <w:noProof/>
            </w:rPr>
            <mc:AlternateContent>
              <mc:Choice Requires="wps">
                <w:drawing>
                  <wp:anchor distT="0" distB="0" distL="114300" distR="114300" simplePos="0" relativeHeight="251663360" behindDoc="1" locked="0" layoutInCell="1" allowOverlap="1" wp14:anchorId="4C4A1E7C" wp14:editId="49BB0717">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A53BECC" w14:textId="77777777" w:rsidR="002846E5" w:rsidRDefault="002846E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C4A1E7C"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d9e2f3 [660]" stroked="f" strokeweight="1pt">
                    <v:fill color2="#8eaadb [1940]" rotate="t" focus="100%" type="gradient">
                      <o:fill v:ext="view" type="gradientUnscaled"/>
                    </v:fill>
                    <v:textbox inset="21.6pt,,21.6pt">
                      <w:txbxContent>
                        <w:p w14:paraId="3A53BECC" w14:textId="77777777" w:rsidR="002846E5" w:rsidRDefault="002846E5"/>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2CC1D0A" wp14:editId="0B82DB8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9CB6343" w14:textId="4861AB51" w:rsidR="002846E5"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7623C">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2CC1D0A"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qO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XBIY7IeLOD6vjgiIN+arzlW4UPect8eGAOxwQHCkc/&#10;3ONHamhLCoNESQ3u53v3EY/di1pKWhy7kvofe+YEJfqrwb4uFrPFIg7qq5N7ddql0/nF/PICkWbf&#10;bAA7pMBFY3kS8dYFPYrSQfOMW2IdPaOKGY7+S7obxU3oFwJuGS7W6wTC6bQs3JpHyyN1rHRs1afu&#10;mTk79HPAUbiDcUjZ8k1b99hoaWC9DyBV6vlTZYc3wMlOzTRsobg6fj8n1GlXrn4B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Du&#10;VuqOiQIAAHMFAAAOAAAAAAAAAAAAAAAAAC4CAABkcnMvZTJvRG9jLnhtbFBLAQItABQABgAIAAAA&#10;IQB4x4n82gAAAAUBAAAPAAAAAAAAAAAAAAAAAOMEAABkcnMvZG93bnJldi54bWxQSwUGAAAAAAQA&#10;BADzAAAA6gUAAAAA&#10;" fillcolor="#44546a [3215]" stroked="f" strokeweight="1pt">
                    <v:textbox inset="14.4pt,14.4pt,14.4pt,28.8pt">
                      <w:txbxContent>
                        <w:p w14:paraId="39CB6343" w14:textId="4861AB51" w:rsidR="002846E5"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7623C">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362BB9A8" wp14:editId="467E3B0C">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664EFD5"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73AC0D1A" wp14:editId="2A7FA52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47F3601"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7DF02CDF" wp14:editId="01F6677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AABE24C" w14:textId="201F858E" w:rsidR="002846E5" w:rsidRDefault="002846E5">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Operational Police Practice 2</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F155919" w14:textId="0A038E55" w:rsidR="002846E5" w:rsidRDefault="002846E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BSc Professional Policing Practice</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7DF02CDF"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OWAIw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2FRZ3a2kB1wG4d9IPg&#10;LV82WNGK+fDKHDKPXeA0hxc8pALMDEeJkhrcr7+9R38kBK2UtDhJJfU/d8wJStR3g1Tdj8bjOHpJ&#10;GU+mOSru2rK5tpidfgQc1hHujeVJjP5BnUTpQL/j0C9iVjQxwzF3ScNJfAz9fOPScLFYJCccNsvC&#10;yqwtj6EjbhHvt+6dOXskJSCfz3CaOVZ84Kb3jT+9XewCMpSIizj3qCKLUcFBTXwelypuwrWevC6r&#10;P/8N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DRZOWA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AABE24C" w14:textId="201F858E" w:rsidR="002846E5" w:rsidRDefault="002846E5">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Operational Police Practice 2</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F155919" w14:textId="0A038E55" w:rsidR="002846E5" w:rsidRDefault="002846E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BSc Professional Policing Practice</w:t>
                              </w:r>
                            </w:p>
                          </w:sdtContent>
                        </w:sdt>
                      </w:txbxContent>
                    </v:textbox>
                    <w10:wrap type="square" anchorx="page" anchory="page"/>
                  </v:shape>
                </w:pict>
              </mc:Fallback>
            </mc:AlternateContent>
          </w:r>
        </w:p>
        <w:p w14:paraId="20C495E8" w14:textId="34F3592A" w:rsidR="002846E5" w:rsidRDefault="002846E5">
          <w:r>
            <w:rPr>
              <w:noProof/>
            </w:rPr>
            <mc:AlternateContent>
              <mc:Choice Requires="wps">
                <w:drawing>
                  <wp:anchor distT="0" distB="0" distL="114300" distR="114300" simplePos="0" relativeHeight="251664384" behindDoc="0" locked="0" layoutInCell="1" allowOverlap="1" wp14:anchorId="7E41AD4E" wp14:editId="7F8BD2C0">
                    <wp:simplePos x="0" y="0"/>
                    <wp:positionH relativeFrom="page">
                      <wp:posOffset>3436620</wp:posOffset>
                    </wp:positionH>
                    <wp:positionV relativeFrom="page">
                      <wp:posOffset>6469380</wp:posOffset>
                    </wp:positionV>
                    <wp:extent cx="2797810" cy="1025525"/>
                    <wp:effectExtent l="0" t="0" r="0" b="3175"/>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1025525"/>
                            </a:xfrm>
                            <a:prstGeom prst="rect">
                              <a:avLst/>
                            </a:prstGeom>
                            <a:noFill/>
                            <a:ln w="6350">
                              <a:noFill/>
                            </a:ln>
                            <a:effectLst/>
                          </wps:spPr>
                          <wps:txbx>
                            <w:txbxContent>
                              <w:p w14:paraId="5994BE42" w14:textId="5856B38F" w:rsidR="002846E5" w:rsidRDefault="002846E5">
                                <w:pPr>
                                  <w:pStyle w:val="NoSpacing"/>
                                  <w:rPr>
                                    <w:noProof/>
                                    <w:color w:val="44546A" w:themeColor="text2"/>
                                  </w:rPr>
                                </w:pPr>
                                <w:r>
                                  <w:rPr>
                                    <w:noProof/>
                                    <w:color w:val="44546A" w:themeColor="text2"/>
                                  </w:rPr>
                                  <w:t>Abbi Willsher ST2236412</w:t>
                                </w:r>
                              </w:p>
                              <w:p w14:paraId="26C417D0" w14:textId="77777777" w:rsidR="002846E5" w:rsidRDefault="002846E5">
                                <w:pPr>
                                  <w:pStyle w:val="NoSpacing"/>
                                  <w:rPr>
                                    <w:noProof/>
                                    <w:color w:val="44546A"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7E41AD4E" id="Text Box 465" o:spid="_x0000_s1029" type="#_x0000_t202" style="position:absolute;margin-left:270.6pt;margin-top:509.4pt;width:220.3pt;height:80.7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" filled="f" stroked="f" strokeweight=".5pt">
                    <v:textbox>
                      <w:txbxContent>
                        <w:p w14:paraId="5994BE42" w14:textId="5856B38F" w:rsidR="002846E5" w:rsidRDefault="002846E5">
                          <w:pPr>
                            <w:pStyle w:val="NoSpacing"/>
                            <w:rPr>
                              <w:noProof/>
                              <w:color w:val="44546A" w:themeColor="text2"/>
                            </w:rPr>
                          </w:pPr>
                          <w:r>
                            <w:rPr>
                              <w:noProof/>
                              <w:color w:val="44546A" w:themeColor="text2"/>
                            </w:rPr>
                            <w:t>Abbi Willsher ST2236412</w:t>
                          </w:r>
                        </w:p>
                        <w:p w14:paraId="26C417D0" w14:textId="77777777" w:rsidR="002846E5" w:rsidRDefault="002846E5">
                          <w:pPr>
                            <w:pStyle w:val="NoSpacing"/>
                            <w:rPr>
                              <w:noProof/>
                              <w:color w:val="44546A" w:themeColor="text2"/>
                            </w:rPr>
                          </w:pPr>
                        </w:p>
                      </w:txbxContent>
                    </v:textbox>
                    <w10:wrap type="square" anchorx="page" anchory="page"/>
                  </v:shape>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466357021"/>
        <w:docPartObj>
          <w:docPartGallery w:val="Table of Contents"/>
          <w:docPartUnique/>
        </w:docPartObj>
      </w:sdtPr>
      <w:sdtEndPr>
        <w:rPr>
          <w:b/>
          <w:bCs/>
          <w:noProof/>
        </w:rPr>
      </w:sdtEndPr>
      <w:sdtContent>
        <w:p w14:paraId="7176AC12" w14:textId="5AB5235C" w:rsidR="002846E5" w:rsidRDefault="002846E5">
          <w:pPr>
            <w:pStyle w:val="TOCHeading"/>
          </w:pPr>
          <w:r>
            <w:t>Contents</w:t>
          </w:r>
        </w:p>
        <w:p w14:paraId="7040DFAF" w14:textId="65563BCC" w:rsidR="0071761F" w:rsidRDefault="002846E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0748124" w:history="1">
            <w:r w:rsidR="0071761F" w:rsidRPr="00001466">
              <w:rPr>
                <w:rStyle w:val="Hyperlink"/>
                <w:noProof/>
              </w:rPr>
              <w:t>Critically examine policing policies and procedures (e.g. PACE, Code of Ethics, NDM, use of BWV) aimed at reducing misconduct and malpractice by police officers. How might these increase public confidence in police?</w:t>
            </w:r>
            <w:r w:rsidR="0071761F">
              <w:rPr>
                <w:noProof/>
                <w:webHidden/>
              </w:rPr>
              <w:tab/>
            </w:r>
            <w:r w:rsidR="0071761F">
              <w:rPr>
                <w:noProof/>
                <w:webHidden/>
              </w:rPr>
              <w:fldChar w:fldCharType="begin"/>
            </w:r>
            <w:r w:rsidR="0071761F">
              <w:rPr>
                <w:noProof/>
                <w:webHidden/>
              </w:rPr>
              <w:instrText xml:space="preserve"> PAGEREF _Toc170748124 \h </w:instrText>
            </w:r>
            <w:r w:rsidR="0071761F">
              <w:rPr>
                <w:noProof/>
                <w:webHidden/>
              </w:rPr>
            </w:r>
            <w:r w:rsidR="0071761F">
              <w:rPr>
                <w:noProof/>
                <w:webHidden/>
              </w:rPr>
              <w:fldChar w:fldCharType="separate"/>
            </w:r>
            <w:r w:rsidR="007A0EE8">
              <w:rPr>
                <w:noProof/>
                <w:webHidden/>
              </w:rPr>
              <w:t>2</w:t>
            </w:r>
            <w:r w:rsidR="0071761F">
              <w:rPr>
                <w:noProof/>
                <w:webHidden/>
              </w:rPr>
              <w:fldChar w:fldCharType="end"/>
            </w:r>
          </w:hyperlink>
        </w:p>
        <w:p w14:paraId="03D23D3B" w14:textId="2B9AE843" w:rsidR="0071761F" w:rsidRDefault="00000000">
          <w:pPr>
            <w:pStyle w:val="TOC1"/>
            <w:tabs>
              <w:tab w:val="right" w:leader="dot" w:pos="9016"/>
            </w:tabs>
            <w:rPr>
              <w:rFonts w:eastAsiaTheme="minorEastAsia"/>
              <w:noProof/>
              <w:sz w:val="24"/>
              <w:szCs w:val="24"/>
              <w:lang w:eastAsia="en-GB"/>
            </w:rPr>
          </w:pPr>
          <w:hyperlink w:anchor="_Toc170748125" w:history="1">
            <w:r w:rsidR="0071761F" w:rsidRPr="00001466">
              <w:rPr>
                <w:rStyle w:val="Hyperlink"/>
                <w:noProof/>
              </w:rPr>
              <w:t>What characteristics (socio-economic, psychological etc.) can make a person vulnerable to exploitation to criminal gangs?</w:t>
            </w:r>
            <w:r w:rsidR="0071761F">
              <w:rPr>
                <w:noProof/>
                <w:webHidden/>
              </w:rPr>
              <w:tab/>
            </w:r>
            <w:r w:rsidR="0071761F">
              <w:rPr>
                <w:noProof/>
                <w:webHidden/>
              </w:rPr>
              <w:fldChar w:fldCharType="begin"/>
            </w:r>
            <w:r w:rsidR="0071761F">
              <w:rPr>
                <w:noProof/>
                <w:webHidden/>
              </w:rPr>
              <w:instrText xml:space="preserve"> PAGEREF _Toc170748125 \h </w:instrText>
            </w:r>
            <w:r w:rsidR="0071761F">
              <w:rPr>
                <w:noProof/>
                <w:webHidden/>
              </w:rPr>
            </w:r>
            <w:r w:rsidR="0071761F">
              <w:rPr>
                <w:noProof/>
                <w:webHidden/>
              </w:rPr>
              <w:fldChar w:fldCharType="separate"/>
            </w:r>
            <w:r w:rsidR="007A0EE8">
              <w:rPr>
                <w:noProof/>
                <w:webHidden/>
              </w:rPr>
              <w:t>5</w:t>
            </w:r>
            <w:r w:rsidR="0071761F">
              <w:rPr>
                <w:noProof/>
                <w:webHidden/>
              </w:rPr>
              <w:fldChar w:fldCharType="end"/>
            </w:r>
          </w:hyperlink>
        </w:p>
        <w:p w14:paraId="3383AF44" w14:textId="05E62346" w:rsidR="0071761F" w:rsidRDefault="00000000">
          <w:pPr>
            <w:pStyle w:val="TOC1"/>
            <w:tabs>
              <w:tab w:val="right" w:leader="dot" w:pos="9016"/>
            </w:tabs>
            <w:rPr>
              <w:rFonts w:eastAsiaTheme="minorEastAsia"/>
              <w:noProof/>
              <w:sz w:val="24"/>
              <w:szCs w:val="24"/>
              <w:lang w:eastAsia="en-GB"/>
            </w:rPr>
          </w:pPr>
          <w:hyperlink w:anchor="_Toc170748126" w:history="1">
            <w:r w:rsidR="0071761F" w:rsidRPr="00001466">
              <w:rPr>
                <w:rStyle w:val="Hyperlink"/>
                <w:noProof/>
              </w:rPr>
              <w:t>Is early intervention an effective means of preventing young people from offending? What increases or detracts from its effectiveness?</w:t>
            </w:r>
            <w:r w:rsidR="0071761F">
              <w:rPr>
                <w:noProof/>
                <w:webHidden/>
              </w:rPr>
              <w:tab/>
            </w:r>
            <w:r w:rsidR="0071761F">
              <w:rPr>
                <w:noProof/>
                <w:webHidden/>
              </w:rPr>
              <w:fldChar w:fldCharType="begin"/>
            </w:r>
            <w:r w:rsidR="0071761F">
              <w:rPr>
                <w:noProof/>
                <w:webHidden/>
              </w:rPr>
              <w:instrText xml:space="preserve"> PAGEREF _Toc170748126 \h </w:instrText>
            </w:r>
            <w:r w:rsidR="0071761F">
              <w:rPr>
                <w:noProof/>
                <w:webHidden/>
              </w:rPr>
            </w:r>
            <w:r w:rsidR="0071761F">
              <w:rPr>
                <w:noProof/>
                <w:webHidden/>
              </w:rPr>
              <w:fldChar w:fldCharType="separate"/>
            </w:r>
            <w:r w:rsidR="007A0EE8">
              <w:rPr>
                <w:noProof/>
                <w:webHidden/>
              </w:rPr>
              <w:t>8</w:t>
            </w:r>
            <w:r w:rsidR="0071761F">
              <w:rPr>
                <w:noProof/>
                <w:webHidden/>
              </w:rPr>
              <w:fldChar w:fldCharType="end"/>
            </w:r>
          </w:hyperlink>
        </w:p>
        <w:p w14:paraId="5DE78B55" w14:textId="07EE9BDB" w:rsidR="0071761F" w:rsidRDefault="00000000">
          <w:pPr>
            <w:pStyle w:val="TOC1"/>
            <w:tabs>
              <w:tab w:val="right" w:leader="dot" w:pos="9016"/>
            </w:tabs>
            <w:rPr>
              <w:rFonts w:eastAsiaTheme="minorEastAsia"/>
              <w:noProof/>
              <w:sz w:val="24"/>
              <w:szCs w:val="24"/>
              <w:lang w:eastAsia="en-GB"/>
            </w:rPr>
          </w:pPr>
          <w:hyperlink w:anchor="_Toc170748127" w:history="1">
            <w:r w:rsidR="0071761F" w:rsidRPr="00001466">
              <w:rPr>
                <w:rStyle w:val="Hyperlink"/>
                <w:noProof/>
              </w:rPr>
              <w:t>How effectively has policing adapted to accommodate diversity within the UK?</w:t>
            </w:r>
            <w:r w:rsidR="0071761F">
              <w:rPr>
                <w:noProof/>
                <w:webHidden/>
              </w:rPr>
              <w:tab/>
            </w:r>
            <w:r w:rsidR="0071761F">
              <w:rPr>
                <w:noProof/>
                <w:webHidden/>
              </w:rPr>
              <w:fldChar w:fldCharType="begin"/>
            </w:r>
            <w:r w:rsidR="0071761F">
              <w:rPr>
                <w:noProof/>
                <w:webHidden/>
              </w:rPr>
              <w:instrText xml:space="preserve"> PAGEREF _Toc170748127 \h </w:instrText>
            </w:r>
            <w:r w:rsidR="0071761F">
              <w:rPr>
                <w:noProof/>
                <w:webHidden/>
              </w:rPr>
            </w:r>
            <w:r w:rsidR="0071761F">
              <w:rPr>
                <w:noProof/>
                <w:webHidden/>
              </w:rPr>
              <w:fldChar w:fldCharType="separate"/>
            </w:r>
            <w:r w:rsidR="007A0EE8">
              <w:rPr>
                <w:noProof/>
                <w:webHidden/>
              </w:rPr>
              <w:t>11</w:t>
            </w:r>
            <w:r w:rsidR="0071761F">
              <w:rPr>
                <w:noProof/>
                <w:webHidden/>
              </w:rPr>
              <w:fldChar w:fldCharType="end"/>
            </w:r>
          </w:hyperlink>
        </w:p>
        <w:p w14:paraId="16D92E99" w14:textId="4604D8F5" w:rsidR="0071761F" w:rsidRDefault="00000000">
          <w:pPr>
            <w:pStyle w:val="TOC1"/>
            <w:tabs>
              <w:tab w:val="right" w:leader="dot" w:pos="9016"/>
            </w:tabs>
            <w:rPr>
              <w:rFonts w:eastAsiaTheme="minorEastAsia"/>
              <w:noProof/>
              <w:sz w:val="24"/>
              <w:szCs w:val="24"/>
              <w:lang w:eastAsia="en-GB"/>
            </w:rPr>
          </w:pPr>
          <w:hyperlink w:anchor="_Toc170748128" w:history="1">
            <w:r w:rsidR="0071761F" w:rsidRPr="00001466">
              <w:rPr>
                <w:rStyle w:val="Hyperlink"/>
                <w:noProof/>
              </w:rPr>
              <w:t>Reference list</w:t>
            </w:r>
            <w:r w:rsidR="0071761F">
              <w:rPr>
                <w:noProof/>
                <w:webHidden/>
              </w:rPr>
              <w:tab/>
            </w:r>
            <w:r w:rsidR="0071761F">
              <w:rPr>
                <w:noProof/>
                <w:webHidden/>
              </w:rPr>
              <w:fldChar w:fldCharType="begin"/>
            </w:r>
            <w:r w:rsidR="0071761F">
              <w:rPr>
                <w:noProof/>
                <w:webHidden/>
              </w:rPr>
              <w:instrText xml:space="preserve"> PAGEREF _Toc170748128 \h </w:instrText>
            </w:r>
            <w:r w:rsidR="0071761F">
              <w:rPr>
                <w:noProof/>
                <w:webHidden/>
              </w:rPr>
            </w:r>
            <w:r w:rsidR="0071761F">
              <w:rPr>
                <w:noProof/>
                <w:webHidden/>
              </w:rPr>
              <w:fldChar w:fldCharType="separate"/>
            </w:r>
            <w:r w:rsidR="007A0EE8">
              <w:rPr>
                <w:noProof/>
                <w:webHidden/>
              </w:rPr>
              <w:t>15</w:t>
            </w:r>
            <w:r w:rsidR="0071761F">
              <w:rPr>
                <w:noProof/>
                <w:webHidden/>
              </w:rPr>
              <w:fldChar w:fldCharType="end"/>
            </w:r>
          </w:hyperlink>
        </w:p>
        <w:p w14:paraId="70B4273F" w14:textId="24DD5A95" w:rsidR="002846E5" w:rsidRDefault="002846E5">
          <w:r>
            <w:rPr>
              <w:b/>
              <w:bCs/>
              <w:noProof/>
            </w:rPr>
            <w:fldChar w:fldCharType="end"/>
          </w:r>
        </w:p>
      </w:sdtContent>
    </w:sdt>
    <w:p w14:paraId="09F05E0F" w14:textId="65550B36" w:rsidR="002846E5" w:rsidRDefault="0071761F">
      <w:r>
        <w:br w:type="page"/>
      </w:r>
    </w:p>
    <w:p w14:paraId="0D1F0EAF" w14:textId="021E6D9D" w:rsidR="007A48B1" w:rsidRDefault="007A48B1" w:rsidP="00BA57D4">
      <w:pPr>
        <w:pStyle w:val="Heading1"/>
      </w:pPr>
      <w:bookmarkStart w:id="0" w:name="_Toc170748124"/>
      <w:r w:rsidRPr="007A48B1">
        <w:lastRenderedPageBreak/>
        <w:t>Critically examine policing policies and procedures (e.g. PACE, Code of Ethics, NDM, use of BWV) aimed at reducing misconduct and malpractice by police officers. How might these increase public confidence in police?</w:t>
      </w:r>
      <w:bookmarkEnd w:id="0"/>
    </w:p>
    <w:p w14:paraId="41FB2C09" w14:textId="77777777" w:rsidR="00BA57D4" w:rsidRPr="00BA57D4" w:rsidRDefault="00BA57D4" w:rsidP="00BA57D4"/>
    <w:p w14:paraId="1E3044C3" w14:textId="77777777" w:rsidR="007A48B1" w:rsidRDefault="007A48B1" w:rsidP="007A48B1">
      <w:pPr>
        <w:spacing w:line="360" w:lineRule="auto"/>
        <w:jc w:val="both"/>
        <w:rPr>
          <w:rFonts w:cstheme="minorHAnsi"/>
          <w:sz w:val="24"/>
          <w:szCs w:val="24"/>
        </w:rPr>
      </w:pPr>
      <w:r>
        <w:rPr>
          <w:rFonts w:cstheme="minorHAnsi"/>
          <w:sz w:val="24"/>
          <w:szCs w:val="24"/>
        </w:rPr>
        <w:t xml:space="preserve">Professional standards in policing are vital to maintaining public trust and confidence. A failure to control police misconduct through a lack of adherence to policies and procedures can undermine community confidence and damage relationships with the communities they serve. Independent bodies like the </w:t>
      </w:r>
      <w:r w:rsidRPr="00900476">
        <w:rPr>
          <w:rFonts w:cstheme="minorHAnsi"/>
          <w:sz w:val="24"/>
          <w:szCs w:val="24"/>
        </w:rPr>
        <w:t>Independent Office for Police Conduct</w:t>
      </w:r>
      <w:r>
        <w:rPr>
          <w:rFonts w:cstheme="minorHAnsi"/>
          <w:sz w:val="24"/>
          <w:szCs w:val="24"/>
        </w:rPr>
        <w:t xml:space="preserve"> (IOPC) exist to hold the police accountable to the public and are important in progressing professional standards from the learners of previous malpractice.</w:t>
      </w:r>
    </w:p>
    <w:p w14:paraId="3CCAB6A5" w14:textId="77777777" w:rsidR="007A48B1" w:rsidRDefault="007A48B1" w:rsidP="007A48B1">
      <w:pPr>
        <w:spacing w:line="360" w:lineRule="auto"/>
        <w:jc w:val="both"/>
        <w:rPr>
          <w:rFonts w:cstheme="minorHAnsi"/>
          <w:sz w:val="24"/>
          <w:szCs w:val="24"/>
        </w:rPr>
      </w:pPr>
      <w:r>
        <w:rPr>
          <w:rFonts w:cstheme="minorHAnsi"/>
          <w:sz w:val="24"/>
          <w:szCs w:val="24"/>
        </w:rPr>
        <w:t xml:space="preserve">Policies and procedures such as the Code of Ethics exists to protect public confidence by providing behavioural and ethical guidance to police officers in how they should conduct themselves in making day to day decisions. Due to the emotional and physical demands policing encounters, it is not always certain the correct decisions are made at the time. By placing the public at the centre of decision making and being accountable for actions contributes to maintaining standards with the support and cooperation of the community. </w:t>
      </w:r>
      <w:r w:rsidRPr="00434645">
        <w:rPr>
          <w:rFonts w:cstheme="minorHAnsi"/>
          <w:sz w:val="24"/>
          <w:szCs w:val="24"/>
        </w:rPr>
        <w:t>(College of Policing</w:t>
      </w:r>
      <w:r>
        <w:rPr>
          <w:rFonts w:cstheme="minorHAnsi"/>
          <w:sz w:val="24"/>
          <w:szCs w:val="24"/>
        </w:rPr>
        <w:t>, 2024</w:t>
      </w:r>
      <w:r w:rsidRPr="00434645">
        <w:rPr>
          <w:rFonts w:cstheme="minorHAnsi"/>
          <w:sz w:val="24"/>
          <w:szCs w:val="24"/>
        </w:rPr>
        <w:t>)</w:t>
      </w:r>
    </w:p>
    <w:p w14:paraId="47CDAE8F" w14:textId="77777777" w:rsidR="007A48B1" w:rsidRDefault="007A48B1" w:rsidP="007A48B1">
      <w:pPr>
        <w:spacing w:line="360" w:lineRule="auto"/>
        <w:jc w:val="both"/>
        <w:rPr>
          <w:sz w:val="24"/>
          <w:szCs w:val="24"/>
        </w:rPr>
      </w:pPr>
      <w:r>
        <w:rPr>
          <w:sz w:val="24"/>
          <w:szCs w:val="24"/>
        </w:rPr>
        <w:t>Devon Cornwall Police state, “</w:t>
      </w:r>
      <w:r w:rsidRPr="004301A4">
        <w:rPr>
          <w:sz w:val="24"/>
          <w:szCs w:val="24"/>
        </w:rPr>
        <w:t>The Code of Ethics helps guide us in the difficult decisions we make on a daily basis, to ensure we achieve our objectives by doing what is right and what is fair, not simply what it is lawful or easy.</w:t>
      </w:r>
      <w:r>
        <w:rPr>
          <w:sz w:val="24"/>
          <w:szCs w:val="24"/>
        </w:rPr>
        <w:t>” (Devon Cornwall Police, n.d.) This highlights how the Code of Ethics puts ethical decision making at the core of every interaction by considering the emotional and physical needs of affected individuals rather than simply applying state law, in turn reducing potential misconduct and promoting public confidence.</w:t>
      </w:r>
    </w:p>
    <w:p w14:paraId="38AE7CE4" w14:textId="77777777" w:rsidR="007A48B1" w:rsidRDefault="007A48B1" w:rsidP="007A48B1">
      <w:pPr>
        <w:spacing w:line="360" w:lineRule="auto"/>
        <w:jc w:val="both"/>
        <w:rPr>
          <w:sz w:val="24"/>
          <w:szCs w:val="24"/>
        </w:rPr>
      </w:pPr>
      <w:r>
        <w:rPr>
          <w:sz w:val="24"/>
          <w:szCs w:val="24"/>
        </w:rPr>
        <w:t xml:space="preserve">However, the </w:t>
      </w:r>
      <w:r w:rsidRPr="00232749">
        <w:rPr>
          <w:sz w:val="24"/>
          <w:szCs w:val="24"/>
        </w:rPr>
        <w:t>Police Federation of England and Wales (PFEW)</w:t>
      </w:r>
      <w:r>
        <w:rPr>
          <w:sz w:val="24"/>
          <w:szCs w:val="24"/>
        </w:rPr>
        <w:t xml:space="preserve"> are critical of the revised form of the Code of Ethics as it offers no process on what should happen if principles and standards are not met, in turn increasing the possibility of police malpractice. Previously, the policy provided guidance on how to handle behaviour that did not meet professional standards or adhere to the core principles of the policy. The PFEW also raise concerns with its implementation, giving an example of the updated </w:t>
      </w:r>
      <w:r w:rsidRPr="005904B2">
        <w:rPr>
          <w:sz w:val="24"/>
          <w:szCs w:val="24"/>
        </w:rPr>
        <w:t>conduct regulations in 2020</w:t>
      </w:r>
      <w:r>
        <w:rPr>
          <w:sz w:val="24"/>
          <w:szCs w:val="24"/>
        </w:rPr>
        <w:t xml:space="preserve"> taking </w:t>
      </w:r>
      <w:r w:rsidRPr="005904B2">
        <w:rPr>
          <w:sz w:val="24"/>
          <w:szCs w:val="24"/>
        </w:rPr>
        <w:t xml:space="preserve">more </w:t>
      </w:r>
      <w:r w:rsidRPr="005904B2">
        <w:rPr>
          <w:sz w:val="24"/>
          <w:szCs w:val="24"/>
        </w:rPr>
        <w:lastRenderedPageBreak/>
        <w:t>than a year for</w:t>
      </w:r>
      <w:r>
        <w:rPr>
          <w:sz w:val="24"/>
          <w:szCs w:val="24"/>
        </w:rPr>
        <w:t xml:space="preserve"> the full differences in policy to be fully understood by all officers and staff. </w:t>
      </w:r>
      <w:r w:rsidRPr="00900C5E">
        <w:rPr>
          <w:sz w:val="24"/>
          <w:szCs w:val="24"/>
        </w:rPr>
        <w:t>(Police</w:t>
      </w:r>
      <w:r>
        <w:rPr>
          <w:sz w:val="24"/>
          <w:szCs w:val="24"/>
        </w:rPr>
        <w:t xml:space="preserve"> Federation, 2024)</w:t>
      </w:r>
    </w:p>
    <w:p w14:paraId="18FA019C" w14:textId="77777777" w:rsidR="007A48B1" w:rsidRDefault="007A48B1" w:rsidP="007A48B1">
      <w:pPr>
        <w:spacing w:line="360" w:lineRule="auto"/>
        <w:jc w:val="both"/>
        <w:rPr>
          <w:rFonts w:cstheme="minorHAnsi"/>
          <w:sz w:val="24"/>
          <w:szCs w:val="24"/>
        </w:rPr>
      </w:pPr>
      <w:r>
        <w:rPr>
          <w:rFonts w:cstheme="minorHAnsi"/>
          <w:sz w:val="24"/>
          <w:szCs w:val="24"/>
        </w:rPr>
        <w:t>S</w:t>
      </w:r>
      <w:r w:rsidRPr="00671341">
        <w:rPr>
          <w:rFonts w:cstheme="minorHAnsi"/>
          <w:sz w:val="24"/>
          <w:szCs w:val="24"/>
        </w:rPr>
        <w:t>imilarly</w:t>
      </w:r>
      <w:r>
        <w:rPr>
          <w:rFonts w:cstheme="minorHAnsi"/>
          <w:sz w:val="24"/>
          <w:szCs w:val="24"/>
        </w:rPr>
        <w:t xml:space="preserve">, </w:t>
      </w:r>
      <w:r w:rsidRPr="00EF57BA">
        <w:rPr>
          <w:rFonts w:cstheme="minorHAnsi"/>
          <w:sz w:val="24"/>
          <w:szCs w:val="24"/>
        </w:rPr>
        <w:t>The Police and Criminal Evidence ACT 1984</w:t>
      </w:r>
      <w:r>
        <w:rPr>
          <w:rFonts w:cstheme="minorHAnsi"/>
          <w:sz w:val="24"/>
          <w:szCs w:val="24"/>
        </w:rPr>
        <w:t xml:space="preserve"> (PACE)</w:t>
      </w:r>
      <w:r w:rsidRPr="00EF57BA">
        <w:rPr>
          <w:rFonts w:cstheme="minorHAnsi"/>
          <w:sz w:val="24"/>
          <w:szCs w:val="24"/>
        </w:rPr>
        <w:t xml:space="preserve"> </w:t>
      </w:r>
      <w:r>
        <w:rPr>
          <w:rFonts w:cstheme="minorHAnsi"/>
          <w:sz w:val="24"/>
          <w:szCs w:val="24"/>
        </w:rPr>
        <w:t xml:space="preserve">was introduced to bring balance between officers having control in maintaining law and order, whilst protecting the freedoms of the public. The intention was to increase public confidence in policing, as previously, stop and search powers could be used against an individual without the belief a crime had been committed. However, </w:t>
      </w:r>
      <w:proofErr w:type="gramStart"/>
      <w:r>
        <w:rPr>
          <w:rFonts w:cstheme="minorHAnsi"/>
          <w:sz w:val="24"/>
          <w:szCs w:val="24"/>
        </w:rPr>
        <w:t>in order to</w:t>
      </w:r>
      <w:proofErr w:type="gramEnd"/>
      <w:r>
        <w:rPr>
          <w:rFonts w:cstheme="minorHAnsi"/>
          <w:sz w:val="24"/>
          <w:szCs w:val="24"/>
        </w:rPr>
        <w:t xml:space="preserve"> protect the public’s right to freedom and security in stopping criminal acts, the police have to infringe on the rights of subjects with stop and search, contradicting the original concept of protecting freedoms. </w:t>
      </w:r>
      <w:r w:rsidRPr="0032767B">
        <w:rPr>
          <w:rFonts w:cstheme="minorHAnsi"/>
          <w:sz w:val="24"/>
          <w:szCs w:val="24"/>
        </w:rPr>
        <w:t>(</w:t>
      </w:r>
      <w:proofErr w:type="spellStart"/>
      <w:proofErr w:type="gramStart"/>
      <w:r w:rsidRPr="0032767B">
        <w:rPr>
          <w:rFonts w:cstheme="minorHAnsi"/>
          <w:sz w:val="24"/>
          <w:szCs w:val="24"/>
        </w:rPr>
        <w:t>E.Cheadle</w:t>
      </w:r>
      <w:proofErr w:type="spellEnd"/>
      <w:proofErr w:type="gramEnd"/>
      <w:r w:rsidRPr="0032767B">
        <w:rPr>
          <w:rFonts w:cstheme="minorHAnsi"/>
          <w:sz w:val="24"/>
          <w:szCs w:val="24"/>
        </w:rPr>
        <w:t>, 2021)</w:t>
      </w:r>
    </w:p>
    <w:p w14:paraId="4A1C7BCA" w14:textId="77777777" w:rsidR="007A48B1" w:rsidRPr="00EF57BA" w:rsidRDefault="007A48B1" w:rsidP="007A48B1">
      <w:pPr>
        <w:spacing w:line="360" w:lineRule="auto"/>
        <w:jc w:val="both"/>
        <w:rPr>
          <w:rFonts w:cstheme="minorHAnsi"/>
          <w:sz w:val="24"/>
          <w:szCs w:val="24"/>
        </w:rPr>
      </w:pPr>
      <w:r>
        <w:rPr>
          <w:rFonts w:cstheme="minorHAnsi"/>
          <w:sz w:val="24"/>
          <w:szCs w:val="24"/>
        </w:rPr>
        <w:t xml:space="preserve">Further, IOPC found stop and search to be biased against the ethnic minorities due to how overly used it was. Although the IOPC supports stop and search as a legitimate policing tactic, it needed to stop being used </w:t>
      </w:r>
      <w:r w:rsidRPr="00D3318F">
        <w:rPr>
          <w:rFonts w:cstheme="minorHAnsi"/>
          <w:sz w:val="24"/>
          <w:szCs w:val="24"/>
        </w:rPr>
        <w:t>disproportionat</w:t>
      </w:r>
      <w:r>
        <w:rPr>
          <w:rFonts w:cstheme="minorHAnsi"/>
          <w:sz w:val="24"/>
          <w:szCs w:val="24"/>
        </w:rPr>
        <w:t>ely as it was causing trauma to ethnic minorities and damaging public confidence in policing. To address the issue the IOPC called for guidelines to be created to protect minority ethic groups from decision making based upon stereotypes and bias. (IOPC, 2022)</w:t>
      </w:r>
    </w:p>
    <w:p w14:paraId="41C5BE1D" w14:textId="77777777" w:rsidR="007A48B1" w:rsidRDefault="007A48B1" w:rsidP="007A48B1">
      <w:pPr>
        <w:spacing w:line="360" w:lineRule="auto"/>
        <w:jc w:val="both"/>
        <w:rPr>
          <w:rFonts w:cstheme="minorHAnsi"/>
          <w:sz w:val="24"/>
          <w:szCs w:val="24"/>
        </w:rPr>
      </w:pPr>
      <w:r>
        <w:rPr>
          <w:rFonts w:cstheme="minorHAnsi"/>
          <w:sz w:val="24"/>
          <w:szCs w:val="24"/>
        </w:rPr>
        <w:t>A notable example of how malpractice has had a lasting impact of policy change are the events after the tragic murder of Stephen Lawrence (the subsequent investigation was found to be flawed by racial bias), Sir William Macpherson highlighted the imbalance, “</w:t>
      </w:r>
      <w:r w:rsidRPr="007C32C6">
        <w:rPr>
          <w:rFonts w:cstheme="minorHAnsi"/>
          <w:sz w:val="24"/>
          <w:szCs w:val="24"/>
        </w:rPr>
        <w:t>black people were five times more likely than white people to be stopped and searched for drugs, weapons or stolen goods.</w:t>
      </w:r>
      <w:r>
        <w:rPr>
          <w:rFonts w:cstheme="minorHAnsi"/>
          <w:sz w:val="24"/>
          <w:szCs w:val="24"/>
        </w:rPr>
        <w:t xml:space="preserve">” </w:t>
      </w:r>
      <w:r w:rsidRPr="00943A26">
        <w:rPr>
          <w:rFonts w:cstheme="minorHAnsi"/>
          <w:sz w:val="24"/>
          <w:szCs w:val="24"/>
        </w:rPr>
        <w:t>(Shaw, 2019)</w:t>
      </w:r>
    </w:p>
    <w:p w14:paraId="5A1B2E2F" w14:textId="77777777" w:rsidR="007A48B1" w:rsidRDefault="007A48B1" w:rsidP="007A48B1">
      <w:pPr>
        <w:spacing w:line="360" w:lineRule="auto"/>
        <w:jc w:val="both"/>
        <w:rPr>
          <w:rFonts w:cstheme="minorHAnsi"/>
          <w:color w:val="000000"/>
          <w:sz w:val="24"/>
          <w:szCs w:val="24"/>
          <w:shd w:val="clear" w:color="auto" w:fill="FFFFFF"/>
        </w:rPr>
      </w:pPr>
      <w:r w:rsidRPr="00EF57BA">
        <w:rPr>
          <w:rFonts w:cstheme="minorHAnsi"/>
          <w:sz w:val="24"/>
          <w:szCs w:val="24"/>
        </w:rPr>
        <w:t xml:space="preserve">PACE is designed to reduce misconduct and malpractice. Informing those individuals who for example are stopped of their rights is aimed to deter from injustice, and aimed at promoting fairness and integrity, foundations of not just pace but Policing Code of ethics in not just theory but practice too. Consistent training and revisiting of the training and regulations showed (Miller et al., 2020) </w:t>
      </w:r>
      <w:r w:rsidRPr="006F2A91">
        <w:rPr>
          <w:rFonts w:cstheme="minorHAnsi"/>
          <w:color w:val="000000"/>
          <w:sz w:val="24"/>
          <w:szCs w:val="24"/>
          <w:shd w:val="clear" w:color="auto" w:fill="FFFFFF"/>
        </w:rPr>
        <w:t>“training improved officers’ knowledge of stop and search regulations; “A 1-day police training program to reduce ethnic/racial bias may change officers’ knowledge and attitudes.”</w:t>
      </w:r>
    </w:p>
    <w:p w14:paraId="5FC79E22" w14:textId="77777777" w:rsidR="007A48B1" w:rsidRDefault="007A48B1" w:rsidP="007A48B1">
      <w:pPr>
        <w:spacing w:line="360" w:lineRule="auto"/>
        <w:jc w:val="both"/>
        <w:rPr>
          <w:rFonts w:cstheme="minorHAnsi"/>
          <w:color w:val="000000"/>
          <w:sz w:val="24"/>
          <w:szCs w:val="24"/>
          <w:shd w:val="clear" w:color="auto" w:fill="FFFFFF"/>
        </w:rPr>
      </w:pPr>
      <w:r>
        <w:rPr>
          <w:rFonts w:cstheme="minorHAnsi"/>
          <w:color w:val="000000"/>
          <w:sz w:val="24"/>
          <w:szCs w:val="24"/>
          <w:shd w:val="clear" w:color="auto" w:fill="FFFFFF"/>
        </w:rPr>
        <w:t xml:space="preserve">The IOPC are responsible for setting standards in how police handle complaints and investigate serious instances of police malpractice and corruption. Their role is to uphold professional standards and mitigate misconduct by using evidence in driving policy change, particularly in </w:t>
      </w:r>
      <w:r>
        <w:rPr>
          <w:rFonts w:cstheme="minorHAnsi"/>
          <w:color w:val="000000"/>
          <w:sz w:val="24"/>
          <w:szCs w:val="24"/>
          <w:shd w:val="clear" w:color="auto" w:fill="FFFFFF"/>
        </w:rPr>
        <w:lastRenderedPageBreak/>
        <w:t xml:space="preserve">areas that impact public confidence. However, critics argue the IOPC lacks adequate training and therefore lack knowledge in vital areas. The independent nature of the body means they are not audited the same way as police forces, resulting in a lack of accountability and transparency when conducting investigations. Impacting officers under investigation and delaying answers to complaints. </w:t>
      </w:r>
      <w:r w:rsidRPr="00CB31EA">
        <w:rPr>
          <w:rFonts w:cstheme="minorHAnsi"/>
          <w:color w:val="000000"/>
          <w:sz w:val="24"/>
          <w:szCs w:val="24"/>
          <w:shd w:val="clear" w:color="auto" w:fill="FFFFFF"/>
        </w:rPr>
        <w:t>(Police Federation, 2021)</w:t>
      </w:r>
    </w:p>
    <w:p w14:paraId="55CED73A" w14:textId="5F99F7A5" w:rsidR="002846E5" w:rsidRPr="007A48B1" w:rsidRDefault="007A48B1" w:rsidP="007A48B1">
      <w:pPr>
        <w:spacing w:line="360" w:lineRule="auto"/>
        <w:jc w:val="both"/>
        <w:rPr>
          <w:rFonts w:cstheme="minorHAnsi"/>
          <w:color w:val="000000"/>
          <w:sz w:val="24"/>
          <w:szCs w:val="24"/>
          <w:shd w:val="clear" w:color="auto" w:fill="FFFFFF"/>
        </w:rPr>
      </w:pPr>
      <w:r>
        <w:rPr>
          <w:rFonts w:cstheme="minorHAnsi"/>
          <w:color w:val="000000"/>
          <w:sz w:val="24"/>
          <w:szCs w:val="24"/>
          <w:shd w:val="clear" w:color="auto" w:fill="FFFFFF"/>
        </w:rPr>
        <w:t>To conclude, policies and procedures in policing aim to reduce instances of misconduct and malpractice. The Code of Ethics and PACE show the initial intent of policy is aimed at increasing public confidence in the police. However, without adequate training to all staff in implementing methodologies, their effect becomes insignificant in day-to-day policing. Specifically, PACE was implemented to increase individual freedoms has resulted in being a tool of prejudice and bias against minority ethnic groups, arguably damaging public confidence rather than increasing it. The IOPC play a significant role in maintaining professional standards and act on policy to increase public confidence, but critics point to issues with autonomy in being held accountable when conducting investigations and addressing complaints. Undoing the purpose of what organisation was created for – to hold policing accountable.</w:t>
      </w:r>
    </w:p>
    <w:p w14:paraId="20840CF5" w14:textId="09D67130" w:rsidR="00765A52" w:rsidRDefault="00765A52">
      <w:pPr>
        <w:rPr>
          <w:sz w:val="24"/>
          <w:szCs w:val="24"/>
        </w:rPr>
      </w:pPr>
      <w:r>
        <w:rPr>
          <w:sz w:val="24"/>
          <w:szCs w:val="24"/>
        </w:rPr>
        <w:br w:type="page"/>
      </w:r>
    </w:p>
    <w:p w14:paraId="4DBBA15C" w14:textId="0E5DCAD0" w:rsidR="002846E5" w:rsidRDefault="00E304FB" w:rsidP="00BA57D4">
      <w:pPr>
        <w:pStyle w:val="Heading1"/>
      </w:pPr>
      <w:bookmarkStart w:id="1" w:name="_Toc170748125"/>
      <w:r w:rsidRPr="00E304FB">
        <w:lastRenderedPageBreak/>
        <w:t>What characteristics (socio-economic, psychological etc.) can make a person vulnerable to exploitation to criminal gangs?</w:t>
      </w:r>
      <w:bookmarkEnd w:id="1"/>
    </w:p>
    <w:p w14:paraId="6B7719FF" w14:textId="77777777" w:rsidR="00BA57D4" w:rsidRPr="00BA57D4" w:rsidRDefault="00BA57D4" w:rsidP="00BA57D4"/>
    <w:p w14:paraId="74130927" w14:textId="77777777" w:rsidR="00E304FB" w:rsidRPr="00E304FB" w:rsidRDefault="00E304FB" w:rsidP="00E304FB">
      <w:pPr>
        <w:spacing w:line="360" w:lineRule="auto"/>
        <w:jc w:val="both"/>
        <w:rPr>
          <w:sz w:val="24"/>
          <w:szCs w:val="24"/>
        </w:rPr>
      </w:pPr>
      <w:r w:rsidRPr="00E304FB">
        <w:rPr>
          <w:sz w:val="24"/>
          <w:szCs w:val="24"/>
        </w:rPr>
        <w:t xml:space="preserve">The </w:t>
      </w:r>
      <w:proofErr w:type="gramStart"/>
      <w:r w:rsidRPr="00E304FB">
        <w:rPr>
          <w:sz w:val="24"/>
          <w:szCs w:val="24"/>
        </w:rPr>
        <w:t>social-economics</w:t>
      </w:r>
      <w:proofErr w:type="gramEnd"/>
      <w:r w:rsidRPr="00E304FB">
        <w:rPr>
          <w:sz w:val="24"/>
          <w:szCs w:val="24"/>
        </w:rPr>
        <w:t xml:space="preserve"> of the trap[t] life. (Reid, 2023) is one of many articles within The British Journal of Criminology, which will be examined to quantify and explore the question of “What characteristics can make a person vulnerable to exploitation to criminal gangs?” Furthermore, there are a multitude of factors that will be touched on, though to briefly acknowledge their undeniable effects they have on vulnerable individuals such as radicalisation, being “the process through which an individual or group develops extreme political, social or religious beliefs...” (Bristol.gov.uk, 2024) which according to (Evans, 2020) is a growing sociological concern, which those from a lower income family are far more likely to be coerced through emotional, psychological and financial means of their abuser (Reid, 2023) and (</w:t>
      </w:r>
      <w:proofErr w:type="spellStart"/>
      <w:r w:rsidRPr="00E304FB">
        <w:rPr>
          <w:sz w:val="24"/>
          <w:szCs w:val="24"/>
        </w:rPr>
        <w:t>Peddells</w:t>
      </w:r>
      <w:proofErr w:type="spellEnd"/>
      <w:r w:rsidRPr="00E304FB">
        <w:rPr>
          <w:sz w:val="24"/>
          <w:szCs w:val="24"/>
        </w:rPr>
        <w:t xml:space="preserve"> et al, 2016), who explored the influences and vulnerabilities in further depth from a UK practitioner perspective.</w:t>
      </w:r>
    </w:p>
    <w:p w14:paraId="19530F23" w14:textId="3B0E7067" w:rsidR="00E304FB" w:rsidRPr="00E304FB" w:rsidRDefault="00E304FB" w:rsidP="00E304FB">
      <w:pPr>
        <w:spacing w:line="360" w:lineRule="auto"/>
        <w:jc w:val="both"/>
        <w:rPr>
          <w:sz w:val="24"/>
          <w:szCs w:val="24"/>
        </w:rPr>
      </w:pPr>
      <w:r w:rsidRPr="00E304FB">
        <w:rPr>
          <w:sz w:val="24"/>
          <w:szCs w:val="24"/>
        </w:rPr>
        <w:t>Further areas to be covered are the absences of essential living requirements, such as warmth, safety and food, as well as factors for the individual being able to access housing and medical care (Ward, 2003) and (West, 1988); although dated in terms of new psychological findings in recent years within the further studying the connection of social-economic findings and criminal activities, both Ward and West hold strong arguments still used to this day in terms of fundamental human needs, and without those needs met has a strong possibility of further risk-taking behaviour, searching for “family” and fall into crime related organisations in seeking their needs met (Deci &amp; Ryan, 2000), the “what” and “why” and (Deci &amp; Ryan, 2000), the “darker” sides to existence.</w:t>
      </w:r>
    </w:p>
    <w:p w14:paraId="22786FD5" w14:textId="77777777" w:rsidR="00E304FB" w:rsidRPr="00E304FB" w:rsidRDefault="00E304FB" w:rsidP="00E304FB">
      <w:pPr>
        <w:spacing w:line="360" w:lineRule="auto"/>
        <w:jc w:val="both"/>
        <w:rPr>
          <w:sz w:val="24"/>
          <w:szCs w:val="24"/>
        </w:rPr>
      </w:pPr>
      <w:r w:rsidRPr="00E304FB">
        <w:rPr>
          <w:sz w:val="24"/>
          <w:szCs w:val="24"/>
        </w:rPr>
        <w:t xml:space="preserve">More so, education, or rather the lack of it, has been established as another strong factor in regards to the individual’s ability to comprehend whether or not they are being exploited into criminal gangs and criminal activity (Bell et al, 2022); there is also an argument to be made whether an individual is even at fault if their psychological understanding is compromised, such as if the person is lacking the compos mentis and unable to understand a sense of moralism or morality (Welsh &amp; Farrington, 2007). Another exploitative characteristic that abusers and gang recruiters will look out for is the individual's lack of </w:t>
      </w:r>
      <w:proofErr w:type="spellStart"/>
      <w:r w:rsidRPr="00E304FB">
        <w:rPr>
          <w:sz w:val="24"/>
          <w:szCs w:val="24"/>
        </w:rPr>
        <w:t>self care</w:t>
      </w:r>
      <w:proofErr w:type="spellEnd"/>
      <w:r w:rsidRPr="00E304FB">
        <w:rPr>
          <w:sz w:val="24"/>
          <w:szCs w:val="24"/>
        </w:rPr>
        <w:t xml:space="preserve">, and negative physical health issues in which observations to their needs are not being </w:t>
      </w:r>
      <w:proofErr w:type="gramStart"/>
      <w:r w:rsidRPr="00E304FB">
        <w:rPr>
          <w:sz w:val="24"/>
          <w:szCs w:val="24"/>
        </w:rPr>
        <w:t>met, and</w:t>
      </w:r>
      <w:proofErr w:type="gramEnd"/>
      <w:r w:rsidRPr="00E304FB">
        <w:rPr>
          <w:sz w:val="24"/>
          <w:szCs w:val="24"/>
        </w:rPr>
        <w:t xml:space="preserve"> can be </w:t>
      </w:r>
      <w:r w:rsidRPr="00E304FB">
        <w:rPr>
          <w:sz w:val="24"/>
          <w:szCs w:val="24"/>
        </w:rPr>
        <w:lastRenderedPageBreak/>
        <w:t>manipulated with promises of being ‘looked after.’ (</w:t>
      </w:r>
      <w:proofErr w:type="spellStart"/>
      <w:r w:rsidRPr="00E304FB">
        <w:rPr>
          <w:sz w:val="24"/>
          <w:szCs w:val="24"/>
        </w:rPr>
        <w:t>Hegedorn</w:t>
      </w:r>
      <w:proofErr w:type="spellEnd"/>
      <w:r w:rsidRPr="00E304FB">
        <w:rPr>
          <w:sz w:val="24"/>
          <w:szCs w:val="24"/>
        </w:rPr>
        <w:t>, 2008), (Reid, 2023) and (Deci &amp; Ryan)</w:t>
      </w:r>
    </w:p>
    <w:p w14:paraId="0167081D" w14:textId="77777777" w:rsidR="00E304FB" w:rsidRPr="00E304FB" w:rsidRDefault="00E304FB" w:rsidP="00E304FB">
      <w:pPr>
        <w:spacing w:line="360" w:lineRule="auto"/>
        <w:jc w:val="both"/>
        <w:rPr>
          <w:sz w:val="24"/>
          <w:szCs w:val="24"/>
        </w:rPr>
      </w:pPr>
      <w:r w:rsidRPr="00E304FB">
        <w:rPr>
          <w:sz w:val="24"/>
          <w:szCs w:val="24"/>
        </w:rPr>
        <w:t xml:space="preserve">Further key socio-economic characteristics which require far more examination </w:t>
      </w:r>
      <w:proofErr w:type="gramStart"/>
      <w:r w:rsidRPr="00E304FB">
        <w:rPr>
          <w:sz w:val="24"/>
          <w:szCs w:val="24"/>
        </w:rPr>
        <w:t>are:</w:t>
      </w:r>
      <w:proofErr w:type="gramEnd"/>
      <w:r w:rsidRPr="00E304FB">
        <w:rPr>
          <w:sz w:val="24"/>
          <w:szCs w:val="24"/>
        </w:rPr>
        <w:t xml:space="preserve"> race, age and sex of the individual, all of which are as complex as each other in terms of the type of exploitation that can occur; for example: sex, regarding young women are far more likely to be sexually exploited within a criminal gang in the promise of protection (Pitts, 2013). </w:t>
      </w:r>
      <w:proofErr w:type="gramStart"/>
      <w:r w:rsidRPr="00E304FB">
        <w:rPr>
          <w:sz w:val="24"/>
          <w:szCs w:val="24"/>
        </w:rPr>
        <w:t>In regards to</w:t>
      </w:r>
      <w:proofErr w:type="gramEnd"/>
      <w:r w:rsidRPr="00E304FB">
        <w:rPr>
          <w:sz w:val="24"/>
          <w:szCs w:val="24"/>
        </w:rPr>
        <w:t xml:space="preserve"> race, E. </w:t>
      </w:r>
      <w:proofErr w:type="spellStart"/>
      <w:r w:rsidRPr="00E304FB">
        <w:rPr>
          <w:sz w:val="24"/>
          <w:szCs w:val="24"/>
        </w:rPr>
        <w:t>Cockbain’s</w:t>
      </w:r>
      <w:proofErr w:type="spellEnd"/>
      <w:r w:rsidRPr="00E304FB">
        <w:rPr>
          <w:sz w:val="24"/>
          <w:szCs w:val="24"/>
        </w:rPr>
        <w:t xml:space="preserve"> narrative of ‘Muslim grooming gangs’ examines a plethora of links between race, religion and also dissects the aforementioned relation to exploitation into criminal gangs of </w:t>
      </w:r>
      <w:proofErr w:type="spellStart"/>
      <w:r w:rsidRPr="00E304FB">
        <w:rPr>
          <w:sz w:val="24"/>
          <w:szCs w:val="24"/>
        </w:rPr>
        <w:t>characterics</w:t>
      </w:r>
      <w:proofErr w:type="spellEnd"/>
      <w:r w:rsidRPr="00E304FB">
        <w:rPr>
          <w:sz w:val="24"/>
          <w:szCs w:val="24"/>
        </w:rPr>
        <w:t xml:space="preserve"> of radicalisation and extremism (</w:t>
      </w:r>
      <w:proofErr w:type="spellStart"/>
      <w:r w:rsidRPr="00E304FB">
        <w:rPr>
          <w:sz w:val="24"/>
          <w:szCs w:val="24"/>
        </w:rPr>
        <w:t>Cockbain</w:t>
      </w:r>
      <w:proofErr w:type="spellEnd"/>
      <w:r w:rsidRPr="00E304FB">
        <w:rPr>
          <w:sz w:val="24"/>
          <w:szCs w:val="24"/>
        </w:rPr>
        <w:t xml:space="preserve">, 2020). And finally of age, which is a complex construct within gang culture and exploitative methodology which both exploits youth and older age </w:t>
      </w:r>
      <w:proofErr w:type="gramStart"/>
      <w:r w:rsidRPr="00E304FB">
        <w:rPr>
          <w:sz w:val="24"/>
          <w:szCs w:val="24"/>
        </w:rPr>
        <w:t>in regards to</w:t>
      </w:r>
      <w:proofErr w:type="gramEnd"/>
      <w:r w:rsidRPr="00E304FB">
        <w:rPr>
          <w:sz w:val="24"/>
          <w:szCs w:val="24"/>
        </w:rPr>
        <w:t xml:space="preserve"> serving numerous requirements of the criminal gang; an example is a child’s youth; their search for family, and naive, whereas </w:t>
      </w:r>
      <w:proofErr w:type="spellStart"/>
      <w:r w:rsidRPr="00E304FB">
        <w:rPr>
          <w:sz w:val="24"/>
          <w:szCs w:val="24"/>
        </w:rPr>
        <w:t>a</w:t>
      </w:r>
      <w:proofErr w:type="spellEnd"/>
      <w:r w:rsidRPr="00E304FB">
        <w:rPr>
          <w:sz w:val="24"/>
          <w:szCs w:val="24"/>
        </w:rPr>
        <w:t xml:space="preserve"> elderly person’s aged mind (Ashton, 2020), (Reid, 2023) and (</w:t>
      </w:r>
      <w:proofErr w:type="spellStart"/>
      <w:r w:rsidRPr="00E304FB">
        <w:rPr>
          <w:sz w:val="24"/>
          <w:szCs w:val="24"/>
        </w:rPr>
        <w:t>Cockbain</w:t>
      </w:r>
      <w:proofErr w:type="spellEnd"/>
      <w:r w:rsidRPr="00E304FB">
        <w:rPr>
          <w:sz w:val="24"/>
          <w:szCs w:val="24"/>
        </w:rPr>
        <w:t>, 2020).</w:t>
      </w:r>
    </w:p>
    <w:p w14:paraId="68AEE9D2" w14:textId="77777777" w:rsidR="00E304FB" w:rsidRPr="00E304FB" w:rsidRDefault="00E304FB" w:rsidP="00E304FB">
      <w:pPr>
        <w:spacing w:line="360" w:lineRule="auto"/>
        <w:rPr>
          <w:sz w:val="24"/>
          <w:szCs w:val="24"/>
        </w:rPr>
      </w:pPr>
    </w:p>
    <w:p w14:paraId="194CFA5B" w14:textId="77777777" w:rsidR="00E304FB" w:rsidRPr="00E304FB" w:rsidRDefault="00E304FB" w:rsidP="00E304FB">
      <w:pPr>
        <w:spacing w:line="360" w:lineRule="auto"/>
        <w:jc w:val="both"/>
        <w:rPr>
          <w:sz w:val="24"/>
          <w:szCs w:val="24"/>
        </w:rPr>
      </w:pPr>
      <w:r w:rsidRPr="00E304FB">
        <w:rPr>
          <w:sz w:val="24"/>
          <w:szCs w:val="24"/>
        </w:rPr>
        <w:t>An important facet to explore in further detail is the psychological and emotional characteristics that are most prominent and observed within vulnerable individuals who are exploited into criminal gangs; in particular, the individual who has experienced and unconsciously projected their trauma and abuse (to observing criminal gangs), in both, their non-verbal and post-verbal trauma. Examining the term young trauma, as studies suggest could be argued are also physical characteristics, as the development/ structure of the brain and its ability to regulate stress and understanding (Dedovic et al, 2009) and (Reid, 2023), especially within early development has a huge impact on a person's ability to control key chemicals and hormones within their brain to make safe choices, such as cortisol, testosterone and oxytocin in direct correlation to criminal behaviour (Armstrong et al, 2022); Dabbs et al, 1991) and (Deci &amp; Ryan, 2000).</w:t>
      </w:r>
    </w:p>
    <w:p w14:paraId="392D2490" w14:textId="77777777" w:rsidR="00E304FB" w:rsidRPr="00E304FB" w:rsidRDefault="00E304FB" w:rsidP="00E304FB">
      <w:pPr>
        <w:spacing w:line="360" w:lineRule="auto"/>
        <w:jc w:val="both"/>
        <w:rPr>
          <w:sz w:val="24"/>
          <w:szCs w:val="24"/>
        </w:rPr>
      </w:pPr>
      <w:r w:rsidRPr="00E304FB">
        <w:rPr>
          <w:sz w:val="24"/>
          <w:szCs w:val="24"/>
        </w:rPr>
        <w:t xml:space="preserve">Individuals who have experienced young severe trauma, such as witnessing parental abuse, sexual abuse, neglect, </w:t>
      </w:r>
      <w:proofErr w:type="spellStart"/>
      <w:r w:rsidRPr="00E304FB">
        <w:rPr>
          <w:sz w:val="24"/>
          <w:szCs w:val="24"/>
        </w:rPr>
        <w:t>fetal</w:t>
      </w:r>
      <w:proofErr w:type="spellEnd"/>
      <w:r w:rsidRPr="00E304FB">
        <w:rPr>
          <w:sz w:val="24"/>
          <w:szCs w:val="24"/>
        </w:rPr>
        <w:t xml:space="preserve"> alcohol syndrome (FAS), modern slavery, organisational abuse and further complicated types of domestic abuse, to name but a few have all showed more correlations to their trauma/ abuse within young people and the joining of gangs, both willing (though arguable due to previous reasons of even being self-aware or compos mentis or </w:t>
      </w:r>
      <w:r w:rsidRPr="00E304FB">
        <w:rPr>
          <w:sz w:val="24"/>
          <w:szCs w:val="24"/>
        </w:rPr>
        <w:lastRenderedPageBreak/>
        <w:t>understanding from an educational rationale) and unwillingly joining (</w:t>
      </w:r>
      <w:proofErr w:type="spellStart"/>
      <w:r w:rsidRPr="00E304FB">
        <w:rPr>
          <w:sz w:val="24"/>
          <w:szCs w:val="24"/>
        </w:rPr>
        <w:t>Cockbain</w:t>
      </w:r>
      <w:proofErr w:type="spellEnd"/>
      <w:r w:rsidRPr="00E304FB">
        <w:rPr>
          <w:sz w:val="24"/>
          <w:szCs w:val="24"/>
        </w:rPr>
        <w:t xml:space="preserve">, 2020), (Pitts, 2013), (Aston &amp; </w:t>
      </w:r>
      <w:proofErr w:type="spellStart"/>
      <w:r w:rsidRPr="00E304FB">
        <w:rPr>
          <w:sz w:val="24"/>
          <w:szCs w:val="24"/>
        </w:rPr>
        <w:t>Bussu</w:t>
      </w:r>
      <w:proofErr w:type="spellEnd"/>
      <w:r w:rsidRPr="00E304FB">
        <w:rPr>
          <w:sz w:val="24"/>
          <w:szCs w:val="24"/>
        </w:rPr>
        <w:t>, 2020), to name but a few.</w:t>
      </w:r>
    </w:p>
    <w:p w14:paraId="05E34168" w14:textId="311294BB" w:rsidR="00067630" w:rsidRPr="00E304FB" w:rsidRDefault="00E304FB" w:rsidP="00E304FB">
      <w:pPr>
        <w:spacing w:line="360" w:lineRule="auto"/>
        <w:jc w:val="both"/>
      </w:pPr>
      <w:r w:rsidRPr="00E304FB">
        <w:rPr>
          <w:sz w:val="24"/>
          <w:szCs w:val="24"/>
        </w:rPr>
        <w:t xml:space="preserve">To conclude, the common characteristics within this specified area have shown to be more aggressive behaviour; self-destructive behaviours; showing pleasing behaviour towards others, typically those with a detrimental power relationship to them, and wanting to please others, through a lack of regards for their own needs of physical, emotional or sexual wellbeing, or safety, which in terms is in direct a conflict of their original needs to being met; poor </w:t>
      </w:r>
      <w:proofErr w:type="spellStart"/>
      <w:r w:rsidRPr="00E304FB">
        <w:rPr>
          <w:sz w:val="24"/>
          <w:szCs w:val="24"/>
        </w:rPr>
        <w:t>self control</w:t>
      </w:r>
      <w:proofErr w:type="spellEnd"/>
      <w:r w:rsidRPr="00E304FB">
        <w:rPr>
          <w:sz w:val="24"/>
          <w:szCs w:val="24"/>
        </w:rPr>
        <w:t xml:space="preserve"> and high risk taking behaviours (Reid, 2023); higher amounts of testosterone (in both men and women) and higher amounts of cortisol, the stress hormone  (Deci &amp; Ryan) and (Dedovic et al, 2009); and on many accounts a lower average IQ, one possible argument for this lower intelligence is due to cortisol’s continued creation within the brain flooding it with destructive hormones and stopping the usual function of developing new memories, thoughts, self-evaluation, self-awareness that causes further negative or damaging social characteristics and mental health conflicts. (Dabbs et al, 1991) and (Pitts, 2013)</w:t>
      </w:r>
    </w:p>
    <w:p w14:paraId="3E8948D2" w14:textId="304C337E" w:rsidR="00C92045" w:rsidRDefault="00C92045">
      <w:r>
        <w:br w:type="page"/>
      </w:r>
    </w:p>
    <w:p w14:paraId="25B72AE1" w14:textId="12355878" w:rsidR="0020218A" w:rsidRDefault="00BA57D4" w:rsidP="00BA57D4">
      <w:pPr>
        <w:pStyle w:val="Heading1"/>
      </w:pPr>
      <w:bookmarkStart w:id="2" w:name="_Toc170748126"/>
      <w:r w:rsidRPr="00BA57D4">
        <w:lastRenderedPageBreak/>
        <w:t>Is early intervention an effective means of preventing young people from offending? What increases or detracts from its effectiveness?</w:t>
      </w:r>
      <w:bookmarkEnd w:id="2"/>
    </w:p>
    <w:p w14:paraId="1F8401FA" w14:textId="77777777" w:rsidR="00BA57D4" w:rsidRPr="00BA57D4" w:rsidRDefault="00BA57D4" w:rsidP="00BA57D4"/>
    <w:p w14:paraId="50E4995D" w14:textId="77777777" w:rsidR="00BA57D4" w:rsidRDefault="00BA57D4" w:rsidP="00BA57D4">
      <w:pPr>
        <w:spacing w:line="360" w:lineRule="auto"/>
        <w:jc w:val="both"/>
        <w:rPr>
          <w:sz w:val="24"/>
          <w:szCs w:val="24"/>
        </w:rPr>
      </w:pPr>
      <w:r>
        <w:rPr>
          <w:sz w:val="24"/>
          <w:szCs w:val="24"/>
        </w:rPr>
        <w:t xml:space="preserve">Early intervention is seen as a solution to identifying and supporting young people who are at risk of poor outcomes. The policy was introduced by government to address the insufficient attention given to challenging youth behaviour, in the hope acting early enough would stop a young person offending. </w:t>
      </w:r>
      <w:r w:rsidRPr="00BF3CCE">
        <w:rPr>
          <w:sz w:val="24"/>
          <w:szCs w:val="24"/>
        </w:rPr>
        <w:t>(Straw and Michael</w:t>
      </w:r>
      <w:r>
        <w:rPr>
          <w:sz w:val="24"/>
          <w:szCs w:val="24"/>
        </w:rPr>
        <w:t xml:space="preserve">, </w:t>
      </w:r>
      <w:r w:rsidRPr="00BF3CCE">
        <w:rPr>
          <w:sz w:val="24"/>
          <w:szCs w:val="24"/>
        </w:rPr>
        <w:t>1996).</w:t>
      </w:r>
      <w:r>
        <w:rPr>
          <w:sz w:val="24"/>
          <w:szCs w:val="24"/>
        </w:rPr>
        <w:t xml:space="preserve"> Decades have </w:t>
      </w:r>
      <w:proofErr w:type="spellStart"/>
      <w:r>
        <w:rPr>
          <w:sz w:val="24"/>
          <w:szCs w:val="24"/>
        </w:rPr>
        <w:t>past</w:t>
      </w:r>
      <w:proofErr w:type="spellEnd"/>
      <w:r>
        <w:rPr>
          <w:sz w:val="24"/>
          <w:szCs w:val="24"/>
        </w:rPr>
        <w:t xml:space="preserve"> since early intervention was a concept, but opinion is split on its effectiveness. To answer the question of “</w:t>
      </w:r>
      <w:r w:rsidRPr="00BD5757">
        <w:rPr>
          <w:sz w:val="24"/>
          <w:szCs w:val="24"/>
        </w:rPr>
        <w:t>Is early intervention an effective means of preventing young people from offending?</w:t>
      </w:r>
      <w:r>
        <w:rPr>
          <w:sz w:val="24"/>
          <w:szCs w:val="24"/>
        </w:rPr>
        <w:t>”, will require explaining victim theories and what factors push a young person to offending. Followed by analysing both sides of the argument to its effectiveness in society as a tool for preventing young people entering the youth justice system.</w:t>
      </w:r>
    </w:p>
    <w:p w14:paraId="6CDC6BBC" w14:textId="77777777" w:rsidR="00BA57D4" w:rsidRDefault="00BA57D4" w:rsidP="00BA57D4">
      <w:pPr>
        <w:spacing w:line="360" w:lineRule="auto"/>
        <w:jc w:val="both"/>
        <w:rPr>
          <w:sz w:val="24"/>
          <w:szCs w:val="24"/>
        </w:rPr>
      </w:pPr>
      <w:r>
        <w:rPr>
          <w:sz w:val="24"/>
          <w:szCs w:val="24"/>
        </w:rPr>
        <w:t>Victimology focuses on t</w:t>
      </w:r>
      <w:r w:rsidRPr="005C3D22">
        <w:rPr>
          <w:sz w:val="24"/>
          <w:szCs w:val="24"/>
        </w:rPr>
        <w:t xml:space="preserve">hree main theories </w:t>
      </w:r>
      <w:r>
        <w:rPr>
          <w:sz w:val="24"/>
          <w:szCs w:val="24"/>
        </w:rPr>
        <w:t xml:space="preserve">for </w:t>
      </w:r>
      <w:r w:rsidRPr="005C3D22">
        <w:rPr>
          <w:sz w:val="24"/>
          <w:szCs w:val="24"/>
        </w:rPr>
        <w:t xml:space="preserve">the possible circumstances certain ages and groups are more likely to become victims of crime. Each blame different factors relating to lifestyle, society and </w:t>
      </w:r>
      <w:r>
        <w:rPr>
          <w:sz w:val="24"/>
          <w:szCs w:val="24"/>
        </w:rPr>
        <w:t>behaviour</w:t>
      </w:r>
      <w:r w:rsidRPr="005C3D22">
        <w:rPr>
          <w:sz w:val="24"/>
          <w:szCs w:val="24"/>
        </w:rPr>
        <w:t xml:space="preserve"> pull</w:t>
      </w:r>
      <w:r>
        <w:rPr>
          <w:sz w:val="24"/>
          <w:szCs w:val="24"/>
        </w:rPr>
        <w:t>ing</w:t>
      </w:r>
      <w:r w:rsidRPr="005C3D22">
        <w:rPr>
          <w:sz w:val="24"/>
          <w:szCs w:val="24"/>
        </w:rPr>
        <w:t xml:space="preserve"> an individual into a vulnerable state.</w:t>
      </w:r>
    </w:p>
    <w:p w14:paraId="5F1DFB2A" w14:textId="77777777" w:rsidR="00BA57D4" w:rsidRDefault="00BA57D4" w:rsidP="00BA57D4">
      <w:pPr>
        <w:pStyle w:val="ListParagraph"/>
        <w:numPr>
          <w:ilvl w:val="0"/>
          <w:numId w:val="10"/>
        </w:numPr>
        <w:spacing w:line="360" w:lineRule="auto"/>
        <w:jc w:val="both"/>
        <w:rPr>
          <w:sz w:val="24"/>
          <w:szCs w:val="24"/>
        </w:rPr>
      </w:pPr>
      <w:r w:rsidRPr="00C41CF2">
        <w:rPr>
          <w:sz w:val="24"/>
          <w:szCs w:val="24"/>
        </w:rPr>
        <w:t>Lifestyle Exposure Theory focuses on the individual’s choice to participate in a high-risk lifestyle, increasing the chances they will encounter potential offenders who undertake similar activities, in turn drawing them to crime. This theory disregards wider factors such as crime existing in everyday society and puts the blame on the individual’s lifestyle.</w:t>
      </w:r>
    </w:p>
    <w:p w14:paraId="1C395B71" w14:textId="77777777" w:rsidR="00BA57D4" w:rsidRDefault="00BA57D4" w:rsidP="00BA57D4">
      <w:pPr>
        <w:pStyle w:val="ListParagraph"/>
        <w:numPr>
          <w:ilvl w:val="0"/>
          <w:numId w:val="10"/>
        </w:numPr>
        <w:spacing w:line="360" w:lineRule="auto"/>
        <w:jc w:val="both"/>
        <w:rPr>
          <w:sz w:val="24"/>
          <w:szCs w:val="24"/>
        </w:rPr>
      </w:pPr>
      <w:r w:rsidRPr="00C41CF2">
        <w:rPr>
          <w:sz w:val="24"/>
          <w:szCs w:val="24"/>
        </w:rPr>
        <w:t>Routine Activities Theory that puts forward the idea crime is a part of everyday life and therefore even if an individual does not seek crime, they will encounter offenders eventually. Placing the blame on the absence of a capable guardian to mitigate and discourage such behaviour.</w:t>
      </w:r>
    </w:p>
    <w:p w14:paraId="5F75C814" w14:textId="77777777" w:rsidR="00BA57D4" w:rsidRPr="00C41CF2" w:rsidRDefault="00BA57D4" w:rsidP="00BA57D4">
      <w:pPr>
        <w:pStyle w:val="ListParagraph"/>
        <w:numPr>
          <w:ilvl w:val="0"/>
          <w:numId w:val="10"/>
        </w:numPr>
        <w:spacing w:line="360" w:lineRule="auto"/>
        <w:jc w:val="both"/>
        <w:rPr>
          <w:sz w:val="24"/>
          <w:szCs w:val="24"/>
        </w:rPr>
      </w:pPr>
      <w:r w:rsidRPr="00C41CF2">
        <w:rPr>
          <w:sz w:val="24"/>
          <w:szCs w:val="24"/>
        </w:rPr>
        <w:t>Victim Precipitation Theory suggests it’s the fault of the victim through their behaviour and mindset that draws the attention of offenders, spotting vulnerability in their character through behavioural traits such as aggression and irrational actions. Critics of the theory label it ‘victim blaming’ for putting equal blame on the victim.</w:t>
      </w:r>
      <w:r>
        <w:rPr>
          <w:sz w:val="24"/>
          <w:szCs w:val="24"/>
        </w:rPr>
        <w:t xml:space="preserve"> </w:t>
      </w:r>
      <w:r w:rsidRPr="00C41CF2">
        <w:rPr>
          <w:sz w:val="24"/>
          <w:szCs w:val="24"/>
        </w:rPr>
        <w:t>(McKee, 2024)</w:t>
      </w:r>
    </w:p>
    <w:p w14:paraId="448992CA" w14:textId="2C718F5B" w:rsidR="00BA57D4" w:rsidRDefault="00BA57D4" w:rsidP="00BA57D4">
      <w:pPr>
        <w:spacing w:line="360" w:lineRule="auto"/>
        <w:jc w:val="both"/>
        <w:rPr>
          <w:sz w:val="24"/>
          <w:szCs w:val="24"/>
        </w:rPr>
      </w:pPr>
      <w:r>
        <w:rPr>
          <w:sz w:val="24"/>
          <w:szCs w:val="24"/>
        </w:rPr>
        <w:lastRenderedPageBreak/>
        <w:t xml:space="preserve">A report by the University of Edinburgh concluded childhood experiences involving socioeconomic factors such as poverty, maltreatment and school exclusion lead to frequent offending into adulthood. Out of 4300 participants, a quarter had at least one conviction and those involved in drug use in childhood and having an impulsive personality were more likely to continue offending. In the report Professor Susan McVie highlights </w:t>
      </w:r>
      <w:proofErr w:type="gramStart"/>
      <w:r>
        <w:rPr>
          <w:sz w:val="24"/>
          <w:szCs w:val="24"/>
        </w:rPr>
        <w:t>how</w:t>
      </w:r>
      <w:proofErr w:type="gramEnd"/>
      <w:r>
        <w:rPr>
          <w:sz w:val="24"/>
          <w:szCs w:val="24"/>
        </w:rPr>
        <w:t xml:space="preserve"> early intervention is most effective in preventing offending if it works </w:t>
      </w:r>
      <w:r w:rsidR="00704085">
        <w:rPr>
          <w:sz w:val="24"/>
          <w:szCs w:val="24"/>
        </w:rPr>
        <w:t>in line</w:t>
      </w:r>
      <w:r>
        <w:rPr>
          <w:sz w:val="24"/>
          <w:szCs w:val="24"/>
        </w:rPr>
        <w:t xml:space="preserve"> with a portfolio of policy in areas such as improving educational outcomes, reducing child poverty, accessing health care and increasing financial opportunities. The report concludes “…</w:t>
      </w:r>
      <w:r w:rsidRPr="00720BF7">
        <w:rPr>
          <w:sz w:val="24"/>
          <w:szCs w:val="24"/>
        </w:rPr>
        <w:t>those who come into conflict with the law in childhood and early adulthood, is best</w:t>
      </w:r>
      <w:r>
        <w:rPr>
          <w:sz w:val="24"/>
          <w:szCs w:val="24"/>
        </w:rPr>
        <w:t xml:space="preserve"> </w:t>
      </w:r>
      <w:r w:rsidRPr="00720BF7">
        <w:rPr>
          <w:sz w:val="24"/>
          <w:szCs w:val="24"/>
        </w:rPr>
        <w:t>served by a wider set of institutions and policy frames than criminal justice itself.</w:t>
      </w:r>
      <w:r>
        <w:rPr>
          <w:sz w:val="24"/>
          <w:szCs w:val="24"/>
        </w:rPr>
        <w:t xml:space="preserve">” </w:t>
      </w:r>
      <w:r w:rsidRPr="00720BF7">
        <w:rPr>
          <w:sz w:val="24"/>
          <w:szCs w:val="24"/>
        </w:rPr>
        <w:t>(McAra and McVie, 2022)</w:t>
      </w:r>
    </w:p>
    <w:p w14:paraId="6CD11BF5" w14:textId="77777777" w:rsidR="00BA57D4" w:rsidRDefault="00BA57D4" w:rsidP="00BA57D4">
      <w:pPr>
        <w:spacing w:line="360" w:lineRule="auto"/>
        <w:jc w:val="both"/>
        <w:rPr>
          <w:sz w:val="24"/>
          <w:szCs w:val="24"/>
        </w:rPr>
      </w:pPr>
      <w:r>
        <w:rPr>
          <w:sz w:val="24"/>
          <w:szCs w:val="24"/>
        </w:rPr>
        <w:t xml:space="preserve">Further on the effectiveness of early intervention, Susannah Hancock, Youth Justice Board Member states “there is compelling evidence that shows if we intervene earlier with vulnerable children, then their likelihood of committing an offence is much lower”. </w:t>
      </w:r>
      <w:r w:rsidRPr="0030721A">
        <w:rPr>
          <w:sz w:val="24"/>
          <w:szCs w:val="24"/>
        </w:rPr>
        <w:t>(Hancock, 2023)</w:t>
      </w:r>
      <w:r>
        <w:rPr>
          <w:sz w:val="24"/>
          <w:szCs w:val="24"/>
        </w:rPr>
        <w:t xml:space="preserve"> However, Susannah argues there needs to be change as currently there is a lack of importance in embedding early intervention across systems and practices. Early intervention needs to be a central thought of society and blames “widespread confusion over definitions of early intervention” and “inconsistent practices owing to a lack of central guidance”. </w:t>
      </w:r>
      <w:r w:rsidRPr="0030721A">
        <w:rPr>
          <w:sz w:val="24"/>
          <w:szCs w:val="24"/>
        </w:rPr>
        <w:t>(Hancock, 2023)</w:t>
      </w:r>
    </w:p>
    <w:p w14:paraId="2D2A7845" w14:textId="77777777" w:rsidR="00BA57D4" w:rsidRDefault="00BA57D4" w:rsidP="00BA57D4">
      <w:pPr>
        <w:spacing w:line="360" w:lineRule="auto"/>
        <w:jc w:val="both"/>
        <w:rPr>
          <w:sz w:val="24"/>
          <w:szCs w:val="24"/>
        </w:rPr>
      </w:pPr>
      <w:r w:rsidRPr="00596469">
        <w:rPr>
          <w:sz w:val="24"/>
          <w:szCs w:val="24"/>
        </w:rPr>
        <w:t xml:space="preserve">A pilot conducted of 18 young persons in Manchester resulted in a social worker responsible for implementing an intervention plan finding “a distinct lack of tailored intervention resources available to use to address the specific SOC lifestyles and behaviours.” (Hurley and Boulton, 2021) The pilot </w:t>
      </w:r>
      <w:proofErr w:type="gramStart"/>
      <w:r w:rsidRPr="00596469">
        <w:rPr>
          <w:sz w:val="24"/>
          <w:szCs w:val="24"/>
        </w:rPr>
        <w:t>highlights</w:t>
      </w:r>
      <w:proofErr w:type="gramEnd"/>
      <w:r w:rsidRPr="00596469">
        <w:rPr>
          <w:sz w:val="24"/>
          <w:szCs w:val="24"/>
        </w:rPr>
        <w:t xml:space="preserve"> the failure in providing flexibility to social workers to address unique circumstances a young person might find themselves in. In this case the rigid resources were not helpful and resulted in no positive outcomes being achieved. If early prevention programmes are to have the best possible success,</w:t>
      </w:r>
      <w:r>
        <w:rPr>
          <w:sz w:val="24"/>
          <w:szCs w:val="24"/>
        </w:rPr>
        <w:t xml:space="preserve"> then approaches need to evolve to put the unmet needs of the young person at the centre of the </w:t>
      </w:r>
      <w:proofErr w:type="gramStart"/>
      <w:r>
        <w:rPr>
          <w:sz w:val="24"/>
          <w:szCs w:val="24"/>
        </w:rPr>
        <w:t>decision making</w:t>
      </w:r>
      <w:proofErr w:type="gramEnd"/>
      <w:r>
        <w:rPr>
          <w:sz w:val="24"/>
          <w:szCs w:val="24"/>
        </w:rPr>
        <w:t xml:space="preserve"> process.</w:t>
      </w:r>
    </w:p>
    <w:p w14:paraId="5154C90E" w14:textId="77777777" w:rsidR="00BA57D4" w:rsidRDefault="00BA57D4" w:rsidP="00BA57D4">
      <w:pPr>
        <w:spacing w:line="360" w:lineRule="auto"/>
        <w:jc w:val="both"/>
        <w:rPr>
          <w:sz w:val="24"/>
          <w:szCs w:val="24"/>
        </w:rPr>
      </w:pPr>
      <w:r>
        <w:rPr>
          <w:sz w:val="24"/>
          <w:szCs w:val="24"/>
        </w:rPr>
        <w:t xml:space="preserve">Critics of early intervention sound alarm to the concept as Barry Goldson highlights. Early intervention attempts to prevent what a young person might do and not what they have done, effectively labelling them. Intervention by the state can be actioned without a crime being </w:t>
      </w:r>
      <w:r>
        <w:rPr>
          <w:sz w:val="24"/>
          <w:szCs w:val="24"/>
        </w:rPr>
        <w:lastRenderedPageBreak/>
        <w:t xml:space="preserve">committed, instead basing upon an assumption of character or lifestyle as a potential failure or posing a risk. Leading to terms such as ‘potential offender’ and ‘crime prone’ being placed upon a young person without a law being broken. </w:t>
      </w:r>
      <w:r w:rsidRPr="00B53909">
        <w:rPr>
          <w:sz w:val="24"/>
          <w:szCs w:val="24"/>
        </w:rPr>
        <w:t>(Goldson, 2019)</w:t>
      </w:r>
    </w:p>
    <w:p w14:paraId="3CB1FDB2" w14:textId="77777777" w:rsidR="00BA57D4" w:rsidRDefault="00BA57D4" w:rsidP="00BA57D4">
      <w:pPr>
        <w:spacing w:line="360" w:lineRule="auto"/>
        <w:jc w:val="both"/>
        <w:rPr>
          <w:sz w:val="24"/>
          <w:szCs w:val="24"/>
        </w:rPr>
      </w:pPr>
      <w:r>
        <w:rPr>
          <w:sz w:val="24"/>
          <w:szCs w:val="24"/>
        </w:rPr>
        <w:t>Maggie Blyth also adds to the Goldson’s point by describing early intervention as a form of proportional punishment. Compliance is forced through a court order, preventing parents and guardians from having a voice in return to such decisions. Further, targeted prevention is merely about achieving policy agendas and targets linked to state level bodies involved in youth crime, education attainment and health risk-based behaviour. (Blyth, 2008)</w:t>
      </w:r>
    </w:p>
    <w:p w14:paraId="135E66D1" w14:textId="77777777" w:rsidR="00BA57D4" w:rsidRDefault="00BA57D4" w:rsidP="00BA57D4">
      <w:pPr>
        <w:spacing w:line="360" w:lineRule="auto"/>
        <w:jc w:val="both"/>
        <w:rPr>
          <w:sz w:val="24"/>
          <w:szCs w:val="24"/>
        </w:rPr>
      </w:pPr>
      <w:r>
        <w:rPr>
          <w:sz w:val="24"/>
          <w:szCs w:val="24"/>
        </w:rPr>
        <w:t>To conclude, early intervention was established to clamp down on bad youth behaviour and bring positive outcomes to those identified as at risk. Critics such as Goldson argue it unfairly penalises young people and places negative labels upon them when innocence is still the case. As a standalone policy, it fails to bring effective outcomes as each case is complex and requires wider society to cooperate, as Hancock identifies at present there is a lack of importance across systems. This coincides with the opinion of Blyth who claims prevention is merely about achieving policy agendas and targets. Additionally, it’s been highlighted the importance of stopping bad outcomes as the earliest opportunity as a single offence can snowball into a venomous cycle of crime. The benefits of preventing such outcomes can be seen not just for the individual but wider society as less people become victims of crime, society is safer and public body resources are spent in other problematic areas.</w:t>
      </w:r>
    </w:p>
    <w:p w14:paraId="4CC17F4C" w14:textId="111E425D" w:rsidR="00C92045" w:rsidRPr="003525F3" w:rsidRDefault="00C92045" w:rsidP="00596469">
      <w:pPr>
        <w:jc w:val="both"/>
        <w:rPr>
          <w:sz w:val="24"/>
          <w:szCs w:val="24"/>
        </w:rPr>
      </w:pPr>
      <w:r>
        <w:br w:type="page"/>
      </w:r>
    </w:p>
    <w:p w14:paraId="05F33807" w14:textId="26377912" w:rsidR="002846E5" w:rsidRDefault="00704085" w:rsidP="00704085">
      <w:pPr>
        <w:pStyle w:val="Heading1"/>
      </w:pPr>
      <w:bookmarkStart w:id="3" w:name="_Toc170748127"/>
      <w:r>
        <w:lastRenderedPageBreak/>
        <w:t>How effectively has policing adapted to accommodate diversity within the UK?</w:t>
      </w:r>
      <w:bookmarkEnd w:id="3"/>
    </w:p>
    <w:p w14:paraId="65CBC2D0" w14:textId="77777777" w:rsidR="00704085" w:rsidRPr="00704085" w:rsidRDefault="00704085" w:rsidP="00704085"/>
    <w:p w14:paraId="61E5191D" w14:textId="77777777" w:rsidR="00864D73" w:rsidRPr="00A74A5D" w:rsidRDefault="00864D73" w:rsidP="00864D73">
      <w:pPr>
        <w:spacing w:line="360" w:lineRule="auto"/>
        <w:jc w:val="both"/>
        <w:rPr>
          <w:sz w:val="24"/>
          <w:szCs w:val="24"/>
        </w:rPr>
      </w:pPr>
      <w:r w:rsidRPr="006F7E06">
        <w:rPr>
          <w:sz w:val="24"/>
          <w:szCs w:val="24"/>
        </w:rPr>
        <w:t>Policing in modern society has been trying to appeal to communities from diverse backgrounds and minority groups who historically have been underrepresented in policing itself or through the lack of training and education in understanding diversity and inclusion. In this age everyone should feel represented by their local police force through the officers it employs and the community activities and attitudes it holds. A failure to do so can lead to a strained relationship with the local police force through mistrust as the community struggles to connect with those they do not see as themselves.</w:t>
      </w:r>
    </w:p>
    <w:p w14:paraId="2D015ADB" w14:textId="77777777" w:rsidR="00864D73" w:rsidRDefault="00864D73" w:rsidP="00864D73">
      <w:pPr>
        <w:spacing w:line="360" w:lineRule="auto"/>
        <w:jc w:val="both"/>
        <w:rPr>
          <w:sz w:val="24"/>
          <w:szCs w:val="24"/>
        </w:rPr>
      </w:pPr>
      <w:r>
        <w:rPr>
          <w:sz w:val="24"/>
          <w:szCs w:val="24"/>
        </w:rPr>
        <w:t xml:space="preserve">The importance of a diverse police force can be summarised by the word ‘trust’. The chances of crimes being solved greatly increase with the support of the public. If trust isn’t there, people don’t come forward with evidence and information, leading to investigations becoming harder. A community that sees officers as their own (members of their community), are more likely to have a positive relationship as they feel it represents them as a collective. </w:t>
      </w:r>
      <w:r w:rsidRPr="00C4668C">
        <w:rPr>
          <w:sz w:val="24"/>
          <w:szCs w:val="24"/>
        </w:rPr>
        <w:t>(Munro, n.d.)</w:t>
      </w:r>
    </w:p>
    <w:p w14:paraId="28075DED" w14:textId="77777777" w:rsidR="00864D73" w:rsidRDefault="00864D73" w:rsidP="00864D73">
      <w:pPr>
        <w:spacing w:line="360" w:lineRule="auto"/>
        <w:jc w:val="both"/>
        <w:rPr>
          <w:sz w:val="24"/>
          <w:szCs w:val="24"/>
        </w:rPr>
      </w:pPr>
      <w:r w:rsidRPr="00A74A5D">
        <w:rPr>
          <w:sz w:val="24"/>
          <w:szCs w:val="24"/>
        </w:rPr>
        <w:t>Applying the Code of Ethics to diversity and inclusion in policing promotes respect and empathy and ensures individuals are</w:t>
      </w:r>
      <w:r>
        <w:rPr>
          <w:sz w:val="24"/>
          <w:szCs w:val="24"/>
        </w:rPr>
        <w:t xml:space="preserve"> not</w:t>
      </w:r>
      <w:r w:rsidRPr="00A74A5D">
        <w:rPr>
          <w:sz w:val="24"/>
          <w:szCs w:val="24"/>
        </w:rPr>
        <w:t xml:space="preserve"> treated</w:t>
      </w:r>
      <w:r>
        <w:rPr>
          <w:sz w:val="24"/>
          <w:szCs w:val="24"/>
        </w:rPr>
        <w:t xml:space="preserve"> differently</w:t>
      </w:r>
      <w:r w:rsidRPr="00A74A5D">
        <w:rPr>
          <w:sz w:val="24"/>
          <w:szCs w:val="24"/>
        </w:rPr>
        <w:t xml:space="preserve"> from the unique circumstances they find themselves in regardless of their religion, ethnicity or sexual orientation. “In ensuring that everyone is treated equally and fairly, regardless of background or circumstance, we recognise the need to tailor our response to ensure that we are being responsive to individual needs…” (College Police, 2024)</w:t>
      </w:r>
      <w:r>
        <w:rPr>
          <w:sz w:val="24"/>
          <w:szCs w:val="24"/>
        </w:rPr>
        <w:t xml:space="preserve"> </w:t>
      </w:r>
    </w:p>
    <w:p w14:paraId="3DAB02D2" w14:textId="77777777" w:rsidR="00864D73" w:rsidRDefault="00864D73" w:rsidP="00864D73">
      <w:pPr>
        <w:spacing w:line="360" w:lineRule="auto"/>
        <w:jc w:val="both"/>
        <w:rPr>
          <w:sz w:val="24"/>
          <w:szCs w:val="24"/>
        </w:rPr>
      </w:pPr>
      <w:r w:rsidRPr="00A74A5D">
        <w:rPr>
          <w:sz w:val="24"/>
          <w:szCs w:val="24"/>
        </w:rPr>
        <w:t>Patrick Johnson, Director of Equality and Inclusion at the University of Law</w:t>
      </w:r>
      <w:r>
        <w:rPr>
          <w:sz w:val="24"/>
          <w:szCs w:val="24"/>
        </w:rPr>
        <w:t>, summaries the issue of diversity and inclusion in modern day policing as having significant work to do to “fully represent the communities they serve”. As diversity is not a simple issue, there is no quick fix. Johnson addresses the community issue of underrepresented police forces, “</w:t>
      </w:r>
      <w:r w:rsidRPr="007C2265">
        <w:rPr>
          <w:sz w:val="24"/>
          <w:szCs w:val="24"/>
        </w:rPr>
        <w:t>there must be a focus on identifying those areas where people are disengaged with their police force</w:t>
      </w:r>
      <w:r>
        <w:rPr>
          <w:sz w:val="24"/>
          <w:szCs w:val="24"/>
        </w:rPr>
        <w:t xml:space="preserve">”. Positive relationships can only begin to be improved when issues of lack of trust are identified. Pointing to the importance of improving recruitment practises in helping to ensure those from </w:t>
      </w:r>
      <w:r>
        <w:rPr>
          <w:sz w:val="24"/>
          <w:szCs w:val="24"/>
        </w:rPr>
        <w:lastRenderedPageBreak/>
        <w:t xml:space="preserve">underrepresented groups not only join the force but are promoted into senior positions. </w:t>
      </w:r>
      <w:r w:rsidRPr="00A74A5D">
        <w:rPr>
          <w:sz w:val="24"/>
          <w:szCs w:val="24"/>
        </w:rPr>
        <w:t>(Carruthers, 2023)</w:t>
      </w:r>
    </w:p>
    <w:p w14:paraId="64981531" w14:textId="77777777" w:rsidR="00864D73" w:rsidRDefault="00864D73" w:rsidP="00864D73">
      <w:pPr>
        <w:spacing w:line="360" w:lineRule="auto"/>
        <w:jc w:val="both"/>
        <w:rPr>
          <w:sz w:val="24"/>
          <w:szCs w:val="24"/>
        </w:rPr>
      </w:pPr>
      <w:r>
        <w:rPr>
          <w:sz w:val="24"/>
          <w:szCs w:val="24"/>
        </w:rPr>
        <w:t xml:space="preserve">Data from the Office of National Statistics (ONS) between 2007 and 2022 recorded an increase in the percentage in each minority ethnic group (Asian, black mixed and other) of serving police officers. The single biggest increase was for ethnic Asian police officers (1.5% to 3.7%). </w:t>
      </w:r>
      <w:r w:rsidRPr="001670BC">
        <w:rPr>
          <w:sz w:val="24"/>
          <w:szCs w:val="24"/>
        </w:rPr>
        <w:t>(GOV.UK, 2023)</w:t>
      </w:r>
      <w:r>
        <w:rPr>
          <w:sz w:val="24"/>
          <w:szCs w:val="24"/>
        </w:rPr>
        <w:t xml:space="preserve"> Highlighted in the graph, Asian recruitment has the biggest steepest upward trajectory whereas black and ‘other’ ethnic groups </w:t>
      </w:r>
      <w:proofErr w:type="gramStart"/>
      <w:r>
        <w:rPr>
          <w:sz w:val="24"/>
          <w:szCs w:val="24"/>
        </w:rPr>
        <w:t>has</w:t>
      </w:r>
      <w:proofErr w:type="gramEnd"/>
      <w:r>
        <w:rPr>
          <w:sz w:val="24"/>
          <w:szCs w:val="24"/>
        </w:rPr>
        <w:t xml:space="preserve"> seen little growth in the 15 year period.</w:t>
      </w:r>
    </w:p>
    <w:p w14:paraId="3971F003" w14:textId="77777777" w:rsidR="00864D73" w:rsidRDefault="00864D73" w:rsidP="00864D73">
      <w:pPr>
        <w:keepNext/>
        <w:jc w:val="both"/>
      </w:pPr>
      <w:r>
        <w:rPr>
          <w:noProof/>
          <w:sz w:val="24"/>
          <w:szCs w:val="24"/>
        </w:rPr>
        <w:drawing>
          <wp:inline distT="0" distB="0" distL="0" distR="0" wp14:anchorId="5886553F" wp14:editId="39BE618E">
            <wp:extent cx="5715000" cy="3810000"/>
            <wp:effectExtent l="0" t="0" r="0" b="0"/>
            <wp:docPr id="1396034853" name="Picture 1"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034853" name="Picture 1" descr="A graph of different colored line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3810000"/>
                    </a:xfrm>
                    <a:prstGeom prst="rect">
                      <a:avLst/>
                    </a:prstGeom>
                    <a:noFill/>
                    <a:ln>
                      <a:noFill/>
                    </a:ln>
                  </pic:spPr>
                </pic:pic>
              </a:graphicData>
            </a:graphic>
          </wp:inline>
        </w:drawing>
      </w:r>
    </w:p>
    <w:p w14:paraId="63117C8D" w14:textId="77777777" w:rsidR="00864D73" w:rsidRDefault="00864D73" w:rsidP="00864D73">
      <w:pPr>
        <w:pStyle w:val="Caption"/>
        <w:jc w:val="both"/>
        <w:rPr>
          <w:b/>
          <w:bCs/>
          <w:color w:val="auto"/>
        </w:rPr>
      </w:pPr>
      <w:r w:rsidRPr="001B0BA5">
        <w:rPr>
          <w:b/>
          <w:bCs/>
          <w:color w:val="auto"/>
        </w:rPr>
        <w:t xml:space="preserve">Figure </w:t>
      </w:r>
      <w:r w:rsidRPr="001B0BA5">
        <w:rPr>
          <w:b/>
          <w:bCs/>
          <w:color w:val="auto"/>
        </w:rPr>
        <w:fldChar w:fldCharType="begin"/>
      </w:r>
      <w:r w:rsidRPr="001B0BA5">
        <w:rPr>
          <w:b/>
          <w:bCs/>
          <w:color w:val="auto"/>
        </w:rPr>
        <w:instrText xml:space="preserve"> SEQ Figure \* ARABIC </w:instrText>
      </w:r>
      <w:r w:rsidRPr="001B0BA5">
        <w:rPr>
          <w:b/>
          <w:bCs/>
          <w:color w:val="auto"/>
        </w:rPr>
        <w:fldChar w:fldCharType="separate"/>
      </w:r>
      <w:r>
        <w:rPr>
          <w:b/>
          <w:bCs/>
          <w:noProof/>
          <w:color w:val="auto"/>
        </w:rPr>
        <w:t>1</w:t>
      </w:r>
      <w:r w:rsidRPr="001B0BA5">
        <w:rPr>
          <w:b/>
          <w:bCs/>
          <w:color w:val="auto"/>
        </w:rPr>
        <w:fldChar w:fldCharType="end"/>
      </w:r>
      <w:r w:rsidRPr="001B0BA5">
        <w:rPr>
          <w:b/>
          <w:bCs/>
          <w:color w:val="auto"/>
        </w:rPr>
        <w:t>: Percentage of police officers by ethnicity (2007 to 2020)</w:t>
      </w:r>
    </w:p>
    <w:p w14:paraId="30E428C8" w14:textId="77777777" w:rsidR="00864D73" w:rsidRPr="00864D73" w:rsidRDefault="00864D73" w:rsidP="00864D73">
      <w:pPr>
        <w:spacing w:line="360" w:lineRule="auto"/>
        <w:jc w:val="both"/>
        <w:rPr>
          <w:sz w:val="24"/>
          <w:szCs w:val="24"/>
        </w:rPr>
      </w:pPr>
      <w:r w:rsidRPr="00864D73">
        <w:rPr>
          <w:sz w:val="24"/>
          <w:szCs w:val="24"/>
        </w:rPr>
        <w:t>A closer look at the data between 2021 to 2022, shows each minority ethnic group had an increase in the yearly period. The most being Asian with 0.3%, followed by mixed with 0.2% and ‘other’ at 0.1%. The only ethnic group not to see an increase was black, remaining at 1.3% of total police officers. (GOV.UK, 2023)</w:t>
      </w:r>
    </w:p>
    <w:p w14:paraId="3BFD484A" w14:textId="77777777" w:rsidR="00864D73" w:rsidRDefault="00864D73" w:rsidP="00864D73">
      <w:pPr>
        <w:keepNext/>
        <w:jc w:val="both"/>
      </w:pPr>
      <w:r>
        <w:rPr>
          <w:noProof/>
        </w:rPr>
        <w:lastRenderedPageBreak/>
        <w:drawing>
          <wp:inline distT="0" distB="0" distL="0" distR="0" wp14:anchorId="5CCA5578" wp14:editId="57B155F5">
            <wp:extent cx="5715000" cy="3810000"/>
            <wp:effectExtent l="0" t="0" r="0" b="0"/>
            <wp:docPr id="1604346317" name="Picture 2" descr="A graph of blue bars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346317" name="Picture 2" descr="A graph of blue bars with numbers and text&#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5000" cy="3810000"/>
                    </a:xfrm>
                    <a:prstGeom prst="rect">
                      <a:avLst/>
                    </a:prstGeom>
                    <a:noFill/>
                    <a:ln>
                      <a:noFill/>
                    </a:ln>
                  </pic:spPr>
                </pic:pic>
              </a:graphicData>
            </a:graphic>
          </wp:inline>
        </w:drawing>
      </w:r>
    </w:p>
    <w:p w14:paraId="7ECB0B3B" w14:textId="77777777" w:rsidR="00864D73" w:rsidRPr="00B04668" w:rsidRDefault="00864D73" w:rsidP="00864D73">
      <w:pPr>
        <w:pStyle w:val="Caption"/>
        <w:jc w:val="both"/>
        <w:rPr>
          <w:b/>
          <w:bCs/>
          <w:color w:val="auto"/>
        </w:rPr>
      </w:pPr>
      <w:r w:rsidRPr="00B04668">
        <w:rPr>
          <w:b/>
          <w:bCs/>
          <w:color w:val="auto"/>
        </w:rPr>
        <w:t xml:space="preserve">Figure </w:t>
      </w:r>
      <w:r w:rsidRPr="00B04668">
        <w:rPr>
          <w:b/>
          <w:bCs/>
          <w:color w:val="auto"/>
        </w:rPr>
        <w:fldChar w:fldCharType="begin"/>
      </w:r>
      <w:r w:rsidRPr="00B04668">
        <w:rPr>
          <w:b/>
          <w:bCs/>
          <w:color w:val="auto"/>
        </w:rPr>
        <w:instrText xml:space="preserve"> SEQ Figure \* ARABIC </w:instrText>
      </w:r>
      <w:r w:rsidRPr="00B04668">
        <w:rPr>
          <w:b/>
          <w:bCs/>
          <w:color w:val="auto"/>
        </w:rPr>
        <w:fldChar w:fldCharType="separate"/>
      </w:r>
      <w:r w:rsidRPr="00B04668">
        <w:rPr>
          <w:b/>
          <w:bCs/>
          <w:noProof/>
          <w:color w:val="auto"/>
        </w:rPr>
        <w:t>2</w:t>
      </w:r>
      <w:r w:rsidRPr="00B04668">
        <w:rPr>
          <w:b/>
          <w:bCs/>
          <w:color w:val="auto"/>
        </w:rPr>
        <w:fldChar w:fldCharType="end"/>
      </w:r>
      <w:r w:rsidRPr="00B04668">
        <w:rPr>
          <w:b/>
          <w:bCs/>
          <w:color w:val="auto"/>
        </w:rPr>
        <w:t xml:space="preserve"> Percentage of police officers by ethnicity (2021 to 2022)</w:t>
      </w:r>
    </w:p>
    <w:p w14:paraId="4E7ADA28" w14:textId="77777777" w:rsidR="00864D73" w:rsidRDefault="00864D73" w:rsidP="00864D73">
      <w:pPr>
        <w:spacing w:line="360" w:lineRule="auto"/>
        <w:jc w:val="both"/>
        <w:rPr>
          <w:sz w:val="24"/>
          <w:szCs w:val="24"/>
        </w:rPr>
      </w:pPr>
      <w:r>
        <w:rPr>
          <w:sz w:val="24"/>
          <w:szCs w:val="24"/>
        </w:rPr>
        <w:t>The Police Race Action plan is policy</w:t>
      </w:r>
      <w:r w:rsidRPr="00A74A5D">
        <w:rPr>
          <w:sz w:val="24"/>
          <w:szCs w:val="24"/>
        </w:rPr>
        <w:t xml:space="preserve"> aimed at improving outcomes for </w:t>
      </w:r>
      <w:r>
        <w:rPr>
          <w:sz w:val="24"/>
          <w:szCs w:val="24"/>
        </w:rPr>
        <w:t>the black community</w:t>
      </w:r>
      <w:r w:rsidRPr="00A74A5D">
        <w:rPr>
          <w:sz w:val="24"/>
          <w:szCs w:val="24"/>
        </w:rPr>
        <w:t>. The policy is specifically for improving outcomes for black people who work or interact with policing. The two overarching aims of the policy are to address inequality in the black community and promote a level increased level of trust and confidence in policing. Although change has resulted in improvements to racism in the police and society through building a more representative service, Chief Constables, Andy Marsh and Sir David Thompson write,</w:t>
      </w:r>
    </w:p>
    <w:p w14:paraId="5A1016F5" w14:textId="77777777" w:rsidR="00864D73" w:rsidRDefault="00864D73" w:rsidP="00864D73">
      <w:pPr>
        <w:spacing w:line="360" w:lineRule="auto"/>
        <w:ind w:left="720"/>
        <w:jc w:val="both"/>
        <w:rPr>
          <w:sz w:val="24"/>
          <w:szCs w:val="24"/>
        </w:rPr>
      </w:pPr>
      <w:r w:rsidRPr="00A74A5D">
        <w:rPr>
          <w:sz w:val="24"/>
          <w:szCs w:val="24"/>
        </w:rPr>
        <w:t xml:space="preserve">“Policing </w:t>
      </w:r>
      <w:proofErr w:type="gramStart"/>
      <w:r w:rsidRPr="00A74A5D">
        <w:rPr>
          <w:sz w:val="24"/>
          <w:szCs w:val="24"/>
        </w:rPr>
        <w:t>lags behind</w:t>
      </w:r>
      <w:proofErr w:type="gramEnd"/>
      <w:r w:rsidRPr="00A74A5D">
        <w:rPr>
          <w:sz w:val="24"/>
          <w:szCs w:val="24"/>
        </w:rPr>
        <w:t xml:space="preserve"> almost every part of the public service as an employer of choice for Black people. Confidence levels are much lower, and our powers are disproportionately applied to Black people.” (College of Policing, 2022)</w:t>
      </w:r>
    </w:p>
    <w:p w14:paraId="364D9A75" w14:textId="77777777" w:rsidR="00864D73" w:rsidRPr="00A74A5D" w:rsidRDefault="00864D73" w:rsidP="00864D73">
      <w:pPr>
        <w:spacing w:line="360" w:lineRule="auto"/>
        <w:jc w:val="both"/>
        <w:rPr>
          <w:sz w:val="24"/>
          <w:szCs w:val="24"/>
        </w:rPr>
      </w:pPr>
      <w:r w:rsidRPr="00A74A5D">
        <w:rPr>
          <w:sz w:val="24"/>
          <w:szCs w:val="24"/>
        </w:rPr>
        <w:t>This implies policing can go significantly further in appealing to minority groups as a potential employer for future generations and education and training programmes are important to understanding the mindset of communities who have a natural distrust to the police.</w:t>
      </w:r>
    </w:p>
    <w:p w14:paraId="5A2B5218" w14:textId="77777777" w:rsidR="00864D73" w:rsidRDefault="00864D73" w:rsidP="00864D73">
      <w:pPr>
        <w:spacing w:line="360" w:lineRule="auto"/>
        <w:jc w:val="both"/>
        <w:rPr>
          <w:sz w:val="24"/>
          <w:szCs w:val="24"/>
        </w:rPr>
      </w:pPr>
      <w:r>
        <w:rPr>
          <w:sz w:val="24"/>
          <w:szCs w:val="24"/>
        </w:rPr>
        <w:t>To conclude, i</w:t>
      </w:r>
      <w:r w:rsidRPr="00A74A5D">
        <w:rPr>
          <w:sz w:val="24"/>
          <w:szCs w:val="24"/>
        </w:rPr>
        <w:t xml:space="preserve">t’s </w:t>
      </w:r>
      <w:r>
        <w:rPr>
          <w:sz w:val="24"/>
          <w:szCs w:val="24"/>
        </w:rPr>
        <w:t xml:space="preserve">not </w:t>
      </w:r>
      <w:r w:rsidRPr="00A74A5D">
        <w:rPr>
          <w:sz w:val="24"/>
          <w:szCs w:val="24"/>
        </w:rPr>
        <w:t>clear policing has improved its attitude to diversity and inclusion through a combination policies</w:t>
      </w:r>
      <w:r>
        <w:rPr>
          <w:sz w:val="24"/>
          <w:szCs w:val="24"/>
        </w:rPr>
        <w:t xml:space="preserve"> and</w:t>
      </w:r>
      <w:r w:rsidRPr="00A74A5D">
        <w:rPr>
          <w:sz w:val="24"/>
          <w:szCs w:val="24"/>
        </w:rPr>
        <w:t xml:space="preserve"> training initiatives</w:t>
      </w:r>
      <w:r>
        <w:rPr>
          <w:sz w:val="24"/>
          <w:szCs w:val="24"/>
        </w:rPr>
        <w:t xml:space="preserve">. Data from the ONS points to mixed success for </w:t>
      </w:r>
      <w:r>
        <w:rPr>
          <w:sz w:val="24"/>
          <w:szCs w:val="24"/>
        </w:rPr>
        <w:lastRenderedPageBreak/>
        <w:t>recruitment programmes. The Asian minority group in the period between 2007 to 2022 grew by 2.2% but black and other minorities saw little improvement.</w:t>
      </w:r>
    </w:p>
    <w:p w14:paraId="5A0D3F0A" w14:textId="4AF94985" w:rsidR="00067630" w:rsidRDefault="00864D73" w:rsidP="00864D73">
      <w:pPr>
        <w:spacing w:line="360" w:lineRule="auto"/>
        <w:jc w:val="both"/>
      </w:pPr>
      <w:r>
        <w:rPr>
          <w:sz w:val="24"/>
          <w:szCs w:val="24"/>
        </w:rPr>
        <w:t>H</w:t>
      </w:r>
      <w:r w:rsidRPr="00A74A5D">
        <w:rPr>
          <w:sz w:val="24"/>
          <w:szCs w:val="24"/>
        </w:rPr>
        <w:t>as the original aim of such actions resulted in corresponding success? John Kerr, Head of Policing and Criminology at the University of Law summaries the issue of, do constabularies truly represent the communities they serve? “As it stands currently, there is still significant work to be done to ensure constabularies fully represent the communities they serve.” (Carruthers, 2023) Policing must continue along the path to establishing truly representative forces of the local population. Because of historic events against minority groups and the cultural differences each hold, it is vital diversity and inclusion is at the heart of growing to establish high levels of trust and confidence which in turn results in benefits for both parties.</w:t>
      </w:r>
      <w:r w:rsidR="00067630">
        <w:br w:type="page"/>
      </w:r>
    </w:p>
    <w:p w14:paraId="30F63E17" w14:textId="40C007F5" w:rsidR="00F048CE" w:rsidRPr="0020218A" w:rsidRDefault="00F048CE" w:rsidP="0020218A">
      <w:pPr>
        <w:pStyle w:val="Heading1"/>
        <w:rPr>
          <w:b/>
          <w:bCs/>
          <w:u w:val="single"/>
        </w:rPr>
      </w:pPr>
      <w:bookmarkStart w:id="4" w:name="_Toc170748128"/>
      <w:r>
        <w:rPr>
          <w:sz w:val="36"/>
          <w:szCs w:val="36"/>
        </w:rPr>
        <w:lastRenderedPageBreak/>
        <w:t>Reference list</w:t>
      </w:r>
      <w:bookmarkEnd w:id="4"/>
    </w:p>
    <w:p w14:paraId="0A29F683" w14:textId="77777777" w:rsidR="00F048CE" w:rsidRDefault="00F048CE" w:rsidP="00F048CE"/>
    <w:p w14:paraId="7D41E265" w14:textId="77777777" w:rsidR="00224158" w:rsidRDefault="00BB0EC8" w:rsidP="00224158">
      <w:pPr>
        <w:spacing w:line="360" w:lineRule="auto"/>
        <w:rPr>
          <w:rFonts w:cstheme="minorHAnsi"/>
          <w:sz w:val="24"/>
          <w:szCs w:val="24"/>
        </w:rPr>
      </w:pPr>
      <w:r w:rsidRPr="00224158">
        <w:rPr>
          <w:rFonts w:cstheme="minorHAnsi"/>
          <w:sz w:val="24"/>
          <w:szCs w:val="24"/>
        </w:rPr>
        <w:t xml:space="preserve">Armstrong, T.A., Boisvert, D.L., Wells, J., Lewis, R.H., Cooke, E.M., Woeckener, M., Kavish, N., </w:t>
      </w:r>
      <w:proofErr w:type="spellStart"/>
      <w:r w:rsidRPr="00224158">
        <w:rPr>
          <w:rFonts w:cstheme="minorHAnsi"/>
          <w:sz w:val="24"/>
          <w:szCs w:val="24"/>
        </w:rPr>
        <w:t>Vietto</w:t>
      </w:r>
      <w:proofErr w:type="spellEnd"/>
      <w:r w:rsidRPr="00224158">
        <w:rPr>
          <w:rFonts w:cstheme="minorHAnsi"/>
          <w:sz w:val="24"/>
          <w:szCs w:val="24"/>
        </w:rPr>
        <w:t>, N. and Harper, J.M., 2022. Testosterone, cortisol, and criminal behaviour in men and women. Hormones and behaviour, 146, p.105260.</w:t>
      </w:r>
    </w:p>
    <w:p w14:paraId="21A37082" w14:textId="77777777" w:rsidR="00224158" w:rsidRDefault="00762448" w:rsidP="00224158">
      <w:pPr>
        <w:spacing w:line="360" w:lineRule="auto"/>
        <w:rPr>
          <w:rFonts w:cstheme="minorHAnsi"/>
          <w:sz w:val="24"/>
          <w:szCs w:val="24"/>
        </w:rPr>
      </w:pPr>
      <w:r w:rsidRPr="00224158">
        <w:rPr>
          <w:rFonts w:cstheme="minorHAnsi"/>
          <w:sz w:val="24"/>
          <w:szCs w:val="24"/>
        </w:rPr>
        <w:t xml:space="preserve">Ashton, S.A. and </w:t>
      </w:r>
      <w:proofErr w:type="spellStart"/>
      <w:r w:rsidRPr="00224158">
        <w:rPr>
          <w:rFonts w:cstheme="minorHAnsi"/>
          <w:sz w:val="24"/>
          <w:szCs w:val="24"/>
        </w:rPr>
        <w:t>Bussu</w:t>
      </w:r>
      <w:proofErr w:type="spellEnd"/>
      <w:r w:rsidRPr="00224158">
        <w:rPr>
          <w:rFonts w:cstheme="minorHAnsi"/>
          <w:sz w:val="24"/>
          <w:szCs w:val="24"/>
        </w:rPr>
        <w:t>, A., 2020. Peer groups, street gangs and organised crime in the narratives of adolescent male offenders. Journal of criminal psychology, 10(4), pp.277-292.</w:t>
      </w:r>
    </w:p>
    <w:p w14:paraId="4C7B7606" w14:textId="77777777" w:rsidR="00224158" w:rsidRDefault="009E2B62" w:rsidP="00224158">
      <w:pPr>
        <w:spacing w:line="360" w:lineRule="auto"/>
        <w:rPr>
          <w:rFonts w:cstheme="minorHAnsi"/>
          <w:sz w:val="24"/>
          <w:szCs w:val="24"/>
        </w:rPr>
      </w:pPr>
      <w:r w:rsidRPr="00224158">
        <w:rPr>
          <w:rFonts w:cstheme="minorHAnsi"/>
          <w:sz w:val="24"/>
          <w:szCs w:val="24"/>
        </w:rPr>
        <w:t xml:space="preserve">Bell, B., Costa, R. and Machin, S., 2022. Why does education reduce </w:t>
      </w:r>
      <w:proofErr w:type="gramStart"/>
      <w:r w:rsidRPr="00224158">
        <w:rPr>
          <w:rFonts w:cstheme="minorHAnsi"/>
          <w:sz w:val="24"/>
          <w:szCs w:val="24"/>
        </w:rPr>
        <w:t>crime?.</w:t>
      </w:r>
      <w:proofErr w:type="gramEnd"/>
      <w:r w:rsidRPr="00224158">
        <w:rPr>
          <w:rFonts w:cstheme="minorHAnsi"/>
          <w:sz w:val="24"/>
          <w:szCs w:val="24"/>
        </w:rPr>
        <w:t xml:space="preserve"> Journal of political economy, 130(3), pp.732-765.</w:t>
      </w:r>
    </w:p>
    <w:p w14:paraId="610173D2" w14:textId="77777777" w:rsidR="00224158" w:rsidRDefault="00656712" w:rsidP="00224158">
      <w:pPr>
        <w:spacing w:line="360" w:lineRule="auto"/>
        <w:rPr>
          <w:rFonts w:cstheme="minorHAnsi"/>
          <w:color w:val="000000"/>
          <w:sz w:val="24"/>
          <w:szCs w:val="24"/>
        </w:rPr>
      </w:pPr>
      <w:r w:rsidRPr="00224158">
        <w:rPr>
          <w:rFonts w:cstheme="minorHAnsi"/>
          <w:color w:val="000000"/>
          <w:sz w:val="24"/>
          <w:szCs w:val="24"/>
        </w:rPr>
        <w:t>Blyth, M. and Solomon, E. (2010). </w:t>
      </w:r>
      <w:r w:rsidRPr="00224158">
        <w:rPr>
          <w:rFonts w:cstheme="minorHAnsi"/>
          <w:i/>
          <w:iCs/>
          <w:color w:val="000000"/>
          <w:sz w:val="24"/>
          <w:szCs w:val="24"/>
        </w:rPr>
        <w:t>Prevention and youth crime: is early intervention working?</w:t>
      </w:r>
      <w:r w:rsidRPr="00224158">
        <w:rPr>
          <w:rFonts w:cstheme="minorHAnsi"/>
          <w:color w:val="000000"/>
          <w:sz w:val="24"/>
          <w:szCs w:val="24"/>
        </w:rPr>
        <w:t> Bristol: Policy Press.</w:t>
      </w:r>
    </w:p>
    <w:p w14:paraId="38B973D4" w14:textId="328FA16D" w:rsidR="00224158" w:rsidRDefault="00762448" w:rsidP="00224158">
      <w:pPr>
        <w:spacing w:line="360" w:lineRule="auto"/>
        <w:rPr>
          <w:rFonts w:cstheme="minorHAnsi"/>
          <w:sz w:val="24"/>
          <w:szCs w:val="24"/>
        </w:rPr>
      </w:pPr>
      <w:r w:rsidRPr="00224158">
        <w:rPr>
          <w:rFonts w:cstheme="minorHAnsi"/>
          <w:sz w:val="24"/>
          <w:szCs w:val="24"/>
        </w:rPr>
        <w:t xml:space="preserve">Bristol City Council (2024). </w:t>
      </w:r>
      <w:r w:rsidRPr="00224158">
        <w:rPr>
          <w:rFonts w:cstheme="minorHAnsi"/>
          <w:i/>
          <w:iCs/>
          <w:sz w:val="24"/>
          <w:szCs w:val="24"/>
        </w:rPr>
        <w:t>Violent extremism and radicalisation</w:t>
      </w:r>
      <w:r w:rsidRPr="00224158">
        <w:rPr>
          <w:rFonts w:cstheme="minorHAnsi"/>
          <w:sz w:val="24"/>
          <w:szCs w:val="24"/>
        </w:rPr>
        <w:t xml:space="preserve">. [online] Bristol City Council. Available at: </w:t>
      </w:r>
      <w:r w:rsidR="0062741E" w:rsidRPr="0062741E">
        <w:rPr>
          <w:rFonts w:cstheme="minorHAnsi"/>
          <w:sz w:val="24"/>
          <w:szCs w:val="24"/>
        </w:rPr>
        <w:t>https://www.bristol.gov.uk/residents/crime-and-emergencies/violent-extremism-and-radicalisation#:~:text=Radicalisation%20is%20the%20process%20through</w:t>
      </w:r>
      <w:r w:rsidRPr="00224158">
        <w:rPr>
          <w:rFonts w:cstheme="minorHAnsi"/>
          <w:sz w:val="24"/>
          <w:szCs w:val="24"/>
        </w:rPr>
        <w:t>.</w:t>
      </w:r>
    </w:p>
    <w:p w14:paraId="4602F0CF" w14:textId="4C14326B" w:rsidR="0062741E" w:rsidRPr="0062741E" w:rsidRDefault="0062741E" w:rsidP="0062741E">
      <w:pPr>
        <w:pStyle w:val="NormalWeb"/>
        <w:spacing w:before="0" w:beforeAutospacing="0" w:after="240" w:afterAutospacing="0" w:line="360" w:lineRule="auto"/>
      </w:pPr>
      <w:r>
        <w:t xml:space="preserve">Carruthers, E. (2023). </w:t>
      </w:r>
      <w:r>
        <w:rPr>
          <w:i/>
          <w:iCs/>
        </w:rPr>
        <w:t>Diversity in policing 2023: Do constabularies truly represent the communities they serve?</w:t>
      </w:r>
      <w:r>
        <w:t xml:space="preserve"> [online] Law University. Available at: https://www.law.ac.uk/resources/blog/diversity-in-policing/</w:t>
      </w:r>
    </w:p>
    <w:p w14:paraId="1AF111D3" w14:textId="77777777" w:rsidR="00224158" w:rsidRDefault="00762448" w:rsidP="00224158">
      <w:pPr>
        <w:spacing w:line="360" w:lineRule="auto"/>
        <w:rPr>
          <w:rFonts w:cstheme="minorHAnsi"/>
          <w:sz w:val="24"/>
          <w:szCs w:val="24"/>
        </w:rPr>
      </w:pPr>
      <w:proofErr w:type="spellStart"/>
      <w:r w:rsidRPr="00224158">
        <w:rPr>
          <w:rFonts w:cstheme="minorHAnsi"/>
          <w:sz w:val="24"/>
          <w:szCs w:val="24"/>
        </w:rPr>
        <w:t>Cockbain</w:t>
      </w:r>
      <w:proofErr w:type="spellEnd"/>
      <w:r w:rsidRPr="00224158">
        <w:rPr>
          <w:rFonts w:cstheme="minorHAnsi"/>
          <w:sz w:val="24"/>
          <w:szCs w:val="24"/>
        </w:rPr>
        <w:t>, E. and Tufail, W., 2020. Failing victims, fuelling hate: Challenging the harms of the ‘Muslim grooming gangs’ narrative. Race &amp; class, 61(3), pp.3-32.</w:t>
      </w:r>
    </w:p>
    <w:p w14:paraId="1F2C25D9" w14:textId="5EC541B4" w:rsidR="00224158" w:rsidRDefault="00E304FB" w:rsidP="00224158">
      <w:pPr>
        <w:spacing w:line="360" w:lineRule="auto"/>
        <w:rPr>
          <w:rFonts w:cstheme="minorHAnsi"/>
          <w:sz w:val="24"/>
          <w:szCs w:val="24"/>
        </w:rPr>
      </w:pPr>
      <w:r w:rsidRPr="00224158">
        <w:rPr>
          <w:rFonts w:cstheme="minorHAnsi"/>
          <w:sz w:val="24"/>
          <w:szCs w:val="24"/>
        </w:rPr>
        <w:t xml:space="preserve">College of Policing (2024). </w:t>
      </w:r>
      <w:r w:rsidRPr="00224158">
        <w:rPr>
          <w:rFonts w:cstheme="minorHAnsi"/>
          <w:i/>
          <w:iCs/>
          <w:sz w:val="24"/>
          <w:szCs w:val="24"/>
        </w:rPr>
        <w:t>Ethical policing principles</w:t>
      </w:r>
      <w:r w:rsidRPr="00224158">
        <w:rPr>
          <w:rFonts w:cstheme="minorHAnsi"/>
          <w:sz w:val="24"/>
          <w:szCs w:val="24"/>
        </w:rPr>
        <w:t xml:space="preserve">. [online] www.college.police.uk. Available at: </w:t>
      </w:r>
      <w:r w:rsidR="00224158" w:rsidRPr="00224158">
        <w:rPr>
          <w:rFonts w:cstheme="minorHAnsi"/>
          <w:sz w:val="24"/>
          <w:szCs w:val="24"/>
        </w:rPr>
        <w:t>https://www.college.police.uk/ethics/code-of-ethics/principles</w:t>
      </w:r>
    </w:p>
    <w:p w14:paraId="03027403" w14:textId="77777777" w:rsidR="00224158" w:rsidRDefault="00BB0EC8" w:rsidP="00224158">
      <w:pPr>
        <w:spacing w:line="360" w:lineRule="auto"/>
        <w:rPr>
          <w:rFonts w:cstheme="minorHAnsi"/>
          <w:sz w:val="24"/>
          <w:szCs w:val="24"/>
        </w:rPr>
      </w:pPr>
      <w:r w:rsidRPr="00224158">
        <w:rPr>
          <w:rFonts w:cstheme="minorHAnsi"/>
          <w:sz w:val="24"/>
          <w:szCs w:val="24"/>
        </w:rPr>
        <w:t>Dabbs, J.M., Jurkovic, G.J. and Frady, R.L., 1991. Salivary testosterone and cortisol among late adolescent male offenders. Journal of abnormal child psychology, 19, pp.469-478.</w:t>
      </w:r>
    </w:p>
    <w:p w14:paraId="1759D9DC" w14:textId="77777777" w:rsidR="00224158" w:rsidRDefault="009E2B62" w:rsidP="00224158">
      <w:pPr>
        <w:spacing w:line="360" w:lineRule="auto"/>
        <w:rPr>
          <w:rFonts w:cstheme="minorHAnsi"/>
          <w:sz w:val="24"/>
          <w:szCs w:val="24"/>
        </w:rPr>
      </w:pPr>
      <w:r w:rsidRPr="00224158">
        <w:rPr>
          <w:rFonts w:cstheme="minorHAnsi"/>
          <w:sz w:val="24"/>
          <w:szCs w:val="24"/>
        </w:rPr>
        <w:t>Deci, E.L. and Ryan, R.M., 2000. The" what" and" why" of goal pursuits: Human needs and the self-determination of behaviour. Psychological inquiry, 11(4), pp.227-268.</w:t>
      </w:r>
    </w:p>
    <w:p w14:paraId="1C82EAF1" w14:textId="77777777" w:rsidR="00224158" w:rsidRDefault="00BB0EC8" w:rsidP="00224158">
      <w:pPr>
        <w:spacing w:line="360" w:lineRule="auto"/>
        <w:rPr>
          <w:rFonts w:cstheme="minorHAnsi"/>
          <w:sz w:val="24"/>
          <w:szCs w:val="24"/>
        </w:rPr>
      </w:pPr>
      <w:r w:rsidRPr="00224158">
        <w:rPr>
          <w:rFonts w:cstheme="minorHAnsi"/>
          <w:sz w:val="24"/>
          <w:szCs w:val="24"/>
        </w:rPr>
        <w:t>Dedovic, K., Duchesne, A., Andrews, J., Engert, V. and Pruessner, J.C., 2009. The brain and the stress axis: the neural correlates of cortisol regulation in response to stress. Neuroimage, 47(3), pp.864-871.</w:t>
      </w:r>
    </w:p>
    <w:p w14:paraId="6003AA9D" w14:textId="1AEF05DB" w:rsidR="00224158" w:rsidRDefault="00E304FB" w:rsidP="00224158">
      <w:pPr>
        <w:spacing w:line="360" w:lineRule="auto"/>
        <w:rPr>
          <w:rFonts w:cstheme="minorHAnsi"/>
          <w:sz w:val="24"/>
          <w:szCs w:val="24"/>
        </w:rPr>
      </w:pPr>
      <w:r w:rsidRPr="00224158">
        <w:rPr>
          <w:rFonts w:cstheme="minorHAnsi"/>
          <w:sz w:val="24"/>
          <w:szCs w:val="24"/>
        </w:rPr>
        <w:lastRenderedPageBreak/>
        <w:t xml:space="preserve">Devon &amp; Cornwall Police (). </w:t>
      </w:r>
      <w:r w:rsidRPr="00224158">
        <w:rPr>
          <w:rFonts w:cstheme="minorHAnsi"/>
          <w:i/>
          <w:iCs/>
          <w:sz w:val="24"/>
          <w:szCs w:val="24"/>
        </w:rPr>
        <w:t>Code of ethics - Dorset Police and Devon &amp; Cornwall Police working in Partnership</w:t>
      </w:r>
      <w:r w:rsidRPr="00224158">
        <w:rPr>
          <w:rFonts w:cstheme="minorHAnsi"/>
          <w:sz w:val="24"/>
          <w:szCs w:val="24"/>
        </w:rPr>
        <w:t xml:space="preserve">. [online] recruitment.devon-cornwall.police.uk. Available at: </w:t>
      </w:r>
      <w:r w:rsidR="00224158" w:rsidRPr="00224158">
        <w:rPr>
          <w:rFonts w:cstheme="minorHAnsi"/>
          <w:sz w:val="24"/>
          <w:szCs w:val="24"/>
        </w:rPr>
        <w:t>https://recruitment.devon-cornwall.police.uk/professionalism-and-support/code-of-ethics/</w:t>
      </w:r>
    </w:p>
    <w:p w14:paraId="75BABCCC" w14:textId="6E684ED0" w:rsidR="00224158" w:rsidRDefault="00E304FB" w:rsidP="00224158">
      <w:pPr>
        <w:spacing w:line="360" w:lineRule="auto"/>
        <w:rPr>
          <w:rFonts w:cstheme="minorHAnsi"/>
          <w:sz w:val="24"/>
          <w:szCs w:val="24"/>
        </w:rPr>
      </w:pPr>
      <w:proofErr w:type="spellStart"/>
      <w:proofErr w:type="gramStart"/>
      <w:r w:rsidRPr="00224158">
        <w:rPr>
          <w:rFonts w:cstheme="minorHAnsi"/>
          <w:sz w:val="24"/>
          <w:szCs w:val="24"/>
        </w:rPr>
        <w:t>E.Cheadle</w:t>
      </w:r>
      <w:proofErr w:type="spellEnd"/>
      <w:proofErr w:type="gramEnd"/>
      <w:r w:rsidRPr="00224158">
        <w:rPr>
          <w:rFonts w:cstheme="minorHAnsi"/>
          <w:sz w:val="24"/>
          <w:szCs w:val="24"/>
        </w:rPr>
        <w:t xml:space="preserve">, C. (2021). </w:t>
      </w:r>
      <w:r w:rsidRPr="00224158">
        <w:rPr>
          <w:rFonts w:cstheme="minorHAnsi"/>
          <w:i/>
          <w:iCs/>
          <w:sz w:val="24"/>
          <w:szCs w:val="24"/>
        </w:rPr>
        <w:t>A Critical Assessment of the Police and Criminal Evidence Act 1984</w:t>
      </w:r>
      <w:r w:rsidRPr="00224158">
        <w:rPr>
          <w:rFonts w:cstheme="minorHAnsi"/>
          <w:sz w:val="24"/>
          <w:szCs w:val="24"/>
        </w:rPr>
        <w:t xml:space="preserve">. [online] </w:t>
      </w:r>
      <w:proofErr w:type="spellStart"/>
      <w:r w:rsidRPr="00224158">
        <w:rPr>
          <w:rFonts w:cstheme="minorHAnsi"/>
          <w:sz w:val="24"/>
          <w:szCs w:val="24"/>
        </w:rPr>
        <w:t>Friedmanomics</w:t>
      </w:r>
      <w:proofErr w:type="spellEnd"/>
      <w:r w:rsidRPr="00224158">
        <w:rPr>
          <w:rFonts w:cstheme="minorHAnsi"/>
          <w:sz w:val="24"/>
          <w:szCs w:val="24"/>
        </w:rPr>
        <w:t xml:space="preserve">. Available at: </w:t>
      </w:r>
      <w:r w:rsidR="00224158" w:rsidRPr="00224158">
        <w:rPr>
          <w:rFonts w:cstheme="minorHAnsi"/>
          <w:sz w:val="24"/>
          <w:szCs w:val="24"/>
        </w:rPr>
        <w:t>https://www.friedmanomics.co.uk/post/a-critical-assessment-of-the-police-and-criminal-evidence-act-1984</w:t>
      </w:r>
    </w:p>
    <w:p w14:paraId="48AECADF" w14:textId="77777777" w:rsidR="00224158" w:rsidRDefault="009E2B62" w:rsidP="00224158">
      <w:pPr>
        <w:spacing w:line="360" w:lineRule="auto"/>
        <w:rPr>
          <w:rFonts w:cstheme="minorHAnsi"/>
          <w:sz w:val="24"/>
          <w:szCs w:val="24"/>
        </w:rPr>
      </w:pPr>
      <w:r w:rsidRPr="00224158">
        <w:rPr>
          <w:rFonts w:cstheme="minorHAnsi"/>
          <w:sz w:val="24"/>
          <w:szCs w:val="24"/>
        </w:rPr>
        <w:t>Evans, C., 2020. Countering Violent Extremism, Safeguarding and the Law: A Practitioner's Perspective on Protecting Young and Vulnerable People from Exploitation. In Radicalization and Counter-Radicalization (pp. 135-151). Emerald Publishing Limited.</w:t>
      </w:r>
    </w:p>
    <w:p w14:paraId="32717E79" w14:textId="6690BE15" w:rsidR="00224158" w:rsidRDefault="00656712" w:rsidP="00224158">
      <w:pPr>
        <w:spacing w:line="360" w:lineRule="auto"/>
        <w:rPr>
          <w:rFonts w:cstheme="minorHAnsi"/>
          <w:sz w:val="24"/>
          <w:szCs w:val="24"/>
        </w:rPr>
      </w:pPr>
      <w:r w:rsidRPr="00224158">
        <w:rPr>
          <w:rFonts w:cstheme="minorHAnsi"/>
          <w:sz w:val="24"/>
          <w:szCs w:val="24"/>
        </w:rPr>
        <w:t xml:space="preserve">Goldson, B. (2019). </w:t>
      </w:r>
      <w:r w:rsidRPr="00224158">
        <w:rPr>
          <w:rFonts w:cstheme="minorHAnsi"/>
          <w:i/>
          <w:iCs/>
          <w:sz w:val="24"/>
          <w:szCs w:val="24"/>
        </w:rPr>
        <w:t>Child Criminalisation and the Mistake of Early Intervention | Centre for Crime and Justice Studies</w:t>
      </w:r>
      <w:r w:rsidRPr="00224158">
        <w:rPr>
          <w:rFonts w:cstheme="minorHAnsi"/>
          <w:sz w:val="24"/>
          <w:szCs w:val="24"/>
        </w:rPr>
        <w:t xml:space="preserve">. [online] Crimeandjustice.org.uk. Available at: </w:t>
      </w:r>
      <w:r w:rsidR="00AF4D20" w:rsidRPr="00AF4D20">
        <w:rPr>
          <w:rFonts w:cstheme="minorHAnsi"/>
          <w:sz w:val="24"/>
          <w:szCs w:val="24"/>
        </w:rPr>
        <w:t>https://www.crimeandjustice.org.uk/publications/cjm/article/child-criminalisation-and-mistake-early-intervention</w:t>
      </w:r>
      <w:r w:rsidRPr="00224158">
        <w:rPr>
          <w:rFonts w:cstheme="minorHAnsi"/>
          <w:sz w:val="24"/>
          <w:szCs w:val="24"/>
        </w:rPr>
        <w:t>.</w:t>
      </w:r>
    </w:p>
    <w:p w14:paraId="14AF0C42" w14:textId="6BE983E7" w:rsidR="00AF4D20" w:rsidRDefault="00AF4D20" w:rsidP="00224158">
      <w:pPr>
        <w:spacing w:line="360" w:lineRule="auto"/>
        <w:rPr>
          <w:rFonts w:cstheme="minorHAnsi"/>
          <w:sz w:val="24"/>
          <w:szCs w:val="24"/>
        </w:rPr>
      </w:pPr>
      <w:r w:rsidRPr="00AF4D20">
        <w:rPr>
          <w:rFonts w:cstheme="minorHAnsi"/>
          <w:sz w:val="24"/>
          <w:szCs w:val="24"/>
        </w:rPr>
        <w:t>GOV.UK (2023). Police workforce. [online] www.ethnicity-facts-figures.service.gov.uk. Available at: https://www.ethnicity-facts-figures.service.gov.uk/workforce-and-business/workforce-diversity/police-workforce/latest/.</w:t>
      </w:r>
    </w:p>
    <w:p w14:paraId="0B01E360" w14:textId="77777777" w:rsidR="00224158" w:rsidRDefault="009E2B62" w:rsidP="00224158">
      <w:pPr>
        <w:spacing w:line="360" w:lineRule="auto"/>
        <w:rPr>
          <w:rFonts w:cstheme="minorHAnsi"/>
          <w:sz w:val="24"/>
          <w:szCs w:val="24"/>
        </w:rPr>
      </w:pPr>
      <w:r w:rsidRPr="00224158">
        <w:rPr>
          <w:rFonts w:cstheme="minorHAnsi"/>
          <w:sz w:val="24"/>
          <w:szCs w:val="24"/>
        </w:rPr>
        <w:t xml:space="preserve">Hagedorn, J., 2008. A world of gangs: Armed young men and </w:t>
      </w:r>
      <w:proofErr w:type="spellStart"/>
      <w:r w:rsidRPr="00224158">
        <w:rPr>
          <w:rFonts w:cstheme="minorHAnsi"/>
          <w:sz w:val="24"/>
          <w:szCs w:val="24"/>
        </w:rPr>
        <w:t>gangsta</w:t>
      </w:r>
      <w:proofErr w:type="spellEnd"/>
      <w:r w:rsidRPr="00224158">
        <w:rPr>
          <w:rFonts w:cstheme="minorHAnsi"/>
          <w:sz w:val="24"/>
          <w:szCs w:val="24"/>
        </w:rPr>
        <w:t xml:space="preserve"> culture (Vol. 14). U of Minnesota Press.</w:t>
      </w:r>
    </w:p>
    <w:p w14:paraId="5B976C84" w14:textId="182C5558" w:rsidR="00224158" w:rsidRDefault="00656712" w:rsidP="00224158">
      <w:pPr>
        <w:spacing w:line="360" w:lineRule="auto"/>
        <w:rPr>
          <w:rFonts w:cstheme="minorHAnsi"/>
          <w:sz w:val="24"/>
          <w:szCs w:val="24"/>
        </w:rPr>
      </w:pPr>
      <w:r w:rsidRPr="00224158">
        <w:rPr>
          <w:rFonts w:cstheme="minorHAnsi"/>
          <w:sz w:val="24"/>
          <w:szCs w:val="24"/>
        </w:rPr>
        <w:t xml:space="preserve">Hancock, S. (2023). </w:t>
      </w:r>
      <w:r w:rsidRPr="00224158">
        <w:rPr>
          <w:rFonts w:cstheme="minorHAnsi"/>
          <w:i/>
          <w:iCs/>
          <w:sz w:val="24"/>
          <w:szCs w:val="24"/>
        </w:rPr>
        <w:t>Early intervention for lifelong benefits</w:t>
      </w:r>
      <w:r w:rsidRPr="00224158">
        <w:rPr>
          <w:rFonts w:cstheme="minorHAnsi"/>
          <w:sz w:val="24"/>
          <w:szCs w:val="24"/>
        </w:rPr>
        <w:t xml:space="preserve">. [online] GOV.UK. Available at: </w:t>
      </w:r>
      <w:r w:rsidR="00224158" w:rsidRPr="00224158">
        <w:rPr>
          <w:rFonts w:cstheme="minorHAnsi"/>
          <w:sz w:val="24"/>
          <w:szCs w:val="24"/>
        </w:rPr>
        <w:t>https://www.gov.uk/government/news/early-intervention-for-lifelong-benefits#:~:text=Prevention%20helps%20stop%20children%20becoming</w:t>
      </w:r>
      <w:r w:rsidRPr="00224158">
        <w:rPr>
          <w:rFonts w:cstheme="minorHAnsi"/>
          <w:sz w:val="24"/>
          <w:szCs w:val="24"/>
        </w:rPr>
        <w:t>.</w:t>
      </w:r>
    </w:p>
    <w:p w14:paraId="7ADEEFED" w14:textId="008B74E7" w:rsidR="00224158" w:rsidRDefault="00656712" w:rsidP="00224158">
      <w:pPr>
        <w:spacing w:line="360" w:lineRule="auto"/>
        <w:rPr>
          <w:rFonts w:cstheme="minorHAnsi"/>
          <w:sz w:val="24"/>
          <w:szCs w:val="24"/>
        </w:rPr>
      </w:pPr>
      <w:r w:rsidRPr="007612AD">
        <w:rPr>
          <w:rFonts w:cstheme="minorHAnsi"/>
          <w:sz w:val="24"/>
          <w:szCs w:val="24"/>
        </w:rPr>
        <w:t>Hurley, M. and Boulton, L</w:t>
      </w:r>
      <w:r w:rsidR="00811328" w:rsidRPr="007612AD">
        <w:rPr>
          <w:rFonts w:cstheme="minorHAnsi"/>
          <w:sz w:val="24"/>
          <w:szCs w:val="24"/>
        </w:rPr>
        <w:t xml:space="preserve">, </w:t>
      </w:r>
      <w:r w:rsidRPr="007612AD">
        <w:rPr>
          <w:rFonts w:cstheme="minorHAnsi"/>
          <w:sz w:val="24"/>
          <w:szCs w:val="24"/>
        </w:rPr>
        <w:t>J</w:t>
      </w:r>
      <w:r w:rsidR="00811328" w:rsidRPr="007612AD">
        <w:rPr>
          <w:rFonts w:cstheme="minorHAnsi"/>
          <w:sz w:val="24"/>
          <w:szCs w:val="24"/>
        </w:rPr>
        <w:t>ane</w:t>
      </w:r>
      <w:r w:rsidRPr="007612AD">
        <w:rPr>
          <w:rFonts w:cstheme="minorHAnsi"/>
          <w:sz w:val="24"/>
          <w:szCs w:val="24"/>
        </w:rPr>
        <w:t>.</w:t>
      </w:r>
      <w:r w:rsidR="00811328" w:rsidRPr="007612AD">
        <w:rPr>
          <w:rFonts w:cstheme="minorHAnsi"/>
          <w:sz w:val="24"/>
          <w:szCs w:val="24"/>
        </w:rPr>
        <w:t>,</w:t>
      </w:r>
      <w:r w:rsidRPr="007612AD">
        <w:rPr>
          <w:rFonts w:cstheme="minorHAnsi"/>
          <w:sz w:val="24"/>
          <w:szCs w:val="24"/>
        </w:rPr>
        <w:t xml:space="preserve"> 2021. </w:t>
      </w:r>
      <w:r w:rsidRPr="007612AD">
        <w:rPr>
          <w:rFonts w:cstheme="minorHAnsi"/>
          <w:i/>
          <w:iCs/>
          <w:sz w:val="24"/>
          <w:szCs w:val="24"/>
        </w:rPr>
        <w:t>Early identification and intervention with individuals at risk of becoming involved in serious and organised crime (SOC)</w:t>
      </w:r>
      <w:r w:rsidR="007612AD">
        <w:rPr>
          <w:rFonts w:cstheme="minorHAnsi"/>
          <w:i/>
          <w:iCs/>
          <w:sz w:val="24"/>
          <w:szCs w:val="24"/>
        </w:rPr>
        <w:t xml:space="preserve"> </w:t>
      </w:r>
      <w:r w:rsidR="007612AD" w:rsidRPr="007612AD">
        <w:rPr>
          <w:rFonts w:cstheme="minorHAnsi"/>
          <w:sz w:val="24"/>
          <w:szCs w:val="24"/>
        </w:rPr>
        <w:t>(Vol. 20)</w:t>
      </w:r>
      <w:r w:rsidRPr="007612AD">
        <w:rPr>
          <w:rFonts w:cstheme="minorHAnsi"/>
          <w:sz w:val="24"/>
          <w:szCs w:val="24"/>
        </w:rPr>
        <w:t xml:space="preserve">. </w:t>
      </w:r>
      <w:r w:rsidR="00002BFC" w:rsidRPr="007612AD">
        <w:rPr>
          <w:rFonts w:cstheme="minorHAnsi"/>
          <w:sz w:val="24"/>
          <w:szCs w:val="24"/>
        </w:rPr>
        <w:t>pp.73-84</w:t>
      </w:r>
      <w:r w:rsidRPr="007612AD">
        <w:rPr>
          <w:rFonts w:cstheme="minorHAnsi"/>
          <w:sz w:val="24"/>
          <w:szCs w:val="24"/>
        </w:rPr>
        <w:t xml:space="preserve">. </w:t>
      </w:r>
    </w:p>
    <w:p w14:paraId="60BA2CAF" w14:textId="77DDC808" w:rsidR="00224158" w:rsidRDefault="00E304FB" w:rsidP="00224158">
      <w:pPr>
        <w:spacing w:line="360" w:lineRule="auto"/>
        <w:rPr>
          <w:rFonts w:cstheme="minorHAnsi"/>
          <w:sz w:val="24"/>
          <w:szCs w:val="24"/>
        </w:rPr>
      </w:pPr>
      <w:r w:rsidRPr="00224158">
        <w:rPr>
          <w:rFonts w:cstheme="minorHAnsi"/>
          <w:sz w:val="24"/>
          <w:szCs w:val="24"/>
        </w:rPr>
        <w:t xml:space="preserve">IOPC. (2022) National stop and search learning report. Available at: </w:t>
      </w:r>
      <w:r w:rsidR="00224158" w:rsidRPr="00224158">
        <w:rPr>
          <w:rFonts w:cstheme="minorHAnsi"/>
          <w:sz w:val="24"/>
          <w:szCs w:val="24"/>
        </w:rPr>
        <w:t>https://www.policeconduct.gov.uk/sites/default/files/documents/OFFICIAL%20IOPC%20National%20stop%20and%20search%20learning%20report%2020%20April%202022_0.pdf</w:t>
      </w:r>
    </w:p>
    <w:p w14:paraId="0BFF4A79" w14:textId="3D2D2E13" w:rsidR="00224158" w:rsidRDefault="00B84BCC" w:rsidP="00224158">
      <w:pPr>
        <w:spacing w:line="360" w:lineRule="auto"/>
        <w:rPr>
          <w:rFonts w:cstheme="minorHAnsi"/>
          <w:sz w:val="24"/>
          <w:szCs w:val="24"/>
        </w:rPr>
      </w:pPr>
      <w:r w:rsidRPr="00224158">
        <w:rPr>
          <w:rFonts w:cstheme="minorHAnsi"/>
          <w:sz w:val="24"/>
          <w:szCs w:val="24"/>
        </w:rPr>
        <w:t xml:space="preserve">McKee, A. (2024). </w:t>
      </w:r>
      <w:r w:rsidRPr="00224158">
        <w:rPr>
          <w:rFonts w:cstheme="minorHAnsi"/>
          <w:i/>
          <w:iCs/>
          <w:sz w:val="24"/>
          <w:szCs w:val="24"/>
        </w:rPr>
        <w:t>Section 8.2: Theories of Victimization</w:t>
      </w:r>
      <w:r w:rsidRPr="00224158">
        <w:rPr>
          <w:rFonts w:cstheme="minorHAnsi"/>
          <w:sz w:val="24"/>
          <w:szCs w:val="24"/>
        </w:rPr>
        <w:t xml:space="preserve">. [online] Doc’s Things and Stuff. Available at: </w:t>
      </w:r>
      <w:r w:rsidR="00224158" w:rsidRPr="00224158">
        <w:rPr>
          <w:rFonts w:cstheme="minorHAnsi"/>
          <w:sz w:val="24"/>
          <w:szCs w:val="24"/>
        </w:rPr>
        <w:t>https://docmckee.com/oer/criminology/section-8-2-theories-of-victimization/</w:t>
      </w:r>
    </w:p>
    <w:p w14:paraId="5420EF40" w14:textId="1DC9AE7D" w:rsidR="00224158" w:rsidRDefault="0017080E" w:rsidP="00224158">
      <w:pPr>
        <w:spacing w:line="360" w:lineRule="auto"/>
        <w:rPr>
          <w:rFonts w:cstheme="minorHAnsi"/>
          <w:sz w:val="24"/>
          <w:szCs w:val="24"/>
        </w:rPr>
      </w:pPr>
      <w:r w:rsidRPr="00224158">
        <w:rPr>
          <w:rFonts w:cstheme="minorHAnsi"/>
          <w:sz w:val="24"/>
          <w:szCs w:val="24"/>
        </w:rPr>
        <w:lastRenderedPageBreak/>
        <w:t xml:space="preserve">McAra, L. and McVie, S. (2022). </w:t>
      </w:r>
      <w:r w:rsidRPr="00224158">
        <w:rPr>
          <w:rFonts w:cstheme="minorHAnsi"/>
          <w:i/>
          <w:iCs/>
          <w:sz w:val="24"/>
          <w:szCs w:val="24"/>
        </w:rPr>
        <w:t>Causes and Impact of Offending and Criminal Justice Pathways: Follow-up of the Edinburgh Study Cohort at Age 35</w:t>
      </w:r>
      <w:r w:rsidRPr="00224158">
        <w:rPr>
          <w:rFonts w:cstheme="minorHAnsi"/>
          <w:sz w:val="24"/>
          <w:szCs w:val="24"/>
        </w:rPr>
        <w:t xml:space="preserve">. [online] </w:t>
      </w:r>
      <w:r w:rsidRPr="00224158">
        <w:rPr>
          <w:rFonts w:cstheme="minorHAnsi"/>
          <w:i/>
          <w:iCs/>
          <w:sz w:val="24"/>
          <w:szCs w:val="24"/>
        </w:rPr>
        <w:t>Nuffield Foundation</w:t>
      </w:r>
      <w:r w:rsidRPr="00224158">
        <w:rPr>
          <w:rFonts w:cstheme="minorHAnsi"/>
          <w:sz w:val="24"/>
          <w:szCs w:val="24"/>
        </w:rPr>
        <w:t xml:space="preserve">. Available at: </w:t>
      </w:r>
      <w:r w:rsidR="00224158" w:rsidRPr="00224158">
        <w:rPr>
          <w:rFonts w:cstheme="minorHAnsi"/>
          <w:sz w:val="24"/>
          <w:szCs w:val="24"/>
        </w:rPr>
        <w:t>https://www.nuffieldfoundation.org/wp-content/uploads/2022/03/Causes-and-Impact-of-Offending-and-Criminal-Justice-Pathways.pdf</w:t>
      </w:r>
      <w:r w:rsidRPr="00224158">
        <w:rPr>
          <w:rFonts w:cstheme="minorHAnsi"/>
          <w:sz w:val="24"/>
          <w:szCs w:val="24"/>
        </w:rPr>
        <w:t>.</w:t>
      </w:r>
    </w:p>
    <w:p w14:paraId="0B2732E5" w14:textId="77777777" w:rsidR="00224158" w:rsidRDefault="00E304FB" w:rsidP="00224158">
      <w:pPr>
        <w:spacing w:line="360" w:lineRule="auto"/>
        <w:rPr>
          <w:rFonts w:cstheme="minorHAnsi"/>
          <w:sz w:val="24"/>
          <w:szCs w:val="24"/>
        </w:rPr>
      </w:pPr>
      <w:r w:rsidRPr="00224158">
        <w:rPr>
          <w:rFonts w:cstheme="minorHAnsi"/>
          <w:sz w:val="24"/>
          <w:szCs w:val="24"/>
        </w:rPr>
        <w:t xml:space="preserve">Miller, J., Quinton, P., Alexandrou, B. and Packham, D. (2020). Can police training reduce ethnic/racial disparities in stop and search? Evidence from a multisite UK trial. </w:t>
      </w:r>
      <w:r w:rsidRPr="00224158">
        <w:rPr>
          <w:rFonts w:cstheme="minorHAnsi"/>
          <w:i/>
          <w:iCs/>
          <w:sz w:val="24"/>
          <w:szCs w:val="24"/>
        </w:rPr>
        <w:t>Criminology &amp; Public Policy</w:t>
      </w:r>
      <w:r w:rsidRPr="00224158">
        <w:rPr>
          <w:rFonts w:cstheme="minorHAnsi"/>
          <w:sz w:val="24"/>
          <w:szCs w:val="24"/>
        </w:rPr>
        <w:t>, 19(4)</w:t>
      </w:r>
    </w:p>
    <w:p w14:paraId="4DD0CED1" w14:textId="0AA45109" w:rsidR="00AF4D20" w:rsidRDefault="00AF4D20" w:rsidP="00224158">
      <w:pPr>
        <w:spacing w:line="360" w:lineRule="auto"/>
        <w:rPr>
          <w:rFonts w:cstheme="minorHAnsi"/>
          <w:sz w:val="24"/>
          <w:szCs w:val="24"/>
        </w:rPr>
      </w:pPr>
      <w:r w:rsidRPr="00AF4D20">
        <w:rPr>
          <w:rFonts w:cstheme="minorHAnsi"/>
          <w:sz w:val="24"/>
          <w:szCs w:val="24"/>
        </w:rPr>
        <w:t>Munro, T.O. (n.d.). Why it is important we have a diverse police service. [online] allpolicejobs.co.uk. Available at: https://allpolicejobs.co.uk/blog/why-it-is-important-we-have-a-diverse-police-service.</w:t>
      </w:r>
    </w:p>
    <w:p w14:paraId="7435A397" w14:textId="7AA02F39" w:rsidR="00AF4D20" w:rsidRDefault="00AF4D20" w:rsidP="00224158">
      <w:pPr>
        <w:spacing w:line="360" w:lineRule="auto"/>
        <w:rPr>
          <w:rFonts w:cstheme="minorHAnsi"/>
          <w:sz w:val="24"/>
          <w:szCs w:val="24"/>
        </w:rPr>
      </w:pPr>
      <w:r w:rsidRPr="00AF4D20">
        <w:rPr>
          <w:rFonts w:cstheme="minorHAnsi"/>
          <w:sz w:val="24"/>
          <w:szCs w:val="24"/>
        </w:rPr>
        <w:t>Office for National Statistics (2023). Percentage of police officers by ethnicity, excluding white people, over time (2007 to 2020). [Online image] Available at: https://www.ethnicity-facts-figures.service.gov.uk/workforce-and-business/workforce-diversity/police-workforce/latest/.</w:t>
      </w:r>
    </w:p>
    <w:p w14:paraId="2865DEA3" w14:textId="05C740A8" w:rsidR="00AF4D20" w:rsidRDefault="00AF4D20" w:rsidP="00224158">
      <w:pPr>
        <w:spacing w:line="360" w:lineRule="auto"/>
        <w:rPr>
          <w:rFonts w:cstheme="minorHAnsi"/>
          <w:sz w:val="24"/>
          <w:szCs w:val="24"/>
        </w:rPr>
      </w:pPr>
      <w:r w:rsidRPr="00AF4D20">
        <w:rPr>
          <w:rFonts w:cstheme="minorHAnsi"/>
          <w:sz w:val="24"/>
          <w:szCs w:val="24"/>
        </w:rPr>
        <w:t>Office for National Statistics (2023). Percentage of police officers by ethnicity, excluding white people, over time (2021 to 2022). [Online image] Available at: https://www.ethnicity-facts-figures.service.gov.uk/workforce-and-business/workforce-diversity/police-workforce/latest/.</w:t>
      </w:r>
    </w:p>
    <w:p w14:paraId="0268C40B" w14:textId="77777777" w:rsidR="00224158" w:rsidRDefault="009E2B62" w:rsidP="00224158">
      <w:pPr>
        <w:spacing w:line="360" w:lineRule="auto"/>
        <w:rPr>
          <w:rFonts w:cstheme="minorHAnsi"/>
          <w:sz w:val="24"/>
          <w:szCs w:val="24"/>
        </w:rPr>
      </w:pPr>
      <w:proofErr w:type="spellStart"/>
      <w:r w:rsidRPr="00224158">
        <w:rPr>
          <w:rFonts w:cstheme="minorHAnsi"/>
          <w:sz w:val="24"/>
          <w:szCs w:val="24"/>
        </w:rPr>
        <w:t>Peddell</w:t>
      </w:r>
      <w:proofErr w:type="spellEnd"/>
      <w:r w:rsidRPr="00224158">
        <w:rPr>
          <w:rFonts w:cstheme="minorHAnsi"/>
          <w:sz w:val="24"/>
          <w:szCs w:val="24"/>
        </w:rPr>
        <w:t xml:space="preserve">, D., Eyre, M., McManus, M. and </w:t>
      </w:r>
      <w:proofErr w:type="spellStart"/>
      <w:r w:rsidRPr="00224158">
        <w:rPr>
          <w:rFonts w:cstheme="minorHAnsi"/>
          <w:sz w:val="24"/>
          <w:szCs w:val="24"/>
        </w:rPr>
        <w:t>Bonworth</w:t>
      </w:r>
      <w:proofErr w:type="spellEnd"/>
      <w:r w:rsidRPr="00224158">
        <w:rPr>
          <w:rFonts w:cstheme="minorHAnsi"/>
          <w:sz w:val="24"/>
          <w:szCs w:val="24"/>
        </w:rPr>
        <w:t>, J., 2016. Influences and vulnerabilities in radicalised lone-actor terrorists: UK practitioner perspectives. International Journal of Police Science &amp; Management, 18(2), pp.63-76.</w:t>
      </w:r>
    </w:p>
    <w:p w14:paraId="319B2420" w14:textId="77777777" w:rsidR="00224158" w:rsidRDefault="00BB0EC8" w:rsidP="00224158">
      <w:pPr>
        <w:spacing w:line="360" w:lineRule="auto"/>
        <w:rPr>
          <w:rFonts w:cstheme="minorHAnsi"/>
          <w:sz w:val="24"/>
          <w:szCs w:val="24"/>
        </w:rPr>
      </w:pPr>
      <w:r w:rsidRPr="00224158">
        <w:rPr>
          <w:rFonts w:cstheme="minorHAnsi"/>
          <w:sz w:val="24"/>
          <w:szCs w:val="24"/>
        </w:rPr>
        <w:t>Pitts, J., 2013. Drifting into trouble: Sexual exploitation and gang affiliation. In Critical perspectives on child sexual exploitation and related trafficking (pp. 23-37). London: Palgrave Macmillan UK.</w:t>
      </w:r>
    </w:p>
    <w:p w14:paraId="7022B2BF" w14:textId="1C5A428C" w:rsidR="00224158" w:rsidRDefault="00E304FB" w:rsidP="00224158">
      <w:pPr>
        <w:spacing w:line="360" w:lineRule="auto"/>
        <w:rPr>
          <w:rFonts w:cstheme="minorHAnsi"/>
          <w:sz w:val="24"/>
          <w:szCs w:val="24"/>
        </w:rPr>
      </w:pPr>
      <w:r w:rsidRPr="00224158">
        <w:rPr>
          <w:rFonts w:cstheme="minorHAnsi"/>
          <w:sz w:val="24"/>
          <w:szCs w:val="24"/>
        </w:rPr>
        <w:t xml:space="preserve">Police Federation (2021). </w:t>
      </w:r>
      <w:r w:rsidRPr="00224158">
        <w:rPr>
          <w:rFonts w:cstheme="minorHAnsi"/>
          <w:i/>
          <w:iCs/>
          <w:sz w:val="24"/>
          <w:szCs w:val="24"/>
        </w:rPr>
        <w:t>Federation conduct lead critical of IOPC during inquiry</w:t>
      </w:r>
      <w:r w:rsidRPr="00224158">
        <w:rPr>
          <w:rFonts w:cstheme="minorHAnsi"/>
          <w:sz w:val="24"/>
          <w:szCs w:val="24"/>
        </w:rPr>
        <w:t xml:space="preserve">. [online] www.polfed.org. Available at: </w:t>
      </w:r>
      <w:r w:rsidR="00224158" w:rsidRPr="00224158">
        <w:rPr>
          <w:rFonts w:cstheme="minorHAnsi"/>
          <w:sz w:val="24"/>
          <w:szCs w:val="24"/>
        </w:rPr>
        <w:t>https://www.polfed.org/herts/news/2021/federation-conduct-lead-critical-of-iopc-during-inquiry/</w:t>
      </w:r>
    </w:p>
    <w:p w14:paraId="42338EF0" w14:textId="70EC8938" w:rsidR="00224158" w:rsidRDefault="00E304FB" w:rsidP="00224158">
      <w:pPr>
        <w:spacing w:line="360" w:lineRule="auto"/>
        <w:rPr>
          <w:rFonts w:cstheme="minorHAnsi"/>
          <w:sz w:val="24"/>
          <w:szCs w:val="24"/>
        </w:rPr>
      </w:pPr>
      <w:r w:rsidRPr="00224158">
        <w:rPr>
          <w:rFonts w:cstheme="minorHAnsi"/>
          <w:sz w:val="24"/>
          <w:szCs w:val="24"/>
        </w:rPr>
        <w:lastRenderedPageBreak/>
        <w:t xml:space="preserve">Police Federation (2024). </w:t>
      </w:r>
      <w:r w:rsidRPr="00224158">
        <w:rPr>
          <w:rFonts w:cstheme="minorHAnsi"/>
          <w:i/>
          <w:iCs/>
          <w:sz w:val="24"/>
          <w:szCs w:val="24"/>
        </w:rPr>
        <w:t>Code of Ethics must be part of statutory guidance</w:t>
      </w:r>
      <w:r w:rsidRPr="00224158">
        <w:rPr>
          <w:rFonts w:cstheme="minorHAnsi"/>
          <w:sz w:val="24"/>
          <w:szCs w:val="24"/>
        </w:rPr>
        <w:t xml:space="preserve">. [online] www.polfed.org. Available at: </w:t>
      </w:r>
      <w:r w:rsidR="00224158" w:rsidRPr="00224158">
        <w:rPr>
          <w:rFonts w:cstheme="minorHAnsi"/>
          <w:sz w:val="24"/>
          <w:szCs w:val="24"/>
        </w:rPr>
        <w:t>https://www.polfed.org/news/latest-news/2024/code-of-ethics-must-be-part-of-statutory-guidance/</w:t>
      </w:r>
    </w:p>
    <w:p w14:paraId="26B342CA" w14:textId="77777777" w:rsidR="00224158" w:rsidRDefault="009E2B62" w:rsidP="00224158">
      <w:pPr>
        <w:spacing w:line="360" w:lineRule="auto"/>
        <w:rPr>
          <w:rFonts w:cstheme="minorHAnsi"/>
          <w:sz w:val="24"/>
          <w:szCs w:val="24"/>
        </w:rPr>
      </w:pPr>
      <w:r w:rsidRPr="00224158">
        <w:rPr>
          <w:rFonts w:cstheme="minorHAnsi"/>
          <w:sz w:val="24"/>
          <w:szCs w:val="24"/>
        </w:rPr>
        <w:t>Ryan, R.M. and Deci, E.L., 2000. The darker and brighter sides of human existence: Basic psychological needs as a unifying concept. Psychological inquiry, 11(4), pp.319-338.</w:t>
      </w:r>
    </w:p>
    <w:p w14:paraId="32392530" w14:textId="63E68A9B" w:rsidR="00224158" w:rsidRDefault="00E304FB" w:rsidP="00224158">
      <w:pPr>
        <w:spacing w:line="360" w:lineRule="auto"/>
        <w:rPr>
          <w:rFonts w:cstheme="minorHAnsi"/>
          <w:sz w:val="24"/>
          <w:szCs w:val="24"/>
        </w:rPr>
      </w:pPr>
      <w:r w:rsidRPr="00224158">
        <w:rPr>
          <w:rFonts w:cstheme="minorHAnsi"/>
          <w:sz w:val="24"/>
          <w:szCs w:val="24"/>
        </w:rPr>
        <w:t xml:space="preserve">Shaw, D. (2019). Stephen Lawrence: How has his murder changed policing? </w:t>
      </w:r>
      <w:r w:rsidRPr="00224158">
        <w:rPr>
          <w:rFonts w:cstheme="minorHAnsi"/>
          <w:i/>
          <w:iCs/>
          <w:sz w:val="24"/>
          <w:szCs w:val="24"/>
        </w:rPr>
        <w:t>BBC News</w:t>
      </w:r>
      <w:r w:rsidRPr="00224158">
        <w:rPr>
          <w:rFonts w:cstheme="minorHAnsi"/>
          <w:sz w:val="24"/>
          <w:szCs w:val="24"/>
        </w:rPr>
        <w:t xml:space="preserve">. [online] 19 Feb. Available at: </w:t>
      </w:r>
      <w:r w:rsidR="00224158" w:rsidRPr="00224158">
        <w:rPr>
          <w:rFonts w:cstheme="minorHAnsi"/>
          <w:sz w:val="24"/>
          <w:szCs w:val="24"/>
        </w:rPr>
        <w:t>https://www.bbc.co.uk/news/uk-47161480</w:t>
      </w:r>
    </w:p>
    <w:p w14:paraId="68A7DCF9" w14:textId="77777777" w:rsidR="00224158" w:rsidRDefault="00224158" w:rsidP="00224158">
      <w:pPr>
        <w:spacing w:line="360" w:lineRule="auto"/>
        <w:rPr>
          <w:rFonts w:cstheme="minorHAnsi"/>
          <w:sz w:val="24"/>
          <w:szCs w:val="24"/>
        </w:rPr>
      </w:pPr>
      <w:r w:rsidRPr="00224158">
        <w:rPr>
          <w:rFonts w:cstheme="minorHAnsi"/>
          <w:sz w:val="24"/>
          <w:szCs w:val="24"/>
        </w:rPr>
        <w:t>Straw, J. and Michael, A. (1996), Tackling Youth Crime: Reforming Youth Justice, London: Labour Party.</w:t>
      </w:r>
    </w:p>
    <w:p w14:paraId="25C0E265" w14:textId="77777777" w:rsidR="00224158" w:rsidRDefault="009E2B62" w:rsidP="00224158">
      <w:pPr>
        <w:spacing w:line="360" w:lineRule="auto"/>
        <w:rPr>
          <w:rFonts w:cstheme="minorHAnsi"/>
          <w:sz w:val="24"/>
          <w:szCs w:val="24"/>
        </w:rPr>
      </w:pPr>
      <w:r w:rsidRPr="00224158">
        <w:rPr>
          <w:rFonts w:cstheme="minorHAnsi"/>
          <w:sz w:val="24"/>
          <w:szCs w:val="24"/>
        </w:rPr>
        <w:t>Ward, T. and Stewart, C., 2003. Criminogenic needs and human needs: A theoretical model. Psychology, crime &amp; law, 9(2), pp.125-143.</w:t>
      </w:r>
    </w:p>
    <w:p w14:paraId="13D757E3" w14:textId="77777777" w:rsidR="00224158" w:rsidRDefault="00762448" w:rsidP="00224158">
      <w:pPr>
        <w:spacing w:line="360" w:lineRule="auto"/>
        <w:rPr>
          <w:rFonts w:cstheme="minorHAnsi"/>
          <w:sz w:val="24"/>
          <w:szCs w:val="24"/>
        </w:rPr>
      </w:pPr>
      <w:r w:rsidRPr="00224158">
        <w:rPr>
          <w:rFonts w:cstheme="minorHAnsi"/>
          <w:sz w:val="24"/>
          <w:szCs w:val="24"/>
        </w:rPr>
        <w:t>Welsh, B.C. and Farrington, D.P., 2007. Preventing crime. Springer Science Business Media, LLC.</w:t>
      </w:r>
    </w:p>
    <w:p w14:paraId="1746320A" w14:textId="3FA40EC4" w:rsidR="00762448" w:rsidRPr="00224158" w:rsidRDefault="00762448" w:rsidP="00224158">
      <w:pPr>
        <w:spacing w:line="360" w:lineRule="auto"/>
        <w:rPr>
          <w:rFonts w:cstheme="minorHAnsi"/>
          <w:sz w:val="24"/>
          <w:szCs w:val="24"/>
        </w:rPr>
      </w:pPr>
      <w:r w:rsidRPr="00224158">
        <w:rPr>
          <w:rFonts w:cstheme="minorHAnsi"/>
          <w:sz w:val="24"/>
          <w:szCs w:val="24"/>
        </w:rPr>
        <w:t>West, D.J., 1988. Psychological contributions to criminology. Brit. J. Criminology, 28, p.77.</w:t>
      </w:r>
    </w:p>
    <w:p w14:paraId="71C74D5C" w14:textId="77777777" w:rsidR="00762448" w:rsidRPr="00224158" w:rsidRDefault="00762448" w:rsidP="00224158">
      <w:pPr>
        <w:spacing w:line="360" w:lineRule="auto"/>
        <w:rPr>
          <w:rFonts w:cstheme="minorHAnsi"/>
          <w:sz w:val="24"/>
          <w:szCs w:val="24"/>
        </w:rPr>
      </w:pPr>
      <w:r w:rsidRPr="00224158">
        <w:rPr>
          <w:rFonts w:cstheme="minorHAnsi"/>
          <w:sz w:val="24"/>
          <w:szCs w:val="24"/>
        </w:rPr>
        <w:t>Evans, C., 2020. Countering Violent Extremism, Safeguarding and the Law: A Practitioner's Perspective on Protecting Young and Vulnerable People from Exploitation. In Radicalization and Counter-Radicalization (pp. 135-151). Emerald Publishing Limited.</w:t>
      </w:r>
    </w:p>
    <w:sectPr w:rsidR="00762448" w:rsidRPr="00224158" w:rsidSect="002846E5">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58C93C" w14:textId="77777777" w:rsidR="0086123A" w:rsidRDefault="0086123A" w:rsidP="002846E5">
      <w:pPr>
        <w:spacing w:after="0" w:line="240" w:lineRule="auto"/>
      </w:pPr>
      <w:r>
        <w:separator/>
      </w:r>
    </w:p>
  </w:endnote>
  <w:endnote w:type="continuationSeparator" w:id="0">
    <w:p w14:paraId="4797A532" w14:textId="77777777" w:rsidR="0086123A" w:rsidRDefault="0086123A" w:rsidP="002846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94743177"/>
      <w:docPartObj>
        <w:docPartGallery w:val="Page Numbers (Bottom of Page)"/>
        <w:docPartUnique/>
      </w:docPartObj>
    </w:sdtPr>
    <w:sdtEndPr>
      <w:rPr>
        <w:noProof/>
      </w:rPr>
    </w:sdtEndPr>
    <w:sdtContent>
      <w:p w14:paraId="4F797592" w14:textId="7D4DDF93" w:rsidR="002846E5" w:rsidRDefault="002846E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6D46E0" w14:textId="77777777" w:rsidR="002846E5" w:rsidRDefault="002846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AF4760" w14:textId="77777777" w:rsidR="0086123A" w:rsidRDefault="0086123A" w:rsidP="002846E5">
      <w:pPr>
        <w:spacing w:after="0" w:line="240" w:lineRule="auto"/>
      </w:pPr>
      <w:r>
        <w:separator/>
      </w:r>
    </w:p>
  </w:footnote>
  <w:footnote w:type="continuationSeparator" w:id="0">
    <w:p w14:paraId="707CC0EE" w14:textId="77777777" w:rsidR="0086123A" w:rsidRDefault="0086123A" w:rsidP="002846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924598" w14:textId="60C21096" w:rsidR="002846E5" w:rsidRDefault="002846E5" w:rsidP="002846E5">
    <w:pPr>
      <w:pStyle w:val="Header"/>
      <w:jc w:val="center"/>
    </w:pPr>
    <w:r>
      <w:rPr>
        <w:noProof/>
      </w:rPr>
      <mc:AlternateContent>
        <mc:Choice Requires="wps">
          <w:drawing>
            <wp:anchor distT="0" distB="0" distL="118745" distR="118745" simplePos="0" relativeHeight="251659264" behindDoc="1" locked="0" layoutInCell="1" allowOverlap="0" wp14:anchorId="100342E8" wp14:editId="682A6DC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1D1B240D" w14:textId="4A4E2BFD" w:rsidR="002846E5" w:rsidRDefault="002846E5">
                              <w:pPr>
                                <w:pStyle w:val="Header"/>
                                <w:jc w:val="center"/>
                                <w:rPr>
                                  <w:caps/>
                                  <w:color w:val="FFFFFF" w:themeColor="background1"/>
                                </w:rPr>
                              </w:pPr>
                              <w:r>
                                <w:rPr>
                                  <w:caps/>
                                  <w:color w:val="FFFFFF" w:themeColor="background1"/>
                                </w:rPr>
                                <w:t>Operational Police Practice 2</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100342E8" id="Rectangle 197" o:spid="_x0000_s1030" style="position:absolute;left:0;text-align:left;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1D1B240D" w14:textId="4A4E2BFD" w:rsidR="002846E5" w:rsidRDefault="002846E5">
                        <w:pPr>
                          <w:pStyle w:val="Header"/>
                          <w:jc w:val="center"/>
                          <w:rPr>
                            <w:caps/>
                            <w:color w:val="FFFFFF" w:themeColor="background1"/>
                          </w:rPr>
                        </w:pPr>
                        <w:r>
                          <w:rPr>
                            <w:caps/>
                            <w:color w:val="FFFFFF" w:themeColor="background1"/>
                          </w:rPr>
                          <w:t>Operational Police Practice 2</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D10002"/>
    <w:multiLevelType w:val="multilevel"/>
    <w:tmpl w:val="E9F27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BC917E1"/>
    <w:multiLevelType w:val="hybridMultilevel"/>
    <w:tmpl w:val="8766E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DF5A48"/>
    <w:multiLevelType w:val="multilevel"/>
    <w:tmpl w:val="88A48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2ED76AB"/>
    <w:multiLevelType w:val="hybridMultilevel"/>
    <w:tmpl w:val="EAB0101C"/>
    <w:lvl w:ilvl="0" w:tplc="0B4E253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CC7367"/>
    <w:multiLevelType w:val="hybridMultilevel"/>
    <w:tmpl w:val="F1669600"/>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5" w15:restartNumberingAfterBreak="0">
    <w:nsid w:val="4D5B7497"/>
    <w:multiLevelType w:val="hybridMultilevel"/>
    <w:tmpl w:val="8D72BE08"/>
    <w:lvl w:ilvl="0" w:tplc="252EB10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D876B0"/>
    <w:multiLevelType w:val="hybridMultilevel"/>
    <w:tmpl w:val="FFD2E6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3306230"/>
    <w:multiLevelType w:val="hybridMultilevel"/>
    <w:tmpl w:val="4F1EC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B82E96"/>
    <w:multiLevelType w:val="hybridMultilevel"/>
    <w:tmpl w:val="CC205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462275"/>
    <w:multiLevelType w:val="multilevel"/>
    <w:tmpl w:val="55063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57336094">
    <w:abstractNumId w:val="9"/>
  </w:num>
  <w:num w:numId="2" w16cid:durableId="2066758934">
    <w:abstractNumId w:val="2"/>
  </w:num>
  <w:num w:numId="3" w16cid:durableId="755788253">
    <w:abstractNumId w:val="3"/>
  </w:num>
  <w:num w:numId="4" w16cid:durableId="160706785">
    <w:abstractNumId w:val="0"/>
  </w:num>
  <w:num w:numId="5" w16cid:durableId="1844392900">
    <w:abstractNumId w:val="5"/>
  </w:num>
  <w:num w:numId="6" w16cid:durableId="649477425">
    <w:abstractNumId w:val="4"/>
  </w:num>
  <w:num w:numId="7" w16cid:durableId="1742829494">
    <w:abstractNumId w:val="8"/>
  </w:num>
  <w:num w:numId="8" w16cid:durableId="1976056669">
    <w:abstractNumId w:val="1"/>
  </w:num>
  <w:num w:numId="9" w16cid:durableId="1474446549">
    <w:abstractNumId w:val="7"/>
  </w:num>
  <w:num w:numId="10" w16cid:durableId="167322215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6E5"/>
    <w:rsid w:val="0000024A"/>
    <w:rsid w:val="00002BFC"/>
    <w:rsid w:val="00002C20"/>
    <w:rsid w:val="0000633D"/>
    <w:rsid w:val="000110C0"/>
    <w:rsid w:val="000119B1"/>
    <w:rsid w:val="0002022B"/>
    <w:rsid w:val="00021CEC"/>
    <w:rsid w:val="00025974"/>
    <w:rsid w:val="00033409"/>
    <w:rsid w:val="00042DB9"/>
    <w:rsid w:val="000521B5"/>
    <w:rsid w:val="000605A3"/>
    <w:rsid w:val="00061E78"/>
    <w:rsid w:val="00067630"/>
    <w:rsid w:val="00070797"/>
    <w:rsid w:val="0007197A"/>
    <w:rsid w:val="00072D95"/>
    <w:rsid w:val="00072E2E"/>
    <w:rsid w:val="000749E0"/>
    <w:rsid w:val="00077984"/>
    <w:rsid w:val="00080860"/>
    <w:rsid w:val="00087909"/>
    <w:rsid w:val="000879D0"/>
    <w:rsid w:val="00095201"/>
    <w:rsid w:val="00095C0A"/>
    <w:rsid w:val="00095F52"/>
    <w:rsid w:val="00096DB6"/>
    <w:rsid w:val="000A144A"/>
    <w:rsid w:val="000C0A71"/>
    <w:rsid w:val="000C0FC5"/>
    <w:rsid w:val="000C1BDD"/>
    <w:rsid w:val="000C624A"/>
    <w:rsid w:val="000D538B"/>
    <w:rsid w:val="000D6357"/>
    <w:rsid w:val="000D7571"/>
    <w:rsid w:val="000E40E0"/>
    <w:rsid w:val="000E730B"/>
    <w:rsid w:val="000E792E"/>
    <w:rsid w:val="000F0F41"/>
    <w:rsid w:val="000F4333"/>
    <w:rsid w:val="000F5157"/>
    <w:rsid w:val="000F73F0"/>
    <w:rsid w:val="0010091F"/>
    <w:rsid w:val="00102A48"/>
    <w:rsid w:val="00103FA6"/>
    <w:rsid w:val="001044A3"/>
    <w:rsid w:val="00105065"/>
    <w:rsid w:val="00114B71"/>
    <w:rsid w:val="00117D5D"/>
    <w:rsid w:val="0012196E"/>
    <w:rsid w:val="00130B4A"/>
    <w:rsid w:val="00131239"/>
    <w:rsid w:val="001324ED"/>
    <w:rsid w:val="0013261C"/>
    <w:rsid w:val="00140251"/>
    <w:rsid w:val="00143ABF"/>
    <w:rsid w:val="00145037"/>
    <w:rsid w:val="001450BF"/>
    <w:rsid w:val="00145AFA"/>
    <w:rsid w:val="00153724"/>
    <w:rsid w:val="0015499A"/>
    <w:rsid w:val="001556ED"/>
    <w:rsid w:val="00157C4F"/>
    <w:rsid w:val="001602CA"/>
    <w:rsid w:val="00160A34"/>
    <w:rsid w:val="001618C1"/>
    <w:rsid w:val="001669DB"/>
    <w:rsid w:val="0017080E"/>
    <w:rsid w:val="00171146"/>
    <w:rsid w:val="00173C51"/>
    <w:rsid w:val="00173D46"/>
    <w:rsid w:val="00176B9D"/>
    <w:rsid w:val="00177794"/>
    <w:rsid w:val="001779BB"/>
    <w:rsid w:val="0018319A"/>
    <w:rsid w:val="00184369"/>
    <w:rsid w:val="001856FA"/>
    <w:rsid w:val="001859F2"/>
    <w:rsid w:val="00187091"/>
    <w:rsid w:val="00196AF4"/>
    <w:rsid w:val="001A6CDF"/>
    <w:rsid w:val="001B06EB"/>
    <w:rsid w:val="001C1EBA"/>
    <w:rsid w:val="001C231B"/>
    <w:rsid w:val="001C60B1"/>
    <w:rsid w:val="001C68D0"/>
    <w:rsid w:val="001C6E14"/>
    <w:rsid w:val="001C7CD9"/>
    <w:rsid w:val="001D04AF"/>
    <w:rsid w:val="001D13D8"/>
    <w:rsid w:val="001D2606"/>
    <w:rsid w:val="001D2764"/>
    <w:rsid w:val="001D2C5A"/>
    <w:rsid w:val="001D5EAC"/>
    <w:rsid w:val="001E3617"/>
    <w:rsid w:val="001E3EFC"/>
    <w:rsid w:val="001E5653"/>
    <w:rsid w:val="001E56C9"/>
    <w:rsid w:val="001E6037"/>
    <w:rsid w:val="001F3A22"/>
    <w:rsid w:val="001F53AF"/>
    <w:rsid w:val="001F5C1B"/>
    <w:rsid w:val="001F64DE"/>
    <w:rsid w:val="00201C69"/>
    <w:rsid w:val="0020218A"/>
    <w:rsid w:val="00203841"/>
    <w:rsid w:val="00204BFD"/>
    <w:rsid w:val="00204ED0"/>
    <w:rsid w:val="00205DB0"/>
    <w:rsid w:val="002118A8"/>
    <w:rsid w:val="002124DC"/>
    <w:rsid w:val="00224158"/>
    <w:rsid w:val="0022618F"/>
    <w:rsid w:val="002306B1"/>
    <w:rsid w:val="00230750"/>
    <w:rsid w:val="002323FB"/>
    <w:rsid w:val="002378A9"/>
    <w:rsid w:val="00240EB9"/>
    <w:rsid w:val="00245253"/>
    <w:rsid w:val="00246797"/>
    <w:rsid w:val="00253315"/>
    <w:rsid w:val="00255F0A"/>
    <w:rsid w:val="00260C50"/>
    <w:rsid w:val="002619E8"/>
    <w:rsid w:val="00264998"/>
    <w:rsid w:val="002676EB"/>
    <w:rsid w:val="00276A03"/>
    <w:rsid w:val="00277323"/>
    <w:rsid w:val="0028006A"/>
    <w:rsid w:val="00282422"/>
    <w:rsid w:val="002846E5"/>
    <w:rsid w:val="0029439B"/>
    <w:rsid w:val="0029552C"/>
    <w:rsid w:val="002A252B"/>
    <w:rsid w:val="002B0663"/>
    <w:rsid w:val="002B2A40"/>
    <w:rsid w:val="002B49F4"/>
    <w:rsid w:val="002B4B59"/>
    <w:rsid w:val="002B65BD"/>
    <w:rsid w:val="002B6B55"/>
    <w:rsid w:val="002B7623"/>
    <w:rsid w:val="002C02BD"/>
    <w:rsid w:val="002C0C50"/>
    <w:rsid w:val="002C26D5"/>
    <w:rsid w:val="002C57B4"/>
    <w:rsid w:val="002D3AE5"/>
    <w:rsid w:val="002D589F"/>
    <w:rsid w:val="002D5C48"/>
    <w:rsid w:val="002D780F"/>
    <w:rsid w:val="002E368D"/>
    <w:rsid w:val="002E580E"/>
    <w:rsid w:val="002E72B6"/>
    <w:rsid w:val="002E7739"/>
    <w:rsid w:val="002F2428"/>
    <w:rsid w:val="002F3E38"/>
    <w:rsid w:val="002F57DC"/>
    <w:rsid w:val="002F7706"/>
    <w:rsid w:val="0030129A"/>
    <w:rsid w:val="0030354B"/>
    <w:rsid w:val="00304963"/>
    <w:rsid w:val="00304E3F"/>
    <w:rsid w:val="00305C86"/>
    <w:rsid w:val="0030643D"/>
    <w:rsid w:val="00306C51"/>
    <w:rsid w:val="003163A2"/>
    <w:rsid w:val="003209AB"/>
    <w:rsid w:val="00324E38"/>
    <w:rsid w:val="00325B64"/>
    <w:rsid w:val="0032792A"/>
    <w:rsid w:val="00330EC9"/>
    <w:rsid w:val="00332ADA"/>
    <w:rsid w:val="00333089"/>
    <w:rsid w:val="00340447"/>
    <w:rsid w:val="00341071"/>
    <w:rsid w:val="0034127F"/>
    <w:rsid w:val="003424F0"/>
    <w:rsid w:val="003429AD"/>
    <w:rsid w:val="00344D90"/>
    <w:rsid w:val="003525F3"/>
    <w:rsid w:val="003527A3"/>
    <w:rsid w:val="0036113D"/>
    <w:rsid w:val="003624F4"/>
    <w:rsid w:val="0036487C"/>
    <w:rsid w:val="0037075E"/>
    <w:rsid w:val="00371D25"/>
    <w:rsid w:val="003761FD"/>
    <w:rsid w:val="0038456C"/>
    <w:rsid w:val="00385308"/>
    <w:rsid w:val="00386A29"/>
    <w:rsid w:val="00390AA2"/>
    <w:rsid w:val="00391588"/>
    <w:rsid w:val="00393FD7"/>
    <w:rsid w:val="00394637"/>
    <w:rsid w:val="0039685B"/>
    <w:rsid w:val="003A490C"/>
    <w:rsid w:val="003A496E"/>
    <w:rsid w:val="003A5E90"/>
    <w:rsid w:val="003B0E95"/>
    <w:rsid w:val="003B1FAB"/>
    <w:rsid w:val="003C1D88"/>
    <w:rsid w:val="003C4543"/>
    <w:rsid w:val="003C7819"/>
    <w:rsid w:val="003D252C"/>
    <w:rsid w:val="003D3063"/>
    <w:rsid w:val="003D3A49"/>
    <w:rsid w:val="003D79FA"/>
    <w:rsid w:val="003D7F0F"/>
    <w:rsid w:val="003E0BE4"/>
    <w:rsid w:val="003E2B4C"/>
    <w:rsid w:val="003E5DA7"/>
    <w:rsid w:val="003F0AE2"/>
    <w:rsid w:val="003F1E05"/>
    <w:rsid w:val="003F1F09"/>
    <w:rsid w:val="003F39FB"/>
    <w:rsid w:val="003F717E"/>
    <w:rsid w:val="00405777"/>
    <w:rsid w:val="004113F4"/>
    <w:rsid w:val="00414494"/>
    <w:rsid w:val="0041451D"/>
    <w:rsid w:val="004157DF"/>
    <w:rsid w:val="00420D07"/>
    <w:rsid w:val="00422C56"/>
    <w:rsid w:val="004301A4"/>
    <w:rsid w:val="004322AE"/>
    <w:rsid w:val="00441936"/>
    <w:rsid w:val="00445361"/>
    <w:rsid w:val="004468CD"/>
    <w:rsid w:val="004517EE"/>
    <w:rsid w:val="00452322"/>
    <w:rsid w:val="004552D8"/>
    <w:rsid w:val="00457397"/>
    <w:rsid w:val="004613DF"/>
    <w:rsid w:val="004626EE"/>
    <w:rsid w:val="004631B1"/>
    <w:rsid w:val="00463C4D"/>
    <w:rsid w:val="004678CB"/>
    <w:rsid w:val="00475A13"/>
    <w:rsid w:val="0047691B"/>
    <w:rsid w:val="00477828"/>
    <w:rsid w:val="00477E22"/>
    <w:rsid w:val="00481E7F"/>
    <w:rsid w:val="004821BC"/>
    <w:rsid w:val="00485722"/>
    <w:rsid w:val="00490B97"/>
    <w:rsid w:val="0049409D"/>
    <w:rsid w:val="00496A48"/>
    <w:rsid w:val="004A0BFE"/>
    <w:rsid w:val="004A149A"/>
    <w:rsid w:val="004A552F"/>
    <w:rsid w:val="004B1951"/>
    <w:rsid w:val="004B1B1E"/>
    <w:rsid w:val="004B2BA8"/>
    <w:rsid w:val="004B369E"/>
    <w:rsid w:val="004B5230"/>
    <w:rsid w:val="004C2388"/>
    <w:rsid w:val="004C2AE3"/>
    <w:rsid w:val="004C5890"/>
    <w:rsid w:val="004C7C43"/>
    <w:rsid w:val="004D0366"/>
    <w:rsid w:val="004D252C"/>
    <w:rsid w:val="004D338A"/>
    <w:rsid w:val="004D62DC"/>
    <w:rsid w:val="004D7C7E"/>
    <w:rsid w:val="004E02A6"/>
    <w:rsid w:val="004E082A"/>
    <w:rsid w:val="004E172F"/>
    <w:rsid w:val="004E1D2E"/>
    <w:rsid w:val="004E262E"/>
    <w:rsid w:val="004E7054"/>
    <w:rsid w:val="004E7E7E"/>
    <w:rsid w:val="004F0038"/>
    <w:rsid w:val="004F223F"/>
    <w:rsid w:val="004F226D"/>
    <w:rsid w:val="00502C75"/>
    <w:rsid w:val="00502D1E"/>
    <w:rsid w:val="00504223"/>
    <w:rsid w:val="005045ED"/>
    <w:rsid w:val="00505338"/>
    <w:rsid w:val="00505C5E"/>
    <w:rsid w:val="00507724"/>
    <w:rsid w:val="00510EB6"/>
    <w:rsid w:val="00514C49"/>
    <w:rsid w:val="00522495"/>
    <w:rsid w:val="00522B3D"/>
    <w:rsid w:val="00524CA3"/>
    <w:rsid w:val="00537476"/>
    <w:rsid w:val="00540CE3"/>
    <w:rsid w:val="00544277"/>
    <w:rsid w:val="005469DB"/>
    <w:rsid w:val="00552538"/>
    <w:rsid w:val="00552566"/>
    <w:rsid w:val="00556623"/>
    <w:rsid w:val="00563E6B"/>
    <w:rsid w:val="0057141C"/>
    <w:rsid w:val="0057327E"/>
    <w:rsid w:val="00580426"/>
    <w:rsid w:val="00580B03"/>
    <w:rsid w:val="00586E8C"/>
    <w:rsid w:val="005872F3"/>
    <w:rsid w:val="0058768C"/>
    <w:rsid w:val="00587ED0"/>
    <w:rsid w:val="00591D40"/>
    <w:rsid w:val="005933FA"/>
    <w:rsid w:val="00593DD0"/>
    <w:rsid w:val="00596469"/>
    <w:rsid w:val="005A0894"/>
    <w:rsid w:val="005A142C"/>
    <w:rsid w:val="005A3755"/>
    <w:rsid w:val="005A4F90"/>
    <w:rsid w:val="005A7334"/>
    <w:rsid w:val="005A738F"/>
    <w:rsid w:val="005B074A"/>
    <w:rsid w:val="005B3572"/>
    <w:rsid w:val="005B450E"/>
    <w:rsid w:val="005B69CE"/>
    <w:rsid w:val="005C2C35"/>
    <w:rsid w:val="005C2EBF"/>
    <w:rsid w:val="005C409C"/>
    <w:rsid w:val="005C634F"/>
    <w:rsid w:val="005C7CF9"/>
    <w:rsid w:val="005D0050"/>
    <w:rsid w:val="005E2D8B"/>
    <w:rsid w:val="005E6350"/>
    <w:rsid w:val="005E7CF7"/>
    <w:rsid w:val="005F0CBD"/>
    <w:rsid w:val="005F5207"/>
    <w:rsid w:val="005F5D01"/>
    <w:rsid w:val="006005E4"/>
    <w:rsid w:val="006109F0"/>
    <w:rsid w:val="00610EFD"/>
    <w:rsid w:val="006138A1"/>
    <w:rsid w:val="00617AE0"/>
    <w:rsid w:val="00620440"/>
    <w:rsid w:val="006216F7"/>
    <w:rsid w:val="006220B6"/>
    <w:rsid w:val="00623308"/>
    <w:rsid w:val="00623CF8"/>
    <w:rsid w:val="0062550C"/>
    <w:rsid w:val="00625C0B"/>
    <w:rsid w:val="00626679"/>
    <w:rsid w:val="0062741E"/>
    <w:rsid w:val="00627549"/>
    <w:rsid w:val="00627A03"/>
    <w:rsid w:val="00630A37"/>
    <w:rsid w:val="00631AA3"/>
    <w:rsid w:val="00632236"/>
    <w:rsid w:val="00635206"/>
    <w:rsid w:val="0063689E"/>
    <w:rsid w:val="0063738D"/>
    <w:rsid w:val="00637FC2"/>
    <w:rsid w:val="00640CFA"/>
    <w:rsid w:val="006464B8"/>
    <w:rsid w:val="0064679F"/>
    <w:rsid w:val="00650833"/>
    <w:rsid w:val="00650E57"/>
    <w:rsid w:val="00655275"/>
    <w:rsid w:val="00656712"/>
    <w:rsid w:val="00656C92"/>
    <w:rsid w:val="0066220E"/>
    <w:rsid w:val="00662230"/>
    <w:rsid w:val="00670F4D"/>
    <w:rsid w:val="00670FE1"/>
    <w:rsid w:val="00672594"/>
    <w:rsid w:val="00674870"/>
    <w:rsid w:val="006765B2"/>
    <w:rsid w:val="00694F5C"/>
    <w:rsid w:val="00695AAA"/>
    <w:rsid w:val="006A517E"/>
    <w:rsid w:val="006A78AA"/>
    <w:rsid w:val="006A7C3F"/>
    <w:rsid w:val="006B0ED5"/>
    <w:rsid w:val="006B16CF"/>
    <w:rsid w:val="006B216E"/>
    <w:rsid w:val="006B3419"/>
    <w:rsid w:val="006B49E7"/>
    <w:rsid w:val="006B4BF6"/>
    <w:rsid w:val="006C01ED"/>
    <w:rsid w:val="006C464F"/>
    <w:rsid w:val="006C6D5D"/>
    <w:rsid w:val="006C7C7C"/>
    <w:rsid w:val="006C7F1C"/>
    <w:rsid w:val="006D0D72"/>
    <w:rsid w:val="006D1A52"/>
    <w:rsid w:val="006D351A"/>
    <w:rsid w:val="006D36EA"/>
    <w:rsid w:val="006D44AF"/>
    <w:rsid w:val="006D4BF6"/>
    <w:rsid w:val="006D4D25"/>
    <w:rsid w:val="006D53B8"/>
    <w:rsid w:val="006D63FC"/>
    <w:rsid w:val="006D77FE"/>
    <w:rsid w:val="006E15E8"/>
    <w:rsid w:val="006E3C04"/>
    <w:rsid w:val="006E4B3A"/>
    <w:rsid w:val="006E75E0"/>
    <w:rsid w:val="006F1AF5"/>
    <w:rsid w:val="006F2D3B"/>
    <w:rsid w:val="006F37D2"/>
    <w:rsid w:val="006F5119"/>
    <w:rsid w:val="007000DA"/>
    <w:rsid w:val="007000F8"/>
    <w:rsid w:val="00703651"/>
    <w:rsid w:val="00703ED4"/>
    <w:rsid w:val="00704085"/>
    <w:rsid w:val="00705F40"/>
    <w:rsid w:val="00706183"/>
    <w:rsid w:val="00710CAF"/>
    <w:rsid w:val="007123FA"/>
    <w:rsid w:val="00712479"/>
    <w:rsid w:val="007125AC"/>
    <w:rsid w:val="0071761F"/>
    <w:rsid w:val="0072194D"/>
    <w:rsid w:val="0072252A"/>
    <w:rsid w:val="00724834"/>
    <w:rsid w:val="00737287"/>
    <w:rsid w:val="0073769B"/>
    <w:rsid w:val="00737DCB"/>
    <w:rsid w:val="00742D84"/>
    <w:rsid w:val="007443CF"/>
    <w:rsid w:val="00750049"/>
    <w:rsid w:val="00752CD6"/>
    <w:rsid w:val="00754FDB"/>
    <w:rsid w:val="00755EAB"/>
    <w:rsid w:val="0075677F"/>
    <w:rsid w:val="00757318"/>
    <w:rsid w:val="00760A57"/>
    <w:rsid w:val="007612AD"/>
    <w:rsid w:val="00761ED9"/>
    <w:rsid w:val="00761FCE"/>
    <w:rsid w:val="00762448"/>
    <w:rsid w:val="00765A52"/>
    <w:rsid w:val="007700D9"/>
    <w:rsid w:val="00771D52"/>
    <w:rsid w:val="00774410"/>
    <w:rsid w:val="0077566C"/>
    <w:rsid w:val="00775A28"/>
    <w:rsid w:val="007777C2"/>
    <w:rsid w:val="00781643"/>
    <w:rsid w:val="00785BB8"/>
    <w:rsid w:val="00790B86"/>
    <w:rsid w:val="00791551"/>
    <w:rsid w:val="0079480E"/>
    <w:rsid w:val="007951C8"/>
    <w:rsid w:val="007A0EE8"/>
    <w:rsid w:val="007A3EEC"/>
    <w:rsid w:val="007A48B1"/>
    <w:rsid w:val="007A56D3"/>
    <w:rsid w:val="007B2403"/>
    <w:rsid w:val="007B501F"/>
    <w:rsid w:val="007B6A18"/>
    <w:rsid w:val="007B7051"/>
    <w:rsid w:val="007C012D"/>
    <w:rsid w:val="007C0E99"/>
    <w:rsid w:val="007C11CE"/>
    <w:rsid w:val="007C1849"/>
    <w:rsid w:val="007C2856"/>
    <w:rsid w:val="007C32C6"/>
    <w:rsid w:val="007C73A6"/>
    <w:rsid w:val="007D05AC"/>
    <w:rsid w:val="007D0DD9"/>
    <w:rsid w:val="007D4D5C"/>
    <w:rsid w:val="007D6708"/>
    <w:rsid w:val="007D72A0"/>
    <w:rsid w:val="007E056E"/>
    <w:rsid w:val="007E1174"/>
    <w:rsid w:val="007E4351"/>
    <w:rsid w:val="007E67FD"/>
    <w:rsid w:val="007F1CAE"/>
    <w:rsid w:val="007F51A8"/>
    <w:rsid w:val="007F52B4"/>
    <w:rsid w:val="007F6277"/>
    <w:rsid w:val="007F6770"/>
    <w:rsid w:val="0080050E"/>
    <w:rsid w:val="00811328"/>
    <w:rsid w:val="0081257A"/>
    <w:rsid w:val="00816A48"/>
    <w:rsid w:val="00817C46"/>
    <w:rsid w:val="008236D8"/>
    <w:rsid w:val="00824664"/>
    <w:rsid w:val="008251C5"/>
    <w:rsid w:val="008305EF"/>
    <w:rsid w:val="00833F77"/>
    <w:rsid w:val="008361F2"/>
    <w:rsid w:val="008379AE"/>
    <w:rsid w:val="00846ABE"/>
    <w:rsid w:val="00852CC9"/>
    <w:rsid w:val="00854427"/>
    <w:rsid w:val="00857F0B"/>
    <w:rsid w:val="00860A89"/>
    <w:rsid w:val="0086123A"/>
    <w:rsid w:val="00861CD3"/>
    <w:rsid w:val="00864164"/>
    <w:rsid w:val="00864D27"/>
    <w:rsid w:val="00864D73"/>
    <w:rsid w:val="008662FA"/>
    <w:rsid w:val="0087145C"/>
    <w:rsid w:val="00872BC8"/>
    <w:rsid w:val="008734D8"/>
    <w:rsid w:val="00875917"/>
    <w:rsid w:val="00882A0D"/>
    <w:rsid w:val="00885318"/>
    <w:rsid w:val="00886045"/>
    <w:rsid w:val="00886BC0"/>
    <w:rsid w:val="008940F0"/>
    <w:rsid w:val="008947A6"/>
    <w:rsid w:val="008963AE"/>
    <w:rsid w:val="008A0956"/>
    <w:rsid w:val="008A10F5"/>
    <w:rsid w:val="008A2BDB"/>
    <w:rsid w:val="008A7C62"/>
    <w:rsid w:val="008B650C"/>
    <w:rsid w:val="008C264A"/>
    <w:rsid w:val="008C2DB3"/>
    <w:rsid w:val="008C30FA"/>
    <w:rsid w:val="008E44BD"/>
    <w:rsid w:val="008E567D"/>
    <w:rsid w:val="008E6831"/>
    <w:rsid w:val="008E6AA8"/>
    <w:rsid w:val="008E7FA4"/>
    <w:rsid w:val="008F1182"/>
    <w:rsid w:val="008F1DAD"/>
    <w:rsid w:val="008F2B40"/>
    <w:rsid w:val="008F6CD9"/>
    <w:rsid w:val="008F742B"/>
    <w:rsid w:val="008F7C18"/>
    <w:rsid w:val="0090586C"/>
    <w:rsid w:val="00906543"/>
    <w:rsid w:val="00906A4E"/>
    <w:rsid w:val="00915B90"/>
    <w:rsid w:val="0091756C"/>
    <w:rsid w:val="009203C7"/>
    <w:rsid w:val="0092163A"/>
    <w:rsid w:val="00922276"/>
    <w:rsid w:val="00922614"/>
    <w:rsid w:val="00923BFE"/>
    <w:rsid w:val="00930B51"/>
    <w:rsid w:val="00933BF0"/>
    <w:rsid w:val="009345A6"/>
    <w:rsid w:val="00934DE2"/>
    <w:rsid w:val="00940342"/>
    <w:rsid w:val="00941D7A"/>
    <w:rsid w:val="00943A26"/>
    <w:rsid w:val="00950B84"/>
    <w:rsid w:val="00951CD6"/>
    <w:rsid w:val="00953400"/>
    <w:rsid w:val="009552E3"/>
    <w:rsid w:val="00960B4E"/>
    <w:rsid w:val="009614F4"/>
    <w:rsid w:val="00963CD7"/>
    <w:rsid w:val="0096404C"/>
    <w:rsid w:val="009675F2"/>
    <w:rsid w:val="00970167"/>
    <w:rsid w:val="00971B19"/>
    <w:rsid w:val="009726FE"/>
    <w:rsid w:val="0097636C"/>
    <w:rsid w:val="00977162"/>
    <w:rsid w:val="0098639B"/>
    <w:rsid w:val="00990363"/>
    <w:rsid w:val="00995093"/>
    <w:rsid w:val="009B02B7"/>
    <w:rsid w:val="009B3FBD"/>
    <w:rsid w:val="009B4CA9"/>
    <w:rsid w:val="009B5F00"/>
    <w:rsid w:val="009B6830"/>
    <w:rsid w:val="009C1C5A"/>
    <w:rsid w:val="009C1C67"/>
    <w:rsid w:val="009D0384"/>
    <w:rsid w:val="009D4D79"/>
    <w:rsid w:val="009E144E"/>
    <w:rsid w:val="009E17D2"/>
    <w:rsid w:val="009E1E18"/>
    <w:rsid w:val="009E2B62"/>
    <w:rsid w:val="009F2255"/>
    <w:rsid w:val="009F498F"/>
    <w:rsid w:val="009F53D1"/>
    <w:rsid w:val="00A03E73"/>
    <w:rsid w:val="00A0422C"/>
    <w:rsid w:val="00A04F00"/>
    <w:rsid w:val="00A060F9"/>
    <w:rsid w:val="00A116CE"/>
    <w:rsid w:val="00A12E9C"/>
    <w:rsid w:val="00A15381"/>
    <w:rsid w:val="00A17E86"/>
    <w:rsid w:val="00A20A24"/>
    <w:rsid w:val="00A21AD0"/>
    <w:rsid w:val="00A22AC3"/>
    <w:rsid w:val="00A248AE"/>
    <w:rsid w:val="00A257CB"/>
    <w:rsid w:val="00A26E6D"/>
    <w:rsid w:val="00A27AD3"/>
    <w:rsid w:val="00A31B7E"/>
    <w:rsid w:val="00A36379"/>
    <w:rsid w:val="00A43EA8"/>
    <w:rsid w:val="00A444C4"/>
    <w:rsid w:val="00A4571F"/>
    <w:rsid w:val="00A464B2"/>
    <w:rsid w:val="00A467BB"/>
    <w:rsid w:val="00A500AF"/>
    <w:rsid w:val="00A50A9E"/>
    <w:rsid w:val="00A511EF"/>
    <w:rsid w:val="00A609BA"/>
    <w:rsid w:val="00A62AAF"/>
    <w:rsid w:val="00A64D96"/>
    <w:rsid w:val="00A730B4"/>
    <w:rsid w:val="00A74A5D"/>
    <w:rsid w:val="00A751A7"/>
    <w:rsid w:val="00A75CEF"/>
    <w:rsid w:val="00A779AE"/>
    <w:rsid w:val="00A83A3D"/>
    <w:rsid w:val="00A87BA1"/>
    <w:rsid w:val="00A90F00"/>
    <w:rsid w:val="00A94107"/>
    <w:rsid w:val="00A95D19"/>
    <w:rsid w:val="00AA3A06"/>
    <w:rsid w:val="00AA708C"/>
    <w:rsid w:val="00AB0EA6"/>
    <w:rsid w:val="00AB25F8"/>
    <w:rsid w:val="00AB3DDD"/>
    <w:rsid w:val="00AB5516"/>
    <w:rsid w:val="00AB76D1"/>
    <w:rsid w:val="00AC083D"/>
    <w:rsid w:val="00AC0951"/>
    <w:rsid w:val="00AC2B56"/>
    <w:rsid w:val="00AC5662"/>
    <w:rsid w:val="00AD0F58"/>
    <w:rsid w:val="00AD1576"/>
    <w:rsid w:val="00AD26B0"/>
    <w:rsid w:val="00AE02B4"/>
    <w:rsid w:val="00AE18F5"/>
    <w:rsid w:val="00AE1A3B"/>
    <w:rsid w:val="00AE6FFE"/>
    <w:rsid w:val="00AE70A4"/>
    <w:rsid w:val="00AE7BC3"/>
    <w:rsid w:val="00AF0100"/>
    <w:rsid w:val="00AF1442"/>
    <w:rsid w:val="00AF4D20"/>
    <w:rsid w:val="00B1257D"/>
    <w:rsid w:val="00B20185"/>
    <w:rsid w:val="00B22E6E"/>
    <w:rsid w:val="00B242FE"/>
    <w:rsid w:val="00B27C84"/>
    <w:rsid w:val="00B33EA8"/>
    <w:rsid w:val="00B3697B"/>
    <w:rsid w:val="00B37606"/>
    <w:rsid w:val="00B44167"/>
    <w:rsid w:val="00B46A5E"/>
    <w:rsid w:val="00B5158C"/>
    <w:rsid w:val="00B5310A"/>
    <w:rsid w:val="00B5326F"/>
    <w:rsid w:val="00B535B9"/>
    <w:rsid w:val="00B53818"/>
    <w:rsid w:val="00B53909"/>
    <w:rsid w:val="00B60268"/>
    <w:rsid w:val="00B6294C"/>
    <w:rsid w:val="00B629ED"/>
    <w:rsid w:val="00B70441"/>
    <w:rsid w:val="00B7179E"/>
    <w:rsid w:val="00B731DF"/>
    <w:rsid w:val="00B73723"/>
    <w:rsid w:val="00B74943"/>
    <w:rsid w:val="00B81A5F"/>
    <w:rsid w:val="00B8422E"/>
    <w:rsid w:val="00B84BCC"/>
    <w:rsid w:val="00B86019"/>
    <w:rsid w:val="00B907A4"/>
    <w:rsid w:val="00B91C11"/>
    <w:rsid w:val="00B921FB"/>
    <w:rsid w:val="00B922AF"/>
    <w:rsid w:val="00B9446A"/>
    <w:rsid w:val="00B94737"/>
    <w:rsid w:val="00BA0647"/>
    <w:rsid w:val="00BA256D"/>
    <w:rsid w:val="00BA57D4"/>
    <w:rsid w:val="00BB0EC8"/>
    <w:rsid w:val="00BB23B1"/>
    <w:rsid w:val="00BB3751"/>
    <w:rsid w:val="00BB53B6"/>
    <w:rsid w:val="00BC0175"/>
    <w:rsid w:val="00BC3EA9"/>
    <w:rsid w:val="00BC514C"/>
    <w:rsid w:val="00BC6135"/>
    <w:rsid w:val="00BD0299"/>
    <w:rsid w:val="00BD31F5"/>
    <w:rsid w:val="00BD371C"/>
    <w:rsid w:val="00BD372D"/>
    <w:rsid w:val="00BD5D99"/>
    <w:rsid w:val="00BE3725"/>
    <w:rsid w:val="00BE3D45"/>
    <w:rsid w:val="00BE4343"/>
    <w:rsid w:val="00BE465B"/>
    <w:rsid w:val="00BE470D"/>
    <w:rsid w:val="00BE55F6"/>
    <w:rsid w:val="00BF0B88"/>
    <w:rsid w:val="00BF6141"/>
    <w:rsid w:val="00C01B58"/>
    <w:rsid w:val="00C02395"/>
    <w:rsid w:val="00C029F5"/>
    <w:rsid w:val="00C03827"/>
    <w:rsid w:val="00C03E29"/>
    <w:rsid w:val="00C047EF"/>
    <w:rsid w:val="00C0521B"/>
    <w:rsid w:val="00C0683F"/>
    <w:rsid w:val="00C15BC4"/>
    <w:rsid w:val="00C17738"/>
    <w:rsid w:val="00C23989"/>
    <w:rsid w:val="00C23C39"/>
    <w:rsid w:val="00C2570C"/>
    <w:rsid w:val="00C26E79"/>
    <w:rsid w:val="00C272B0"/>
    <w:rsid w:val="00C3291A"/>
    <w:rsid w:val="00C329D9"/>
    <w:rsid w:val="00C333EC"/>
    <w:rsid w:val="00C336FF"/>
    <w:rsid w:val="00C348EC"/>
    <w:rsid w:val="00C3621B"/>
    <w:rsid w:val="00C406C5"/>
    <w:rsid w:val="00C41FFA"/>
    <w:rsid w:val="00C43500"/>
    <w:rsid w:val="00C45A39"/>
    <w:rsid w:val="00C505D1"/>
    <w:rsid w:val="00C564A4"/>
    <w:rsid w:val="00C56BD1"/>
    <w:rsid w:val="00C5746A"/>
    <w:rsid w:val="00C5763F"/>
    <w:rsid w:val="00C61E49"/>
    <w:rsid w:val="00C65EBF"/>
    <w:rsid w:val="00C704E2"/>
    <w:rsid w:val="00C7195A"/>
    <w:rsid w:val="00C80BE5"/>
    <w:rsid w:val="00C82A7D"/>
    <w:rsid w:val="00C83505"/>
    <w:rsid w:val="00C92045"/>
    <w:rsid w:val="00C9273D"/>
    <w:rsid w:val="00C9275D"/>
    <w:rsid w:val="00C939B2"/>
    <w:rsid w:val="00C9406C"/>
    <w:rsid w:val="00C94C03"/>
    <w:rsid w:val="00C95E43"/>
    <w:rsid w:val="00C97654"/>
    <w:rsid w:val="00C97806"/>
    <w:rsid w:val="00CA04A8"/>
    <w:rsid w:val="00CA057A"/>
    <w:rsid w:val="00CA1E3E"/>
    <w:rsid w:val="00CA2B4A"/>
    <w:rsid w:val="00CB0EAA"/>
    <w:rsid w:val="00CB3603"/>
    <w:rsid w:val="00CC1BAC"/>
    <w:rsid w:val="00CC72E0"/>
    <w:rsid w:val="00CD1B59"/>
    <w:rsid w:val="00CD2EC9"/>
    <w:rsid w:val="00CD32F9"/>
    <w:rsid w:val="00CD6684"/>
    <w:rsid w:val="00CE0E87"/>
    <w:rsid w:val="00CE60FA"/>
    <w:rsid w:val="00CF3043"/>
    <w:rsid w:val="00CF30EB"/>
    <w:rsid w:val="00CF3F2F"/>
    <w:rsid w:val="00D007A9"/>
    <w:rsid w:val="00D00E9C"/>
    <w:rsid w:val="00D01762"/>
    <w:rsid w:val="00D02D49"/>
    <w:rsid w:val="00D03B2C"/>
    <w:rsid w:val="00D06E56"/>
    <w:rsid w:val="00D11A20"/>
    <w:rsid w:val="00D13C1A"/>
    <w:rsid w:val="00D16636"/>
    <w:rsid w:val="00D17218"/>
    <w:rsid w:val="00D2374B"/>
    <w:rsid w:val="00D24AAA"/>
    <w:rsid w:val="00D2528C"/>
    <w:rsid w:val="00D358FC"/>
    <w:rsid w:val="00D4288A"/>
    <w:rsid w:val="00D42EB3"/>
    <w:rsid w:val="00D50501"/>
    <w:rsid w:val="00D51846"/>
    <w:rsid w:val="00D51F11"/>
    <w:rsid w:val="00D53D2C"/>
    <w:rsid w:val="00D56F25"/>
    <w:rsid w:val="00D571B1"/>
    <w:rsid w:val="00D63767"/>
    <w:rsid w:val="00D65AA5"/>
    <w:rsid w:val="00D67811"/>
    <w:rsid w:val="00D7087F"/>
    <w:rsid w:val="00D71E2B"/>
    <w:rsid w:val="00D72AAE"/>
    <w:rsid w:val="00D74B68"/>
    <w:rsid w:val="00D7623C"/>
    <w:rsid w:val="00D77300"/>
    <w:rsid w:val="00D77EAA"/>
    <w:rsid w:val="00D8089C"/>
    <w:rsid w:val="00D853AA"/>
    <w:rsid w:val="00D85FAE"/>
    <w:rsid w:val="00D91753"/>
    <w:rsid w:val="00D9538E"/>
    <w:rsid w:val="00DA4B4B"/>
    <w:rsid w:val="00DA6D7F"/>
    <w:rsid w:val="00DA6EB8"/>
    <w:rsid w:val="00DB19C2"/>
    <w:rsid w:val="00DB59F6"/>
    <w:rsid w:val="00DB68FD"/>
    <w:rsid w:val="00DB79CC"/>
    <w:rsid w:val="00DC717F"/>
    <w:rsid w:val="00DC71BD"/>
    <w:rsid w:val="00DD4245"/>
    <w:rsid w:val="00DD46B6"/>
    <w:rsid w:val="00DD4E94"/>
    <w:rsid w:val="00DD5D24"/>
    <w:rsid w:val="00DD7700"/>
    <w:rsid w:val="00DE25CE"/>
    <w:rsid w:val="00DE2C2F"/>
    <w:rsid w:val="00DE3392"/>
    <w:rsid w:val="00DE6F67"/>
    <w:rsid w:val="00DE7D59"/>
    <w:rsid w:val="00DF0220"/>
    <w:rsid w:val="00DF0E73"/>
    <w:rsid w:val="00DF304A"/>
    <w:rsid w:val="00DF403B"/>
    <w:rsid w:val="00E009A2"/>
    <w:rsid w:val="00E01086"/>
    <w:rsid w:val="00E02CD0"/>
    <w:rsid w:val="00E06E57"/>
    <w:rsid w:val="00E14402"/>
    <w:rsid w:val="00E2101F"/>
    <w:rsid w:val="00E304FB"/>
    <w:rsid w:val="00E31338"/>
    <w:rsid w:val="00E31BC2"/>
    <w:rsid w:val="00E331CA"/>
    <w:rsid w:val="00E36A59"/>
    <w:rsid w:val="00E41D9F"/>
    <w:rsid w:val="00E4307F"/>
    <w:rsid w:val="00E431F8"/>
    <w:rsid w:val="00E43F76"/>
    <w:rsid w:val="00E440AD"/>
    <w:rsid w:val="00E476DF"/>
    <w:rsid w:val="00E5085E"/>
    <w:rsid w:val="00E516F9"/>
    <w:rsid w:val="00E51BC8"/>
    <w:rsid w:val="00E5288F"/>
    <w:rsid w:val="00E55D0B"/>
    <w:rsid w:val="00E56EEE"/>
    <w:rsid w:val="00E64792"/>
    <w:rsid w:val="00E64A47"/>
    <w:rsid w:val="00E73376"/>
    <w:rsid w:val="00E7516E"/>
    <w:rsid w:val="00E7655F"/>
    <w:rsid w:val="00E76982"/>
    <w:rsid w:val="00E8048B"/>
    <w:rsid w:val="00E857AB"/>
    <w:rsid w:val="00E90D60"/>
    <w:rsid w:val="00E93E20"/>
    <w:rsid w:val="00E95559"/>
    <w:rsid w:val="00E95813"/>
    <w:rsid w:val="00E95F11"/>
    <w:rsid w:val="00EA37C5"/>
    <w:rsid w:val="00EA5FC5"/>
    <w:rsid w:val="00EB1B00"/>
    <w:rsid w:val="00EB30E2"/>
    <w:rsid w:val="00EB57C2"/>
    <w:rsid w:val="00EB63FC"/>
    <w:rsid w:val="00EB7D27"/>
    <w:rsid w:val="00EC1B69"/>
    <w:rsid w:val="00EC2CAA"/>
    <w:rsid w:val="00EC32EB"/>
    <w:rsid w:val="00ED2FE7"/>
    <w:rsid w:val="00EE01D5"/>
    <w:rsid w:val="00EE04B8"/>
    <w:rsid w:val="00EE51A6"/>
    <w:rsid w:val="00EF0C46"/>
    <w:rsid w:val="00EF3774"/>
    <w:rsid w:val="00EF4AA0"/>
    <w:rsid w:val="00EF57BA"/>
    <w:rsid w:val="00EF6B31"/>
    <w:rsid w:val="00F011BD"/>
    <w:rsid w:val="00F01513"/>
    <w:rsid w:val="00F0173A"/>
    <w:rsid w:val="00F03CF4"/>
    <w:rsid w:val="00F03F4A"/>
    <w:rsid w:val="00F04830"/>
    <w:rsid w:val="00F048CE"/>
    <w:rsid w:val="00F10A69"/>
    <w:rsid w:val="00F118B6"/>
    <w:rsid w:val="00F11FAD"/>
    <w:rsid w:val="00F1231B"/>
    <w:rsid w:val="00F12454"/>
    <w:rsid w:val="00F21671"/>
    <w:rsid w:val="00F22E5A"/>
    <w:rsid w:val="00F27BB5"/>
    <w:rsid w:val="00F31F8B"/>
    <w:rsid w:val="00F35AF8"/>
    <w:rsid w:val="00F41EB3"/>
    <w:rsid w:val="00F440CA"/>
    <w:rsid w:val="00F45BBC"/>
    <w:rsid w:val="00F46393"/>
    <w:rsid w:val="00F464E6"/>
    <w:rsid w:val="00F553F8"/>
    <w:rsid w:val="00F62FDC"/>
    <w:rsid w:val="00F6705C"/>
    <w:rsid w:val="00F73D0B"/>
    <w:rsid w:val="00F746D1"/>
    <w:rsid w:val="00F76345"/>
    <w:rsid w:val="00F81655"/>
    <w:rsid w:val="00F83494"/>
    <w:rsid w:val="00F863B1"/>
    <w:rsid w:val="00F903F1"/>
    <w:rsid w:val="00F925B7"/>
    <w:rsid w:val="00F9559B"/>
    <w:rsid w:val="00FA1A6E"/>
    <w:rsid w:val="00FA1CB9"/>
    <w:rsid w:val="00FA28C9"/>
    <w:rsid w:val="00FA2F36"/>
    <w:rsid w:val="00FA3B48"/>
    <w:rsid w:val="00FB0D1B"/>
    <w:rsid w:val="00FB0FE0"/>
    <w:rsid w:val="00FB5DA1"/>
    <w:rsid w:val="00FC1088"/>
    <w:rsid w:val="00FC36E0"/>
    <w:rsid w:val="00FC44A0"/>
    <w:rsid w:val="00FC4FD4"/>
    <w:rsid w:val="00FD2699"/>
    <w:rsid w:val="00FD79B2"/>
    <w:rsid w:val="00FE03BD"/>
    <w:rsid w:val="00FE14C2"/>
    <w:rsid w:val="00FE22CE"/>
    <w:rsid w:val="00FE2A32"/>
    <w:rsid w:val="00FE365F"/>
    <w:rsid w:val="00FE37D3"/>
    <w:rsid w:val="00FE47DF"/>
    <w:rsid w:val="00FE6E3E"/>
    <w:rsid w:val="00FF1126"/>
    <w:rsid w:val="00FF144D"/>
    <w:rsid w:val="00FF26A4"/>
    <w:rsid w:val="00FF3DCE"/>
    <w:rsid w:val="00FF3E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279EF"/>
  <w15:chartTrackingRefBased/>
  <w15:docId w15:val="{E26CFDA2-6B69-4223-8B69-F433274BDE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46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846E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846E5"/>
    <w:rPr>
      <w:rFonts w:eastAsiaTheme="minorEastAsia"/>
      <w:kern w:val="0"/>
      <w:lang w:val="en-US"/>
      <w14:ligatures w14:val="none"/>
    </w:rPr>
  </w:style>
  <w:style w:type="character" w:customStyle="1" w:styleId="Heading1Char">
    <w:name w:val="Heading 1 Char"/>
    <w:basedOn w:val="DefaultParagraphFont"/>
    <w:link w:val="Heading1"/>
    <w:uiPriority w:val="9"/>
    <w:rsid w:val="002846E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846E5"/>
    <w:pPr>
      <w:outlineLvl w:val="9"/>
    </w:pPr>
    <w:rPr>
      <w:kern w:val="0"/>
      <w:lang w:val="en-US"/>
      <w14:ligatures w14:val="none"/>
    </w:rPr>
  </w:style>
  <w:style w:type="paragraph" w:styleId="TOC1">
    <w:name w:val="toc 1"/>
    <w:basedOn w:val="Normal"/>
    <w:next w:val="Normal"/>
    <w:autoRedefine/>
    <w:uiPriority w:val="39"/>
    <w:unhideWhenUsed/>
    <w:rsid w:val="002846E5"/>
    <w:pPr>
      <w:spacing w:after="100"/>
    </w:pPr>
  </w:style>
  <w:style w:type="character" w:styleId="Hyperlink">
    <w:name w:val="Hyperlink"/>
    <w:basedOn w:val="DefaultParagraphFont"/>
    <w:uiPriority w:val="99"/>
    <w:unhideWhenUsed/>
    <w:rsid w:val="002846E5"/>
    <w:rPr>
      <w:color w:val="0563C1" w:themeColor="hyperlink"/>
      <w:u w:val="single"/>
    </w:rPr>
  </w:style>
  <w:style w:type="paragraph" w:styleId="Header">
    <w:name w:val="header"/>
    <w:basedOn w:val="Normal"/>
    <w:link w:val="HeaderChar"/>
    <w:uiPriority w:val="99"/>
    <w:unhideWhenUsed/>
    <w:rsid w:val="002846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46E5"/>
  </w:style>
  <w:style w:type="paragraph" w:styleId="Footer">
    <w:name w:val="footer"/>
    <w:basedOn w:val="Normal"/>
    <w:link w:val="FooterChar"/>
    <w:uiPriority w:val="99"/>
    <w:unhideWhenUsed/>
    <w:rsid w:val="002846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46E5"/>
  </w:style>
  <w:style w:type="paragraph" w:styleId="NormalWeb">
    <w:name w:val="Normal (Web)"/>
    <w:basedOn w:val="Normal"/>
    <w:uiPriority w:val="99"/>
    <w:unhideWhenUsed/>
    <w:rsid w:val="00F048C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BE465B"/>
    <w:pPr>
      <w:ind w:left="720"/>
      <w:contextualSpacing/>
    </w:pPr>
  </w:style>
  <w:style w:type="character" w:styleId="FollowedHyperlink">
    <w:name w:val="FollowedHyperlink"/>
    <w:basedOn w:val="DefaultParagraphFont"/>
    <w:uiPriority w:val="99"/>
    <w:semiHidden/>
    <w:unhideWhenUsed/>
    <w:rsid w:val="00A22AC3"/>
    <w:rPr>
      <w:color w:val="954F72" w:themeColor="followedHyperlink"/>
      <w:u w:val="single"/>
    </w:rPr>
  </w:style>
  <w:style w:type="character" w:styleId="UnresolvedMention">
    <w:name w:val="Unresolved Mention"/>
    <w:basedOn w:val="DefaultParagraphFont"/>
    <w:uiPriority w:val="99"/>
    <w:semiHidden/>
    <w:unhideWhenUsed/>
    <w:rsid w:val="00762448"/>
    <w:rPr>
      <w:color w:val="605E5C"/>
      <w:shd w:val="clear" w:color="auto" w:fill="E1DFDD"/>
    </w:rPr>
  </w:style>
  <w:style w:type="paragraph" w:styleId="Caption">
    <w:name w:val="caption"/>
    <w:basedOn w:val="Normal"/>
    <w:next w:val="Normal"/>
    <w:uiPriority w:val="35"/>
    <w:unhideWhenUsed/>
    <w:qFormat/>
    <w:rsid w:val="00864D73"/>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77103">
      <w:bodyDiv w:val="1"/>
      <w:marLeft w:val="0"/>
      <w:marRight w:val="0"/>
      <w:marTop w:val="0"/>
      <w:marBottom w:val="0"/>
      <w:divBdr>
        <w:top w:val="none" w:sz="0" w:space="0" w:color="auto"/>
        <w:left w:val="none" w:sz="0" w:space="0" w:color="auto"/>
        <w:bottom w:val="none" w:sz="0" w:space="0" w:color="auto"/>
        <w:right w:val="none" w:sz="0" w:space="0" w:color="auto"/>
      </w:divBdr>
    </w:div>
    <w:div w:id="129059764">
      <w:bodyDiv w:val="1"/>
      <w:marLeft w:val="0"/>
      <w:marRight w:val="0"/>
      <w:marTop w:val="0"/>
      <w:marBottom w:val="0"/>
      <w:divBdr>
        <w:top w:val="none" w:sz="0" w:space="0" w:color="auto"/>
        <w:left w:val="none" w:sz="0" w:space="0" w:color="auto"/>
        <w:bottom w:val="none" w:sz="0" w:space="0" w:color="auto"/>
        <w:right w:val="none" w:sz="0" w:space="0" w:color="auto"/>
      </w:divBdr>
    </w:div>
    <w:div w:id="166091598">
      <w:bodyDiv w:val="1"/>
      <w:marLeft w:val="0"/>
      <w:marRight w:val="0"/>
      <w:marTop w:val="0"/>
      <w:marBottom w:val="0"/>
      <w:divBdr>
        <w:top w:val="none" w:sz="0" w:space="0" w:color="auto"/>
        <w:left w:val="none" w:sz="0" w:space="0" w:color="auto"/>
        <w:bottom w:val="none" w:sz="0" w:space="0" w:color="auto"/>
        <w:right w:val="none" w:sz="0" w:space="0" w:color="auto"/>
      </w:divBdr>
    </w:div>
    <w:div w:id="181093724">
      <w:bodyDiv w:val="1"/>
      <w:marLeft w:val="0"/>
      <w:marRight w:val="0"/>
      <w:marTop w:val="0"/>
      <w:marBottom w:val="0"/>
      <w:divBdr>
        <w:top w:val="none" w:sz="0" w:space="0" w:color="auto"/>
        <w:left w:val="none" w:sz="0" w:space="0" w:color="auto"/>
        <w:bottom w:val="none" w:sz="0" w:space="0" w:color="auto"/>
        <w:right w:val="none" w:sz="0" w:space="0" w:color="auto"/>
      </w:divBdr>
    </w:div>
    <w:div w:id="300310232">
      <w:bodyDiv w:val="1"/>
      <w:marLeft w:val="0"/>
      <w:marRight w:val="0"/>
      <w:marTop w:val="0"/>
      <w:marBottom w:val="0"/>
      <w:divBdr>
        <w:top w:val="none" w:sz="0" w:space="0" w:color="auto"/>
        <w:left w:val="none" w:sz="0" w:space="0" w:color="auto"/>
        <w:bottom w:val="none" w:sz="0" w:space="0" w:color="auto"/>
        <w:right w:val="none" w:sz="0" w:space="0" w:color="auto"/>
      </w:divBdr>
    </w:div>
    <w:div w:id="381253113">
      <w:bodyDiv w:val="1"/>
      <w:marLeft w:val="0"/>
      <w:marRight w:val="0"/>
      <w:marTop w:val="0"/>
      <w:marBottom w:val="0"/>
      <w:divBdr>
        <w:top w:val="none" w:sz="0" w:space="0" w:color="auto"/>
        <w:left w:val="none" w:sz="0" w:space="0" w:color="auto"/>
        <w:bottom w:val="none" w:sz="0" w:space="0" w:color="auto"/>
        <w:right w:val="none" w:sz="0" w:space="0" w:color="auto"/>
      </w:divBdr>
    </w:div>
    <w:div w:id="413287372">
      <w:bodyDiv w:val="1"/>
      <w:marLeft w:val="0"/>
      <w:marRight w:val="0"/>
      <w:marTop w:val="0"/>
      <w:marBottom w:val="0"/>
      <w:divBdr>
        <w:top w:val="none" w:sz="0" w:space="0" w:color="auto"/>
        <w:left w:val="none" w:sz="0" w:space="0" w:color="auto"/>
        <w:bottom w:val="none" w:sz="0" w:space="0" w:color="auto"/>
        <w:right w:val="none" w:sz="0" w:space="0" w:color="auto"/>
      </w:divBdr>
      <w:divsChild>
        <w:div w:id="1665626647">
          <w:marLeft w:val="0"/>
          <w:marRight w:val="0"/>
          <w:marTop w:val="0"/>
          <w:marBottom w:val="0"/>
          <w:divBdr>
            <w:top w:val="none" w:sz="0" w:space="0" w:color="auto"/>
            <w:left w:val="none" w:sz="0" w:space="0" w:color="auto"/>
            <w:bottom w:val="none" w:sz="0" w:space="0" w:color="auto"/>
            <w:right w:val="none" w:sz="0" w:space="0" w:color="auto"/>
          </w:divBdr>
        </w:div>
      </w:divsChild>
    </w:div>
    <w:div w:id="421802253">
      <w:bodyDiv w:val="1"/>
      <w:marLeft w:val="0"/>
      <w:marRight w:val="0"/>
      <w:marTop w:val="0"/>
      <w:marBottom w:val="0"/>
      <w:divBdr>
        <w:top w:val="none" w:sz="0" w:space="0" w:color="auto"/>
        <w:left w:val="none" w:sz="0" w:space="0" w:color="auto"/>
        <w:bottom w:val="none" w:sz="0" w:space="0" w:color="auto"/>
        <w:right w:val="none" w:sz="0" w:space="0" w:color="auto"/>
      </w:divBdr>
    </w:div>
    <w:div w:id="475336421">
      <w:bodyDiv w:val="1"/>
      <w:marLeft w:val="0"/>
      <w:marRight w:val="0"/>
      <w:marTop w:val="0"/>
      <w:marBottom w:val="0"/>
      <w:divBdr>
        <w:top w:val="none" w:sz="0" w:space="0" w:color="auto"/>
        <w:left w:val="none" w:sz="0" w:space="0" w:color="auto"/>
        <w:bottom w:val="none" w:sz="0" w:space="0" w:color="auto"/>
        <w:right w:val="none" w:sz="0" w:space="0" w:color="auto"/>
      </w:divBdr>
    </w:div>
    <w:div w:id="509829445">
      <w:bodyDiv w:val="1"/>
      <w:marLeft w:val="0"/>
      <w:marRight w:val="0"/>
      <w:marTop w:val="0"/>
      <w:marBottom w:val="0"/>
      <w:divBdr>
        <w:top w:val="none" w:sz="0" w:space="0" w:color="auto"/>
        <w:left w:val="none" w:sz="0" w:space="0" w:color="auto"/>
        <w:bottom w:val="none" w:sz="0" w:space="0" w:color="auto"/>
        <w:right w:val="none" w:sz="0" w:space="0" w:color="auto"/>
      </w:divBdr>
    </w:div>
    <w:div w:id="570969685">
      <w:bodyDiv w:val="1"/>
      <w:marLeft w:val="0"/>
      <w:marRight w:val="0"/>
      <w:marTop w:val="0"/>
      <w:marBottom w:val="0"/>
      <w:divBdr>
        <w:top w:val="none" w:sz="0" w:space="0" w:color="auto"/>
        <w:left w:val="none" w:sz="0" w:space="0" w:color="auto"/>
        <w:bottom w:val="none" w:sz="0" w:space="0" w:color="auto"/>
        <w:right w:val="none" w:sz="0" w:space="0" w:color="auto"/>
      </w:divBdr>
    </w:div>
    <w:div w:id="590430399">
      <w:bodyDiv w:val="1"/>
      <w:marLeft w:val="0"/>
      <w:marRight w:val="0"/>
      <w:marTop w:val="0"/>
      <w:marBottom w:val="0"/>
      <w:divBdr>
        <w:top w:val="none" w:sz="0" w:space="0" w:color="auto"/>
        <w:left w:val="none" w:sz="0" w:space="0" w:color="auto"/>
        <w:bottom w:val="none" w:sz="0" w:space="0" w:color="auto"/>
        <w:right w:val="none" w:sz="0" w:space="0" w:color="auto"/>
      </w:divBdr>
    </w:div>
    <w:div w:id="792678513">
      <w:bodyDiv w:val="1"/>
      <w:marLeft w:val="0"/>
      <w:marRight w:val="0"/>
      <w:marTop w:val="0"/>
      <w:marBottom w:val="0"/>
      <w:divBdr>
        <w:top w:val="none" w:sz="0" w:space="0" w:color="auto"/>
        <w:left w:val="none" w:sz="0" w:space="0" w:color="auto"/>
        <w:bottom w:val="none" w:sz="0" w:space="0" w:color="auto"/>
        <w:right w:val="none" w:sz="0" w:space="0" w:color="auto"/>
      </w:divBdr>
    </w:div>
    <w:div w:id="1162700262">
      <w:bodyDiv w:val="1"/>
      <w:marLeft w:val="0"/>
      <w:marRight w:val="0"/>
      <w:marTop w:val="0"/>
      <w:marBottom w:val="0"/>
      <w:divBdr>
        <w:top w:val="none" w:sz="0" w:space="0" w:color="auto"/>
        <w:left w:val="none" w:sz="0" w:space="0" w:color="auto"/>
        <w:bottom w:val="none" w:sz="0" w:space="0" w:color="auto"/>
        <w:right w:val="none" w:sz="0" w:space="0" w:color="auto"/>
      </w:divBdr>
    </w:div>
    <w:div w:id="1183938564">
      <w:bodyDiv w:val="1"/>
      <w:marLeft w:val="0"/>
      <w:marRight w:val="0"/>
      <w:marTop w:val="0"/>
      <w:marBottom w:val="0"/>
      <w:divBdr>
        <w:top w:val="none" w:sz="0" w:space="0" w:color="auto"/>
        <w:left w:val="none" w:sz="0" w:space="0" w:color="auto"/>
        <w:bottom w:val="none" w:sz="0" w:space="0" w:color="auto"/>
        <w:right w:val="none" w:sz="0" w:space="0" w:color="auto"/>
      </w:divBdr>
    </w:div>
    <w:div w:id="1297638507">
      <w:bodyDiv w:val="1"/>
      <w:marLeft w:val="0"/>
      <w:marRight w:val="0"/>
      <w:marTop w:val="0"/>
      <w:marBottom w:val="0"/>
      <w:divBdr>
        <w:top w:val="none" w:sz="0" w:space="0" w:color="auto"/>
        <w:left w:val="none" w:sz="0" w:space="0" w:color="auto"/>
        <w:bottom w:val="none" w:sz="0" w:space="0" w:color="auto"/>
        <w:right w:val="none" w:sz="0" w:space="0" w:color="auto"/>
      </w:divBdr>
    </w:div>
    <w:div w:id="1398895866">
      <w:bodyDiv w:val="1"/>
      <w:marLeft w:val="0"/>
      <w:marRight w:val="0"/>
      <w:marTop w:val="0"/>
      <w:marBottom w:val="0"/>
      <w:divBdr>
        <w:top w:val="none" w:sz="0" w:space="0" w:color="auto"/>
        <w:left w:val="none" w:sz="0" w:space="0" w:color="auto"/>
        <w:bottom w:val="none" w:sz="0" w:space="0" w:color="auto"/>
        <w:right w:val="none" w:sz="0" w:space="0" w:color="auto"/>
      </w:divBdr>
    </w:div>
    <w:div w:id="1448543299">
      <w:bodyDiv w:val="1"/>
      <w:marLeft w:val="0"/>
      <w:marRight w:val="0"/>
      <w:marTop w:val="0"/>
      <w:marBottom w:val="0"/>
      <w:divBdr>
        <w:top w:val="none" w:sz="0" w:space="0" w:color="auto"/>
        <w:left w:val="none" w:sz="0" w:space="0" w:color="auto"/>
        <w:bottom w:val="none" w:sz="0" w:space="0" w:color="auto"/>
        <w:right w:val="none" w:sz="0" w:space="0" w:color="auto"/>
      </w:divBdr>
    </w:div>
    <w:div w:id="1506281351">
      <w:bodyDiv w:val="1"/>
      <w:marLeft w:val="0"/>
      <w:marRight w:val="0"/>
      <w:marTop w:val="0"/>
      <w:marBottom w:val="0"/>
      <w:divBdr>
        <w:top w:val="none" w:sz="0" w:space="0" w:color="auto"/>
        <w:left w:val="none" w:sz="0" w:space="0" w:color="auto"/>
        <w:bottom w:val="none" w:sz="0" w:space="0" w:color="auto"/>
        <w:right w:val="none" w:sz="0" w:space="0" w:color="auto"/>
      </w:divBdr>
    </w:div>
    <w:div w:id="1530100107">
      <w:bodyDiv w:val="1"/>
      <w:marLeft w:val="0"/>
      <w:marRight w:val="0"/>
      <w:marTop w:val="0"/>
      <w:marBottom w:val="0"/>
      <w:divBdr>
        <w:top w:val="none" w:sz="0" w:space="0" w:color="auto"/>
        <w:left w:val="none" w:sz="0" w:space="0" w:color="auto"/>
        <w:bottom w:val="none" w:sz="0" w:space="0" w:color="auto"/>
        <w:right w:val="none" w:sz="0" w:space="0" w:color="auto"/>
      </w:divBdr>
      <w:divsChild>
        <w:div w:id="534734030">
          <w:marLeft w:val="0"/>
          <w:marRight w:val="0"/>
          <w:marTop w:val="0"/>
          <w:marBottom w:val="0"/>
          <w:divBdr>
            <w:top w:val="none" w:sz="0" w:space="0" w:color="auto"/>
            <w:left w:val="none" w:sz="0" w:space="0" w:color="auto"/>
            <w:bottom w:val="none" w:sz="0" w:space="0" w:color="auto"/>
            <w:right w:val="none" w:sz="0" w:space="0" w:color="auto"/>
          </w:divBdr>
        </w:div>
      </w:divsChild>
    </w:div>
    <w:div w:id="1548683827">
      <w:bodyDiv w:val="1"/>
      <w:marLeft w:val="0"/>
      <w:marRight w:val="0"/>
      <w:marTop w:val="0"/>
      <w:marBottom w:val="0"/>
      <w:divBdr>
        <w:top w:val="none" w:sz="0" w:space="0" w:color="auto"/>
        <w:left w:val="none" w:sz="0" w:space="0" w:color="auto"/>
        <w:bottom w:val="none" w:sz="0" w:space="0" w:color="auto"/>
        <w:right w:val="none" w:sz="0" w:space="0" w:color="auto"/>
      </w:divBdr>
    </w:div>
    <w:div w:id="1851210736">
      <w:bodyDiv w:val="1"/>
      <w:marLeft w:val="0"/>
      <w:marRight w:val="0"/>
      <w:marTop w:val="0"/>
      <w:marBottom w:val="0"/>
      <w:divBdr>
        <w:top w:val="none" w:sz="0" w:space="0" w:color="auto"/>
        <w:left w:val="none" w:sz="0" w:space="0" w:color="auto"/>
        <w:bottom w:val="none" w:sz="0" w:space="0" w:color="auto"/>
        <w:right w:val="none" w:sz="0" w:space="0" w:color="auto"/>
      </w:divBdr>
    </w:div>
    <w:div w:id="2028167625">
      <w:bodyDiv w:val="1"/>
      <w:marLeft w:val="0"/>
      <w:marRight w:val="0"/>
      <w:marTop w:val="0"/>
      <w:marBottom w:val="0"/>
      <w:divBdr>
        <w:top w:val="none" w:sz="0" w:space="0" w:color="auto"/>
        <w:left w:val="none" w:sz="0" w:space="0" w:color="auto"/>
        <w:bottom w:val="none" w:sz="0" w:space="0" w:color="auto"/>
        <w:right w:val="none" w:sz="0" w:space="0" w:color="auto"/>
      </w:divBdr>
    </w:div>
    <w:div w:id="2037608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761A8C3-86E3-4838-BD78-EA9EE8B0EF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4425</TotalTime>
  <Pages>19</Pages>
  <Words>4885</Words>
  <Characters>27848</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32668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Operational Police Practice 2</dc:title>
  <dc:subject>BSc Professional Policing Practice</dc:subject>
  <dc:creator>Willsher, Abbi</dc:creator>
  <cp:keywords/>
  <dc:description/>
  <cp:revision>917</cp:revision>
  <dcterms:created xsi:type="dcterms:W3CDTF">2024-05-02T18:19:00Z</dcterms:created>
  <dcterms:modified xsi:type="dcterms:W3CDTF">2024-07-01T22:24:00Z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2024-05-02T19:24:44Z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a70c8a20-d690-4380-ac88-132043d8787c</vt:lpwstr>
  </property>
  <property fmtid="{D5CDD505-2E9C-101B-9397-08002B2CF9AE}" pid="8" name="MSIP_Label_f2acd28b-79a3-4a0f-b0ff-4b75658b1549_ContentBits">
    <vt:lpwstr>0</vt:lpwstr>
  </property>
</Properties>
</file>