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4D8EA" w14:textId="08D5E787" w:rsidR="00284378" w:rsidRDefault="00CA6E22">
      <w:r>
        <w:t>ECAD4013</w:t>
      </w:r>
    </w:p>
    <w:p w14:paraId="111FD759" w14:textId="304CA575" w:rsidR="00CA6E22" w:rsidRDefault="00CA6E22">
      <w:r>
        <w:t>Melissa Phillips</w:t>
      </w:r>
    </w:p>
    <w:p w14:paraId="0774408A" w14:textId="4B5DBD64" w:rsidR="00CA6E22" w:rsidRDefault="00CA6E22">
      <w:r>
        <w:t>2220554</w:t>
      </w:r>
    </w:p>
    <w:p w14:paraId="66378370" w14:textId="7ABA3EEB" w:rsidR="00CA6E22" w:rsidRDefault="00CA6E22"/>
    <w:p w14:paraId="5FE6E73D" w14:textId="77777777" w:rsidR="00CA6E22" w:rsidRPr="007F17AE" w:rsidRDefault="00CA6E22" w:rsidP="00CA6E22">
      <w:pPr>
        <w:tabs>
          <w:tab w:val="num" w:pos="1440"/>
        </w:tabs>
        <w:ind w:left="1440"/>
        <w:rPr>
          <w:rFonts w:ascii="Arial" w:hAnsi="Arial" w:cs="Arial"/>
        </w:rPr>
      </w:pPr>
    </w:p>
    <w:p w14:paraId="169B8A2C" w14:textId="40545BD6" w:rsidR="00CA6E22" w:rsidRDefault="00CA6E22">
      <w:r>
        <w:t xml:space="preserve">Both family and community involvement with a child is beneficial in almost all areas of their life, especially throughout their time in education. These relationships help the child to grow as an individual, as well as a member of society and helps them to reach their highest potential. When visiting my bridging school, they ensure to have lots of measurements in place </w:t>
      </w:r>
      <w:proofErr w:type="gramStart"/>
      <w:r>
        <w:t>in order to</w:t>
      </w:r>
      <w:proofErr w:type="gramEnd"/>
      <w:r>
        <w:t xml:space="preserve"> create these firm relationships with families and the community so the child’s experience in school is beneficial and comfortable. Being in a small town, they are proud to be a community school. School X strongly believes they belong to the community and take pupil and family voice and opinion very seriously as they strive for success for everyone. However, such a small town does </w:t>
      </w:r>
      <w:r>
        <w:tab/>
        <w:t xml:space="preserve">hold some negative aspects. Being such a high deprivation area, school X always takes into consideration the importance of experiences and views them as vital for a child’s personal development as the area does not offer a lot of opportunity or range of activity in a close enough vicinity for it to be a normal occurrence. In a report by the Joseph Rowntree Foundation (JRF) focused on how poverty links to low achievement in wales, they state that “17 percent of welsh children live in relative poverty” and that low achievement appears to stem from children with these backgrounds, against those from “more prosperous backgrounds” (Egan, 2013) so ensuring children who come from a deprived area have the best possible academic experience they have is detrimental to their overall success at the end of their time in school. School X also understands the importance of family and parent involvement in the child’s school experience and offers many activities and opportunities for them to be involved in the child’s learning. These range from having family into school to a range of further support for those families who may need it. By having open support ready at any time for not only any member of the school community but for the general community to access, as well as integrating the local area into some aspects of learning, school X is offering their pupils the best chance of success in their first years of education, despite being situated in an area of Wales known for high deprivation and areas of poverty. This commentary will discuss a small selection of these opportunities and support choices and how they work with families and the community to support the child. </w:t>
      </w:r>
    </w:p>
    <w:p w14:paraId="7BBBDF3A" w14:textId="77777777" w:rsidR="00CA6E22" w:rsidRDefault="00CA6E22"/>
    <w:p w14:paraId="175B332C" w14:textId="0F6394D8" w:rsidR="00CA6E22" w:rsidRDefault="00CA6E22">
      <w:r>
        <w:t xml:space="preserve">Forest schools incorporate learning into the natural world, allowing children to experience discovery and exploration through the guidance of trained practitioners (“What is Forest School”, 2019). The focus is child wellbeing and building on the social, physical, and emotional needs of the child. This links towards Maslow’s hierarchy of needs, stating how if one need is not met to a high enough standard, one is almost unable to reach a high level of self-actualisation (Maslow, 1987), so forest schools ensure a list of benefits from improving self-confidence and resilience to independence and empathy which fit into many, if not all of Maslow’s human needs. School X incorporates forest school in with their more vulnerable children including service children, young carers, refugees, and those with additional learning needs (ALN). They find that using this foundation with these specific children helps to substitute some of the needs they may not be getting due to their circumstances. The school claims that the programme has helped children to gain a sense of place whilst simultaneously developing the community using outdoor exploration and holistic </w:t>
      </w:r>
      <w:r>
        <w:lastRenderedPageBreak/>
        <w:t xml:space="preserve">development. Forest school takes place in a nearby woodland where the children are taken once a week via minibus. A section of woodland is roped off to ensure the children have a safe section of land where they can be watched. Pupil lead learning is important for this programme in school X as allowing the child to explore how they like through risk taking and their social skills develops their resilience and self-esteem. School X has also stated that children with behavioural issues tend to come out of their shells and have a chance to impress other pupils. Covid has been a major setback for the younger children who have missed out on these outdoor opportunities in their most impressionable years. </w:t>
      </w:r>
      <w:r>
        <w:t xml:space="preserve">The school needs to consider using an area of land where the children will be safe and out of </w:t>
      </w:r>
      <w:r>
        <w:t>harm’s</w:t>
      </w:r>
      <w:r>
        <w:t xml:space="preserve"> way such as that of strangers.</w:t>
      </w:r>
      <w:r>
        <w:t xml:space="preserve"> There are many risks that need to be considered as the children can play in trees and in the dirt. Sharp objects and even fires are used which needs top supervision and puts children in a great risk of harm. Cold and wet days can be challenging as the forest school takes place in many weather conditions, putting children into very unhygienic situations, which may not only be a negative aspect for some children, but for parents too </w:t>
      </w:r>
      <w:r>
        <w:t>(“The Pros and Cons of Forest Schools, 2022)</w:t>
      </w:r>
      <w:r>
        <w:t>.</w:t>
      </w:r>
      <w:r w:rsidRPr="00CA6E22">
        <w:t xml:space="preserve"> Some children with ALN may have sensory issues when it comes to messy play and may not be enticed by the idea of the forest school, so even though the programme may have major benefits for most children, there is still a demographic of children in which it may not work or even be of interest too</w:t>
      </w:r>
      <w:r>
        <w:t>.</w:t>
      </w:r>
    </w:p>
    <w:p w14:paraId="7E68088E" w14:textId="7A51C90E" w:rsidR="00CA6E22" w:rsidRDefault="00CA6E22"/>
    <w:p w14:paraId="20215632" w14:textId="0550A1E1" w:rsidR="00CA6E22" w:rsidRDefault="00CA6E22">
      <w:r>
        <w:t xml:space="preserve">Children need to be supported in many ways within school, not just academically. It is important that a school recognises when a child is suffering in different ways and ensures they have the rights measurements in place to help and support them through any hardship. School X has implemented the ELSA (Emotional Learning Support Assistant) provision into their school. The role of an ELSA is to support a child through whatever situation they may be in to ensure they are maintaining or reaching their fullest potential in education. The role is usually aimed at teaching assistants who receive training from educational psychologists (ELSA Network, 2017). They work on emotions using fun activities like crafts, games and reading and even look at coping mechanisms like controlled breathing (ELSA Network, 2017). They also cover self-esteem, social and friendship skills, bullying, bereavement and many more in both individual and group sessions (ELSA Support, </w:t>
      </w:r>
      <w:proofErr w:type="spellStart"/>
      <w:proofErr w:type="gramStart"/>
      <w:r>
        <w:t>n,d</w:t>
      </w:r>
      <w:proofErr w:type="spellEnd"/>
      <w:proofErr w:type="gramEnd"/>
      <w:r>
        <w:t xml:space="preserve">). A child usually receives between six and twelve session and plan these according to the needs of the child. School X has a group of ELSAs which undertake preventative intervention for pupils who they feel need it. These are referred by teachers, parents, ALNCo or the Family Support Officer (FCO). The school also has a family ELSA to offer support to whole families or parents if they feel they may need it. The school implements a holistic approach to the one-on-one sessions and offer extra support such as housing, behaviour, and attachment issues. They ensure to include home engagement with the children and families they may help and offer further support. The school feels this builds a stronger relationship with the families they help, and even gives other families who may not need the support some reassurance as they understand it is accessible if they find it to be necessary. However, school X does claim that if they need to approach a family that they feel could need the support, they are sometimes met with resentment, embarrassment and sometimes even offended parents, but building links with these target families and overcoming barriers of negative emotion from the families has helped to build stronger relationships and therefore make them feel more comfortable to approach ELSAs and FSOs within the school for any </w:t>
      </w:r>
      <w:r>
        <w:lastRenderedPageBreak/>
        <w:t xml:space="preserve">support they may need, building a stronger community surrounding the school and maintaining a strong relationship with the child, helping them reach their fullest potential. </w:t>
      </w:r>
    </w:p>
    <w:p w14:paraId="79A701E6" w14:textId="241F9A24" w:rsidR="00CA6E22" w:rsidRDefault="00CA6E22"/>
    <w:p w14:paraId="435BD2DB" w14:textId="34A0B152" w:rsidR="00CA6E22" w:rsidRDefault="00CA6E22">
      <w:r>
        <w:t xml:space="preserve">According to an Estyn report focused on families and the community, it states that having a family engage in the child’s learning is important to ensure the child’s improvement in school (Estyn, 2020). School X finds great importance when ensuring families have engagement with the child’s learning throughout their time in school. They have various forms of family support, including a FSO for target families they feel need some guidance and help, and that come to the school looking for help, however, there are other weekly, open measurements in place that the school call ‘family fun time’. Parents are encouraged to come into the school and engage in activities such as playing with their children to help build relationships. They put on taster sessions so the parents can see what kind of activities the children participate in such as trough trays and skills activities. School X hold ‘family Friday’ sessions, mainly for target families, and open Friday coffee mornings and ‘parent and toddler Thursdays’ in which there are games and refreshments. The goal is to establish early links with the child in order to build positive relationships. This can be linked to Vygotsky’s zone of proximal development, in which a child will look to a more knowledgeable other to help them strengthen their skills. If an adult, in this case the parent, leads an activity or helps with a piece of work, slowly, over time, the child will have more control and knowledge (Vygotsky, 1978).  School X also strives to engage the parents in other aspects of school life, such as in the curriculum. The current curriculum for Wales is a guidance so each school can develop and shape their own personal curriculum, developing four purposes within it (“Introduction to Curriculum for Wales Guidance, 2020). School X not only involve their pupils in the decision, but the parents and community too. They send questionnaires which ask them to decide what they feel would be beneficial to learn and experience throughout their time in school, and school X strives to shape their curriculum to suit most needs. School X continually supports their families and the community through ‘help yourself trollies’. These trollies are available for the general community, and just for the use of pupils too. They contain basic hygiene and household products that some families may have difficulty purchasing themselves, whether they have children which go to the school, or not, they even loan chrome books and Wi-Fi dongles.  School X takes pride in being a community school and strives to be a safe, helpful haven for anyone who needs their resources. The school also accepts donations from the community so they can loan toys, books and even school uniforms to less fortunate families. The school hosts potty training sessions for struggling parents where potties can be loaned out, have morning teeth brushing sessions for younger children, and offer breakfast in the morning to all the pupils in the school, even free soup at lunch for all staff. When having such an open loaning situation within a school, one can think if the offer is ever abused or taken advantage of. When asked, the schools head teacher stated that if they believe a parent or person is taking a lot of the product they have to offer, they simply believe it is because they need it so much, and do not judge or make assumptions about the people using their resources. </w:t>
      </w:r>
    </w:p>
    <w:p w14:paraId="13BF6F22" w14:textId="77777777" w:rsidR="00CA6E22" w:rsidRDefault="00CA6E22"/>
    <w:p w14:paraId="6860ED36" w14:textId="0D53DA94" w:rsidR="00CA6E22" w:rsidRDefault="00CA6E22">
      <w:r>
        <w:t xml:space="preserve">To summarise, school X incorporates and offers many aspects of support for children and families throughout their time in the school. They notice the importance of family involvement and use this to their advantage by ensuring parents are aware that they can always be a part of their child’s education, whether be having a say in the school’s curriculum, or simply being involved in a lesson with them. Their broad range of emotional </w:t>
      </w:r>
      <w:r>
        <w:lastRenderedPageBreak/>
        <w:t xml:space="preserve">and family support keeps children at comfort by aiding their personal and home life to make sure they are achieving and succeeding in school at the highest rate they can. Putting children out into nature and giving them the ability to explore parts of the local area gives them a sense of place within the community and lets the area, despite its level of deprivation and poverty, become exciting and adventurous and encourages them to let it be a big part of their life and their education. From looking at my bridging school and seeing the effort they go through to ensure success for the child, I will personally want to include certain aspects into my own practice, using the </w:t>
      </w:r>
      <w:r>
        <w:t>professional standards for teaching and leadership</w:t>
      </w:r>
      <w:r>
        <w:t xml:space="preserve"> as a guide. I feel that creating a connection with their parents is a vital part as evolving a mesosystem where school and home life can integrate can help the child to feel more comfortable and happier in the school environment, especially if they don’t enjoy leaving home or school ensuring effective practise within the collaboration and pedagogy section of the professional standards for teaching and leadership (Welsh Government, 2019). Another aspect of these standards I feel I could accelerate using the practice of my bridging school include the leadership standard, in which the wider community is greatly considered </w:t>
      </w:r>
      <w:r>
        <w:t>(Welsh Government, 2019</w:t>
      </w:r>
      <w:r>
        <w:t xml:space="preserve">). Using some aspects of forest schools and incorporating outdoor learning or even learning about and within the community can help achieve a stronger sense of place within the child and show them there are opportunities for learning in the natural world. </w:t>
      </w:r>
    </w:p>
    <w:p w14:paraId="28F4AA36" w14:textId="0D416382" w:rsidR="00CA6E22" w:rsidRDefault="00CA6E22"/>
    <w:p w14:paraId="20933CC8" w14:textId="4B8F943B" w:rsidR="00CA6E22" w:rsidRDefault="00CA6E22"/>
    <w:p w14:paraId="5E367186" w14:textId="12C00DFA" w:rsidR="00CA6E22" w:rsidRDefault="00CA6E22">
      <w:r>
        <w:t>References:</w:t>
      </w:r>
    </w:p>
    <w:p w14:paraId="27D28206" w14:textId="40851BF9" w:rsidR="00CA6E22" w:rsidRDefault="00CA6E22" w:rsidP="00CA6E22">
      <w:pPr>
        <w:pStyle w:val="NormalWeb"/>
        <w:spacing w:before="0" w:beforeAutospacing="0" w:after="0" w:afterAutospacing="0" w:line="360" w:lineRule="atLeast"/>
        <w:rPr>
          <w:rFonts w:ascii="Calibri" w:hAnsi="Calibri" w:cs="Calibri"/>
          <w:color w:val="000000"/>
        </w:rPr>
      </w:pPr>
      <w:r w:rsidRPr="00CA6E22">
        <w:rPr>
          <w:rFonts w:ascii="Calibri" w:hAnsi="Calibri" w:cs="Calibri"/>
          <w:color w:val="000000"/>
        </w:rPr>
        <w:t>Anon, (2022). </w:t>
      </w:r>
      <w:r w:rsidRPr="00CA6E22">
        <w:rPr>
          <w:rFonts w:ascii="Calibri" w:hAnsi="Calibri" w:cs="Calibri"/>
          <w:i/>
          <w:iCs/>
          <w:color w:val="000000"/>
        </w:rPr>
        <w:t>The Pros and Cons of Forest Schools | Landscapes 4 Learning</w:t>
      </w:r>
      <w:r w:rsidRPr="00CA6E22">
        <w:rPr>
          <w:rFonts w:ascii="Calibri" w:hAnsi="Calibri" w:cs="Calibri"/>
          <w:color w:val="000000"/>
        </w:rPr>
        <w:t xml:space="preserve">. [online] Available at: </w:t>
      </w:r>
      <w:hyperlink r:id="rId5" w:history="1">
        <w:r w:rsidRPr="00A7404C">
          <w:rPr>
            <w:rStyle w:val="Hyperlink"/>
            <w:rFonts w:ascii="Calibri" w:hAnsi="Calibri" w:cs="Calibri"/>
          </w:rPr>
          <w:t>https://landscapes4learning.com/the-pros-and-cons-of-forest-schools/?utm_source=rss&amp;utm_medium=rss&amp;utm_campaign=the-pros-and-cons-of-forest-schools#:~:text=It%20can%20be%20challenging%20on</w:t>
        </w:r>
      </w:hyperlink>
      <w:r w:rsidRPr="00CA6E22">
        <w:rPr>
          <w:rFonts w:ascii="Calibri" w:hAnsi="Calibri" w:cs="Calibri"/>
          <w:color w:val="000000"/>
        </w:rPr>
        <w:t>.</w:t>
      </w:r>
    </w:p>
    <w:p w14:paraId="4D8EF77F" w14:textId="4AA57B55" w:rsidR="00CA6E22" w:rsidRDefault="00CA6E22" w:rsidP="00CA6E22">
      <w:pPr>
        <w:pStyle w:val="NormalWeb"/>
        <w:spacing w:before="0" w:beforeAutospacing="0" w:after="0" w:afterAutospacing="0" w:line="360" w:lineRule="atLeast"/>
        <w:rPr>
          <w:rFonts w:ascii="Calibri" w:hAnsi="Calibri" w:cs="Calibri"/>
          <w:color w:val="000000"/>
        </w:rPr>
      </w:pPr>
      <w:r>
        <w:rPr>
          <w:rFonts w:ascii="Calibri" w:hAnsi="Calibri" w:cs="Calibri"/>
          <w:color w:val="000000"/>
        </w:rPr>
        <w:t xml:space="preserve">Egan, D. (2013). </w:t>
      </w:r>
      <w:r w:rsidRPr="00CA6E22">
        <w:rPr>
          <w:rFonts w:ascii="Calibri" w:hAnsi="Calibri" w:cs="Calibri"/>
          <w:i/>
          <w:iCs/>
          <w:color w:val="000000"/>
        </w:rPr>
        <w:t>Poverty and Low Educational Achievement in Wales: Student, Family and Community Interventions.</w:t>
      </w:r>
      <w:r>
        <w:rPr>
          <w:rFonts w:ascii="Calibri" w:hAnsi="Calibri" w:cs="Calibri"/>
          <w:color w:val="000000"/>
        </w:rPr>
        <w:t xml:space="preserve"> Available at: </w:t>
      </w:r>
      <w:r w:rsidRPr="00CA6E22">
        <w:rPr>
          <w:rFonts w:ascii="Calibri" w:hAnsi="Calibri" w:cs="Calibri"/>
          <w:color w:val="000000"/>
        </w:rPr>
        <w:t>https://www.jrf.org.uk/sites/default/files/jrf/migrated/files/wales-education-poverty-summary.pdf</w:t>
      </w:r>
    </w:p>
    <w:p w14:paraId="262C49F1" w14:textId="77777777" w:rsidR="00CA6E22" w:rsidRPr="00CA6E22" w:rsidRDefault="00CA6E22" w:rsidP="00CA6E22">
      <w:pPr>
        <w:pStyle w:val="NormalWeb"/>
        <w:spacing w:before="0" w:beforeAutospacing="0" w:after="0" w:afterAutospacing="0" w:line="360" w:lineRule="atLeast"/>
        <w:rPr>
          <w:rFonts w:ascii="Calibri" w:hAnsi="Calibri" w:cs="Calibri"/>
          <w:color w:val="000000"/>
        </w:rPr>
      </w:pPr>
    </w:p>
    <w:p w14:paraId="574A60D1" w14:textId="3961EF76" w:rsidR="00CA6E22" w:rsidRDefault="00CA6E22" w:rsidP="00CA6E22">
      <w:pPr>
        <w:pStyle w:val="NormalWeb"/>
        <w:spacing w:before="0" w:beforeAutospacing="0" w:after="0" w:afterAutospacing="0" w:line="360" w:lineRule="atLeast"/>
        <w:rPr>
          <w:rFonts w:ascii="Calibri" w:hAnsi="Calibri" w:cs="Calibri"/>
          <w:color w:val="000000"/>
        </w:rPr>
      </w:pPr>
      <w:r w:rsidRPr="00CA6E22">
        <w:rPr>
          <w:rFonts w:ascii="Calibri" w:hAnsi="Calibri" w:cs="Calibri"/>
          <w:color w:val="000000"/>
        </w:rPr>
        <w:t>ELSA Network. (2017). </w:t>
      </w:r>
      <w:r w:rsidRPr="00CA6E22">
        <w:rPr>
          <w:rFonts w:ascii="Calibri" w:hAnsi="Calibri" w:cs="Calibri"/>
          <w:i/>
          <w:iCs/>
          <w:color w:val="000000"/>
        </w:rPr>
        <w:t>The Network</w:t>
      </w:r>
      <w:r w:rsidRPr="00CA6E22">
        <w:rPr>
          <w:rFonts w:ascii="Calibri" w:hAnsi="Calibri" w:cs="Calibri"/>
          <w:color w:val="000000"/>
        </w:rPr>
        <w:t xml:space="preserve">. [online] Available at: </w:t>
      </w:r>
      <w:hyperlink r:id="rId6" w:history="1">
        <w:r w:rsidRPr="00A7404C">
          <w:rPr>
            <w:rStyle w:val="Hyperlink"/>
            <w:rFonts w:ascii="Calibri" w:hAnsi="Calibri" w:cs="Calibri"/>
          </w:rPr>
          <w:t>https://www.elsanetwork.org/about/the-network/</w:t>
        </w:r>
      </w:hyperlink>
      <w:r w:rsidRPr="00CA6E22">
        <w:rPr>
          <w:rFonts w:ascii="Calibri" w:hAnsi="Calibri" w:cs="Calibri"/>
          <w:color w:val="000000"/>
        </w:rPr>
        <w:t>.</w:t>
      </w:r>
    </w:p>
    <w:p w14:paraId="2430761D" w14:textId="7F41D4A5" w:rsidR="00CA6E22" w:rsidRDefault="00CA6E22" w:rsidP="00CA6E22">
      <w:pPr>
        <w:pStyle w:val="NormalWeb"/>
        <w:spacing w:before="0" w:beforeAutospacing="0" w:after="0" w:afterAutospacing="0" w:line="360" w:lineRule="atLeast"/>
        <w:rPr>
          <w:rFonts w:ascii="Calibri" w:hAnsi="Calibri" w:cs="Calibri"/>
          <w:color w:val="000000"/>
        </w:rPr>
      </w:pPr>
      <w:r>
        <w:rPr>
          <w:rFonts w:ascii="Calibri" w:hAnsi="Calibri" w:cs="Calibri"/>
          <w:color w:val="000000"/>
        </w:rPr>
        <w:br/>
      </w:r>
      <w:r w:rsidRPr="00CA6E22">
        <w:rPr>
          <w:rFonts w:ascii="Calibri" w:hAnsi="Calibri" w:cs="Calibri"/>
          <w:color w:val="000000"/>
        </w:rPr>
        <w:t>ELSA Support. (</w:t>
      </w:r>
      <w:proofErr w:type="spellStart"/>
      <w:proofErr w:type="gramStart"/>
      <w:r w:rsidRPr="00CA6E22">
        <w:rPr>
          <w:rFonts w:ascii="Calibri" w:hAnsi="Calibri" w:cs="Calibri"/>
          <w:color w:val="000000"/>
        </w:rPr>
        <w:t>n,d</w:t>
      </w:r>
      <w:proofErr w:type="spellEnd"/>
      <w:r w:rsidRPr="00CA6E22">
        <w:rPr>
          <w:rFonts w:ascii="Calibri" w:hAnsi="Calibri" w:cs="Calibri"/>
          <w:color w:val="000000"/>
        </w:rPr>
        <w:t>.</w:t>
      </w:r>
      <w:proofErr w:type="gramEnd"/>
      <w:r w:rsidRPr="00CA6E22">
        <w:rPr>
          <w:rFonts w:ascii="Calibri" w:hAnsi="Calibri" w:cs="Calibri"/>
          <w:color w:val="000000"/>
        </w:rPr>
        <w:t xml:space="preserve">). </w:t>
      </w:r>
      <w:r w:rsidRPr="00CA6E22">
        <w:rPr>
          <w:rFonts w:ascii="Calibri" w:hAnsi="Calibri" w:cs="Calibri"/>
          <w:i/>
          <w:iCs/>
          <w:color w:val="000000"/>
        </w:rPr>
        <w:t xml:space="preserve">ELSA Leaflet for Parents. </w:t>
      </w:r>
      <w:hyperlink r:id="rId7" w:history="1">
        <w:r w:rsidRPr="00A7404C">
          <w:rPr>
            <w:rStyle w:val="Hyperlink"/>
            <w:rFonts w:ascii="Calibri" w:hAnsi="Calibri" w:cs="Calibri"/>
          </w:rPr>
          <w:t>www.elsa-support.co.uk/wp-content/uploads/2014/05/Elsa-Leaflet-to-print.pdf</w:t>
        </w:r>
      </w:hyperlink>
    </w:p>
    <w:p w14:paraId="1B87CA10" w14:textId="77777777" w:rsidR="00CA6E22" w:rsidRDefault="00CA6E22" w:rsidP="00CA6E22">
      <w:pPr>
        <w:pStyle w:val="NormalWeb"/>
        <w:spacing w:before="0" w:beforeAutospacing="0" w:after="0" w:afterAutospacing="0" w:line="360" w:lineRule="atLeast"/>
        <w:rPr>
          <w:rFonts w:ascii="Calibri" w:hAnsi="Calibri" w:cs="Calibri"/>
          <w:color w:val="000000"/>
        </w:rPr>
      </w:pPr>
    </w:p>
    <w:p w14:paraId="28948501" w14:textId="469793AF" w:rsidR="00CA6E22" w:rsidRDefault="00CA6E22" w:rsidP="00CA6E22">
      <w:pPr>
        <w:pStyle w:val="NormalWeb"/>
        <w:spacing w:before="0" w:beforeAutospacing="0" w:after="0" w:afterAutospacing="0" w:line="360" w:lineRule="atLeast"/>
        <w:rPr>
          <w:rFonts w:ascii="Calibri" w:hAnsi="Calibri" w:cs="Calibri"/>
          <w:color w:val="000000"/>
        </w:rPr>
      </w:pPr>
      <w:r>
        <w:rPr>
          <w:rFonts w:ascii="Calibri" w:hAnsi="Calibri" w:cs="Calibri"/>
          <w:color w:val="000000"/>
        </w:rPr>
        <w:t xml:space="preserve">Estyn. (July, 2020). </w:t>
      </w:r>
      <w:r w:rsidRPr="00CA6E22">
        <w:rPr>
          <w:rFonts w:ascii="Calibri" w:hAnsi="Calibri" w:cs="Calibri"/>
          <w:i/>
          <w:iCs/>
          <w:color w:val="000000"/>
        </w:rPr>
        <w:t>Community schools: families and communities at the heart of school life</w:t>
      </w:r>
      <w:r>
        <w:rPr>
          <w:rFonts w:ascii="Calibri" w:hAnsi="Calibri" w:cs="Calibri"/>
          <w:i/>
          <w:iCs/>
          <w:color w:val="000000"/>
        </w:rPr>
        <w:t xml:space="preserve">. </w:t>
      </w:r>
      <w:r w:rsidRPr="00CA6E22">
        <w:rPr>
          <w:rFonts w:ascii="Calibri" w:hAnsi="Calibri" w:cs="Calibri"/>
          <w:color w:val="000000"/>
        </w:rPr>
        <w:t xml:space="preserve">Cardiff. Estyn. [Online]. Available from: </w:t>
      </w:r>
      <w:hyperlink r:id="rId8" w:history="1">
        <w:r w:rsidRPr="00A7404C">
          <w:rPr>
            <w:rStyle w:val="Hyperlink"/>
            <w:rFonts w:ascii="Calibri" w:hAnsi="Calibri" w:cs="Calibri"/>
          </w:rPr>
          <w:t>https://www.estyn.gov.wales/system/files/2021-08/Community%2520Schools%2520en.pdf</w:t>
        </w:r>
      </w:hyperlink>
    </w:p>
    <w:p w14:paraId="4131D5BF" w14:textId="77777777" w:rsidR="00CA6E22" w:rsidRPr="00CA6E22" w:rsidRDefault="00CA6E22" w:rsidP="00CA6E22">
      <w:pPr>
        <w:pStyle w:val="NormalWeb"/>
        <w:spacing w:before="0" w:beforeAutospacing="0" w:after="0" w:afterAutospacing="0" w:line="360" w:lineRule="atLeast"/>
        <w:rPr>
          <w:rFonts w:ascii="Calibri" w:hAnsi="Calibri" w:cs="Calibri"/>
          <w:color w:val="000000"/>
        </w:rPr>
      </w:pPr>
    </w:p>
    <w:p w14:paraId="722FFB8B" w14:textId="46E14172" w:rsidR="00CA6E22" w:rsidRDefault="00CA6E22" w:rsidP="00CA6E22">
      <w:pPr>
        <w:pStyle w:val="NormalWeb"/>
        <w:spacing w:before="0" w:beforeAutospacing="0" w:after="0" w:afterAutospacing="0" w:line="360" w:lineRule="atLeast"/>
        <w:rPr>
          <w:rFonts w:ascii="Calibri" w:hAnsi="Calibri" w:cs="Calibri"/>
          <w:color w:val="000000"/>
        </w:rPr>
      </w:pPr>
      <w:r w:rsidRPr="00CA6E22">
        <w:rPr>
          <w:rFonts w:ascii="Calibri" w:hAnsi="Calibri" w:cs="Calibri"/>
          <w:color w:val="000000"/>
        </w:rPr>
        <w:lastRenderedPageBreak/>
        <w:t>Forest Schools Education. (2019). </w:t>
      </w:r>
      <w:r w:rsidRPr="00CA6E22">
        <w:rPr>
          <w:rFonts w:ascii="Calibri" w:hAnsi="Calibri" w:cs="Calibri"/>
          <w:i/>
          <w:iCs/>
          <w:color w:val="000000"/>
        </w:rPr>
        <w:t>What is Forest School? An Introduction.</w:t>
      </w:r>
      <w:r w:rsidRPr="00CA6E22">
        <w:rPr>
          <w:rFonts w:ascii="Calibri" w:hAnsi="Calibri" w:cs="Calibri"/>
          <w:color w:val="000000"/>
        </w:rPr>
        <w:t> [online] Available</w:t>
      </w:r>
      <w:r>
        <w:rPr>
          <w:rFonts w:ascii="Calibri" w:hAnsi="Calibri" w:cs="Calibri"/>
          <w:color w:val="000000"/>
        </w:rPr>
        <w:t xml:space="preserve"> </w:t>
      </w:r>
      <w:r w:rsidRPr="00CA6E22">
        <w:rPr>
          <w:rFonts w:ascii="Calibri" w:hAnsi="Calibri" w:cs="Calibri"/>
          <w:color w:val="000000"/>
        </w:rPr>
        <w:t xml:space="preserve">at: </w:t>
      </w:r>
      <w:hyperlink r:id="rId9" w:history="1">
        <w:r w:rsidRPr="00A7404C">
          <w:rPr>
            <w:rStyle w:val="Hyperlink"/>
            <w:rFonts w:ascii="Calibri" w:hAnsi="Calibri" w:cs="Calibri"/>
          </w:rPr>
          <w:t>https://www.forestschools.com/pages/what-is-forest-school-an-introduction</w:t>
        </w:r>
      </w:hyperlink>
      <w:r w:rsidRPr="00CA6E22">
        <w:rPr>
          <w:rFonts w:ascii="Calibri" w:hAnsi="Calibri" w:cs="Calibri"/>
          <w:color w:val="000000"/>
        </w:rPr>
        <w:t>.</w:t>
      </w:r>
    </w:p>
    <w:p w14:paraId="605F35D1" w14:textId="16F26768" w:rsidR="00CA6E22" w:rsidRDefault="00CA6E22" w:rsidP="00CA6E22">
      <w:pPr>
        <w:pStyle w:val="NormalWeb"/>
        <w:rPr>
          <w:rFonts w:ascii="Calibri" w:hAnsi="Calibri" w:cs="Calibri"/>
          <w:color w:val="000000"/>
        </w:rPr>
      </w:pPr>
      <w:r w:rsidRPr="00CA6E22">
        <w:rPr>
          <w:rFonts w:ascii="Calibri" w:hAnsi="Calibri" w:cs="Calibri"/>
          <w:color w:val="000000"/>
        </w:rPr>
        <w:t>‌</w:t>
      </w:r>
      <w:r w:rsidRPr="00CA6E22">
        <w:rPr>
          <w:rFonts w:ascii="Calibri" w:hAnsi="Calibri" w:cs="Calibri"/>
          <w:color w:val="000000"/>
        </w:rPr>
        <w:t>Maslow, A. H. (1987). Motivation and personality (3</w:t>
      </w:r>
      <w:r w:rsidRPr="00CA6E22">
        <w:rPr>
          <w:rFonts w:ascii="Calibri" w:hAnsi="Calibri" w:cs="Calibri"/>
          <w:color w:val="000000"/>
          <w:vertAlign w:val="superscript"/>
        </w:rPr>
        <w:t>rd</w:t>
      </w:r>
      <w:r w:rsidRPr="00CA6E22">
        <w:rPr>
          <w:rFonts w:ascii="Calibri" w:hAnsi="Calibri" w:cs="Calibri"/>
          <w:color w:val="000000"/>
        </w:rPr>
        <w:t xml:space="preserve"> ed.). Delhi, India: Pearson Education</w:t>
      </w:r>
    </w:p>
    <w:p w14:paraId="0965253B" w14:textId="345905C4" w:rsidR="00CA6E22" w:rsidRDefault="00CA6E22" w:rsidP="00CA6E22">
      <w:pPr>
        <w:pStyle w:val="NormalWeb"/>
        <w:spacing w:before="0" w:beforeAutospacing="0" w:after="0" w:afterAutospacing="0" w:line="360" w:lineRule="atLeast"/>
        <w:rPr>
          <w:rFonts w:ascii="Calibri" w:hAnsi="Calibri" w:cs="Calibri"/>
          <w:color w:val="000000"/>
        </w:rPr>
      </w:pPr>
      <w:r w:rsidRPr="00CA6E22">
        <w:rPr>
          <w:rFonts w:ascii="Calibri" w:hAnsi="Calibri" w:cs="Calibri"/>
          <w:color w:val="000000"/>
        </w:rPr>
        <w:t>Vygotsky, L. (1978). </w:t>
      </w:r>
      <w:r w:rsidRPr="00CA6E22">
        <w:rPr>
          <w:rFonts w:ascii="Calibri" w:hAnsi="Calibri" w:cs="Calibri"/>
          <w:i/>
          <w:iCs/>
          <w:color w:val="000000"/>
        </w:rPr>
        <w:t>Mind in Society: The Development of Higher Psychological Processes</w:t>
      </w:r>
      <w:r w:rsidRPr="00CA6E22">
        <w:rPr>
          <w:rFonts w:ascii="Calibri" w:hAnsi="Calibri" w:cs="Calibri"/>
          <w:color w:val="000000"/>
        </w:rPr>
        <w:t>. Cambridge: Harvard University Press</w:t>
      </w:r>
      <w:r>
        <w:rPr>
          <w:rFonts w:ascii="Calibri" w:hAnsi="Calibri" w:cs="Calibri"/>
          <w:color w:val="000000"/>
        </w:rPr>
        <w:t xml:space="preserve">, p.86. </w:t>
      </w:r>
    </w:p>
    <w:p w14:paraId="563EFA28" w14:textId="77777777" w:rsidR="00CA6E22" w:rsidRDefault="00CA6E22" w:rsidP="00CA6E22">
      <w:pPr>
        <w:pStyle w:val="NormalWeb"/>
        <w:spacing w:before="0" w:beforeAutospacing="0" w:after="0" w:afterAutospacing="0" w:line="360" w:lineRule="atLeast"/>
        <w:rPr>
          <w:rFonts w:ascii="Calibri" w:hAnsi="Calibri" w:cs="Calibri"/>
          <w:color w:val="000000"/>
        </w:rPr>
      </w:pPr>
    </w:p>
    <w:p w14:paraId="188D1D1E" w14:textId="6CB65D7A" w:rsidR="00CA6E22" w:rsidRDefault="00CA6E22" w:rsidP="00CA6E22">
      <w:pPr>
        <w:pStyle w:val="NormalWeb"/>
        <w:spacing w:before="0" w:beforeAutospacing="0" w:after="0" w:afterAutospacing="0" w:line="360" w:lineRule="atLeast"/>
        <w:rPr>
          <w:rFonts w:ascii="Calibri" w:hAnsi="Calibri" w:cs="Calibri"/>
          <w:color w:val="000000"/>
        </w:rPr>
      </w:pPr>
      <w:r w:rsidRPr="00CA6E22">
        <w:rPr>
          <w:rFonts w:ascii="Calibri" w:hAnsi="Calibri" w:cs="Calibri"/>
          <w:color w:val="000000"/>
        </w:rPr>
        <w:t>Welsh Government (2020). </w:t>
      </w:r>
      <w:r w:rsidRPr="00CA6E22">
        <w:rPr>
          <w:rFonts w:ascii="Calibri" w:hAnsi="Calibri" w:cs="Calibri"/>
          <w:i/>
          <w:iCs/>
          <w:color w:val="000000"/>
        </w:rPr>
        <w:t>Introduction - Hwb</w:t>
      </w:r>
      <w:r w:rsidRPr="00CA6E22">
        <w:rPr>
          <w:rFonts w:ascii="Calibri" w:hAnsi="Calibri" w:cs="Calibri"/>
          <w:color w:val="000000"/>
        </w:rPr>
        <w:t xml:space="preserve">. [online] hwb.gov.wales. Available at: </w:t>
      </w:r>
      <w:hyperlink r:id="rId10" w:history="1">
        <w:r w:rsidRPr="00A7404C">
          <w:rPr>
            <w:rStyle w:val="Hyperlink"/>
            <w:rFonts w:ascii="Calibri" w:hAnsi="Calibri" w:cs="Calibri"/>
          </w:rPr>
          <w:t>https://hwb.gov.wales/curriculum-for-wales/introduction/</w:t>
        </w:r>
      </w:hyperlink>
      <w:r w:rsidRPr="00CA6E22">
        <w:rPr>
          <w:rFonts w:ascii="Calibri" w:hAnsi="Calibri" w:cs="Calibri"/>
          <w:color w:val="000000"/>
        </w:rPr>
        <w:t>.</w:t>
      </w:r>
    </w:p>
    <w:p w14:paraId="625B70EC" w14:textId="2B2D0011" w:rsidR="00CA6E22" w:rsidRDefault="00CA6E22" w:rsidP="00CA6E22">
      <w:pPr>
        <w:pStyle w:val="NormalWeb"/>
        <w:spacing w:before="0" w:beforeAutospacing="0" w:after="0" w:afterAutospacing="0" w:line="360" w:lineRule="atLeast"/>
        <w:rPr>
          <w:rFonts w:ascii="Calibri" w:hAnsi="Calibri" w:cs="Calibri"/>
          <w:color w:val="000000"/>
        </w:rPr>
      </w:pPr>
    </w:p>
    <w:p w14:paraId="3A7F8CDE" w14:textId="77777777" w:rsidR="00CA6E22" w:rsidRPr="00CA6E22" w:rsidRDefault="00CA6E22" w:rsidP="00CA6E22">
      <w:pPr>
        <w:spacing w:line="360" w:lineRule="atLeast"/>
        <w:rPr>
          <w:rFonts w:ascii="Calibri" w:eastAsia="Times New Roman" w:hAnsi="Calibri" w:cs="Calibri"/>
          <w:color w:val="000000"/>
          <w:lang w:eastAsia="en-GB"/>
        </w:rPr>
      </w:pPr>
      <w:r w:rsidRPr="00CA6E22">
        <w:rPr>
          <w:rFonts w:ascii="Calibri" w:eastAsia="Times New Roman" w:hAnsi="Calibri" w:cs="Calibri"/>
          <w:color w:val="000000"/>
          <w:lang w:eastAsia="en-GB"/>
        </w:rPr>
        <w:t>Welsh Government (2019). </w:t>
      </w:r>
      <w:r w:rsidRPr="00CA6E22">
        <w:rPr>
          <w:rFonts w:ascii="Calibri" w:eastAsia="Times New Roman" w:hAnsi="Calibri" w:cs="Calibri"/>
          <w:i/>
          <w:iCs/>
          <w:color w:val="000000"/>
          <w:lang w:eastAsia="en-GB"/>
        </w:rPr>
        <w:t>Professional Standards for Teaching and Leadership</w:t>
      </w:r>
      <w:r w:rsidRPr="00CA6E22">
        <w:rPr>
          <w:rFonts w:ascii="Calibri" w:eastAsia="Times New Roman" w:hAnsi="Calibri" w:cs="Calibri"/>
          <w:color w:val="000000"/>
          <w:lang w:eastAsia="en-GB"/>
        </w:rPr>
        <w:t>. [online] Available at: https://hwb.gov.wales/api/storage/19bc948b-8a3f-41e0-944a-7bf2cadf7d18/professional-standards-for-teaching-and-leadership-interactive-pdf-for-pc.pdf.</w:t>
      </w:r>
    </w:p>
    <w:p w14:paraId="4A4BF8EA" w14:textId="77777777" w:rsidR="00CA6E22" w:rsidRPr="00CA6E22" w:rsidRDefault="00CA6E22" w:rsidP="00CA6E22">
      <w:pPr>
        <w:spacing w:before="100" w:beforeAutospacing="1" w:after="100" w:afterAutospacing="1"/>
        <w:rPr>
          <w:rFonts w:ascii="Calibri" w:eastAsia="Times New Roman" w:hAnsi="Calibri" w:cs="Calibri"/>
          <w:color w:val="000000"/>
          <w:sz w:val="27"/>
          <w:szCs w:val="27"/>
          <w:lang w:eastAsia="en-GB"/>
        </w:rPr>
      </w:pPr>
      <w:r w:rsidRPr="00CA6E22">
        <w:rPr>
          <w:rFonts w:ascii="Calibri" w:eastAsia="Times New Roman" w:hAnsi="Calibri" w:cs="Calibri"/>
          <w:color w:val="000000"/>
          <w:sz w:val="27"/>
          <w:szCs w:val="27"/>
          <w:lang w:eastAsia="en-GB"/>
        </w:rPr>
        <w:t>‌</w:t>
      </w:r>
    </w:p>
    <w:p w14:paraId="135C058D" w14:textId="5C696A14" w:rsidR="00CA6E22" w:rsidRPr="00CA6E22" w:rsidRDefault="00CA6E22" w:rsidP="00CA6E22">
      <w:pPr>
        <w:pStyle w:val="NormalWeb"/>
        <w:rPr>
          <w:rFonts w:ascii="Calibri" w:hAnsi="Calibri" w:cs="Calibri"/>
          <w:color w:val="000000"/>
        </w:rPr>
      </w:pPr>
      <w:r w:rsidRPr="00CA6E22">
        <w:rPr>
          <w:rFonts w:ascii="Calibri" w:hAnsi="Calibri" w:cs="Calibri"/>
          <w:color w:val="000000"/>
        </w:rPr>
        <w:t>Poster word count – 813</w:t>
      </w:r>
      <w:r w:rsidRPr="00CA6E22">
        <w:rPr>
          <w:rFonts w:ascii="Calibri" w:hAnsi="Calibri" w:cs="Calibri"/>
          <w:color w:val="000000"/>
        </w:rPr>
        <w:br/>
        <w:t>Commentary word count – 21</w:t>
      </w:r>
      <w:r>
        <w:rPr>
          <w:rFonts w:ascii="Calibri" w:hAnsi="Calibri" w:cs="Calibri"/>
          <w:color w:val="000000"/>
        </w:rPr>
        <w:t>92</w:t>
      </w:r>
      <w:r w:rsidRPr="00CA6E22">
        <w:rPr>
          <w:rFonts w:ascii="Calibri" w:hAnsi="Calibri" w:cs="Calibri"/>
          <w:color w:val="000000"/>
        </w:rPr>
        <w:br/>
      </w:r>
      <w:r>
        <w:rPr>
          <w:rFonts w:ascii="Calibri" w:hAnsi="Calibri" w:cs="Calibri"/>
          <w:color w:val="000000"/>
        </w:rPr>
        <w:t>Overall</w:t>
      </w:r>
      <w:r w:rsidRPr="00CA6E22">
        <w:rPr>
          <w:rFonts w:ascii="Calibri" w:hAnsi="Calibri" w:cs="Calibri"/>
          <w:color w:val="000000"/>
        </w:rPr>
        <w:t xml:space="preserve"> - </w:t>
      </w:r>
      <w:r>
        <w:rPr>
          <w:rFonts w:ascii="Calibri" w:hAnsi="Calibri" w:cs="Calibri"/>
          <w:color w:val="000000"/>
        </w:rPr>
        <w:t>3005</w:t>
      </w:r>
    </w:p>
    <w:p w14:paraId="43CDA0AD" w14:textId="004E1C04" w:rsidR="00CA6E22" w:rsidRDefault="00CA6E22" w:rsidP="00CA6E22">
      <w:pPr>
        <w:pStyle w:val="NormalWeb"/>
        <w:rPr>
          <w:rFonts w:ascii="Calibri" w:hAnsi="Calibri" w:cs="Calibri"/>
          <w:color w:val="000000"/>
          <w:sz w:val="27"/>
          <w:szCs w:val="27"/>
        </w:rPr>
      </w:pPr>
    </w:p>
    <w:p w14:paraId="312A8054" w14:textId="18945C51" w:rsidR="00CA6E22" w:rsidRDefault="00CA6E22" w:rsidP="00CA6E22">
      <w:pPr>
        <w:rPr>
          <w:rFonts w:ascii="Calibri" w:hAnsi="Calibri" w:cs="Calibri"/>
          <w:color w:val="000000"/>
          <w:sz w:val="27"/>
          <w:szCs w:val="27"/>
        </w:rPr>
      </w:pPr>
      <w:r>
        <w:rPr>
          <w:rFonts w:ascii="Calibri" w:hAnsi="Calibri" w:cs="Calibri"/>
          <w:color w:val="000000"/>
          <w:sz w:val="27"/>
          <w:szCs w:val="27"/>
        </w:rPr>
        <w:t>‌</w:t>
      </w:r>
      <w:r w:rsidRPr="00CA6E22">
        <w:t xml:space="preserve"> </w:t>
      </w:r>
    </w:p>
    <w:p w14:paraId="4E2BE98E" w14:textId="05ABB8F1" w:rsidR="00CA6E22" w:rsidRDefault="00CA6E22"/>
    <w:p w14:paraId="27E2AC8D" w14:textId="2EAB5CB4" w:rsidR="00CA6E22" w:rsidRDefault="00CA6E22"/>
    <w:sectPr w:rsidR="00CA6E22" w:rsidSect="00C7325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D67BEA"/>
    <w:multiLevelType w:val="hybridMultilevel"/>
    <w:tmpl w:val="0CC43BFA"/>
    <w:lvl w:ilvl="0" w:tplc="327AD204">
      <w:start w:val="1"/>
      <w:numFmt w:val="bullet"/>
      <w:lvlText w:val="•"/>
      <w:lvlJc w:val="left"/>
      <w:pPr>
        <w:tabs>
          <w:tab w:val="num" w:pos="720"/>
        </w:tabs>
        <w:ind w:left="720" w:hanging="360"/>
      </w:pPr>
      <w:rPr>
        <w:rFonts w:ascii="Arial" w:hAnsi="Arial" w:hint="default"/>
      </w:rPr>
    </w:lvl>
    <w:lvl w:ilvl="1" w:tplc="5B0A2014" w:tentative="1">
      <w:start w:val="1"/>
      <w:numFmt w:val="bullet"/>
      <w:lvlText w:val="•"/>
      <w:lvlJc w:val="left"/>
      <w:pPr>
        <w:tabs>
          <w:tab w:val="num" w:pos="1440"/>
        </w:tabs>
        <w:ind w:left="1440" w:hanging="360"/>
      </w:pPr>
      <w:rPr>
        <w:rFonts w:ascii="Arial" w:hAnsi="Arial" w:hint="default"/>
      </w:rPr>
    </w:lvl>
    <w:lvl w:ilvl="2" w:tplc="E020B104" w:tentative="1">
      <w:start w:val="1"/>
      <w:numFmt w:val="bullet"/>
      <w:lvlText w:val="•"/>
      <w:lvlJc w:val="left"/>
      <w:pPr>
        <w:tabs>
          <w:tab w:val="num" w:pos="2160"/>
        </w:tabs>
        <w:ind w:left="2160" w:hanging="360"/>
      </w:pPr>
      <w:rPr>
        <w:rFonts w:ascii="Arial" w:hAnsi="Arial" w:hint="default"/>
      </w:rPr>
    </w:lvl>
    <w:lvl w:ilvl="3" w:tplc="56C08100" w:tentative="1">
      <w:start w:val="1"/>
      <w:numFmt w:val="bullet"/>
      <w:lvlText w:val="•"/>
      <w:lvlJc w:val="left"/>
      <w:pPr>
        <w:tabs>
          <w:tab w:val="num" w:pos="2880"/>
        </w:tabs>
        <w:ind w:left="2880" w:hanging="360"/>
      </w:pPr>
      <w:rPr>
        <w:rFonts w:ascii="Arial" w:hAnsi="Arial" w:hint="default"/>
      </w:rPr>
    </w:lvl>
    <w:lvl w:ilvl="4" w:tplc="789C5A1E" w:tentative="1">
      <w:start w:val="1"/>
      <w:numFmt w:val="bullet"/>
      <w:lvlText w:val="•"/>
      <w:lvlJc w:val="left"/>
      <w:pPr>
        <w:tabs>
          <w:tab w:val="num" w:pos="3600"/>
        </w:tabs>
        <w:ind w:left="3600" w:hanging="360"/>
      </w:pPr>
      <w:rPr>
        <w:rFonts w:ascii="Arial" w:hAnsi="Arial" w:hint="default"/>
      </w:rPr>
    </w:lvl>
    <w:lvl w:ilvl="5" w:tplc="A2E24030" w:tentative="1">
      <w:start w:val="1"/>
      <w:numFmt w:val="bullet"/>
      <w:lvlText w:val="•"/>
      <w:lvlJc w:val="left"/>
      <w:pPr>
        <w:tabs>
          <w:tab w:val="num" w:pos="4320"/>
        </w:tabs>
        <w:ind w:left="4320" w:hanging="360"/>
      </w:pPr>
      <w:rPr>
        <w:rFonts w:ascii="Arial" w:hAnsi="Arial" w:hint="default"/>
      </w:rPr>
    </w:lvl>
    <w:lvl w:ilvl="6" w:tplc="E22E8730" w:tentative="1">
      <w:start w:val="1"/>
      <w:numFmt w:val="bullet"/>
      <w:lvlText w:val="•"/>
      <w:lvlJc w:val="left"/>
      <w:pPr>
        <w:tabs>
          <w:tab w:val="num" w:pos="5040"/>
        </w:tabs>
        <w:ind w:left="5040" w:hanging="360"/>
      </w:pPr>
      <w:rPr>
        <w:rFonts w:ascii="Arial" w:hAnsi="Arial" w:hint="default"/>
      </w:rPr>
    </w:lvl>
    <w:lvl w:ilvl="7" w:tplc="BA90BA46" w:tentative="1">
      <w:start w:val="1"/>
      <w:numFmt w:val="bullet"/>
      <w:lvlText w:val="•"/>
      <w:lvlJc w:val="left"/>
      <w:pPr>
        <w:tabs>
          <w:tab w:val="num" w:pos="5760"/>
        </w:tabs>
        <w:ind w:left="5760" w:hanging="360"/>
      </w:pPr>
      <w:rPr>
        <w:rFonts w:ascii="Arial" w:hAnsi="Arial" w:hint="default"/>
      </w:rPr>
    </w:lvl>
    <w:lvl w:ilvl="8" w:tplc="BC7A39F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E22"/>
    <w:rsid w:val="001D300E"/>
    <w:rsid w:val="00C7325E"/>
    <w:rsid w:val="00CA6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05D6A4"/>
  <w15:chartTrackingRefBased/>
  <w15:docId w15:val="{34DF8E16-FDD5-7E41-A65F-66446B5BC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A6E22"/>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CA6E22"/>
    <w:rPr>
      <w:i/>
      <w:iCs/>
    </w:rPr>
  </w:style>
  <w:style w:type="character" w:styleId="Hyperlink">
    <w:name w:val="Hyperlink"/>
    <w:basedOn w:val="DefaultParagraphFont"/>
    <w:uiPriority w:val="99"/>
    <w:unhideWhenUsed/>
    <w:rsid w:val="00CA6E22"/>
    <w:rPr>
      <w:color w:val="0563C1" w:themeColor="hyperlink"/>
      <w:u w:val="single"/>
    </w:rPr>
  </w:style>
  <w:style w:type="character" w:styleId="UnresolvedMention">
    <w:name w:val="Unresolved Mention"/>
    <w:basedOn w:val="DefaultParagraphFont"/>
    <w:uiPriority w:val="99"/>
    <w:semiHidden/>
    <w:unhideWhenUsed/>
    <w:rsid w:val="00CA6E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24515">
      <w:bodyDiv w:val="1"/>
      <w:marLeft w:val="0"/>
      <w:marRight w:val="0"/>
      <w:marTop w:val="0"/>
      <w:marBottom w:val="0"/>
      <w:divBdr>
        <w:top w:val="none" w:sz="0" w:space="0" w:color="auto"/>
        <w:left w:val="none" w:sz="0" w:space="0" w:color="auto"/>
        <w:bottom w:val="none" w:sz="0" w:space="0" w:color="auto"/>
        <w:right w:val="none" w:sz="0" w:space="0" w:color="auto"/>
      </w:divBdr>
    </w:div>
    <w:div w:id="507017113">
      <w:bodyDiv w:val="1"/>
      <w:marLeft w:val="0"/>
      <w:marRight w:val="0"/>
      <w:marTop w:val="0"/>
      <w:marBottom w:val="0"/>
      <w:divBdr>
        <w:top w:val="none" w:sz="0" w:space="0" w:color="auto"/>
        <w:left w:val="none" w:sz="0" w:space="0" w:color="auto"/>
        <w:bottom w:val="none" w:sz="0" w:space="0" w:color="auto"/>
        <w:right w:val="none" w:sz="0" w:space="0" w:color="auto"/>
      </w:divBdr>
    </w:div>
    <w:div w:id="508448772">
      <w:bodyDiv w:val="1"/>
      <w:marLeft w:val="0"/>
      <w:marRight w:val="0"/>
      <w:marTop w:val="0"/>
      <w:marBottom w:val="0"/>
      <w:divBdr>
        <w:top w:val="none" w:sz="0" w:space="0" w:color="auto"/>
        <w:left w:val="none" w:sz="0" w:space="0" w:color="auto"/>
        <w:bottom w:val="none" w:sz="0" w:space="0" w:color="auto"/>
        <w:right w:val="none" w:sz="0" w:space="0" w:color="auto"/>
      </w:divBdr>
    </w:div>
    <w:div w:id="573593356">
      <w:bodyDiv w:val="1"/>
      <w:marLeft w:val="0"/>
      <w:marRight w:val="0"/>
      <w:marTop w:val="0"/>
      <w:marBottom w:val="0"/>
      <w:divBdr>
        <w:top w:val="none" w:sz="0" w:space="0" w:color="auto"/>
        <w:left w:val="none" w:sz="0" w:space="0" w:color="auto"/>
        <w:bottom w:val="none" w:sz="0" w:space="0" w:color="auto"/>
        <w:right w:val="none" w:sz="0" w:space="0" w:color="auto"/>
      </w:divBdr>
    </w:div>
    <w:div w:id="836962398">
      <w:bodyDiv w:val="1"/>
      <w:marLeft w:val="0"/>
      <w:marRight w:val="0"/>
      <w:marTop w:val="0"/>
      <w:marBottom w:val="0"/>
      <w:divBdr>
        <w:top w:val="none" w:sz="0" w:space="0" w:color="auto"/>
        <w:left w:val="none" w:sz="0" w:space="0" w:color="auto"/>
        <w:bottom w:val="none" w:sz="0" w:space="0" w:color="auto"/>
        <w:right w:val="none" w:sz="0" w:space="0" w:color="auto"/>
      </w:divBdr>
    </w:div>
    <w:div w:id="905796320">
      <w:bodyDiv w:val="1"/>
      <w:marLeft w:val="0"/>
      <w:marRight w:val="0"/>
      <w:marTop w:val="0"/>
      <w:marBottom w:val="0"/>
      <w:divBdr>
        <w:top w:val="none" w:sz="0" w:space="0" w:color="auto"/>
        <w:left w:val="none" w:sz="0" w:space="0" w:color="auto"/>
        <w:bottom w:val="none" w:sz="0" w:space="0" w:color="auto"/>
        <w:right w:val="none" w:sz="0" w:space="0" w:color="auto"/>
      </w:divBdr>
    </w:div>
    <w:div w:id="1300577033">
      <w:bodyDiv w:val="1"/>
      <w:marLeft w:val="0"/>
      <w:marRight w:val="0"/>
      <w:marTop w:val="0"/>
      <w:marBottom w:val="0"/>
      <w:divBdr>
        <w:top w:val="none" w:sz="0" w:space="0" w:color="auto"/>
        <w:left w:val="none" w:sz="0" w:space="0" w:color="auto"/>
        <w:bottom w:val="none" w:sz="0" w:space="0" w:color="auto"/>
        <w:right w:val="none" w:sz="0" w:space="0" w:color="auto"/>
      </w:divBdr>
    </w:div>
    <w:div w:id="1320228660">
      <w:bodyDiv w:val="1"/>
      <w:marLeft w:val="0"/>
      <w:marRight w:val="0"/>
      <w:marTop w:val="0"/>
      <w:marBottom w:val="0"/>
      <w:divBdr>
        <w:top w:val="none" w:sz="0" w:space="0" w:color="auto"/>
        <w:left w:val="none" w:sz="0" w:space="0" w:color="auto"/>
        <w:bottom w:val="none" w:sz="0" w:space="0" w:color="auto"/>
        <w:right w:val="none" w:sz="0" w:space="0" w:color="auto"/>
      </w:divBdr>
    </w:div>
    <w:div w:id="1348173761">
      <w:bodyDiv w:val="1"/>
      <w:marLeft w:val="0"/>
      <w:marRight w:val="0"/>
      <w:marTop w:val="0"/>
      <w:marBottom w:val="0"/>
      <w:divBdr>
        <w:top w:val="none" w:sz="0" w:space="0" w:color="auto"/>
        <w:left w:val="none" w:sz="0" w:space="0" w:color="auto"/>
        <w:bottom w:val="none" w:sz="0" w:space="0" w:color="auto"/>
        <w:right w:val="none" w:sz="0" w:space="0" w:color="auto"/>
      </w:divBdr>
    </w:div>
    <w:div w:id="2087022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1-08/Community%2520Schools%2520en.pdf" TargetMode="External"/><Relationship Id="rId3" Type="http://schemas.openxmlformats.org/officeDocument/2006/relationships/settings" Target="settings.xml"/><Relationship Id="rId7" Type="http://schemas.openxmlformats.org/officeDocument/2006/relationships/hyperlink" Target="http://www.elsa-support.co.uk/wp-content/uploads/2014/05/Elsa-Leaflet-to-print.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lsanetwork.org/about/the-network/" TargetMode="External"/><Relationship Id="rId11" Type="http://schemas.openxmlformats.org/officeDocument/2006/relationships/fontTable" Target="fontTable.xml"/><Relationship Id="rId5" Type="http://schemas.openxmlformats.org/officeDocument/2006/relationships/hyperlink" Target="https://landscapes4learning.com/the-pros-and-cons-of-forest-schools/?utm_source=rss&amp;utm_medium=rss&amp;utm_campaign=the-pros-and-cons-of-forest-schools#:~:text=It%20can%20be%20challenging%20on" TargetMode="External"/><Relationship Id="rId10" Type="http://schemas.openxmlformats.org/officeDocument/2006/relationships/hyperlink" Target="https://hwb.gov.wales/curriculum-for-wales/introduction/" TargetMode="External"/><Relationship Id="rId4" Type="http://schemas.openxmlformats.org/officeDocument/2006/relationships/webSettings" Target="webSettings.xml"/><Relationship Id="rId9" Type="http://schemas.openxmlformats.org/officeDocument/2006/relationships/hyperlink" Target="https://www.forestschools.com/pages/what-is-forest-school-an-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191</TotalTime>
  <Pages>5</Pages>
  <Words>2346</Words>
  <Characters>13378</Characters>
  <Application>Microsoft Office Word</Application>
  <DocSecurity>0</DocSecurity>
  <Lines>111</Lines>
  <Paragraphs>31</Paragraphs>
  <ScaleCrop>false</ScaleCrop>
  <Company/>
  <LinksUpToDate>false</LinksUpToDate>
  <CharactersWithSpaces>15693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dc:creator>
  <cp:keywords/>
  <dc:description/>
  <cp:lastModifiedBy>1</cp:lastModifiedBy>
  <cp:revision>1</cp:revision>
  <dcterms:created xsi:type="dcterms:W3CDTF">2023-01-15T13:42:00Z</dcterms:created>
  <dcterms:modified xsi:type="dcterms:W3CDTF">2023-01-16T16:53:00Z</dcterms:modified>
</cp:coreProperties>
</file>