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C5E46" w14:textId="5B5752CA" w:rsidR="00BF38C4" w:rsidRPr="00B23D7F" w:rsidRDefault="002169A0" w:rsidP="00AA6576">
      <w:pPr>
        <w:jc w:val="center"/>
        <w:rPr>
          <w:rFonts w:ascii="Arial" w:hAnsi="Arial" w:cs="Arial"/>
          <w:u w:val="single"/>
        </w:rPr>
      </w:pPr>
      <w:r w:rsidRPr="00B23D7F">
        <w:rPr>
          <w:rFonts w:ascii="Arial" w:hAnsi="Arial" w:cs="Arial"/>
          <w:u w:val="single"/>
        </w:rPr>
        <w:t>Early years Curricula</w:t>
      </w:r>
    </w:p>
    <w:p w14:paraId="4FC394D1" w14:textId="6FDDD50A" w:rsidR="000C1373" w:rsidRPr="00B23D7F" w:rsidRDefault="002169A0" w:rsidP="000C1373">
      <w:pPr>
        <w:rPr>
          <w:rFonts w:ascii="Arial" w:hAnsi="Arial" w:cs="Arial"/>
          <w:u w:val="single"/>
        </w:rPr>
      </w:pPr>
      <w:r w:rsidRPr="00B23D7F">
        <w:rPr>
          <w:rFonts w:ascii="Arial" w:hAnsi="Arial" w:cs="Arial"/>
          <w:u w:val="single"/>
        </w:rPr>
        <w:t>Section 1</w:t>
      </w:r>
    </w:p>
    <w:p w14:paraId="1C62EE2A" w14:textId="77777777" w:rsidR="00D858DB" w:rsidRPr="00B23D7F" w:rsidRDefault="00D858DB" w:rsidP="00D858DB">
      <w:pPr>
        <w:rPr>
          <w:rFonts w:ascii="Arial" w:hAnsi="Arial" w:cs="Arial"/>
        </w:rPr>
      </w:pPr>
      <w:r w:rsidRPr="00B23D7F">
        <w:rPr>
          <w:rFonts w:ascii="Arial" w:hAnsi="Arial" w:cs="Arial"/>
        </w:rPr>
        <w:t>Play-based learning has been widely acknowledged for its importance in early childhood education (</w:t>
      </w:r>
      <w:proofErr w:type="spellStart"/>
      <w:r w:rsidRPr="00B23D7F">
        <w:rPr>
          <w:rFonts w:ascii="Arial" w:hAnsi="Arial" w:cs="Arial"/>
        </w:rPr>
        <w:t>Zosh</w:t>
      </w:r>
      <w:proofErr w:type="spellEnd"/>
      <w:r w:rsidRPr="00B23D7F">
        <w:rPr>
          <w:rFonts w:ascii="Arial" w:hAnsi="Arial" w:cs="Arial"/>
        </w:rPr>
        <w:t xml:space="preserve"> </w:t>
      </w:r>
      <w:r w:rsidRPr="00B23D7F">
        <w:rPr>
          <w:rFonts w:ascii="Arial" w:hAnsi="Arial" w:cs="Arial"/>
          <w:i/>
          <w:iCs/>
        </w:rPr>
        <w:t>et al</w:t>
      </w:r>
      <w:r w:rsidRPr="00B23D7F">
        <w:rPr>
          <w:rFonts w:ascii="Arial" w:hAnsi="Arial" w:cs="Arial"/>
        </w:rPr>
        <w:t xml:space="preserve">, 2022), with early years theorists, such as, Lev Vygotsky and Jean Piaget promoting the significance of play in the early years (Alharbi, 2022). In Wales, the introduction of the Foundation Phase in 2008 (Welsh Government, 2008) and the more recent Curriculum for Wales in 2022 (Welsh Government, 2022a) provide frameworks that aim to emphasize progression over strict academic targets. Both frameworks recognize the significance of developmentally appropriate practices, however, they differ in their structure, focus, and implementation. This section will </w:t>
      </w:r>
      <w:proofErr w:type="gramStart"/>
      <w:r w:rsidRPr="00B23D7F">
        <w:rPr>
          <w:rFonts w:ascii="Arial" w:hAnsi="Arial" w:cs="Arial"/>
        </w:rPr>
        <w:t>compare and contrast</w:t>
      </w:r>
      <w:proofErr w:type="gramEnd"/>
      <w:r w:rsidRPr="00B23D7F">
        <w:rPr>
          <w:rFonts w:ascii="Arial" w:hAnsi="Arial" w:cs="Arial"/>
        </w:rPr>
        <w:t xml:space="preserve"> the Foundation Phase and the Curriculum for Wales as two play-based learning approaches.</w:t>
      </w:r>
    </w:p>
    <w:p w14:paraId="1A5773FD" w14:textId="5623C715" w:rsidR="00D858DB" w:rsidRPr="00B23D7F" w:rsidRDefault="00D858DB" w:rsidP="00D858DB">
      <w:pPr>
        <w:rPr>
          <w:rFonts w:ascii="Arial" w:hAnsi="Arial" w:cs="Arial"/>
        </w:rPr>
      </w:pPr>
      <w:r w:rsidRPr="00B23D7F">
        <w:rPr>
          <w:rFonts w:ascii="Arial" w:hAnsi="Arial" w:cs="Arial"/>
        </w:rPr>
        <w:t xml:space="preserve">The Foundation Phase and the Curriculum for Wales are grounded in developmental psychology and early years pedagogy which emphasise active, experiential learning </w:t>
      </w:r>
      <w:r w:rsidR="00093F60" w:rsidRPr="00B23D7F">
        <w:rPr>
          <w:rFonts w:ascii="Arial" w:hAnsi="Arial" w:cs="Arial"/>
        </w:rPr>
        <w:t xml:space="preserve">and play </w:t>
      </w:r>
      <w:r w:rsidRPr="00B23D7F">
        <w:rPr>
          <w:rFonts w:ascii="Arial" w:hAnsi="Arial" w:cs="Arial"/>
        </w:rPr>
        <w:t>over direct instruction and pen to paper exercises (Welsh Government, 2015</w:t>
      </w:r>
      <w:r w:rsidR="00AF3C2E" w:rsidRPr="00B23D7F">
        <w:rPr>
          <w:rFonts w:ascii="Arial" w:hAnsi="Arial" w:cs="Arial"/>
        </w:rPr>
        <w:t>a;</w:t>
      </w:r>
      <w:r w:rsidRPr="00B23D7F">
        <w:rPr>
          <w:rFonts w:ascii="Arial" w:hAnsi="Arial" w:cs="Arial"/>
        </w:rPr>
        <w:t xml:space="preserve"> Donaldson, 2015). </w:t>
      </w:r>
      <w:r w:rsidR="002C288D" w:rsidRPr="00B23D7F">
        <w:rPr>
          <w:rFonts w:ascii="Arial" w:hAnsi="Arial" w:cs="Arial"/>
        </w:rPr>
        <w:t>This</w:t>
      </w:r>
      <w:r w:rsidRPr="00B23D7F">
        <w:rPr>
          <w:rFonts w:ascii="Arial" w:hAnsi="Arial" w:cs="Arial"/>
        </w:rPr>
        <w:t xml:space="preserve"> align</w:t>
      </w:r>
      <w:r w:rsidR="002C288D" w:rsidRPr="00B23D7F">
        <w:rPr>
          <w:rFonts w:ascii="Arial" w:hAnsi="Arial" w:cs="Arial"/>
        </w:rPr>
        <w:t>s</w:t>
      </w:r>
      <w:r w:rsidRPr="00B23D7F">
        <w:rPr>
          <w:rFonts w:ascii="Arial" w:hAnsi="Arial" w:cs="Arial"/>
        </w:rPr>
        <w:t xml:space="preserve"> with the theories of Lev Vygotsky and Jean Piaget, who both recognized the importance of play </w:t>
      </w:r>
      <w:r w:rsidR="002C288D" w:rsidRPr="00B23D7F">
        <w:rPr>
          <w:rFonts w:ascii="Arial" w:hAnsi="Arial" w:cs="Arial"/>
        </w:rPr>
        <w:t xml:space="preserve">and hands-on learning </w:t>
      </w:r>
      <w:r w:rsidR="00915C8F" w:rsidRPr="00B23D7F">
        <w:rPr>
          <w:rFonts w:ascii="Arial" w:hAnsi="Arial" w:cs="Arial"/>
        </w:rPr>
        <w:t xml:space="preserve">in </w:t>
      </w:r>
      <w:r w:rsidR="001E63DE">
        <w:rPr>
          <w:rFonts w:ascii="Arial" w:hAnsi="Arial" w:cs="Arial"/>
        </w:rPr>
        <w:t>supporting</w:t>
      </w:r>
      <w:r w:rsidRPr="00B23D7F">
        <w:rPr>
          <w:rFonts w:ascii="Arial" w:hAnsi="Arial" w:cs="Arial"/>
        </w:rPr>
        <w:t xml:space="preserve"> child development. </w:t>
      </w:r>
      <w:r w:rsidR="002D6FCB" w:rsidRPr="00B23D7F">
        <w:rPr>
          <w:rFonts w:ascii="Arial" w:hAnsi="Arial" w:cs="Arial"/>
        </w:rPr>
        <w:t xml:space="preserve">Jean </w:t>
      </w:r>
      <w:r w:rsidRPr="00B23D7F">
        <w:rPr>
          <w:rFonts w:ascii="Arial" w:hAnsi="Arial" w:cs="Arial"/>
        </w:rPr>
        <w:t xml:space="preserve">Piaget proposed that children progress through universal stages of development by engaging in active exploration (Alharbi, 2022). </w:t>
      </w:r>
      <w:r w:rsidR="00E048BA">
        <w:rPr>
          <w:rFonts w:ascii="Arial" w:hAnsi="Arial" w:cs="Arial"/>
        </w:rPr>
        <w:t>Similarl</w:t>
      </w:r>
      <w:r w:rsidR="004A232E">
        <w:rPr>
          <w:rFonts w:ascii="Arial" w:hAnsi="Arial" w:cs="Arial"/>
        </w:rPr>
        <w:t>y, a</w:t>
      </w:r>
      <w:r w:rsidRPr="00B23D7F">
        <w:rPr>
          <w:rFonts w:ascii="Arial" w:hAnsi="Arial" w:cs="Arial"/>
        </w:rPr>
        <w:t>ccording to Welsh Governm</w:t>
      </w:r>
      <w:r w:rsidR="00F13464" w:rsidRPr="00B23D7F">
        <w:rPr>
          <w:rFonts w:ascii="Arial" w:hAnsi="Arial" w:cs="Arial"/>
        </w:rPr>
        <w:t xml:space="preserve">ent (2015) the Foundation Phase framework </w:t>
      </w:r>
      <w:r w:rsidRPr="00B23D7F">
        <w:rPr>
          <w:rFonts w:ascii="Arial" w:hAnsi="Arial" w:cs="Arial"/>
        </w:rPr>
        <w:t xml:space="preserve">support child-led learning in </w:t>
      </w:r>
      <w:r w:rsidR="00E84728" w:rsidRPr="00B23D7F">
        <w:rPr>
          <w:rFonts w:ascii="Arial" w:hAnsi="Arial" w:cs="Arial"/>
        </w:rPr>
        <w:t xml:space="preserve">a </w:t>
      </w:r>
      <w:r w:rsidRPr="00B23D7F">
        <w:rPr>
          <w:rFonts w:ascii="Arial" w:hAnsi="Arial" w:cs="Arial"/>
        </w:rPr>
        <w:t>resource-rich environment.</w:t>
      </w:r>
      <w:r w:rsidR="00E84728" w:rsidRPr="00B23D7F">
        <w:rPr>
          <w:rFonts w:ascii="Arial" w:hAnsi="Arial" w:cs="Arial"/>
        </w:rPr>
        <w:t xml:space="preserve"> </w:t>
      </w:r>
      <w:r w:rsidR="00586D86">
        <w:rPr>
          <w:rFonts w:ascii="Arial" w:hAnsi="Arial" w:cs="Arial"/>
        </w:rPr>
        <w:t>Additionally</w:t>
      </w:r>
      <w:r w:rsidR="004A232E">
        <w:rPr>
          <w:rFonts w:ascii="Arial" w:hAnsi="Arial" w:cs="Arial"/>
        </w:rPr>
        <w:t xml:space="preserve">, </w:t>
      </w:r>
      <w:r w:rsidR="00E84728" w:rsidRPr="00B23D7F">
        <w:rPr>
          <w:rFonts w:ascii="Arial" w:hAnsi="Arial" w:cs="Arial"/>
        </w:rPr>
        <w:t>Welsh Government (2022</w:t>
      </w:r>
      <w:r w:rsidR="00490DEC">
        <w:rPr>
          <w:rFonts w:ascii="Arial" w:hAnsi="Arial" w:cs="Arial"/>
        </w:rPr>
        <w:t>a</w:t>
      </w:r>
      <w:r w:rsidR="00E84728" w:rsidRPr="00B23D7F">
        <w:rPr>
          <w:rFonts w:ascii="Arial" w:hAnsi="Arial" w:cs="Arial"/>
        </w:rPr>
        <w:t xml:space="preserve">) </w:t>
      </w:r>
      <w:r w:rsidR="00CD6DEF" w:rsidRPr="00B23D7F">
        <w:rPr>
          <w:rFonts w:ascii="Arial" w:hAnsi="Arial" w:cs="Arial"/>
        </w:rPr>
        <w:t>suggests that t</w:t>
      </w:r>
      <w:r w:rsidR="00966C5B" w:rsidRPr="00B23D7F">
        <w:rPr>
          <w:rFonts w:ascii="Arial" w:hAnsi="Arial" w:cs="Arial"/>
        </w:rPr>
        <w:t>he Curriculum for Wales values hands-on, experiential learning and play as key to effective teaching</w:t>
      </w:r>
      <w:r w:rsidR="007F17E7">
        <w:rPr>
          <w:rFonts w:ascii="Arial" w:hAnsi="Arial" w:cs="Arial"/>
        </w:rPr>
        <w:t xml:space="preserve"> and learning</w:t>
      </w:r>
      <w:r w:rsidR="00966C5B" w:rsidRPr="00B23D7F">
        <w:rPr>
          <w:rFonts w:ascii="Arial" w:hAnsi="Arial" w:cs="Arial"/>
        </w:rPr>
        <w:t xml:space="preserve">. </w:t>
      </w:r>
      <w:r w:rsidR="005270EF">
        <w:rPr>
          <w:rFonts w:ascii="Arial" w:hAnsi="Arial" w:cs="Arial"/>
        </w:rPr>
        <w:t>The new Curriculum</w:t>
      </w:r>
      <w:r w:rsidR="00966C5B" w:rsidRPr="00B23D7F">
        <w:rPr>
          <w:rFonts w:ascii="Arial" w:hAnsi="Arial" w:cs="Arial"/>
        </w:rPr>
        <w:t xml:space="preserve"> supports real-life, active experiences that help children develop skills, creativity, and well-being, especially through play and outdoor learning</w:t>
      </w:r>
      <w:r w:rsidR="00790198">
        <w:rPr>
          <w:rFonts w:ascii="Arial" w:hAnsi="Arial" w:cs="Arial"/>
        </w:rPr>
        <w:t xml:space="preserve"> (Welsh Government, 2022a)</w:t>
      </w:r>
      <w:r w:rsidR="00966C5B" w:rsidRPr="00B23D7F">
        <w:rPr>
          <w:rFonts w:ascii="Arial" w:hAnsi="Arial" w:cs="Arial"/>
        </w:rPr>
        <w:t>.</w:t>
      </w:r>
      <w:r w:rsidRPr="00B23D7F">
        <w:rPr>
          <w:rFonts w:ascii="Arial" w:hAnsi="Arial" w:cs="Arial"/>
        </w:rPr>
        <w:t xml:space="preserve"> </w:t>
      </w:r>
      <w:r w:rsidR="00862825" w:rsidRPr="00B23D7F">
        <w:rPr>
          <w:rFonts w:ascii="Arial" w:hAnsi="Arial" w:cs="Arial"/>
        </w:rPr>
        <w:t xml:space="preserve">Lev </w:t>
      </w:r>
      <w:r w:rsidRPr="00B23D7F">
        <w:rPr>
          <w:rFonts w:ascii="Arial" w:hAnsi="Arial" w:cs="Arial"/>
        </w:rPr>
        <w:t>Vygotsky</w:t>
      </w:r>
      <w:r w:rsidR="00862825" w:rsidRPr="00B23D7F">
        <w:rPr>
          <w:rFonts w:ascii="Arial" w:hAnsi="Arial" w:cs="Arial"/>
        </w:rPr>
        <w:t xml:space="preserve"> however</w:t>
      </w:r>
      <w:r w:rsidRPr="00B23D7F">
        <w:rPr>
          <w:rFonts w:ascii="Arial" w:hAnsi="Arial" w:cs="Arial"/>
        </w:rPr>
        <w:t>, emphasized the role of social interaction and cultural context, with cognitive development occurring through guided support within the Zone of Proximal Development (Alharbi, 2022). Similarly, Welsh Government (2008) and Welsh Government (2022</w:t>
      </w:r>
      <w:r w:rsidR="001D1F85">
        <w:rPr>
          <w:rFonts w:ascii="Arial" w:hAnsi="Arial" w:cs="Arial"/>
        </w:rPr>
        <w:t>b</w:t>
      </w:r>
      <w:r w:rsidRPr="00B23D7F">
        <w:rPr>
          <w:rFonts w:ascii="Arial" w:hAnsi="Arial" w:cs="Arial"/>
        </w:rPr>
        <w:t>) sees teachers as facilitators, allowing children to take ownership of their learning, whilst be</w:t>
      </w:r>
      <w:r w:rsidR="00862825" w:rsidRPr="00B23D7F">
        <w:rPr>
          <w:rFonts w:ascii="Arial" w:hAnsi="Arial" w:cs="Arial"/>
        </w:rPr>
        <w:t>ing</w:t>
      </w:r>
      <w:r w:rsidRPr="00B23D7F">
        <w:rPr>
          <w:rFonts w:ascii="Arial" w:hAnsi="Arial" w:cs="Arial"/>
        </w:rPr>
        <w:t xml:space="preserve"> supported or scaffolded by competent professionals.</w:t>
      </w:r>
      <w:r w:rsidR="00586D86">
        <w:rPr>
          <w:rFonts w:ascii="Arial" w:hAnsi="Arial" w:cs="Arial"/>
        </w:rPr>
        <w:t xml:space="preserve"> </w:t>
      </w:r>
      <w:r w:rsidR="00586D86" w:rsidRPr="00586D86">
        <w:rPr>
          <w:rFonts w:ascii="Arial" w:hAnsi="Arial" w:cs="Arial"/>
        </w:rPr>
        <w:t>Furthermore, Baker and Ryan (2021) add that current initiatives that encourage playful learning in schools often overlooks the importance of adults in embracing and demonstrating playfulness.</w:t>
      </w:r>
      <w:r w:rsidR="00450899" w:rsidRPr="00B23D7F">
        <w:rPr>
          <w:rFonts w:ascii="Arial" w:hAnsi="Arial" w:cs="Arial"/>
        </w:rPr>
        <w:t xml:space="preserve"> </w:t>
      </w:r>
      <w:r w:rsidR="00667017">
        <w:rPr>
          <w:rFonts w:ascii="Arial" w:hAnsi="Arial" w:cs="Arial"/>
        </w:rPr>
        <w:t xml:space="preserve">Consequently, </w:t>
      </w:r>
      <w:r w:rsidRPr="00B23D7F">
        <w:rPr>
          <w:rFonts w:ascii="Arial" w:hAnsi="Arial" w:cs="Arial"/>
        </w:rPr>
        <w:t xml:space="preserve">Maynard and Waters (2010) highlight that for best practice to be </w:t>
      </w:r>
      <w:r w:rsidR="002B57F9" w:rsidRPr="00B23D7F">
        <w:rPr>
          <w:rFonts w:ascii="Arial" w:hAnsi="Arial" w:cs="Arial"/>
        </w:rPr>
        <w:t>achieved;</w:t>
      </w:r>
      <w:r w:rsidRPr="00B23D7F">
        <w:rPr>
          <w:rFonts w:ascii="Arial" w:hAnsi="Arial" w:cs="Arial"/>
        </w:rPr>
        <w:t xml:space="preserve"> professionals need to be highly qualified and competent in their delivery.</w:t>
      </w:r>
      <w:r w:rsidR="00BB000F">
        <w:rPr>
          <w:rFonts w:ascii="Arial" w:hAnsi="Arial" w:cs="Arial"/>
        </w:rPr>
        <w:t xml:space="preserve"> The significance of </w:t>
      </w:r>
      <w:r w:rsidR="00BC2A7F">
        <w:rPr>
          <w:rFonts w:ascii="Arial" w:hAnsi="Arial" w:cs="Arial"/>
        </w:rPr>
        <w:t>highly skilled professionals was also highlighted in the Nutbrown Review (</w:t>
      </w:r>
      <w:r w:rsidR="000756C2">
        <w:rPr>
          <w:rFonts w:ascii="Arial" w:hAnsi="Arial" w:cs="Arial"/>
        </w:rPr>
        <w:t>Nutbrown, 2012)</w:t>
      </w:r>
      <w:r w:rsidR="0084557D">
        <w:rPr>
          <w:rFonts w:ascii="Arial" w:hAnsi="Arial" w:cs="Arial"/>
        </w:rPr>
        <w:t>, this will be discussed further in the following section</w:t>
      </w:r>
      <w:r w:rsidR="000756C2">
        <w:rPr>
          <w:rFonts w:ascii="Arial" w:hAnsi="Arial" w:cs="Arial"/>
        </w:rPr>
        <w:t>.</w:t>
      </w:r>
      <w:r w:rsidRPr="00B23D7F">
        <w:rPr>
          <w:rFonts w:ascii="Arial" w:hAnsi="Arial" w:cs="Arial"/>
        </w:rPr>
        <w:t xml:space="preserve"> </w:t>
      </w:r>
    </w:p>
    <w:p w14:paraId="28096344" w14:textId="08F9251B" w:rsidR="00D858DB" w:rsidRPr="00B23D7F" w:rsidRDefault="00D858DB" w:rsidP="00D858DB">
      <w:pPr>
        <w:rPr>
          <w:rFonts w:ascii="Arial" w:hAnsi="Arial" w:cs="Arial"/>
        </w:rPr>
      </w:pPr>
      <w:r w:rsidRPr="00B23D7F">
        <w:rPr>
          <w:rFonts w:ascii="Arial" w:hAnsi="Arial" w:cs="Arial"/>
        </w:rPr>
        <w:t xml:space="preserve">Despite </w:t>
      </w:r>
      <w:r w:rsidR="00F56AA2">
        <w:rPr>
          <w:rFonts w:ascii="Arial" w:hAnsi="Arial" w:cs="Arial"/>
        </w:rPr>
        <w:t>the</w:t>
      </w:r>
      <w:r w:rsidRPr="00B23D7F">
        <w:rPr>
          <w:rFonts w:ascii="Arial" w:hAnsi="Arial" w:cs="Arial"/>
        </w:rPr>
        <w:t xml:space="preserve"> theoretical strengths</w:t>
      </w:r>
      <w:r w:rsidR="00F56AA2">
        <w:rPr>
          <w:rFonts w:ascii="Arial" w:hAnsi="Arial" w:cs="Arial"/>
        </w:rPr>
        <w:t xml:space="preserve"> identified</w:t>
      </w:r>
      <w:r w:rsidRPr="00B23D7F">
        <w:rPr>
          <w:rFonts w:ascii="Arial" w:hAnsi="Arial" w:cs="Arial"/>
        </w:rPr>
        <w:t>, one major concern identified within the foundation phase was how play-based learning was understood and delivered across different settings. Estyn (2011) highlighted that some practitioners struggled to balance open-ended play with educational objectives, leading to variations in quality and outcomes. Research conducted by Welsh Government (2014) using a mixed method approach of surveys, observations and interviews, involving 604 schools, showed that practices varied widely among schools. Staff attitudes of letting go of more formal teaching strategies</w:t>
      </w:r>
      <w:r w:rsidR="00462A71">
        <w:rPr>
          <w:rFonts w:ascii="Arial" w:hAnsi="Arial" w:cs="Arial"/>
        </w:rPr>
        <w:t>, alon</w:t>
      </w:r>
      <w:r w:rsidR="003C3312">
        <w:rPr>
          <w:rFonts w:ascii="Arial" w:hAnsi="Arial" w:cs="Arial"/>
        </w:rPr>
        <w:t xml:space="preserve">gside </w:t>
      </w:r>
      <w:r w:rsidRPr="00B23D7F">
        <w:rPr>
          <w:rFonts w:ascii="Arial" w:hAnsi="Arial" w:cs="Arial"/>
        </w:rPr>
        <w:t>adult to child ratios</w:t>
      </w:r>
      <w:r w:rsidR="003C3312">
        <w:rPr>
          <w:rFonts w:ascii="Arial" w:hAnsi="Arial" w:cs="Arial"/>
        </w:rPr>
        <w:t>,</w:t>
      </w:r>
      <w:r w:rsidRPr="00B23D7F">
        <w:rPr>
          <w:rFonts w:ascii="Arial" w:hAnsi="Arial" w:cs="Arial"/>
        </w:rPr>
        <w:t xml:space="preserve"> were seen to provide barriers to the full implementation of the Curriculum guidance. Similarly, Young and Miller (2013, cited in Evans, 2023) suggest that a move towards a more flexible Curriculum for Wales may lead to highly differentiated learning</w:t>
      </w:r>
      <w:r w:rsidR="003C3312">
        <w:rPr>
          <w:rFonts w:ascii="Arial" w:hAnsi="Arial" w:cs="Arial"/>
        </w:rPr>
        <w:t xml:space="preserve">, </w:t>
      </w:r>
      <w:r w:rsidR="007A4C85">
        <w:rPr>
          <w:rFonts w:ascii="Arial" w:hAnsi="Arial" w:cs="Arial"/>
        </w:rPr>
        <w:t>furthering the workload on teachers</w:t>
      </w:r>
      <w:r w:rsidRPr="00B23D7F">
        <w:rPr>
          <w:rFonts w:ascii="Arial" w:hAnsi="Arial" w:cs="Arial"/>
        </w:rPr>
        <w:t>. Newton (</w:t>
      </w:r>
      <w:proofErr w:type="spellStart"/>
      <w:r w:rsidRPr="00B23D7F">
        <w:rPr>
          <w:rFonts w:ascii="Arial" w:hAnsi="Arial" w:cs="Arial"/>
        </w:rPr>
        <w:t>n.d</w:t>
      </w:r>
      <w:proofErr w:type="spellEnd"/>
      <w:r w:rsidRPr="00B23D7F">
        <w:rPr>
          <w:rFonts w:ascii="Arial" w:hAnsi="Arial" w:cs="Arial"/>
        </w:rPr>
        <w:t xml:space="preserve">) </w:t>
      </w:r>
      <w:r w:rsidR="007A4C85">
        <w:rPr>
          <w:rFonts w:ascii="Arial" w:hAnsi="Arial" w:cs="Arial"/>
        </w:rPr>
        <w:t xml:space="preserve">identified </w:t>
      </w:r>
      <w:r w:rsidRPr="00B23D7F">
        <w:rPr>
          <w:rFonts w:ascii="Arial" w:hAnsi="Arial" w:cs="Arial"/>
        </w:rPr>
        <w:t>through discussions with teachers that the</w:t>
      </w:r>
      <w:r w:rsidR="00557AC8">
        <w:rPr>
          <w:rFonts w:ascii="Arial" w:hAnsi="Arial" w:cs="Arial"/>
        </w:rPr>
        <w:t>y felt</w:t>
      </w:r>
      <w:r w:rsidRPr="00B23D7F">
        <w:rPr>
          <w:rFonts w:ascii="Arial" w:hAnsi="Arial" w:cs="Arial"/>
        </w:rPr>
        <w:t xml:space="preserve"> curriculum lacked depth and detail</w:t>
      </w:r>
      <w:r w:rsidR="00393362">
        <w:rPr>
          <w:rFonts w:ascii="Arial" w:hAnsi="Arial" w:cs="Arial"/>
        </w:rPr>
        <w:t xml:space="preserve">, placing </w:t>
      </w:r>
      <w:r w:rsidR="00EE56C0">
        <w:rPr>
          <w:rFonts w:ascii="Arial" w:hAnsi="Arial" w:cs="Arial"/>
        </w:rPr>
        <w:t>the success of its deliverance on the competency of teachers</w:t>
      </w:r>
      <w:r w:rsidRPr="00B23D7F">
        <w:rPr>
          <w:rFonts w:ascii="Arial" w:hAnsi="Arial" w:cs="Arial"/>
        </w:rPr>
        <w:t xml:space="preserve">. Hulme </w:t>
      </w:r>
      <w:r w:rsidRPr="00D90959">
        <w:rPr>
          <w:rFonts w:ascii="Arial" w:hAnsi="Arial" w:cs="Arial"/>
          <w:i/>
          <w:iCs/>
        </w:rPr>
        <w:t>et al</w:t>
      </w:r>
      <w:r w:rsidR="00D90959" w:rsidRPr="00D90959">
        <w:rPr>
          <w:rFonts w:ascii="Arial" w:hAnsi="Arial" w:cs="Arial"/>
          <w:i/>
          <w:iCs/>
        </w:rPr>
        <w:t>.</w:t>
      </w:r>
      <w:r w:rsidRPr="00B23D7F">
        <w:rPr>
          <w:rFonts w:ascii="Arial" w:hAnsi="Arial" w:cs="Arial"/>
        </w:rPr>
        <w:t xml:space="preserve"> (2022) suggest that while flexibility empowers teachers, it can also lead to uncertainty, especially among less experienced </w:t>
      </w:r>
      <w:r w:rsidRPr="00B23D7F">
        <w:rPr>
          <w:rFonts w:ascii="Arial" w:hAnsi="Arial" w:cs="Arial"/>
        </w:rPr>
        <w:lastRenderedPageBreak/>
        <w:t xml:space="preserve">practitioners. Hulme </w:t>
      </w:r>
      <w:r w:rsidRPr="00B23D7F">
        <w:rPr>
          <w:rFonts w:ascii="Arial" w:hAnsi="Arial" w:cs="Arial"/>
          <w:i/>
          <w:iCs/>
        </w:rPr>
        <w:t>et al</w:t>
      </w:r>
      <w:r w:rsidR="00D90959">
        <w:rPr>
          <w:rFonts w:ascii="Arial" w:hAnsi="Arial" w:cs="Arial"/>
          <w:i/>
          <w:iCs/>
        </w:rPr>
        <w:t>.</w:t>
      </w:r>
      <w:r w:rsidRPr="00B23D7F">
        <w:rPr>
          <w:rFonts w:ascii="Arial" w:hAnsi="Arial" w:cs="Arial"/>
          <w:i/>
          <w:iCs/>
        </w:rPr>
        <w:t xml:space="preserve"> </w:t>
      </w:r>
      <w:r w:rsidRPr="00B23D7F">
        <w:rPr>
          <w:rFonts w:ascii="Arial" w:hAnsi="Arial" w:cs="Arial"/>
        </w:rPr>
        <w:t xml:space="preserve">(2022) further suggest that without clear, consistent expectations regarding play-based learning, some schools may underemphasise its role, particularly in settings where literacy and numeracy pressures </w:t>
      </w:r>
      <w:r w:rsidR="00933A4E">
        <w:rPr>
          <w:rFonts w:ascii="Arial" w:hAnsi="Arial" w:cs="Arial"/>
        </w:rPr>
        <w:t>are prioritised</w:t>
      </w:r>
      <w:r w:rsidRPr="00B23D7F">
        <w:rPr>
          <w:rFonts w:ascii="Arial" w:hAnsi="Arial" w:cs="Arial"/>
        </w:rPr>
        <w:t>.</w:t>
      </w:r>
    </w:p>
    <w:p w14:paraId="32DE26BB" w14:textId="290055BE" w:rsidR="00086FED" w:rsidRDefault="00D858DB" w:rsidP="00F9411D">
      <w:pPr>
        <w:rPr>
          <w:rFonts w:ascii="Arial" w:hAnsi="Arial" w:cs="Arial"/>
          <w:lang w:val="en-US"/>
        </w:rPr>
      </w:pPr>
      <w:r w:rsidRPr="00B23D7F">
        <w:rPr>
          <w:rFonts w:ascii="Arial" w:hAnsi="Arial" w:cs="Arial"/>
          <w:lang w:val="en-US"/>
        </w:rPr>
        <w:t>The Foundation Phase was designed specifically for children aged 3–7</w:t>
      </w:r>
      <w:r w:rsidR="00E60AA3">
        <w:rPr>
          <w:rFonts w:ascii="Arial" w:hAnsi="Arial" w:cs="Arial"/>
          <w:lang w:val="en-US"/>
        </w:rPr>
        <w:t>, it</w:t>
      </w:r>
      <w:r w:rsidRPr="00B23D7F">
        <w:rPr>
          <w:rFonts w:ascii="Arial" w:hAnsi="Arial" w:cs="Arial"/>
          <w:lang w:val="en-US"/>
        </w:rPr>
        <w:t xml:space="preserve"> includes seven </w:t>
      </w:r>
      <w:r w:rsidR="007017F5">
        <w:rPr>
          <w:rFonts w:ascii="Arial" w:hAnsi="Arial" w:cs="Arial"/>
          <w:lang w:val="en-US"/>
        </w:rPr>
        <w:t>a</w:t>
      </w:r>
      <w:r w:rsidRPr="00B23D7F">
        <w:rPr>
          <w:rFonts w:ascii="Arial" w:hAnsi="Arial" w:cs="Arial"/>
          <w:lang w:val="en-US"/>
        </w:rPr>
        <w:t>reas of Learning, with play-based learning central across all domains. Furthermore, the curriculum guidance highlights the importance of active learning, outdoor play, and child-initiated activities as essential to children’s development (Welsh Government, 2015</w:t>
      </w:r>
      <w:r w:rsidR="0052180E" w:rsidRPr="00B23D7F">
        <w:rPr>
          <w:rFonts w:ascii="Arial" w:hAnsi="Arial" w:cs="Arial"/>
          <w:lang w:val="en-US"/>
        </w:rPr>
        <w:t>a</w:t>
      </w:r>
      <w:r w:rsidRPr="00B23D7F">
        <w:rPr>
          <w:rFonts w:ascii="Arial" w:hAnsi="Arial" w:cs="Arial"/>
          <w:lang w:val="en-US"/>
        </w:rPr>
        <w:t xml:space="preserve">). This shows </w:t>
      </w:r>
      <w:r w:rsidRPr="00B23D7F">
        <w:rPr>
          <w:rFonts w:ascii="Arial" w:hAnsi="Arial" w:cs="Arial"/>
        </w:rPr>
        <w:t>regard for the United Nations Convention on the Rights of the Child (UNCRC), Article 31, which declares that every child has the right to play, and to experience a wide range of cultural and artistic activities (</w:t>
      </w:r>
      <w:proofErr w:type="spellStart"/>
      <w:r w:rsidRPr="00B23D7F">
        <w:rPr>
          <w:rFonts w:ascii="Arial" w:hAnsi="Arial" w:cs="Arial"/>
        </w:rPr>
        <w:t>Unicef</w:t>
      </w:r>
      <w:proofErr w:type="spellEnd"/>
      <w:r w:rsidRPr="00B23D7F">
        <w:rPr>
          <w:rFonts w:ascii="Arial" w:hAnsi="Arial" w:cs="Arial"/>
        </w:rPr>
        <w:t>, 2016).</w:t>
      </w:r>
      <w:r w:rsidRPr="00B23D7F">
        <w:rPr>
          <w:rFonts w:ascii="Arial" w:hAnsi="Arial" w:cs="Arial"/>
          <w:lang w:val="en-US"/>
        </w:rPr>
        <w:t xml:space="preserve"> </w:t>
      </w:r>
      <w:r w:rsidR="0048517B" w:rsidRPr="00B23D7F">
        <w:rPr>
          <w:rFonts w:ascii="Arial" w:hAnsi="Arial" w:cs="Arial"/>
          <w:lang w:val="en-US"/>
        </w:rPr>
        <w:t>However,</w:t>
      </w:r>
      <w:r w:rsidR="00E3283F">
        <w:rPr>
          <w:rFonts w:ascii="Arial" w:hAnsi="Arial" w:cs="Arial"/>
          <w:lang w:val="en-US"/>
        </w:rPr>
        <w:t xml:space="preserve"> this is written within guidance</w:t>
      </w:r>
      <w:r w:rsidR="00454496">
        <w:rPr>
          <w:rFonts w:ascii="Arial" w:hAnsi="Arial" w:cs="Arial"/>
          <w:lang w:val="en-US"/>
        </w:rPr>
        <w:t>,</w:t>
      </w:r>
      <w:r w:rsidR="0048517B" w:rsidRPr="00B23D7F">
        <w:rPr>
          <w:rFonts w:ascii="Arial" w:hAnsi="Arial" w:cs="Arial"/>
          <w:lang w:val="en-US"/>
        </w:rPr>
        <w:t xml:space="preserve"> </w:t>
      </w:r>
      <w:r w:rsidR="00CE07C5" w:rsidRPr="00B23D7F">
        <w:rPr>
          <w:rFonts w:ascii="Arial" w:hAnsi="Arial" w:cs="Arial"/>
          <w:lang w:val="en-US"/>
        </w:rPr>
        <w:t>in</w:t>
      </w:r>
      <w:r w:rsidR="00454496">
        <w:rPr>
          <w:rFonts w:ascii="Arial" w:hAnsi="Arial" w:cs="Arial"/>
          <w:lang w:val="en-US"/>
        </w:rPr>
        <w:t xml:space="preserve"> practice</w:t>
      </w:r>
      <w:r w:rsidR="006503B3" w:rsidRPr="00B23D7F">
        <w:rPr>
          <w:rFonts w:ascii="Arial" w:hAnsi="Arial" w:cs="Arial"/>
          <w:lang w:val="en-US"/>
        </w:rPr>
        <w:t xml:space="preserve"> </w:t>
      </w:r>
      <w:r w:rsidR="0048517B" w:rsidRPr="00B23D7F">
        <w:rPr>
          <w:rFonts w:ascii="Arial" w:hAnsi="Arial" w:cs="Arial"/>
          <w:lang w:val="en-US"/>
        </w:rPr>
        <w:t xml:space="preserve">research carried out by </w:t>
      </w:r>
      <w:r w:rsidR="00773496" w:rsidRPr="00B23D7F">
        <w:rPr>
          <w:rFonts w:ascii="Arial" w:hAnsi="Arial" w:cs="Arial"/>
          <w:lang w:val="en-US"/>
        </w:rPr>
        <w:t>the Welsh</w:t>
      </w:r>
      <w:r w:rsidR="0048517B" w:rsidRPr="00B23D7F">
        <w:rPr>
          <w:rFonts w:ascii="Arial" w:hAnsi="Arial" w:cs="Arial"/>
          <w:lang w:val="en-US"/>
        </w:rPr>
        <w:t xml:space="preserve"> Government (2014) </w:t>
      </w:r>
      <w:r w:rsidR="00853443" w:rsidRPr="00B23D7F">
        <w:rPr>
          <w:rFonts w:ascii="Arial" w:hAnsi="Arial" w:cs="Arial"/>
          <w:lang w:val="en-US"/>
        </w:rPr>
        <w:t xml:space="preserve">recognized that </w:t>
      </w:r>
      <w:r w:rsidR="00C51E45" w:rsidRPr="00B23D7F">
        <w:rPr>
          <w:rFonts w:ascii="Arial" w:hAnsi="Arial" w:cs="Arial"/>
          <w:lang w:val="en-US"/>
        </w:rPr>
        <w:t xml:space="preserve">child-led learning and continuous provision was observed less often than adult-led </w:t>
      </w:r>
      <w:r w:rsidR="008B0282">
        <w:rPr>
          <w:rFonts w:ascii="Arial" w:hAnsi="Arial" w:cs="Arial"/>
          <w:lang w:val="en-US"/>
        </w:rPr>
        <w:t>experiences</w:t>
      </w:r>
      <w:r w:rsidR="00C51E45" w:rsidRPr="00B23D7F">
        <w:rPr>
          <w:rFonts w:ascii="Arial" w:hAnsi="Arial" w:cs="Arial"/>
          <w:lang w:val="en-US"/>
        </w:rPr>
        <w:t>.</w:t>
      </w:r>
      <w:r w:rsidR="00086FED">
        <w:rPr>
          <w:rFonts w:ascii="Arial" w:hAnsi="Arial" w:cs="Arial"/>
          <w:lang w:val="en-US"/>
        </w:rPr>
        <w:t xml:space="preserve"> Further </w:t>
      </w:r>
      <w:r w:rsidR="00C11B96">
        <w:rPr>
          <w:rFonts w:ascii="Arial" w:hAnsi="Arial" w:cs="Arial"/>
          <w:lang w:val="en-US"/>
        </w:rPr>
        <w:t xml:space="preserve">emphasizing the importance of the </w:t>
      </w:r>
      <w:r w:rsidR="004128A1">
        <w:rPr>
          <w:rFonts w:ascii="Arial" w:hAnsi="Arial" w:cs="Arial"/>
          <w:lang w:val="en-US"/>
        </w:rPr>
        <w:t>practitioners’</w:t>
      </w:r>
      <w:r w:rsidR="00C11B96">
        <w:rPr>
          <w:rFonts w:ascii="Arial" w:hAnsi="Arial" w:cs="Arial"/>
          <w:lang w:val="en-US"/>
        </w:rPr>
        <w:t xml:space="preserve"> understanding </w:t>
      </w:r>
      <w:r w:rsidR="004E39E1">
        <w:rPr>
          <w:rFonts w:ascii="Arial" w:hAnsi="Arial" w:cs="Arial"/>
          <w:lang w:val="en-US"/>
        </w:rPr>
        <w:t>of play and their attitudes towards the importance of play</w:t>
      </w:r>
      <w:r w:rsidR="005128B4">
        <w:rPr>
          <w:rFonts w:ascii="Arial" w:hAnsi="Arial" w:cs="Arial"/>
          <w:lang w:val="en-US"/>
        </w:rPr>
        <w:t>, which will be discussed further in the following section</w:t>
      </w:r>
      <w:r w:rsidR="004E39E1">
        <w:rPr>
          <w:rFonts w:ascii="Arial" w:hAnsi="Arial" w:cs="Arial"/>
          <w:lang w:val="en-US"/>
        </w:rPr>
        <w:t>.</w:t>
      </w:r>
      <w:r w:rsidR="00C51E45" w:rsidRPr="00B23D7F">
        <w:rPr>
          <w:rFonts w:ascii="Arial" w:hAnsi="Arial" w:cs="Arial"/>
          <w:lang w:val="en-US"/>
        </w:rPr>
        <w:t xml:space="preserve"> </w:t>
      </w:r>
    </w:p>
    <w:p w14:paraId="0722DBA3" w14:textId="01254CC0" w:rsidR="00F9411D" w:rsidRPr="00B23D7F" w:rsidRDefault="006503B3" w:rsidP="00F9411D">
      <w:pPr>
        <w:rPr>
          <w:rFonts w:ascii="Arial" w:hAnsi="Arial" w:cs="Arial"/>
        </w:rPr>
      </w:pPr>
      <w:r w:rsidRPr="00B23D7F">
        <w:rPr>
          <w:rFonts w:ascii="Arial" w:hAnsi="Arial" w:cs="Arial"/>
          <w:lang w:val="en-US"/>
        </w:rPr>
        <w:t xml:space="preserve">The </w:t>
      </w:r>
      <w:r w:rsidR="00D858DB" w:rsidRPr="00B23D7F">
        <w:rPr>
          <w:rFonts w:ascii="Arial" w:hAnsi="Arial" w:cs="Arial"/>
          <w:lang w:val="en-US"/>
        </w:rPr>
        <w:t>Curriculum for Wales</w:t>
      </w:r>
      <w:r w:rsidRPr="00B23D7F">
        <w:rPr>
          <w:rFonts w:ascii="Arial" w:hAnsi="Arial" w:cs="Arial"/>
          <w:lang w:val="en-US"/>
        </w:rPr>
        <w:t xml:space="preserve"> </w:t>
      </w:r>
      <w:r w:rsidR="00713FCC" w:rsidRPr="00B23D7F">
        <w:rPr>
          <w:rFonts w:ascii="Arial" w:hAnsi="Arial" w:cs="Arial"/>
          <w:lang w:val="en-US"/>
        </w:rPr>
        <w:t>differs to the Foundation Phase as it</w:t>
      </w:r>
      <w:r w:rsidR="00D858DB" w:rsidRPr="00B23D7F">
        <w:rPr>
          <w:rFonts w:ascii="Arial" w:hAnsi="Arial" w:cs="Arial"/>
          <w:lang w:val="en-US"/>
        </w:rPr>
        <w:t xml:space="preserve"> offers a unified 3–16 framework built around six Areas of Learning and Experience (</w:t>
      </w:r>
      <w:proofErr w:type="spellStart"/>
      <w:r w:rsidR="00D858DB" w:rsidRPr="00B23D7F">
        <w:rPr>
          <w:rFonts w:ascii="Arial" w:hAnsi="Arial" w:cs="Arial"/>
          <w:lang w:val="en-US"/>
        </w:rPr>
        <w:t>AoLEs</w:t>
      </w:r>
      <w:proofErr w:type="spellEnd"/>
      <w:r w:rsidR="00D858DB" w:rsidRPr="00B23D7F">
        <w:rPr>
          <w:rFonts w:ascii="Arial" w:hAnsi="Arial" w:cs="Arial"/>
          <w:lang w:val="en-US"/>
        </w:rPr>
        <w:t xml:space="preserve">) and four core purposes (Donaldson, 2015). Although it retains the principle of developmentally appropriate pedagogy in the early years, the Curriculum for Wales guidance only refers to play indirectly, often through general terms like ‘learner agency’ or ‘developmentally appropriate experiences’ (Welsh Government, 2022b). While this flexibility allows for contextual curriculum design, the absence of detailed directives on play can again lead to a wide variability in interpretation and implementation (Whitebread </w:t>
      </w:r>
      <w:r w:rsidR="00D858DB" w:rsidRPr="00B23D7F">
        <w:rPr>
          <w:rFonts w:ascii="Arial" w:hAnsi="Arial" w:cs="Arial"/>
          <w:i/>
          <w:iCs/>
          <w:lang w:val="en-US"/>
        </w:rPr>
        <w:t>et al</w:t>
      </w:r>
      <w:r w:rsidR="00D858DB" w:rsidRPr="00B23D7F">
        <w:rPr>
          <w:rFonts w:ascii="Arial" w:hAnsi="Arial" w:cs="Arial"/>
          <w:lang w:val="en-US"/>
        </w:rPr>
        <w:t>, 2021).</w:t>
      </w:r>
      <w:r w:rsidR="00DE6E1B" w:rsidRPr="00B23D7F">
        <w:rPr>
          <w:rFonts w:ascii="Arial" w:hAnsi="Arial" w:cs="Arial"/>
          <w:lang w:val="en-US"/>
        </w:rPr>
        <w:t xml:space="preserve"> </w:t>
      </w:r>
      <w:r w:rsidR="003F49A4" w:rsidRPr="00B23D7F">
        <w:rPr>
          <w:rFonts w:ascii="Arial" w:hAnsi="Arial" w:cs="Arial"/>
          <w:lang w:val="en-US"/>
        </w:rPr>
        <w:t>In a study carried out</w:t>
      </w:r>
      <w:r w:rsidR="00A710A0" w:rsidRPr="00B23D7F">
        <w:rPr>
          <w:rFonts w:ascii="Arial" w:hAnsi="Arial" w:cs="Arial"/>
          <w:lang w:val="en-US"/>
        </w:rPr>
        <w:t xml:space="preserve"> by Fisher (</w:t>
      </w:r>
      <w:r w:rsidR="006D241E" w:rsidRPr="00B23D7F">
        <w:rPr>
          <w:rFonts w:ascii="Arial" w:hAnsi="Arial" w:cs="Arial"/>
          <w:lang w:val="en-US"/>
        </w:rPr>
        <w:t xml:space="preserve">2022) gathering feedback from key stage 1 teachers and </w:t>
      </w:r>
      <w:r w:rsidR="007F23AF" w:rsidRPr="00B23D7F">
        <w:rPr>
          <w:rFonts w:ascii="Arial" w:hAnsi="Arial" w:cs="Arial"/>
          <w:lang w:val="en-US"/>
        </w:rPr>
        <w:t>headteachers</w:t>
      </w:r>
      <w:r w:rsidR="005128B4">
        <w:rPr>
          <w:rFonts w:ascii="Arial" w:hAnsi="Arial" w:cs="Arial"/>
          <w:lang w:val="en-US"/>
        </w:rPr>
        <w:t xml:space="preserve">, it </w:t>
      </w:r>
      <w:r w:rsidR="009E170D">
        <w:rPr>
          <w:rFonts w:ascii="Arial" w:hAnsi="Arial" w:cs="Arial"/>
          <w:lang w:val="en-US"/>
        </w:rPr>
        <w:t xml:space="preserve">was </w:t>
      </w:r>
      <w:r w:rsidR="009E170D" w:rsidRPr="00B23D7F">
        <w:rPr>
          <w:rFonts w:ascii="Arial" w:hAnsi="Arial" w:cs="Arial"/>
          <w:lang w:val="en-US"/>
        </w:rPr>
        <w:t>identified</w:t>
      </w:r>
      <w:r w:rsidR="007F23AF" w:rsidRPr="00B23D7F">
        <w:rPr>
          <w:rFonts w:ascii="Arial" w:hAnsi="Arial" w:cs="Arial"/>
          <w:lang w:val="en-US"/>
        </w:rPr>
        <w:t xml:space="preserve"> that </w:t>
      </w:r>
      <w:r w:rsidR="00F670F3" w:rsidRPr="00B23D7F">
        <w:rPr>
          <w:rFonts w:ascii="Arial" w:hAnsi="Arial" w:cs="Arial"/>
        </w:rPr>
        <w:t>policy constraints and attitudes of staff very often acted as a barrier to the implementation of play in their school. </w:t>
      </w:r>
      <w:r w:rsidR="00B64A64" w:rsidRPr="00B23D7F">
        <w:rPr>
          <w:rFonts w:ascii="Arial" w:hAnsi="Arial" w:cs="Arial"/>
        </w:rPr>
        <w:t>Furthermore</w:t>
      </w:r>
      <w:r w:rsidR="007F23AF" w:rsidRPr="00B23D7F">
        <w:rPr>
          <w:rFonts w:ascii="Arial" w:hAnsi="Arial" w:cs="Arial"/>
        </w:rPr>
        <w:t xml:space="preserve">, </w:t>
      </w:r>
      <w:r w:rsidR="00F9411D" w:rsidRPr="00B23D7F">
        <w:rPr>
          <w:rFonts w:ascii="Arial" w:hAnsi="Arial" w:cs="Arial"/>
        </w:rPr>
        <w:t xml:space="preserve">McInnes </w:t>
      </w:r>
      <w:r w:rsidR="00F9411D" w:rsidRPr="006A4043">
        <w:rPr>
          <w:rFonts w:ascii="Arial" w:hAnsi="Arial" w:cs="Arial"/>
          <w:i/>
          <w:iCs/>
        </w:rPr>
        <w:t>et al</w:t>
      </w:r>
      <w:r w:rsidR="006A4043">
        <w:rPr>
          <w:rFonts w:ascii="Arial" w:hAnsi="Arial" w:cs="Arial"/>
          <w:i/>
          <w:iCs/>
        </w:rPr>
        <w:t>.</w:t>
      </w:r>
      <w:r w:rsidR="00F9411D" w:rsidRPr="00B23D7F">
        <w:rPr>
          <w:rFonts w:ascii="Arial" w:hAnsi="Arial" w:cs="Arial"/>
        </w:rPr>
        <w:t xml:space="preserve"> (</w:t>
      </w:r>
      <w:r w:rsidR="003E5513" w:rsidRPr="00B23D7F">
        <w:rPr>
          <w:rFonts w:ascii="Arial" w:hAnsi="Arial" w:cs="Arial"/>
        </w:rPr>
        <w:t xml:space="preserve">2011) </w:t>
      </w:r>
      <w:r w:rsidR="00F9411D" w:rsidRPr="00B23D7F">
        <w:rPr>
          <w:rFonts w:ascii="Arial" w:hAnsi="Arial" w:cs="Arial"/>
        </w:rPr>
        <w:t xml:space="preserve">highlights inconsistencies </w:t>
      </w:r>
      <w:r w:rsidR="00B64A64" w:rsidRPr="00B23D7F">
        <w:rPr>
          <w:rFonts w:ascii="Arial" w:hAnsi="Arial" w:cs="Arial"/>
        </w:rPr>
        <w:t xml:space="preserve">in Wales </w:t>
      </w:r>
      <w:r w:rsidR="00F9411D" w:rsidRPr="00B23D7F">
        <w:rPr>
          <w:rFonts w:ascii="Arial" w:hAnsi="Arial" w:cs="Arial"/>
        </w:rPr>
        <w:t xml:space="preserve">between practitioners' definitions of play and their practical implementation, affecting children's autonomy and learning. </w:t>
      </w:r>
      <w:r w:rsidR="0078463A" w:rsidRPr="00B23D7F">
        <w:rPr>
          <w:rFonts w:ascii="Arial" w:hAnsi="Arial" w:cs="Arial"/>
        </w:rPr>
        <w:t>T</w:t>
      </w:r>
      <w:r w:rsidR="00F9411D" w:rsidRPr="00B23D7F">
        <w:rPr>
          <w:rFonts w:ascii="Arial" w:hAnsi="Arial" w:cs="Arial"/>
        </w:rPr>
        <w:t xml:space="preserve">he research </w:t>
      </w:r>
      <w:r w:rsidR="0078463A" w:rsidRPr="00B23D7F">
        <w:rPr>
          <w:rFonts w:ascii="Arial" w:hAnsi="Arial" w:cs="Arial"/>
        </w:rPr>
        <w:t>encourages</w:t>
      </w:r>
      <w:r w:rsidR="00F9411D" w:rsidRPr="00B23D7F">
        <w:rPr>
          <w:rFonts w:ascii="Arial" w:hAnsi="Arial" w:cs="Arial"/>
        </w:rPr>
        <w:t xml:space="preserve"> the need for a clearer, shared understanding of play </w:t>
      </w:r>
      <w:r w:rsidR="0015384F">
        <w:rPr>
          <w:rFonts w:ascii="Arial" w:hAnsi="Arial" w:cs="Arial"/>
        </w:rPr>
        <w:t xml:space="preserve">through continuous professional development, </w:t>
      </w:r>
      <w:r w:rsidR="0047025B">
        <w:rPr>
          <w:rFonts w:ascii="Arial" w:hAnsi="Arial" w:cs="Arial"/>
        </w:rPr>
        <w:t xml:space="preserve">as this may </w:t>
      </w:r>
      <w:r w:rsidR="00F9411D" w:rsidRPr="00B23D7F">
        <w:rPr>
          <w:rFonts w:ascii="Arial" w:hAnsi="Arial" w:cs="Arial"/>
        </w:rPr>
        <w:t>enhanc</w:t>
      </w:r>
      <w:r w:rsidR="0047025B">
        <w:rPr>
          <w:rFonts w:ascii="Arial" w:hAnsi="Arial" w:cs="Arial"/>
        </w:rPr>
        <w:t>e</w:t>
      </w:r>
      <w:r w:rsidR="00F9411D" w:rsidRPr="00B23D7F">
        <w:rPr>
          <w:rFonts w:ascii="Arial" w:hAnsi="Arial" w:cs="Arial"/>
        </w:rPr>
        <w:t xml:space="preserve"> educational outcomes. </w:t>
      </w:r>
    </w:p>
    <w:p w14:paraId="7CBECB18" w14:textId="3DC367FF" w:rsidR="00DF4E12" w:rsidRPr="00B23D7F" w:rsidRDefault="00D858DB" w:rsidP="00F05DA5">
      <w:pPr>
        <w:divId w:val="13851256"/>
        <w:rPr>
          <w:rFonts w:ascii="Arial" w:hAnsi="Arial" w:cs="Arial"/>
        </w:rPr>
      </w:pPr>
      <w:r w:rsidRPr="00B23D7F">
        <w:rPr>
          <w:rFonts w:ascii="Arial" w:hAnsi="Arial" w:cs="Arial"/>
          <w:lang w:val="en-US"/>
        </w:rPr>
        <w:t xml:space="preserve">The Foundation Phase initially positioned play as the core of its pedagogy, recognizing it as central to children's motivation, curiosity, and confidence. The curriculum guidance provided explicit examples of how play should be used in classrooms, and it was framed as a driver for both academic and social-emotional development (Siraj-Blatchford </w:t>
      </w:r>
      <w:r w:rsidRPr="00B23D7F">
        <w:rPr>
          <w:rFonts w:ascii="Arial" w:hAnsi="Arial" w:cs="Arial"/>
          <w:i/>
          <w:iCs/>
          <w:lang w:val="en-US"/>
        </w:rPr>
        <w:t>et al</w:t>
      </w:r>
      <w:r w:rsidRPr="00B23D7F">
        <w:rPr>
          <w:rFonts w:ascii="Arial" w:hAnsi="Arial" w:cs="Arial"/>
          <w:lang w:val="en-US"/>
        </w:rPr>
        <w:t xml:space="preserve">, 2008). However, </w:t>
      </w:r>
      <w:proofErr w:type="spellStart"/>
      <w:r w:rsidRPr="00B23D7F">
        <w:rPr>
          <w:rFonts w:ascii="Arial" w:hAnsi="Arial" w:cs="Arial"/>
          <w:lang w:val="en-US"/>
        </w:rPr>
        <w:t>Tymms</w:t>
      </w:r>
      <w:proofErr w:type="spellEnd"/>
      <w:r w:rsidRPr="00B23D7F">
        <w:rPr>
          <w:rFonts w:ascii="Arial" w:hAnsi="Arial" w:cs="Arial"/>
          <w:lang w:val="en-US"/>
        </w:rPr>
        <w:t xml:space="preserve"> </w:t>
      </w:r>
      <w:r w:rsidRPr="00B23D7F">
        <w:rPr>
          <w:rFonts w:ascii="Arial" w:hAnsi="Arial" w:cs="Arial"/>
          <w:i/>
          <w:iCs/>
          <w:lang w:val="en-US"/>
        </w:rPr>
        <w:t>et al</w:t>
      </w:r>
      <w:r w:rsidR="00DB5CF0">
        <w:rPr>
          <w:rFonts w:ascii="Arial" w:hAnsi="Arial" w:cs="Arial"/>
          <w:i/>
          <w:iCs/>
          <w:lang w:val="en-US"/>
        </w:rPr>
        <w:t>.</w:t>
      </w:r>
      <w:r w:rsidRPr="00B23D7F">
        <w:rPr>
          <w:rFonts w:ascii="Arial" w:hAnsi="Arial" w:cs="Arial"/>
          <w:lang w:val="en-US"/>
        </w:rPr>
        <w:t xml:space="preserve"> (2013) found that accountability pressures related to assessment, particularly in literacy and numeracy, led many schools to drift back toward formal teaching. This tension between pedagogy and performance</w:t>
      </w:r>
      <w:r w:rsidR="00474E2A">
        <w:rPr>
          <w:rFonts w:ascii="Arial" w:hAnsi="Arial" w:cs="Arial"/>
          <w:lang w:val="en-US"/>
        </w:rPr>
        <w:t xml:space="preserve"> targets</w:t>
      </w:r>
      <w:r w:rsidRPr="00B23D7F">
        <w:rPr>
          <w:rFonts w:ascii="Arial" w:hAnsi="Arial" w:cs="Arial"/>
          <w:lang w:val="en-US"/>
        </w:rPr>
        <w:t xml:space="preserve"> provided limitations for a full play-based approach</w:t>
      </w:r>
      <w:r w:rsidR="004A67A1">
        <w:rPr>
          <w:rFonts w:ascii="Arial" w:hAnsi="Arial" w:cs="Arial"/>
          <w:lang w:val="en-US"/>
        </w:rPr>
        <w:t>, which will be discussed further in the following section</w:t>
      </w:r>
      <w:r w:rsidRPr="00B23D7F">
        <w:rPr>
          <w:rFonts w:ascii="Arial" w:hAnsi="Arial" w:cs="Arial"/>
          <w:lang w:val="en-US"/>
        </w:rPr>
        <w:t>. Similarly, Maynard and Chicken (2010) noted that the educational value of play was often misunderstood or questioned by some parents and stakeholders, particularly when compared to the more formal models used. This lack of public understanding contributed to a cultural and institutional tension that complicated the implementation of play-led learning (Maynard and Chicken, 2010). The Curriculum for Wales was designed partly in response to these limitations</w:t>
      </w:r>
      <w:r w:rsidR="004C6426" w:rsidRPr="00B23D7F">
        <w:rPr>
          <w:rFonts w:ascii="Arial" w:hAnsi="Arial" w:cs="Arial"/>
          <w:lang w:val="en-US"/>
        </w:rPr>
        <w:t xml:space="preserve">, </w:t>
      </w:r>
      <w:r w:rsidRPr="00B23D7F">
        <w:rPr>
          <w:rFonts w:ascii="Arial" w:hAnsi="Arial" w:cs="Arial"/>
          <w:lang w:val="en-US"/>
        </w:rPr>
        <w:t>aim</w:t>
      </w:r>
      <w:r w:rsidR="004C6426" w:rsidRPr="00B23D7F">
        <w:rPr>
          <w:rFonts w:ascii="Arial" w:hAnsi="Arial" w:cs="Arial"/>
          <w:lang w:val="en-US"/>
        </w:rPr>
        <w:t>ing</w:t>
      </w:r>
      <w:r w:rsidRPr="00B23D7F">
        <w:rPr>
          <w:rFonts w:ascii="Arial" w:hAnsi="Arial" w:cs="Arial"/>
          <w:lang w:val="en-US"/>
        </w:rPr>
        <w:t xml:space="preserve"> to address the disconnect between early years and Key Stage 2, promoting progression rather than abrupt pedagogical shifts (Welsh Government, 2020). </w:t>
      </w:r>
      <w:r w:rsidR="003331EC">
        <w:rPr>
          <w:rFonts w:ascii="Arial" w:hAnsi="Arial" w:cs="Arial"/>
          <w:lang w:val="en-US"/>
        </w:rPr>
        <w:t>However</w:t>
      </w:r>
      <w:r w:rsidR="00362298">
        <w:rPr>
          <w:rFonts w:ascii="Arial" w:hAnsi="Arial" w:cs="Arial"/>
          <w:lang w:val="en-US"/>
        </w:rPr>
        <w:t xml:space="preserve">, </w:t>
      </w:r>
      <w:r w:rsidRPr="00B23D7F">
        <w:rPr>
          <w:rFonts w:ascii="Arial" w:hAnsi="Arial" w:cs="Arial"/>
          <w:lang w:val="en-US"/>
        </w:rPr>
        <w:t>Audit Wales (2022b) raised concerns that the success of the Curriculum for Wales depend</w:t>
      </w:r>
      <w:r w:rsidR="00BB15D4">
        <w:rPr>
          <w:rFonts w:ascii="Arial" w:hAnsi="Arial" w:cs="Arial"/>
          <w:lang w:val="en-US"/>
        </w:rPr>
        <w:t>s</w:t>
      </w:r>
      <w:r w:rsidRPr="00B23D7F">
        <w:rPr>
          <w:rFonts w:ascii="Arial" w:hAnsi="Arial" w:cs="Arial"/>
          <w:lang w:val="en-US"/>
        </w:rPr>
        <w:t xml:space="preserve"> heavily on investment in professional development, as well as adequate time, resources, and support.</w:t>
      </w:r>
      <w:r w:rsidR="00732951" w:rsidRPr="00B23D7F">
        <w:rPr>
          <w:rFonts w:ascii="Arial" w:hAnsi="Arial" w:cs="Arial"/>
          <w:lang w:val="en-US"/>
        </w:rPr>
        <w:t xml:space="preserve"> </w:t>
      </w:r>
      <w:r w:rsidR="003C1986" w:rsidRPr="00B23D7F">
        <w:rPr>
          <w:rFonts w:ascii="Arial" w:hAnsi="Arial" w:cs="Arial"/>
        </w:rPr>
        <w:t xml:space="preserve">Audit Wales (2022a) noted that the Welsh Government did not thoroughly evaluate the potential costs associated with implementing a new curriculum. </w:t>
      </w:r>
      <w:r w:rsidR="00362298">
        <w:rPr>
          <w:rFonts w:ascii="Arial" w:hAnsi="Arial" w:cs="Arial"/>
        </w:rPr>
        <w:lastRenderedPageBreak/>
        <w:t>Additionally, t</w:t>
      </w:r>
      <w:r w:rsidR="003C1986" w:rsidRPr="00B23D7F">
        <w:rPr>
          <w:rFonts w:ascii="Arial" w:hAnsi="Arial" w:cs="Arial"/>
        </w:rPr>
        <w:t>eachers are concerned that experiential learning activities can be expensive, posing challenges within the constraints of a</w:t>
      </w:r>
      <w:r w:rsidR="00057343">
        <w:rPr>
          <w:rFonts w:ascii="Arial" w:hAnsi="Arial" w:cs="Arial"/>
        </w:rPr>
        <w:t>n already tight</w:t>
      </w:r>
      <w:r w:rsidR="003C1986" w:rsidRPr="00B23D7F">
        <w:rPr>
          <w:rFonts w:ascii="Arial" w:hAnsi="Arial" w:cs="Arial"/>
        </w:rPr>
        <w:t xml:space="preserve"> school budget (Newton, 2018).</w:t>
      </w:r>
    </w:p>
    <w:p w14:paraId="3F645DE3" w14:textId="5A452E72" w:rsidR="00D26BB6" w:rsidRPr="00045E03" w:rsidRDefault="00D26BB6" w:rsidP="00045E03">
      <w:pPr>
        <w:divId w:val="13851256"/>
        <w:rPr>
          <w:rFonts w:ascii="Arial" w:hAnsi="Arial" w:cs="Arial"/>
          <w:color w:val="000000"/>
        </w:rPr>
      </w:pPr>
      <w:r w:rsidRPr="00045E03">
        <w:rPr>
          <w:rFonts w:ascii="Arial" w:hAnsi="Arial" w:cs="Arial"/>
        </w:rPr>
        <w:t xml:space="preserve">A critical point of contrast between the two frameworks lies in how assessment is approached. In the Foundation Phase, assessment was intended to be observational and formative, focusing on what children could do in </w:t>
      </w:r>
      <w:r w:rsidR="00976DBC" w:rsidRPr="00045E03">
        <w:rPr>
          <w:rFonts w:ascii="Arial" w:hAnsi="Arial" w:cs="Arial"/>
        </w:rPr>
        <w:t xml:space="preserve">a more naturistic </w:t>
      </w:r>
      <w:r w:rsidRPr="00045E03">
        <w:rPr>
          <w:rFonts w:ascii="Arial" w:hAnsi="Arial" w:cs="Arial"/>
        </w:rPr>
        <w:t>context (Welsh Government, 2008). However, schools were often pressured to produce quantifiable evidence of attainment, especially in core subjects. This led to a misalignment between play-based pedagogy and assessment practices (</w:t>
      </w:r>
      <w:proofErr w:type="spellStart"/>
      <w:r w:rsidRPr="00045E03">
        <w:rPr>
          <w:rFonts w:ascii="Arial" w:hAnsi="Arial" w:cs="Arial"/>
        </w:rPr>
        <w:t>Tymms</w:t>
      </w:r>
      <w:proofErr w:type="spellEnd"/>
      <w:r w:rsidRPr="00045E03">
        <w:rPr>
          <w:rFonts w:ascii="Arial" w:hAnsi="Arial" w:cs="Arial"/>
        </w:rPr>
        <w:t xml:space="preserve"> </w:t>
      </w:r>
      <w:r w:rsidRPr="00045E03">
        <w:rPr>
          <w:rFonts w:ascii="Arial" w:hAnsi="Arial" w:cs="Arial"/>
          <w:i/>
          <w:iCs/>
        </w:rPr>
        <w:t>et al</w:t>
      </w:r>
      <w:r w:rsidRPr="00045E03">
        <w:rPr>
          <w:rFonts w:ascii="Arial" w:hAnsi="Arial" w:cs="Arial"/>
        </w:rPr>
        <w:t xml:space="preserve">, 2013). </w:t>
      </w:r>
      <w:r w:rsidR="0001689B" w:rsidRPr="00045E03">
        <w:rPr>
          <w:rFonts w:ascii="Arial" w:hAnsi="Arial" w:cs="Arial"/>
        </w:rPr>
        <w:t>Both t</w:t>
      </w:r>
      <w:r w:rsidRPr="00045E03">
        <w:rPr>
          <w:rFonts w:ascii="Arial" w:hAnsi="Arial" w:cs="Arial"/>
        </w:rPr>
        <w:t xml:space="preserve">he Foundation Phase and Curriculum for Wales promote formative, play-based assessment through observation, </w:t>
      </w:r>
      <w:r w:rsidR="00D2211B" w:rsidRPr="00045E03">
        <w:rPr>
          <w:rFonts w:ascii="Arial" w:hAnsi="Arial" w:cs="Arial"/>
        </w:rPr>
        <w:t xml:space="preserve">which </w:t>
      </w:r>
      <w:r w:rsidRPr="00045E03">
        <w:rPr>
          <w:rFonts w:ascii="Arial" w:hAnsi="Arial" w:cs="Arial"/>
        </w:rPr>
        <w:t>support</w:t>
      </w:r>
      <w:r w:rsidR="00D2211B" w:rsidRPr="00045E03">
        <w:rPr>
          <w:rFonts w:ascii="Arial" w:hAnsi="Arial" w:cs="Arial"/>
        </w:rPr>
        <w:t>s</w:t>
      </w:r>
      <w:r w:rsidRPr="00045E03">
        <w:rPr>
          <w:rFonts w:ascii="Arial" w:hAnsi="Arial" w:cs="Arial"/>
        </w:rPr>
        <w:t xml:space="preserve"> holistic child development (Welsh Government, 2020). While this aligns well with early years pedagogy, it relies heavily on practitioner judgment, which can lead to inconsistencies. </w:t>
      </w:r>
      <w:r w:rsidR="002153D5" w:rsidRPr="00045E03">
        <w:rPr>
          <w:rFonts w:ascii="Arial" w:hAnsi="Arial" w:cs="Arial"/>
        </w:rPr>
        <w:t xml:space="preserve">Newton (2018) agrees, outlining that </w:t>
      </w:r>
      <w:r w:rsidRPr="00045E03">
        <w:rPr>
          <w:rFonts w:ascii="Arial" w:hAnsi="Arial" w:cs="Arial"/>
        </w:rPr>
        <w:t>varying skill levels may impact the quality and accuracy of assessments.</w:t>
      </w:r>
      <w:r w:rsidR="009D6AA5" w:rsidRPr="00045E03">
        <w:rPr>
          <w:rFonts w:ascii="Arial" w:hAnsi="Arial" w:cs="Arial"/>
        </w:rPr>
        <w:t xml:space="preserve"> Newton (2018) further suggests that</w:t>
      </w:r>
      <w:r w:rsidRPr="00045E03">
        <w:rPr>
          <w:rFonts w:ascii="Arial" w:hAnsi="Arial" w:cs="Arial"/>
        </w:rPr>
        <w:t xml:space="preserve"> </w:t>
      </w:r>
      <w:r w:rsidR="009D6AA5" w:rsidRPr="00045E03">
        <w:rPr>
          <w:rFonts w:ascii="Arial" w:hAnsi="Arial" w:cs="Arial"/>
        </w:rPr>
        <w:t>a</w:t>
      </w:r>
      <w:r w:rsidRPr="00045E03">
        <w:rPr>
          <w:rFonts w:ascii="Arial" w:hAnsi="Arial" w:cs="Arial"/>
        </w:rPr>
        <w:t xml:space="preserve">lthough the approach reduces pressure from formal testing, tensions can arise between child-led learning and the need to produce measurable outcomes. Without clear benchmarks and consistent training, assessment risks becoming subjective, potentially undermining equity and effectiveness across settings. </w:t>
      </w:r>
      <w:r w:rsidR="008B5C31" w:rsidRPr="00045E03">
        <w:rPr>
          <w:rFonts w:ascii="Arial" w:hAnsi="Arial" w:cs="Arial"/>
        </w:rPr>
        <w:t>According to Welsh Government</w:t>
      </w:r>
      <w:r w:rsidR="0081784B" w:rsidRPr="00045E03">
        <w:rPr>
          <w:rFonts w:ascii="Arial" w:hAnsi="Arial" w:cs="Arial"/>
        </w:rPr>
        <w:t xml:space="preserve"> (2022a) t</w:t>
      </w:r>
      <w:r w:rsidRPr="00045E03">
        <w:rPr>
          <w:rFonts w:ascii="Arial" w:hAnsi="Arial" w:cs="Arial"/>
        </w:rPr>
        <w:t xml:space="preserve">he Curriculum for Wales aims to resolve this by introducing a progression model based on the continuation of learning, rather than fixed outcomes at specific ages (Welsh Government, 2022). In theory, this aligns more closely with the nature of learning through play, allowing for a broader range of evidence and less rigid age expectations. Still, there are concerns that without robust guidance, practitioners may struggle to translate these ideals into practice (Newton, </w:t>
      </w:r>
      <w:proofErr w:type="spellStart"/>
      <w:r w:rsidRPr="00045E03">
        <w:rPr>
          <w:rFonts w:ascii="Arial" w:hAnsi="Arial" w:cs="Arial"/>
        </w:rPr>
        <w:t>n.d</w:t>
      </w:r>
      <w:proofErr w:type="spellEnd"/>
      <w:r w:rsidRPr="00045E03">
        <w:rPr>
          <w:rFonts w:ascii="Arial" w:hAnsi="Arial" w:cs="Arial"/>
        </w:rPr>
        <w:t>)</w:t>
      </w:r>
      <w:r w:rsidR="003B64E6" w:rsidRPr="00045E03">
        <w:rPr>
          <w:rFonts w:ascii="Arial" w:hAnsi="Arial" w:cs="Arial"/>
        </w:rPr>
        <w:t xml:space="preserve"> </w:t>
      </w:r>
      <w:r w:rsidR="00C863BD" w:rsidRPr="00045E03">
        <w:rPr>
          <w:rFonts w:ascii="Arial" w:hAnsi="Arial" w:cs="Arial"/>
        </w:rPr>
        <w:t>and a wider scope on differentiation places further challenge on teachers</w:t>
      </w:r>
      <w:r w:rsidR="00C47828" w:rsidRPr="00045E03">
        <w:rPr>
          <w:rFonts w:ascii="Arial" w:hAnsi="Arial" w:cs="Arial"/>
        </w:rPr>
        <w:t xml:space="preserve"> </w:t>
      </w:r>
      <w:r w:rsidR="00CE41BC" w:rsidRPr="00045E03">
        <w:rPr>
          <w:rFonts w:ascii="Arial" w:hAnsi="Arial" w:cs="Arial"/>
        </w:rPr>
        <w:t>(Whitebrea</w:t>
      </w:r>
      <w:r w:rsidR="00BB7911" w:rsidRPr="00045E03">
        <w:rPr>
          <w:rFonts w:ascii="Arial" w:hAnsi="Arial" w:cs="Arial"/>
        </w:rPr>
        <w:t>d</w:t>
      </w:r>
      <w:r w:rsidR="00CE41BC" w:rsidRPr="00045E03">
        <w:rPr>
          <w:rFonts w:ascii="Arial" w:hAnsi="Arial" w:cs="Arial"/>
        </w:rPr>
        <w:t xml:space="preserve"> </w:t>
      </w:r>
      <w:r w:rsidR="00CE41BC" w:rsidRPr="00045E03">
        <w:rPr>
          <w:rFonts w:ascii="Arial" w:hAnsi="Arial" w:cs="Arial"/>
          <w:i/>
          <w:iCs/>
        </w:rPr>
        <w:t>et al,</w:t>
      </w:r>
      <w:r w:rsidR="001F78BC" w:rsidRPr="00045E03">
        <w:rPr>
          <w:rFonts w:ascii="Arial" w:hAnsi="Arial" w:cs="Arial"/>
        </w:rPr>
        <w:t xml:space="preserve"> 2021).</w:t>
      </w:r>
      <w:r w:rsidR="00CE41BC" w:rsidRPr="00045E03">
        <w:rPr>
          <w:rFonts w:ascii="Arial" w:hAnsi="Arial" w:cs="Arial"/>
          <w:i/>
          <w:iCs/>
        </w:rPr>
        <w:t xml:space="preserve"> </w:t>
      </w:r>
    </w:p>
    <w:p w14:paraId="7412AD0F" w14:textId="36A0520B" w:rsidR="00D858DB" w:rsidRPr="00B23D7F" w:rsidRDefault="00D858DB" w:rsidP="00E34C63">
      <w:pPr>
        <w:divId w:val="1954094783"/>
        <w:rPr>
          <w:rFonts w:ascii="Arial" w:eastAsia="Times New Roman" w:hAnsi="Arial" w:cs="Arial"/>
          <w:color w:val="000000"/>
        </w:rPr>
      </w:pPr>
      <w:r w:rsidRPr="00B23D7F">
        <w:rPr>
          <w:rFonts w:ascii="Arial" w:hAnsi="Arial" w:cs="Arial"/>
          <w:lang w:val="en-US"/>
        </w:rPr>
        <w:t xml:space="preserve">In </w:t>
      </w:r>
      <w:proofErr w:type="gramStart"/>
      <w:r w:rsidRPr="00B23D7F">
        <w:rPr>
          <w:rFonts w:ascii="Arial" w:hAnsi="Arial" w:cs="Arial"/>
          <w:lang w:val="en-US"/>
        </w:rPr>
        <w:t>comparing and contrasting</w:t>
      </w:r>
      <w:proofErr w:type="gramEnd"/>
      <w:r w:rsidRPr="00B23D7F">
        <w:rPr>
          <w:rFonts w:ascii="Arial" w:hAnsi="Arial" w:cs="Arial"/>
          <w:lang w:val="en-US"/>
        </w:rPr>
        <w:t xml:space="preserve"> the Foundation Phase and the Curriculum for Wales, it becomes clear that both frameworks value play and child-</w:t>
      </w:r>
      <w:proofErr w:type="spellStart"/>
      <w:r w:rsidRPr="00B23D7F">
        <w:rPr>
          <w:rFonts w:ascii="Arial" w:hAnsi="Arial" w:cs="Arial"/>
          <w:lang w:val="en-US"/>
        </w:rPr>
        <w:t>centred</w:t>
      </w:r>
      <w:proofErr w:type="spellEnd"/>
      <w:r w:rsidRPr="00B23D7F">
        <w:rPr>
          <w:rFonts w:ascii="Arial" w:hAnsi="Arial" w:cs="Arial"/>
          <w:lang w:val="en-US"/>
        </w:rPr>
        <w:t xml:space="preserve"> pedagogy, but differ in emphasis, structure, and execution. The Foundation Phase offered a clear, explicit commitment to play, grounded in developmental theory and early years best practice. However, it struggled with implementation due to pressures from assessment and varying practitioner understanding. The Curriculum for Wales provides a more flexible, progression-led model that potentially offers better continuity and learner engagement. Yet its lack of explicit guidance on play, combined with implementation challenges, creates risks that play may become marginalized in practice. To ensure that play-based learning remains a meaningful component of early education in Wales, it is crucial that practitioners are well-supported, curriculum expectations are clarified, and learners, teachers and stakeholders are involved in shaping educational experiences.</w:t>
      </w:r>
    </w:p>
    <w:p w14:paraId="664B1E39" w14:textId="77777777" w:rsidR="00D63B2D" w:rsidRPr="00B23D7F" w:rsidRDefault="00D63B2D" w:rsidP="0063135C">
      <w:pPr>
        <w:rPr>
          <w:rFonts w:ascii="Arial" w:hAnsi="Arial" w:cs="Arial"/>
        </w:rPr>
      </w:pPr>
    </w:p>
    <w:p w14:paraId="41E24DE2" w14:textId="42F0C76D" w:rsidR="00A56CB7" w:rsidRPr="00B23D7F" w:rsidRDefault="002169A0" w:rsidP="00A56CB7">
      <w:pPr>
        <w:rPr>
          <w:rFonts w:ascii="Arial" w:hAnsi="Arial" w:cs="Arial"/>
          <w:u w:val="single"/>
        </w:rPr>
      </w:pPr>
      <w:r w:rsidRPr="00B23D7F">
        <w:rPr>
          <w:rFonts w:ascii="Arial" w:hAnsi="Arial" w:cs="Arial"/>
          <w:u w:val="single"/>
        </w:rPr>
        <w:t>Section 2</w:t>
      </w:r>
    </w:p>
    <w:p w14:paraId="21D2BEE1" w14:textId="77777777" w:rsidR="00A56CB7" w:rsidRPr="00B23D7F" w:rsidRDefault="00A56CB7" w:rsidP="00A56CB7">
      <w:pPr>
        <w:rPr>
          <w:rFonts w:ascii="Arial" w:hAnsi="Arial" w:cs="Arial"/>
        </w:rPr>
      </w:pPr>
      <w:r w:rsidRPr="00B23D7F">
        <w:rPr>
          <w:rFonts w:ascii="Arial" w:hAnsi="Arial" w:cs="Arial"/>
        </w:rPr>
        <w:t>Every child develops at their own pace and in their own way, demonstrating strengths in some areas while requiring support in others (</w:t>
      </w:r>
      <w:proofErr w:type="spellStart"/>
      <w:r w:rsidRPr="00B23D7F">
        <w:rPr>
          <w:rFonts w:ascii="Arial" w:hAnsi="Arial" w:cs="Arial"/>
        </w:rPr>
        <w:t>McBlain</w:t>
      </w:r>
      <w:proofErr w:type="spellEnd"/>
      <w:r w:rsidRPr="00B23D7F">
        <w:rPr>
          <w:rFonts w:ascii="Arial" w:hAnsi="Arial" w:cs="Arial"/>
        </w:rPr>
        <w:t xml:space="preserve">, 2018; Wood, 2020). The concept of the 'unique child' recognises these diverse developmental trajectories, rejecting a universal approach to education (Hodes </w:t>
      </w:r>
      <w:r w:rsidRPr="00B23D7F">
        <w:rPr>
          <w:rFonts w:ascii="Arial" w:hAnsi="Arial" w:cs="Arial"/>
          <w:i/>
          <w:iCs/>
        </w:rPr>
        <w:t>et al</w:t>
      </w:r>
      <w:r w:rsidRPr="00B23D7F">
        <w:rPr>
          <w:rFonts w:ascii="Arial" w:hAnsi="Arial" w:cs="Arial"/>
        </w:rPr>
        <w:t xml:space="preserve">, 2018). Hodes </w:t>
      </w:r>
      <w:r w:rsidRPr="00B23D7F">
        <w:rPr>
          <w:rFonts w:ascii="Arial" w:hAnsi="Arial" w:cs="Arial"/>
          <w:i/>
          <w:iCs/>
        </w:rPr>
        <w:t>et al</w:t>
      </w:r>
      <w:r w:rsidRPr="00B23D7F">
        <w:rPr>
          <w:rFonts w:ascii="Arial" w:hAnsi="Arial" w:cs="Arial"/>
        </w:rPr>
        <w:t xml:space="preserve"> (2018) further argue that acknowledging individuality is fundamental in early childhood education, particularly within play-based curricula that prioritise holistic development and learner autonomy. Bradbury and Roberts- Holmes (2018) share this view and further suggests that this enables practitioners to provide more tailored support, implement effective interventions and promote overall well-being. </w:t>
      </w:r>
    </w:p>
    <w:p w14:paraId="2CF1872B" w14:textId="689773A8" w:rsidR="00A56CB7" w:rsidRPr="00B23D7F" w:rsidRDefault="00A56CB7" w:rsidP="00A56CB7">
      <w:pPr>
        <w:rPr>
          <w:rFonts w:ascii="Arial" w:hAnsi="Arial" w:cs="Arial"/>
        </w:rPr>
      </w:pPr>
      <w:r w:rsidRPr="00B23D7F">
        <w:rPr>
          <w:rFonts w:ascii="Arial" w:hAnsi="Arial" w:cs="Arial"/>
        </w:rPr>
        <w:lastRenderedPageBreak/>
        <w:t xml:space="preserve">The understanding that each child </w:t>
      </w:r>
      <w:r w:rsidR="007C5053">
        <w:rPr>
          <w:rFonts w:ascii="Arial" w:hAnsi="Arial" w:cs="Arial"/>
        </w:rPr>
        <w:t>is</w:t>
      </w:r>
      <w:r w:rsidRPr="00B23D7F">
        <w:rPr>
          <w:rFonts w:ascii="Arial" w:hAnsi="Arial" w:cs="Arial"/>
        </w:rPr>
        <w:t xml:space="preserve"> ‘unique’ is rooted in constructivist and socio-cultural theories, which emphasise that development is shaped by personal experiences, cultural background, and socio-emotional factors (Muller </w:t>
      </w:r>
      <w:r w:rsidRPr="00B23D7F">
        <w:rPr>
          <w:rFonts w:ascii="Arial" w:hAnsi="Arial" w:cs="Arial"/>
          <w:i/>
          <w:iCs/>
        </w:rPr>
        <w:t>et al</w:t>
      </w:r>
      <w:r w:rsidRPr="00B23D7F">
        <w:rPr>
          <w:rFonts w:ascii="Arial" w:hAnsi="Arial" w:cs="Arial"/>
        </w:rPr>
        <w:t>, 2017; Wood, 2020). These philosophies aim to improve teaching and learning in the early years and seek to encourage divergent thinking through practical and experiential learning (</w:t>
      </w:r>
      <w:proofErr w:type="spellStart"/>
      <w:r w:rsidRPr="00B23D7F">
        <w:rPr>
          <w:rFonts w:ascii="Arial" w:hAnsi="Arial" w:cs="Arial"/>
        </w:rPr>
        <w:t>Malawat</w:t>
      </w:r>
      <w:proofErr w:type="spellEnd"/>
      <w:r w:rsidRPr="00B23D7F">
        <w:rPr>
          <w:rFonts w:ascii="Arial" w:hAnsi="Arial" w:cs="Arial"/>
        </w:rPr>
        <w:t xml:space="preserve"> and Singh, 2024). This theory is widely accepted in early years frameworks across Wales, England, New Zealand, and Scandinavian countries, however, there is debate surrounding how best to assess and monitor children’s progress within this philosophy and without undermining individuality or personal identity (Burman, 2017; Bradbury and Roberts-Holmes, 2018; Nieminen, 2024). This essay critically examines two forms of assessment within early years frameworks: the Foundation Phase Profile (FPP) and observational methods. It further explores these assessment techniques within play-based curricula, considering how these approaches </w:t>
      </w:r>
      <w:r w:rsidR="00481F3C">
        <w:rPr>
          <w:rFonts w:ascii="Arial" w:hAnsi="Arial" w:cs="Arial"/>
        </w:rPr>
        <w:t xml:space="preserve">show regard for </w:t>
      </w:r>
      <w:r w:rsidRPr="00B23D7F">
        <w:rPr>
          <w:rFonts w:ascii="Arial" w:hAnsi="Arial" w:cs="Arial"/>
        </w:rPr>
        <w:t>the 'unique child'.</w:t>
      </w:r>
    </w:p>
    <w:p w14:paraId="48DB56C2" w14:textId="1CD309AC" w:rsidR="00A56CB7" w:rsidRPr="00B23D7F" w:rsidRDefault="00A56CB7" w:rsidP="00A56CB7">
      <w:pPr>
        <w:rPr>
          <w:rFonts w:ascii="Arial" w:hAnsi="Arial" w:cs="Arial"/>
        </w:rPr>
      </w:pPr>
      <w:r w:rsidRPr="00B23D7F">
        <w:rPr>
          <w:rFonts w:ascii="Arial" w:hAnsi="Arial" w:cs="Arial"/>
        </w:rPr>
        <w:t>The perception of each child as a capable and active learner is rooted in socio-cultural theories, which emphasise the role of social interactions and cultural context in shaping development (Wood, 2020; Daniels, 2017). This view is supported by rights-based frameworks like the UN Convention on the Rights of the Child (UNCRC), which advocates for children's participation, identity, and autonomy in educational decision-making (UNICEF, 2016). The Curriculum for Wales outlines the importance of nurturing every child as a healthy, confident individual, draw</w:t>
      </w:r>
      <w:r w:rsidR="001B3599">
        <w:rPr>
          <w:rFonts w:ascii="Arial" w:hAnsi="Arial" w:cs="Arial"/>
        </w:rPr>
        <w:t>ing</w:t>
      </w:r>
      <w:r w:rsidRPr="00B23D7F">
        <w:rPr>
          <w:rFonts w:ascii="Arial" w:hAnsi="Arial" w:cs="Arial"/>
        </w:rPr>
        <w:t xml:space="preserve"> attention to the need for assessment practices that are responsive and avoid standardization (Welsh Government, 2020b). Consequently, assessments processes should provide tools for understanding rather than measuring</w:t>
      </w:r>
      <w:r w:rsidR="00DA7689">
        <w:rPr>
          <w:rFonts w:ascii="Arial" w:hAnsi="Arial" w:cs="Arial"/>
        </w:rPr>
        <w:t xml:space="preserve">, </w:t>
      </w:r>
      <w:r w:rsidRPr="00B23D7F">
        <w:rPr>
          <w:rFonts w:ascii="Arial" w:hAnsi="Arial" w:cs="Arial"/>
        </w:rPr>
        <w:t>enabl</w:t>
      </w:r>
      <w:r w:rsidR="00DA7689">
        <w:rPr>
          <w:rFonts w:ascii="Arial" w:hAnsi="Arial" w:cs="Arial"/>
        </w:rPr>
        <w:t>ing</w:t>
      </w:r>
      <w:r w:rsidRPr="00B23D7F">
        <w:rPr>
          <w:rFonts w:ascii="Arial" w:hAnsi="Arial" w:cs="Arial"/>
        </w:rPr>
        <w:t xml:space="preserve"> educators to tailor their teaching methods to meet the individual needs of each child (N</w:t>
      </w:r>
      <w:r w:rsidR="00232881">
        <w:rPr>
          <w:rFonts w:ascii="Arial" w:hAnsi="Arial" w:cs="Arial"/>
        </w:rPr>
        <w:t>ational Association</w:t>
      </w:r>
      <w:r w:rsidR="002C46B7">
        <w:rPr>
          <w:rFonts w:ascii="Arial" w:hAnsi="Arial" w:cs="Arial"/>
        </w:rPr>
        <w:t xml:space="preserve"> for the Education of Young Children (NAEYC)</w:t>
      </w:r>
      <w:r w:rsidRPr="00B23D7F">
        <w:rPr>
          <w:rFonts w:ascii="Arial" w:hAnsi="Arial" w:cs="Arial"/>
        </w:rPr>
        <w:t xml:space="preserve">, 2018). </w:t>
      </w:r>
    </w:p>
    <w:p w14:paraId="219C3E06" w14:textId="743AE7EB" w:rsidR="00A56CB7" w:rsidRPr="00B23D7F" w:rsidRDefault="00A56CB7" w:rsidP="00A56CB7">
      <w:pPr>
        <w:rPr>
          <w:rFonts w:ascii="Arial" w:hAnsi="Arial" w:cs="Arial"/>
        </w:rPr>
      </w:pPr>
      <w:r w:rsidRPr="00B23D7F">
        <w:rPr>
          <w:rFonts w:ascii="Arial" w:hAnsi="Arial" w:cs="Arial"/>
        </w:rPr>
        <w:t>Observations are integral to the pedagogy of the Curriculum for Funded Non-Maintained Nursery Settings (</w:t>
      </w:r>
      <w:r w:rsidR="00D05276">
        <w:rPr>
          <w:rFonts w:ascii="Arial" w:hAnsi="Arial" w:cs="Arial"/>
        </w:rPr>
        <w:t xml:space="preserve">Welsh Government, </w:t>
      </w:r>
      <w:r w:rsidRPr="00B23D7F">
        <w:rPr>
          <w:rFonts w:ascii="Arial" w:hAnsi="Arial" w:cs="Arial"/>
        </w:rPr>
        <w:t>2022</w:t>
      </w:r>
      <w:r w:rsidR="001577B4">
        <w:rPr>
          <w:rFonts w:ascii="Arial" w:hAnsi="Arial" w:cs="Arial"/>
        </w:rPr>
        <w:t>g</w:t>
      </w:r>
      <w:r w:rsidRPr="00B23D7F">
        <w:rPr>
          <w:rFonts w:ascii="Arial" w:hAnsi="Arial" w:cs="Arial"/>
        </w:rPr>
        <w:t>). Practitioners are encouraged to continuously observe children in play-based contexts to gain insights into their interests, needs, and development (Welsh Government, 2022b). This method aligns with the principle of recognizing each child's uniqueness, as it emphasizes real-time, child-initiated learning and relies on professional judgment rather than numerical scoring systems. According to Jones and Lewis (2020), observational assessment offers flexibility and accommodates diverse learners, including those from minority ethnic backgrounds, multilingual, and neurodiverse children. Peterson and Elam (2020) support this view, adding that observations can capture rich qualitative data such as emotional expression, social interaction, or symbolic play, which standardized tools may overlook. This enables practitioners and teachers to make more informed decisions, become more accountable and ultimately enhance the quality of education and care provided for children. By and large, the observational approach to assessments is recognized as not only pedagogically sound, but is also supported by key legislation, including the UNCRC</w:t>
      </w:r>
      <w:r w:rsidR="005D29CD">
        <w:rPr>
          <w:rFonts w:ascii="Arial" w:hAnsi="Arial" w:cs="Arial"/>
        </w:rPr>
        <w:t xml:space="preserve"> (</w:t>
      </w:r>
      <w:proofErr w:type="spellStart"/>
      <w:r w:rsidR="005D29CD">
        <w:rPr>
          <w:rFonts w:ascii="Arial" w:hAnsi="Arial" w:cs="Arial"/>
        </w:rPr>
        <w:t>Unicef</w:t>
      </w:r>
      <w:proofErr w:type="spellEnd"/>
      <w:r w:rsidR="005D29CD">
        <w:rPr>
          <w:rFonts w:ascii="Arial" w:hAnsi="Arial" w:cs="Arial"/>
        </w:rPr>
        <w:t>, 2016)</w:t>
      </w:r>
      <w:r w:rsidRPr="00B23D7F">
        <w:rPr>
          <w:rFonts w:ascii="Arial" w:hAnsi="Arial" w:cs="Arial"/>
        </w:rPr>
        <w:t xml:space="preserve">, the </w:t>
      </w:r>
      <w:r w:rsidRPr="00A52FF7">
        <w:rPr>
          <w:rFonts w:ascii="Arial" w:hAnsi="Arial" w:cs="Arial"/>
        </w:rPr>
        <w:t>Additional Learning Needs and Education Tribunal (Wales) Act 2018 and the Equality Act 2010,</w:t>
      </w:r>
      <w:r w:rsidRPr="00B23D7F">
        <w:rPr>
          <w:rFonts w:ascii="Arial" w:hAnsi="Arial" w:cs="Arial"/>
        </w:rPr>
        <w:t xml:space="preserve"> which advocate for inclusive, person-centred practice that recognises and responds to each child’s unique development and needs.</w:t>
      </w:r>
    </w:p>
    <w:p w14:paraId="02043517" w14:textId="0E30C76F" w:rsidR="00A56CB7" w:rsidRPr="00B23D7F" w:rsidRDefault="00C81E7F" w:rsidP="00A56CB7">
      <w:pPr>
        <w:rPr>
          <w:rFonts w:ascii="Arial" w:hAnsi="Arial" w:cs="Arial"/>
          <w:lang w:val="en-US"/>
        </w:rPr>
      </w:pPr>
      <w:r>
        <w:rPr>
          <w:rFonts w:ascii="Arial" w:hAnsi="Arial" w:cs="Arial"/>
          <w:lang w:val="en-US"/>
        </w:rPr>
        <w:t>Alternatively, t</w:t>
      </w:r>
      <w:r w:rsidR="00A56CB7" w:rsidRPr="00B23D7F">
        <w:rPr>
          <w:rFonts w:ascii="Arial" w:hAnsi="Arial" w:cs="Arial"/>
          <w:lang w:val="en-US"/>
        </w:rPr>
        <w:t xml:space="preserve">he Foundation Phase </w:t>
      </w:r>
      <w:r w:rsidR="00FD40A5">
        <w:rPr>
          <w:rFonts w:ascii="Arial" w:hAnsi="Arial" w:cs="Arial"/>
          <w:lang w:val="en-US"/>
        </w:rPr>
        <w:t>P</w:t>
      </w:r>
      <w:r w:rsidR="00A56CB7" w:rsidRPr="00B23D7F">
        <w:rPr>
          <w:rFonts w:ascii="Arial" w:hAnsi="Arial" w:cs="Arial"/>
          <w:lang w:val="en-US"/>
        </w:rPr>
        <w:t>rofile offers a different approach to assessment, referring to the evaluation of a child’s developmental status upon entry to formal education</w:t>
      </w:r>
      <w:r w:rsidR="006611B2">
        <w:rPr>
          <w:rFonts w:ascii="Arial" w:hAnsi="Arial" w:cs="Arial"/>
          <w:lang w:val="en-US"/>
        </w:rPr>
        <w:t xml:space="preserve"> (Welsh Government, 2018</w:t>
      </w:r>
      <w:r w:rsidR="00B61270">
        <w:rPr>
          <w:rFonts w:ascii="Arial" w:hAnsi="Arial" w:cs="Arial"/>
          <w:lang w:val="en-US"/>
        </w:rPr>
        <w:t>)</w:t>
      </w:r>
      <w:r w:rsidR="00A56CB7" w:rsidRPr="00B23D7F">
        <w:rPr>
          <w:rFonts w:ascii="Arial" w:hAnsi="Arial" w:cs="Arial"/>
          <w:lang w:val="en-US"/>
        </w:rPr>
        <w:t>. In Wales, the Foundation Phase Profile (FPP) functioned as the main baseline tool, assessing domains such as personal development, literacy, communication, and numeracy (Welsh Government, 2015</w:t>
      </w:r>
      <w:r w:rsidR="00E97291" w:rsidRPr="00B23D7F">
        <w:rPr>
          <w:rFonts w:ascii="Arial" w:hAnsi="Arial" w:cs="Arial"/>
          <w:lang w:val="en-US"/>
        </w:rPr>
        <w:t>a</w:t>
      </w:r>
      <w:r w:rsidR="00A56CB7" w:rsidRPr="00B23D7F">
        <w:rPr>
          <w:rFonts w:ascii="Arial" w:hAnsi="Arial" w:cs="Arial"/>
          <w:lang w:val="en-US"/>
        </w:rPr>
        <w:t xml:space="preserve">). Harlen (2016) argues that baseline assessments can be significant, providing a useful starting point for identifying children who may need additional support, particularly in relation to early speech and </w:t>
      </w:r>
      <w:r w:rsidR="00A56CB7" w:rsidRPr="00B23D7F">
        <w:rPr>
          <w:rFonts w:ascii="Arial" w:hAnsi="Arial" w:cs="Arial"/>
          <w:lang w:val="en-US"/>
        </w:rPr>
        <w:lastRenderedPageBreak/>
        <w:t>language needs or developmental delays. However, with the shift toward the new curriculum in Wales, the FPP has been largely phased out and early assessment now relies more heavily on teacher judgement and continuous observation (Welsh Government, 2022b). Consequently, this relies very heavily upon the experience and capabilities of the teacher. It is recognized by Newton (</w:t>
      </w:r>
      <w:proofErr w:type="spellStart"/>
      <w:r w:rsidR="00A56CB7" w:rsidRPr="00B23D7F">
        <w:rPr>
          <w:rFonts w:ascii="Arial" w:hAnsi="Arial" w:cs="Arial"/>
          <w:lang w:val="en-US"/>
        </w:rPr>
        <w:t>n.d</w:t>
      </w:r>
      <w:proofErr w:type="spellEnd"/>
      <w:r w:rsidR="00A56CB7" w:rsidRPr="00B23D7F">
        <w:rPr>
          <w:rFonts w:ascii="Arial" w:hAnsi="Arial" w:cs="Arial"/>
          <w:lang w:val="en-US"/>
        </w:rPr>
        <w:t xml:space="preserve">) that less experienced teachers require more depth and description within curricula guidance to confidently deliver it to learners. </w:t>
      </w:r>
    </w:p>
    <w:p w14:paraId="76755CB7" w14:textId="5FD50AB3" w:rsidR="00A56CB7" w:rsidRPr="00B23D7F" w:rsidRDefault="00A56CB7" w:rsidP="00A56CB7">
      <w:pPr>
        <w:rPr>
          <w:rFonts w:ascii="Arial" w:hAnsi="Arial" w:cs="Arial"/>
          <w:lang w:val="en-US"/>
        </w:rPr>
      </w:pPr>
      <w:r w:rsidRPr="00B23D7F">
        <w:rPr>
          <w:rFonts w:ascii="Arial" w:hAnsi="Arial" w:cs="Arial"/>
          <w:lang w:val="en-US"/>
        </w:rPr>
        <w:t xml:space="preserve">The shift away from rigid baselining reflects a more rights-respecting and holistic philosophy. Research by </w:t>
      </w:r>
      <w:proofErr w:type="spellStart"/>
      <w:r w:rsidRPr="00B23D7F">
        <w:rPr>
          <w:rFonts w:ascii="Arial" w:hAnsi="Arial" w:cs="Arial"/>
          <w:lang w:val="en-US"/>
        </w:rPr>
        <w:t>Kucirkova</w:t>
      </w:r>
      <w:proofErr w:type="spellEnd"/>
      <w:r w:rsidRPr="00B23D7F">
        <w:rPr>
          <w:rFonts w:ascii="Arial" w:hAnsi="Arial" w:cs="Arial"/>
          <w:lang w:val="en-US"/>
        </w:rPr>
        <w:t xml:space="preserve"> and Littleton (2017) supports this direction, arguing that baseline assessments can undermine child-</w:t>
      </w:r>
      <w:r w:rsidR="00A95F4B" w:rsidRPr="00B23D7F">
        <w:rPr>
          <w:rFonts w:ascii="Arial" w:hAnsi="Arial" w:cs="Arial"/>
          <w:lang w:val="en-US"/>
        </w:rPr>
        <w:t>centered</w:t>
      </w:r>
      <w:r w:rsidRPr="00B23D7F">
        <w:rPr>
          <w:rFonts w:ascii="Arial" w:hAnsi="Arial" w:cs="Arial"/>
          <w:lang w:val="en-US"/>
        </w:rPr>
        <w:t xml:space="preserve"> pedagogy by encouraging early labelling and </w:t>
      </w:r>
      <w:r w:rsidR="00A95F4B" w:rsidRPr="00B23D7F">
        <w:rPr>
          <w:rFonts w:ascii="Arial" w:hAnsi="Arial" w:cs="Arial"/>
          <w:lang w:val="en-US"/>
        </w:rPr>
        <w:t>standardized</w:t>
      </w:r>
      <w:r w:rsidRPr="00B23D7F">
        <w:rPr>
          <w:rFonts w:ascii="Arial" w:hAnsi="Arial" w:cs="Arial"/>
          <w:lang w:val="en-US"/>
        </w:rPr>
        <w:t xml:space="preserve"> expectations. Bradbury (2012) shares this view, stating that a rigid definition of what ‘success’ is, can promote </w:t>
      </w:r>
      <w:r w:rsidR="00DB46F8" w:rsidRPr="00B23D7F">
        <w:rPr>
          <w:rFonts w:ascii="Arial" w:hAnsi="Arial" w:cs="Arial"/>
          <w:lang w:val="en-US"/>
        </w:rPr>
        <w:t>disadvantages</w:t>
      </w:r>
      <w:r w:rsidRPr="00B23D7F">
        <w:rPr>
          <w:rFonts w:ascii="Arial" w:hAnsi="Arial" w:cs="Arial"/>
          <w:lang w:val="en-US"/>
        </w:rPr>
        <w:t xml:space="preserve"> amongst children, lowering self-esteem and setting them on a path of educational failure. Furthermore, O’Connor and Angus (2021) </w:t>
      </w:r>
      <w:r w:rsidR="009823B0">
        <w:rPr>
          <w:rFonts w:ascii="Arial" w:hAnsi="Arial" w:cs="Arial"/>
          <w:lang w:val="en-US"/>
        </w:rPr>
        <w:t xml:space="preserve">identifies </w:t>
      </w:r>
      <w:r w:rsidRPr="00B23D7F">
        <w:rPr>
          <w:rFonts w:ascii="Arial" w:hAnsi="Arial" w:cs="Arial"/>
          <w:lang w:val="en-US"/>
        </w:rPr>
        <w:t xml:space="preserve">that baseline data may not accurately reflect </w:t>
      </w:r>
      <w:r w:rsidR="005B1275">
        <w:rPr>
          <w:rFonts w:ascii="Arial" w:hAnsi="Arial" w:cs="Arial"/>
          <w:lang w:val="en-US"/>
        </w:rPr>
        <w:t>a child’s</w:t>
      </w:r>
      <w:r w:rsidRPr="00B23D7F">
        <w:rPr>
          <w:rFonts w:ascii="Arial" w:hAnsi="Arial" w:cs="Arial"/>
          <w:lang w:val="en-US"/>
        </w:rPr>
        <w:t xml:space="preserve"> capabilities, offering only a small snapshot of what </w:t>
      </w:r>
      <w:r w:rsidR="005D00B7">
        <w:rPr>
          <w:rFonts w:ascii="Arial" w:hAnsi="Arial" w:cs="Arial"/>
          <w:lang w:val="en-US"/>
        </w:rPr>
        <w:t>they</w:t>
      </w:r>
      <w:r w:rsidRPr="00B23D7F">
        <w:rPr>
          <w:rFonts w:ascii="Arial" w:hAnsi="Arial" w:cs="Arial"/>
          <w:lang w:val="en-US"/>
        </w:rPr>
        <w:t xml:space="preserve"> can do. </w:t>
      </w:r>
      <w:r w:rsidR="005D00B7" w:rsidRPr="00B23D7F">
        <w:rPr>
          <w:rFonts w:ascii="Arial" w:hAnsi="Arial" w:cs="Arial"/>
          <w:lang w:val="en-US"/>
        </w:rPr>
        <w:t>The Welsh</w:t>
      </w:r>
      <w:r w:rsidRPr="00B23D7F">
        <w:rPr>
          <w:rFonts w:ascii="Arial" w:hAnsi="Arial" w:cs="Arial"/>
          <w:lang w:val="en-US"/>
        </w:rPr>
        <w:t xml:space="preserve"> Government (2020b) supports this view, highlighting that assessments should not be used to make a one</w:t>
      </w:r>
      <w:r w:rsidR="005B6DC8">
        <w:rPr>
          <w:rFonts w:ascii="Arial" w:hAnsi="Arial" w:cs="Arial"/>
          <w:lang w:val="en-US"/>
        </w:rPr>
        <w:t>-</w:t>
      </w:r>
      <w:r w:rsidRPr="00B23D7F">
        <w:rPr>
          <w:rFonts w:ascii="Arial" w:hAnsi="Arial" w:cs="Arial"/>
          <w:lang w:val="en-US"/>
        </w:rPr>
        <w:t xml:space="preserve">off judgement, </w:t>
      </w:r>
      <w:r w:rsidR="00E95FB4">
        <w:rPr>
          <w:rFonts w:ascii="Arial" w:hAnsi="Arial" w:cs="Arial"/>
          <w:lang w:val="en-US"/>
        </w:rPr>
        <w:t>ultimately</w:t>
      </w:r>
      <w:r w:rsidR="005B6DC8">
        <w:rPr>
          <w:rFonts w:ascii="Arial" w:hAnsi="Arial" w:cs="Arial"/>
          <w:lang w:val="en-US"/>
        </w:rPr>
        <w:t xml:space="preserve"> </w:t>
      </w:r>
      <w:r w:rsidRPr="00B23D7F">
        <w:rPr>
          <w:rFonts w:ascii="Arial" w:hAnsi="Arial" w:cs="Arial"/>
          <w:lang w:val="en-US"/>
        </w:rPr>
        <w:t xml:space="preserve">measuring a child’s development against the criteria that ‘best </w:t>
      </w:r>
      <w:proofErr w:type="gramStart"/>
      <w:r w:rsidRPr="00B23D7F">
        <w:rPr>
          <w:rFonts w:ascii="Arial" w:hAnsi="Arial" w:cs="Arial"/>
          <w:lang w:val="en-US"/>
        </w:rPr>
        <w:t>fits’</w:t>
      </w:r>
      <w:proofErr w:type="gramEnd"/>
      <w:r w:rsidRPr="00B23D7F">
        <w:rPr>
          <w:rFonts w:ascii="Arial" w:hAnsi="Arial" w:cs="Arial"/>
          <w:lang w:val="en-US"/>
        </w:rPr>
        <w:t>. By and large, it is considered that information gathered using baseline tools can help identify children who may be struggling and require further support in certain areas of their learning and development and can also inform future planning</w:t>
      </w:r>
      <w:r w:rsidR="008119DF">
        <w:rPr>
          <w:rFonts w:ascii="Arial" w:hAnsi="Arial" w:cs="Arial"/>
          <w:lang w:val="en-US"/>
        </w:rPr>
        <w:t xml:space="preserve"> (Harlen,</w:t>
      </w:r>
      <w:r w:rsidR="00754B9E">
        <w:rPr>
          <w:rFonts w:ascii="Arial" w:hAnsi="Arial" w:cs="Arial"/>
          <w:lang w:val="en-US"/>
        </w:rPr>
        <w:t>2016)</w:t>
      </w:r>
      <w:r w:rsidRPr="00B23D7F">
        <w:rPr>
          <w:rFonts w:ascii="Arial" w:hAnsi="Arial" w:cs="Arial"/>
          <w:lang w:val="en-US"/>
        </w:rPr>
        <w:t>. However, it</w:t>
      </w:r>
      <w:r w:rsidRPr="00B23D7F">
        <w:rPr>
          <w:rFonts w:ascii="Arial" w:hAnsi="Arial" w:cs="Arial"/>
        </w:rPr>
        <w:t xml:space="preserve"> is essential that such data is interpreted alongside professional judgment and contextual knowledge to gather a more holistic understanding of each child’s needs and developmental journey</w:t>
      </w:r>
      <w:r w:rsidR="00754B9E">
        <w:rPr>
          <w:rFonts w:ascii="Arial" w:hAnsi="Arial" w:cs="Arial"/>
        </w:rPr>
        <w:t xml:space="preserve"> (Welsh Government, 2020b)</w:t>
      </w:r>
      <w:r w:rsidRPr="00B23D7F">
        <w:rPr>
          <w:rFonts w:ascii="Arial" w:hAnsi="Arial" w:cs="Arial"/>
        </w:rPr>
        <w:t>.</w:t>
      </w:r>
      <w:r w:rsidRPr="00B23D7F">
        <w:rPr>
          <w:rFonts w:ascii="Arial" w:hAnsi="Arial" w:cs="Arial"/>
          <w:lang w:val="en-US"/>
        </w:rPr>
        <w:t xml:space="preserve">  Therefore, professional development, time, resources and opportunities for teacher-led research is required to deliver a child-centered pedagogy that is effective for all learners (Baker and Ryan, 2021).    </w:t>
      </w:r>
    </w:p>
    <w:p w14:paraId="0F72BC84" w14:textId="28F20271" w:rsidR="00A56CB7" w:rsidRPr="00B23D7F" w:rsidRDefault="00A56CB7" w:rsidP="00A56CB7">
      <w:pPr>
        <w:rPr>
          <w:rFonts w:ascii="Arial" w:hAnsi="Arial" w:cs="Arial"/>
        </w:rPr>
      </w:pPr>
      <w:r w:rsidRPr="00B23D7F">
        <w:rPr>
          <w:rFonts w:ascii="Arial" w:hAnsi="Arial" w:cs="Arial"/>
        </w:rPr>
        <w:t xml:space="preserve">Observational tools and the Foundation Phase Profile are two widely used approaches to assessment in Wales, however, they differ significantly in their ability to reflect an individualized understanding of a child’s developmental journey. Observation tools, such as learning stories, anecdotal records, and child-initiated learning journals, enable practitioners to assess learning through everyday experiences. These tools capture children's interests, emotional responses, and social interactions within authentic contexts. (Carr and Lee, 2012). Observations also allow for the inclusion of the child's voice and family input, supporting holistic assessment that adapts to the child’s unique learning pathway (Welsh Government, 2022b). This approach aligns well with New Zealand’s </w:t>
      </w:r>
      <w:proofErr w:type="spellStart"/>
      <w:r w:rsidRPr="00B23D7F">
        <w:rPr>
          <w:rFonts w:ascii="Arial" w:hAnsi="Arial" w:cs="Arial"/>
        </w:rPr>
        <w:t>Te</w:t>
      </w:r>
      <w:proofErr w:type="spellEnd"/>
      <w:r w:rsidRPr="00B23D7F">
        <w:rPr>
          <w:rFonts w:ascii="Arial" w:hAnsi="Arial" w:cs="Arial"/>
        </w:rPr>
        <w:t xml:space="preserve"> </w:t>
      </w:r>
      <w:proofErr w:type="spellStart"/>
      <w:r w:rsidRPr="00B23D7F">
        <w:rPr>
          <w:rFonts w:ascii="Arial" w:hAnsi="Arial" w:cs="Arial"/>
        </w:rPr>
        <w:t>Whāriki</w:t>
      </w:r>
      <w:proofErr w:type="spellEnd"/>
      <w:r w:rsidRPr="00B23D7F">
        <w:rPr>
          <w:rFonts w:ascii="Arial" w:hAnsi="Arial" w:cs="Arial"/>
        </w:rPr>
        <w:t xml:space="preserve"> curriculum, which similarly values child-led, culturally responsive assessment. The use of ‘Learning Stories’ within the </w:t>
      </w:r>
      <w:proofErr w:type="spellStart"/>
      <w:r w:rsidRPr="00B23D7F">
        <w:rPr>
          <w:rFonts w:ascii="Arial" w:hAnsi="Arial" w:cs="Arial"/>
        </w:rPr>
        <w:t>Te</w:t>
      </w:r>
      <w:proofErr w:type="spellEnd"/>
      <w:r w:rsidRPr="00B23D7F">
        <w:rPr>
          <w:rFonts w:ascii="Arial" w:hAnsi="Arial" w:cs="Arial"/>
        </w:rPr>
        <w:t xml:space="preserve"> </w:t>
      </w:r>
      <w:proofErr w:type="spellStart"/>
      <w:r w:rsidRPr="00B23D7F">
        <w:rPr>
          <w:rFonts w:ascii="Arial" w:hAnsi="Arial" w:cs="Arial"/>
        </w:rPr>
        <w:t>Whāriki</w:t>
      </w:r>
      <w:proofErr w:type="spellEnd"/>
      <w:r w:rsidRPr="00B23D7F">
        <w:rPr>
          <w:rFonts w:ascii="Arial" w:hAnsi="Arial" w:cs="Arial"/>
        </w:rPr>
        <w:t xml:space="preserve"> curriculum allows practitioners to document children’s learning in context, focusing on dispositions, identity, and relationships (Carr and Lee, 2012). This narrative-based method provides a personalized, inclusive view of development and emphasizes the partnership between educators and families. </w:t>
      </w:r>
    </w:p>
    <w:p w14:paraId="3FB6CAE0" w14:textId="206A0DBB" w:rsidR="00A56CB7" w:rsidRPr="00B23D7F" w:rsidRDefault="00A56CB7" w:rsidP="00A56CB7">
      <w:pPr>
        <w:rPr>
          <w:rFonts w:ascii="Arial" w:hAnsi="Arial" w:cs="Arial"/>
        </w:rPr>
      </w:pPr>
      <w:r w:rsidRPr="00B23D7F">
        <w:rPr>
          <w:rFonts w:ascii="Arial" w:hAnsi="Arial" w:cs="Arial"/>
        </w:rPr>
        <w:t xml:space="preserve">In contrast, the Foundation Phase Profile is based on expected developmental outcomes across several areas of learning. While this provides a consistent national framework, it is comparatively rigid and risks promoting a standardized view of development. Bradbury and Roberts-Holmes (2018) states that the fixed nature of its descriptors may lead to a ‘tick-box’ approach, which fails to capture the richness and variability of individual learning journeys. This can create pressure on both practitioners and children to meet specific milestones, potentially affecting confidence and personal identity (Burman, 2017). However, in a study carried out by </w:t>
      </w:r>
      <w:proofErr w:type="spellStart"/>
      <w:r w:rsidRPr="00B23D7F">
        <w:rPr>
          <w:rFonts w:ascii="Arial" w:hAnsi="Arial" w:cs="Arial"/>
        </w:rPr>
        <w:t>Syzykbayeva</w:t>
      </w:r>
      <w:proofErr w:type="spellEnd"/>
      <w:r w:rsidRPr="00B23D7F">
        <w:rPr>
          <w:rFonts w:ascii="Arial" w:hAnsi="Arial" w:cs="Arial"/>
        </w:rPr>
        <w:t xml:space="preserve"> </w:t>
      </w:r>
      <w:r w:rsidRPr="00B23D7F">
        <w:rPr>
          <w:rFonts w:ascii="Arial" w:hAnsi="Arial" w:cs="Arial"/>
          <w:i/>
          <w:iCs/>
        </w:rPr>
        <w:t>et al</w:t>
      </w:r>
      <w:r w:rsidRPr="00B23D7F">
        <w:rPr>
          <w:rFonts w:ascii="Arial" w:hAnsi="Arial" w:cs="Arial"/>
        </w:rPr>
        <w:t xml:space="preserve"> (2021) it is suggested that structured assessment frameworks can positively impact self-perception and confidence in young learners. It is their view that formative assessments can improve the children’s understanding of planned learning outcomes and encourage students to become self-directed learners. Medina </w:t>
      </w:r>
      <w:r w:rsidRPr="007873FE">
        <w:rPr>
          <w:rFonts w:ascii="Arial" w:hAnsi="Arial" w:cs="Arial"/>
          <w:i/>
          <w:iCs/>
        </w:rPr>
        <w:t>et al</w:t>
      </w:r>
      <w:r w:rsidRPr="00B23D7F">
        <w:rPr>
          <w:rFonts w:ascii="Arial" w:hAnsi="Arial" w:cs="Arial"/>
        </w:rPr>
        <w:t xml:space="preserve"> </w:t>
      </w:r>
      <w:r w:rsidRPr="00B23D7F">
        <w:rPr>
          <w:rFonts w:ascii="Arial" w:hAnsi="Arial" w:cs="Arial"/>
        </w:rPr>
        <w:lastRenderedPageBreak/>
        <w:t xml:space="preserve">(2019) </w:t>
      </w:r>
      <w:r w:rsidR="00540D75" w:rsidRPr="00B23D7F">
        <w:rPr>
          <w:rFonts w:ascii="Arial" w:hAnsi="Arial" w:cs="Arial"/>
        </w:rPr>
        <w:t>agrees</w:t>
      </w:r>
      <w:r w:rsidR="00540D75">
        <w:rPr>
          <w:rFonts w:ascii="Arial" w:hAnsi="Arial" w:cs="Arial"/>
        </w:rPr>
        <w:t xml:space="preserve"> but</w:t>
      </w:r>
      <w:r w:rsidRPr="00B23D7F">
        <w:rPr>
          <w:rFonts w:ascii="Arial" w:hAnsi="Arial" w:cs="Arial"/>
        </w:rPr>
        <w:t xml:space="preserve"> argues that using standardized exams alone can lead to inefficiencies within the education system, limiting progress rather than fostering meaningful improvements. Consequently, a combination of qualitative and quantitative assessment methods is recommended to address educational gaps and enhance overall quality. </w:t>
      </w:r>
    </w:p>
    <w:p w14:paraId="6291D2AF" w14:textId="68C3A87F" w:rsidR="00A56CB7" w:rsidRPr="00B23D7F" w:rsidRDefault="00A56CB7" w:rsidP="00A56CB7">
      <w:pPr>
        <w:rPr>
          <w:rFonts w:ascii="Arial" w:hAnsi="Arial" w:cs="Arial"/>
        </w:rPr>
      </w:pPr>
      <w:r w:rsidRPr="00B23D7F">
        <w:rPr>
          <w:rFonts w:ascii="Arial" w:hAnsi="Arial" w:cs="Arial"/>
        </w:rPr>
        <w:t>Previous literature suggests that an integral part to assessing learners’ development is the professional relationships between parents and practitioners (Welsh Government, 202</w:t>
      </w:r>
      <w:r w:rsidR="007D3ECD">
        <w:rPr>
          <w:rFonts w:ascii="Arial" w:hAnsi="Arial" w:cs="Arial"/>
        </w:rPr>
        <w:t>2</w:t>
      </w:r>
      <w:r w:rsidRPr="00B23D7F">
        <w:rPr>
          <w:rFonts w:ascii="Arial" w:hAnsi="Arial" w:cs="Arial"/>
        </w:rPr>
        <w:t xml:space="preserve">b; Navarette, 2015). This collaboration ensures that assessment practices reflect not just what is observed in the classroom but also what occurs in the home and community environment (Department for Education, 2021). Bertram and Pascal (2016) shares this view but elaborates further by saying that through sharing observations and experiences, parents can contribute to a richer, more comprehensive picture of the child’s development. This shared knowledge enables teachers to tailor learning experiences that are meaningful and responsive, supporting progress across all areas of development. Robson (2019) highlights that assessments guided by strong parent-teacher partnerships are more likely to be accurate, inclusive, and culturally sensitive. Furthermore, Whalley (2017) adds that when parents feel valued and included, they are more likely to engage in their child's learning journey, reinforcing learning outcomes at home. </w:t>
      </w:r>
      <w:r w:rsidR="00B94A58">
        <w:rPr>
          <w:rFonts w:ascii="Arial" w:hAnsi="Arial" w:cs="Arial"/>
        </w:rPr>
        <w:t>According to Robson (</w:t>
      </w:r>
      <w:r w:rsidR="00272627">
        <w:rPr>
          <w:rFonts w:ascii="Arial" w:hAnsi="Arial" w:cs="Arial"/>
        </w:rPr>
        <w:t>2019) t</w:t>
      </w:r>
      <w:r w:rsidRPr="00B23D7F">
        <w:rPr>
          <w:rFonts w:ascii="Arial" w:hAnsi="Arial" w:cs="Arial"/>
        </w:rPr>
        <w:t xml:space="preserve">his is especially important in diverse settings, where understanding family values and expectations can inform appropriate support strategies. However, it is recognised by Bond </w:t>
      </w:r>
      <w:r w:rsidRPr="00B23D7F">
        <w:rPr>
          <w:rFonts w:ascii="Arial" w:hAnsi="Arial" w:cs="Arial"/>
          <w:i/>
          <w:iCs/>
        </w:rPr>
        <w:t>et al</w:t>
      </w:r>
      <w:r w:rsidRPr="00B23D7F">
        <w:rPr>
          <w:rFonts w:ascii="Arial" w:hAnsi="Arial" w:cs="Arial"/>
        </w:rPr>
        <w:t xml:space="preserve"> (2024) that the roles of parents within the school community is often passive, </w:t>
      </w:r>
      <w:r w:rsidR="001F2D95">
        <w:rPr>
          <w:rFonts w:ascii="Arial" w:hAnsi="Arial" w:cs="Arial"/>
        </w:rPr>
        <w:t xml:space="preserve">with </w:t>
      </w:r>
      <w:r w:rsidRPr="00B23D7F">
        <w:rPr>
          <w:rFonts w:ascii="Arial" w:hAnsi="Arial" w:cs="Arial"/>
        </w:rPr>
        <w:t xml:space="preserve">their involvement usually limited to watching or listening rather than being actively engaged. Additionally, Navarrete (2015) adds that there is a need for greater collaboration between teachers, parents and children to aid assessment processes. </w:t>
      </w:r>
      <w:r w:rsidR="00702DAC">
        <w:rPr>
          <w:rFonts w:ascii="Arial" w:hAnsi="Arial" w:cs="Arial"/>
        </w:rPr>
        <w:t>By and large</w:t>
      </w:r>
      <w:r w:rsidRPr="00B23D7F">
        <w:rPr>
          <w:rFonts w:ascii="Arial" w:hAnsi="Arial" w:cs="Arial"/>
        </w:rPr>
        <w:t xml:space="preserve">, partnerships between parents and teachers are fundamental to meaningful assessment in early childhood. </w:t>
      </w:r>
      <w:r w:rsidR="00702DAC">
        <w:rPr>
          <w:rFonts w:ascii="Arial" w:hAnsi="Arial" w:cs="Arial"/>
        </w:rPr>
        <w:t>E</w:t>
      </w:r>
      <w:r w:rsidRPr="00B23D7F">
        <w:rPr>
          <w:rFonts w:ascii="Arial" w:hAnsi="Arial" w:cs="Arial"/>
        </w:rPr>
        <w:t>nabl</w:t>
      </w:r>
      <w:r w:rsidR="00702DAC">
        <w:rPr>
          <w:rFonts w:ascii="Arial" w:hAnsi="Arial" w:cs="Arial"/>
        </w:rPr>
        <w:t>ing</w:t>
      </w:r>
      <w:r w:rsidRPr="00B23D7F">
        <w:rPr>
          <w:rFonts w:ascii="Arial" w:hAnsi="Arial" w:cs="Arial"/>
        </w:rPr>
        <w:t xml:space="preserve"> assessments to be more accurate, foster</w:t>
      </w:r>
      <w:r w:rsidR="00A245B7">
        <w:rPr>
          <w:rFonts w:ascii="Arial" w:hAnsi="Arial" w:cs="Arial"/>
        </w:rPr>
        <w:t>ing</w:t>
      </w:r>
      <w:r w:rsidRPr="00B23D7F">
        <w:rPr>
          <w:rFonts w:ascii="Arial" w:hAnsi="Arial" w:cs="Arial"/>
        </w:rPr>
        <w:t xml:space="preserve"> consistent support, and promot</w:t>
      </w:r>
      <w:r w:rsidR="00A245B7">
        <w:rPr>
          <w:rFonts w:ascii="Arial" w:hAnsi="Arial" w:cs="Arial"/>
        </w:rPr>
        <w:t>ing</w:t>
      </w:r>
      <w:r w:rsidRPr="00B23D7F">
        <w:rPr>
          <w:rFonts w:ascii="Arial" w:hAnsi="Arial" w:cs="Arial"/>
        </w:rPr>
        <w:t xml:space="preserve"> a shared responsibility for children's learning and development. However, work needs to be done to create a more inclusive environment where parents are actively engaged and their contributions are valued, ensuring that assessment practices are truly reflective of a child’s holistic development.</w:t>
      </w:r>
    </w:p>
    <w:p w14:paraId="0F4C5F37" w14:textId="3108FCE2" w:rsidR="00A56CB7" w:rsidRPr="00B23D7F" w:rsidRDefault="00A56CB7" w:rsidP="00A56CB7">
      <w:pPr>
        <w:rPr>
          <w:rFonts w:ascii="Arial" w:hAnsi="Arial" w:cs="Arial"/>
        </w:rPr>
      </w:pPr>
      <w:r w:rsidRPr="00B23D7F">
        <w:rPr>
          <w:rFonts w:ascii="Arial" w:hAnsi="Arial" w:cs="Arial"/>
        </w:rPr>
        <w:t>To conclude, while both approaches aim to assess progress, observation</w:t>
      </w:r>
      <w:r w:rsidR="00E46C3F">
        <w:rPr>
          <w:rFonts w:ascii="Arial" w:hAnsi="Arial" w:cs="Arial"/>
        </w:rPr>
        <w:t>al</w:t>
      </w:r>
      <w:r w:rsidRPr="00B23D7F">
        <w:rPr>
          <w:rFonts w:ascii="Arial" w:hAnsi="Arial" w:cs="Arial"/>
        </w:rPr>
        <w:t xml:space="preserve"> tools offer greater flexibility and are better aligned with the principle of the ‘unique child’. They foster meaningful, individualised assessment and allow practitioners to respond to the child’s emerging needs and strengths. The FPP, while useful for national monitoring, should be used cautiously to avoid narrowing the assessment process. </w:t>
      </w:r>
      <w:r w:rsidR="00F00341">
        <w:rPr>
          <w:rFonts w:ascii="Arial" w:hAnsi="Arial" w:cs="Arial"/>
        </w:rPr>
        <w:t>This f</w:t>
      </w:r>
      <w:r w:rsidRPr="00B23D7F">
        <w:rPr>
          <w:rFonts w:ascii="Arial" w:hAnsi="Arial" w:cs="Arial"/>
        </w:rPr>
        <w:t>ormative</w:t>
      </w:r>
      <w:r w:rsidR="00F00341">
        <w:rPr>
          <w:rFonts w:ascii="Arial" w:hAnsi="Arial" w:cs="Arial"/>
        </w:rPr>
        <w:t xml:space="preserve"> approach to</w:t>
      </w:r>
      <w:r w:rsidRPr="00B23D7F">
        <w:rPr>
          <w:rFonts w:ascii="Arial" w:hAnsi="Arial" w:cs="Arial"/>
        </w:rPr>
        <w:t xml:space="preserve"> assessment </w:t>
      </w:r>
      <w:r w:rsidR="00F00341">
        <w:rPr>
          <w:rFonts w:ascii="Arial" w:hAnsi="Arial" w:cs="Arial"/>
        </w:rPr>
        <w:t>can be</w:t>
      </w:r>
      <w:r w:rsidRPr="00B23D7F">
        <w:rPr>
          <w:rFonts w:ascii="Arial" w:hAnsi="Arial" w:cs="Arial"/>
        </w:rPr>
        <w:t xml:space="preserve"> effective when children and parents </w:t>
      </w:r>
      <w:proofErr w:type="gramStart"/>
      <w:r w:rsidRPr="00B23D7F">
        <w:rPr>
          <w:rFonts w:ascii="Arial" w:hAnsi="Arial" w:cs="Arial"/>
        </w:rPr>
        <w:t>have involvement</w:t>
      </w:r>
      <w:proofErr w:type="gramEnd"/>
      <w:r w:rsidRPr="00B23D7F">
        <w:rPr>
          <w:rFonts w:ascii="Arial" w:hAnsi="Arial" w:cs="Arial"/>
        </w:rPr>
        <w:t xml:space="preserve">, </w:t>
      </w:r>
      <w:r w:rsidR="00530D5E">
        <w:rPr>
          <w:rFonts w:ascii="Arial" w:hAnsi="Arial" w:cs="Arial"/>
        </w:rPr>
        <w:t>as this leads</w:t>
      </w:r>
      <w:r w:rsidRPr="00B23D7F">
        <w:rPr>
          <w:rFonts w:ascii="Arial" w:hAnsi="Arial" w:cs="Arial"/>
        </w:rPr>
        <w:t xml:space="preserve"> to a more accurate reflection of a child’s abilities and giv</w:t>
      </w:r>
      <w:r w:rsidR="00530D5E">
        <w:rPr>
          <w:rFonts w:ascii="Arial" w:hAnsi="Arial" w:cs="Arial"/>
        </w:rPr>
        <w:t>es</w:t>
      </w:r>
      <w:r w:rsidRPr="00B23D7F">
        <w:rPr>
          <w:rFonts w:ascii="Arial" w:hAnsi="Arial" w:cs="Arial"/>
        </w:rPr>
        <w:t xml:space="preserve"> children more autonomy.</w:t>
      </w:r>
    </w:p>
    <w:p w14:paraId="4D6D9AC1" w14:textId="7826BC3C" w:rsidR="002169A0" w:rsidRPr="00B23D7F" w:rsidRDefault="002169A0">
      <w:pPr>
        <w:rPr>
          <w:rFonts w:ascii="Arial" w:hAnsi="Arial" w:cs="Arial"/>
        </w:rPr>
      </w:pPr>
    </w:p>
    <w:p w14:paraId="2EE40593" w14:textId="77777777" w:rsidR="00236009" w:rsidRPr="00B23D7F" w:rsidRDefault="00236009">
      <w:pPr>
        <w:rPr>
          <w:rFonts w:ascii="Arial" w:hAnsi="Arial" w:cs="Arial"/>
          <w:u w:val="single"/>
        </w:rPr>
      </w:pPr>
    </w:p>
    <w:p w14:paraId="04712DC6" w14:textId="77777777" w:rsidR="00236009" w:rsidRPr="00B23D7F" w:rsidRDefault="00236009">
      <w:pPr>
        <w:rPr>
          <w:rFonts w:ascii="Arial" w:hAnsi="Arial" w:cs="Arial"/>
          <w:u w:val="single"/>
        </w:rPr>
      </w:pPr>
    </w:p>
    <w:p w14:paraId="60E148C3" w14:textId="77777777" w:rsidR="00236009" w:rsidRPr="00B23D7F" w:rsidRDefault="00236009">
      <w:pPr>
        <w:rPr>
          <w:rFonts w:ascii="Arial" w:hAnsi="Arial" w:cs="Arial"/>
          <w:u w:val="single"/>
        </w:rPr>
      </w:pPr>
    </w:p>
    <w:p w14:paraId="574C8708" w14:textId="77777777" w:rsidR="00236009" w:rsidRPr="00B23D7F" w:rsidRDefault="00236009">
      <w:pPr>
        <w:rPr>
          <w:rFonts w:ascii="Arial" w:hAnsi="Arial" w:cs="Arial"/>
          <w:u w:val="single"/>
        </w:rPr>
      </w:pPr>
    </w:p>
    <w:p w14:paraId="14474BDB" w14:textId="77777777" w:rsidR="00542F2D" w:rsidRDefault="00542F2D">
      <w:pPr>
        <w:rPr>
          <w:rFonts w:ascii="Arial" w:hAnsi="Arial" w:cs="Arial"/>
          <w:u w:val="single"/>
        </w:rPr>
      </w:pPr>
    </w:p>
    <w:p w14:paraId="42158344" w14:textId="77777777" w:rsidR="00542F2D" w:rsidRDefault="00542F2D">
      <w:pPr>
        <w:rPr>
          <w:rFonts w:ascii="Arial" w:hAnsi="Arial" w:cs="Arial"/>
          <w:u w:val="single"/>
        </w:rPr>
      </w:pPr>
    </w:p>
    <w:p w14:paraId="5F97232B" w14:textId="77777777" w:rsidR="00542F2D" w:rsidRDefault="00542F2D">
      <w:pPr>
        <w:rPr>
          <w:rFonts w:ascii="Arial" w:hAnsi="Arial" w:cs="Arial"/>
          <w:u w:val="single"/>
        </w:rPr>
      </w:pPr>
    </w:p>
    <w:p w14:paraId="281A3B16" w14:textId="4E59A18B" w:rsidR="002169A0" w:rsidRPr="00B23D7F" w:rsidRDefault="002169A0">
      <w:pPr>
        <w:rPr>
          <w:rFonts w:ascii="Arial" w:hAnsi="Arial" w:cs="Arial"/>
          <w:u w:val="single"/>
        </w:rPr>
      </w:pPr>
      <w:r w:rsidRPr="00B23D7F">
        <w:rPr>
          <w:rFonts w:ascii="Arial" w:hAnsi="Arial" w:cs="Arial"/>
          <w:u w:val="single"/>
        </w:rPr>
        <w:lastRenderedPageBreak/>
        <w:t>Section 3</w:t>
      </w:r>
    </w:p>
    <w:p w14:paraId="2DE3E75C" w14:textId="77777777" w:rsidR="00E5772A" w:rsidRPr="00E5772A" w:rsidRDefault="00E5772A" w:rsidP="00E5772A">
      <w:pPr>
        <w:rPr>
          <w:rFonts w:ascii="Comic Sans MS" w:hAnsi="Comic Sans MS" w:cs="Arial"/>
          <w:sz w:val="32"/>
          <w:szCs w:val="32"/>
        </w:rPr>
      </w:pPr>
      <w:r w:rsidRPr="00E5772A">
        <w:rPr>
          <w:rFonts w:ascii="Comic Sans MS" w:hAnsi="Comic Sans MS" w:cs="Arial"/>
          <w:sz w:val="32"/>
          <w:szCs w:val="32"/>
        </w:rPr>
        <w:t>Let Them Be Little: Why Wales Must Fully Fund Quality Early Years Provision and Delay School Start to Age 7</w:t>
      </w:r>
    </w:p>
    <w:p w14:paraId="5750123F" w14:textId="61F45F63" w:rsidR="005977C7" w:rsidRPr="005977C7" w:rsidRDefault="000F5253" w:rsidP="005977C7">
      <w:pPr>
        <w:rPr>
          <w:rFonts w:ascii="Arial" w:hAnsi="Arial" w:cs="Arial"/>
        </w:rPr>
      </w:pPr>
      <w:r w:rsidRPr="00B23D7F">
        <w:rPr>
          <w:rFonts w:ascii="Arial" w:hAnsi="Arial" w:cs="Arial"/>
          <w:noProof/>
        </w:rPr>
        <mc:AlternateContent>
          <mc:Choice Requires="wps">
            <w:drawing>
              <wp:anchor distT="0" distB="0" distL="114300" distR="114300" simplePos="0" relativeHeight="251659264" behindDoc="0" locked="0" layoutInCell="1" allowOverlap="1" wp14:anchorId="76FC3CC4" wp14:editId="33967D9C">
                <wp:simplePos x="0" y="0"/>
                <wp:positionH relativeFrom="column">
                  <wp:posOffset>-4277</wp:posOffset>
                </wp:positionH>
                <wp:positionV relativeFrom="paragraph">
                  <wp:posOffset>65262</wp:posOffset>
                </wp:positionV>
                <wp:extent cx="5605462" cy="4091085"/>
                <wp:effectExtent l="19050" t="19050" r="33655" b="43180"/>
                <wp:wrapNone/>
                <wp:docPr id="1920021064" name="Text Box 1"/>
                <wp:cNvGraphicFramePr/>
                <a:graphic xmlns:a="http://schemas.openxmlformats.org/drawingml/2006/main">
                  <a:graphicData uri="http://schemas.microsoft.com/office/word/2010/wordprocessingShape">
                    <wps:wsp>
                      <wps:cNvSpPr txBox="1"/>
                      <wps:spPr>
                        <a:xfrm>
                          <a:off x="0" y="0"/>
                          <a:ext cx="5605462" cy="4091085"/>
                        </a:xfrm>
                        <a:prstGeom prst="rect">
                          <a:avLst/>
                        </a:prstGeom>
                        <a:solidFill>
                          <a:schemeClr val="lt1"/>
                        </a:solidFill>
                        <a:ln w="57150">
                          <a:solidFill>
                            <a:schemeClr val="accent4">
                              <a:lumMod val="75000"/>
                            </a:schemeClr>
                          </a:solidFill>
                        </a:ln>
                      </wps:spPr>
                      <wps:txbx>
                        <w:txbxContent>
                          <w:p w14:paraId="6F73F7BF"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 xml:space="preserve">Imagine a four-year-old, tiny legs swinging beneath them, unable to sit still on their chair, clutching a pencil whilst sounding out phonics. Around them, the classroom is buzzing with noise, movement everywhere, children laughing, blocks crashing down and water splashing in trays. </w:t>
                            </w:r>
                          </w:p>
                          <w:p w14:paraId="4EF45BCA"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 child leans in and whispers, "Can I go play now?"</w:t>
                            </w:r>
                          </w:p>
                          <w:p w14:paraId="0F722289"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 pencil falls from their hand. The teacher tries to regain their focus, whilst trying to manage the behaviour and well-being of others in the class.</w:t>
                            </w:r>
                          </w:p>
                          <w:p w14:paraId="28A3A68E"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This child is struggling with the monotony, the expectation to sit and decode symbols when their whole body yearns to move and explore.</w:t>
                            </w:r>
                          </w:p>
                          <w:p w14:paraId="293965B0"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Now, watch what happens when we set them free.</w:t>
                            </w:r>
                          </w:p>
                          <w:p w14:paraId="19FECB16"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They bolt to the construction corner, stacking blocks sky-high before crashing them down with glee. They duck behind fabric sheets to build a den, whispering secrets to friends inside their fortress. In the garden, they carry heavy buckets of water across the garden, creating rivers and lakes in the mud. They crouch low to the earth, eyes wide in wonder as a wiggling worm is unearthed from beneath a log, “Look!” they shout, “He’s tickling me!”</w:t>
                            </w:r>
                          </w:p>
                          <w:p w14:paraId="5EC1BCAB"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 xml:space="preserve">They take turns, they negotiate, they invent, they communicate. They are not just playing, they are learning. </w:t>
                            </w:r>
                          </w:p>
                          <w:p w14:paraId="496FD65F"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Now look again, a child sat at a desk struggling to stay still, or a child with the freedom to lead their own learning and following their interests. Which one looks more like childhood, and which one offers the better learning experience?</w:t>
                            </w:r>
                          </w:p>
                          <w:p w14:paraId="2BA18A27" w14:textId="77777777" w:rsidR="000F5253" w:rsidRPr="00291B33" w:rsidRDefault="000F5253">
                            <w:pPr>
                              <w:rPr>
                                <w:color w:val="0A2F41" w:themeColor="accent1"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6FC3CC4" id="_x0000_t202" coordsize="21600,21600" o:spt="202" path="m,l,21600r21600,l21600,xe">
                <v:stroke joinstyle="miter"/>
                <v:path gradientshapeok="t" o:connecttype="rect"/>
              </v:shapetype>
              <v:shape id="Text Box 1" o:spid="_x0000_s1026" type="#_x0000_t202" style="position:absolute;margin-left:-.35pt;margin-top:5.15pt;width:441.35pt;height:322.1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" fillcolor="white [3201]" strokecolor="#0b769f [2407]" strokeweight="4.5pt">
                <v:textbox>
                  <w:txbxContent>
                    <w:p w14:paraId="6F73F7BF"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 xml:space="preserve">Imagine a four-year-old, tiny legs swinging beneath them, unable to sit still on their chair, clutching a pencil whilst sounding out phonics. Around them, the classroom is buzzing with noise, movement everywhere, children laughing, blocks crashing down and water splashing in trays. </w:t>
                      </w:r>
                    </w:p>
                    <w:p w14:paraId="4EF45BCA"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 child leans in and whispers, "Can I go play now?"</w:t>
                      </w:r>
                    </w:p>
                    <w:p w14:paraId="0F722289"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 pencil falls from their hand. The teacher tries to regain their focus, whilst trying to manage the behaviour and well-being of others in the class.</w:t>
                      </w:r>
                    </w:p>
                    <w:p w14:paraId="28A3A68E"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This child is struggling with the monotony, the expectation to sit and decode symbols when their whole body yearns to move and explore.</w:t>
                      </w:r>
                    </w:p>
                    <w:p w14:paraId="293965B0"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Now, watch what happens when we set them free.</w:t>
                      </w:r>
                    </w:p>
                    <w:p w14:paraId="19FECB16"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They bolt to the construction corner, stacking blocks sky-high before crashing them down with glee. They duck behind fabric sheets to build a den, whispering secrets to friends inside their fortress. In the garden, they carry heavy buckets of water across the garden, creating rivers and lakes in the mud. They crouch low to the earth, eyes wide in wonder as a wiggling worm is unearthed from beneath a log, “Look!” they shout, “He’s tickling me!”</w:t>
                      </w:r>
                    </w:p>
                    <w:p w14:paraId="5EC1BCAB"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 xml:space="preserve">They take turns, they negotiate, they invent, they communicate. They are not just playing, they are learning. </w:t>
                      </w:r>
                    </w:p>
                    <w:p w14:paraId="496FD65F" w14:textId="77777777" w:rsidR="000F5253" w:rsidRPr="000F5253" w:rsidRDefault="000F5253" w:rsidP="000F5253">
                      <w:pPr>
                        <w:rPr>
                          <w:color w:val="0A2F41" w:themeColor="accent1" w:themeShade="80"/>
                          <w:sz w:val="20"/>
                          <w:szCs w:val="20"/>
                        </w:rPr>
                      </w:pPr>
                      <w:r w:rsidRPr="000F5253">
                        <w:rPr>
                          <w:color w:val="0A2F41" w:themeColor="accent1" w:themeShade="80"/>
                          <w:sz w:val="20"/>
                          <w:szCs w:val="20"/>
                        </w:rPr>
                        <w:t>Now look again, a child sat at a desk struggling to stay still, or a child with the freedom to lead their own learning and following their interests. Which one looks more like childhood, and which one offers the better learning experience?</w:t>
                      </w:r>
                    </w:p>
                    <w:p w14:paraId="2BA18A27" w14:textId="77777777" w:rsidR="000F5253" w:rsidRPr="00291B33" w:rsidRDefault="000F5253">
                      <w:pPr>
                        <w:rPr>
                          <w:color w:val="0A2F41" w:themeColor="accent1" w:themeShade="80"/>
                        </w:rPr>
                      </w:pPr>
                    </w:p>
                  </w:txbxContent>
                </v:textbox>
              </v:shape>
            </w:pict>
          </mc:Fallback>
        </mc:AlternateContent>
      </w:r>
    </w:p>
    <w:p w14:paraId="7F64188F" w14:textId="79C3EA9A" w:rsidR="00430A16" w:rsidRPr="00B23D7F" w:rsidRDefault="00430A16" w:rsidP="005977C7">
      <w:pPr>
        <w:rPr>
          <w:rFonts w:ascii="Arial" w:hAnsi="Arial" w:cs="Arial"/>
        </w:rPr>
      </w:pPr>
    </w:p>
    <w:p w14:paraId="39A223D5" w14:textId="43AB2534" w:rsidR="005977C7" w:rsidRPr="005977C7" w:rsidRDefault="005977C7" w:rsidP="005977C7">
      <w:pPr>
        <w:rPr>
          <w:rFonts w:ascii="Arial" w:hAnsi="Arial" w:cs="Arial"/>
        </w:rPr>
      </w:pPr>
    </w:p>
    <w:p w14:paraId="4824E60D" w14:textId="4EA37CD4" w:rsidR="00034F8B" w:rsidRPr="00B23D7F" w:rsidRDefault="00034F8B" w:rsidP="005977C7">
      <w:pPr>
        <w:rPr>
          <w:rFonts w:ascii="Arial" w:hAnsi="Arial" w:cs="Arial"/>
        </w:rPr>
      </w:pPr>
    </w:p>
    <w:p w14:paraId="204BC412" w14:textId="0F761870" w:rsidR="00034F8B" w:rsidRPr="00B23D7F" w:rsidRDefault="00034F8B" w:rsidP="005977C7">
      <w:pPr>
        <w:rPr>
          <w:rFonts w:ascii="Arial" w:hAnsi="Arial" w:cs="Arial"/>
        </w:rPr>
      </w:pPr>
    </w:p>
    <w:p w14:paraId="4289BFA4" w14:textId="26C1D01A" w:rsidR="00034F8B" w:rsidRPr="00B23D7F" w:rsidRDefault="00034F8B" w:rsidP="005977C7">
      <w:pPr>
        <w:rPr>
          <w:rFonts w:ascii="Arial" w:hAnsi="Arial" w:cs="Arial"/>
        </w:rPr>
      </w:pPr>
    </w:p>
    <w:p w14:paraId="7427CBE8" w14:textId="04C8E3C9" w:rsidR="00034F8B" w:rsidRPr="00B23D7F" w:rsidRDefault="00034F8B" w:rsidP="005977C7">
      <w:pPr>
        <w:rPr>
          <w:rFonts w:ascii="Arial" w:hAnsi="Arial" w:cs="Arial"/>
        </w:rPr>
      </w:pPr>
    </w:p>
    <w:p w14:paraId="19FA1174" w14:textId="2D16A46B" w:rsidR="00034F8B" w:rsidRPr="00B23D7F" w:rsidRDefault="00034F8B" w:rsidP="005977C7">
      <w:pPr>
        <w:rPr>
          <w:rFonts w:ascii="Arial" w:hAnsi="Arial" w:cs="Arial"/>
        </w:rPr>
      </w:pPr>
    </w:p>
    <w:p w14:paraId="21F17818" w14:textId="7266A9A1" w:rsidR="00034F8B" w:rsidRPr="00B23D7F" w:rsidRDefault="00034F8B" w:rsidP="005977C7">
      <w:pPr>
        <w:rPr>
          <w:rFonts w:ascii="Arial" w:hAnsi="Arial" w:cs="Arial"/>
        </w:rPr>
      </w:pPr>
    </w:p>
    <w:p w14:paraId="52E3DC64" w14:textId="32B2D75E" w:rsidR="00034F8B" w:rsidRPr="00B23D7F" w:rsidRDefault="00034F8B" w:rsidP="005977C7">
      <w:pPr>
        <w:rPr>
          <w:rFonts w:ascii="Arial" w:hAnsi="Arial" w:cs="Arial"/>
        </w:rPr>
      </w:pPr>
    </w:p>
    <w:p w14:paraId="09924E6D" w14:textId="77777777" w:rsidR="00034F8B" w:rsidRPr="00B23D7F" w:rsidRDefault="00034F8B" w:rsidP="005977C7">
      <w:pPr>
        <w:rPr>
          <w:rFonts w:ascii="Arial" w:hAnsi="Arial" w:cs="Arial"/>
        </w:rPr>
      </w:pPr>
    </w:p>
    <w:p w14:paraId="7B4DA5C1" w14:textId="77777777" w:rsidR="00034F8B" w:rsidRPr="00B23D7F" w:rsidRDefault="00034F8B" w:rsidP="005977C7">
      <w:pPr>
        <w:rPr>
          <w:rFonts w:ascii="Arial" w:hAnsi="Arial" w:cs="Arial"/>
        </w:rPr>
      </w:pPr>
    </w:p>
    <w:p w14:paraId="70935933" w14:textId="77777777" w:rsidR="00034F8B" w:rsidRPr="00B23D7F" w:rsidRDefault="00034F8B" w:rsidP="005977C7">
      <w:pPr>
        <w:rPr>
          <w:rFonts w:ascii="Arial" w:hAnsi="Arial" w:cs="Arial"/>
        </w:rPr>
      </w:pPr>
    </w:p>
    <w:p w14:paraId="1657C1D2" w14:textId="77777777" w:rsidR="00034F8B" w:rsidRPr="00B23D7F" w:rsidRDefault="00034F8B" w:rsidP="005977C7">
      <w:pPr>
        <w:rPr>
          <w:rFonts w:ascii="Arial" w:hAnsi="Arial" w:cs="Arial"/>
        </w:rPr>
      </w:pPr>
    </w:p>
    <w:p w14:paraId="5CD2EF2D" w14:textId="77777777" w:rsidR="00034F8B" w:rsidRPr="00B23D7F" w:rsidRDefault="00034F8B" w:rsidP="005977C7">
      <w:pPr>
        <w:rPr>
          <w:rFonts w:ascii="Arial" w:hAnsi="Arial" w:cs="Arial"/>
        </w:rPr>
      </w:pPr>
    </w:p>
    <w:p w14:paraId="466E46A3" w14:textId="77777777" w:rsidR="00034F8B" w:rsidRPr="00B23D7F" w:rsidRDefault="00034F8B" w:rsidP="005977C7">
      <w:pPr>
        <w:rPr>
          <w:rFonts w:ascii="Arial" w:hAnsi="Arial" w:cs="Arial"/>
        </w:rPr>
      </w:pPr>
    </w:p>
    <w:p w14:paraId="1C45848A" w14:textId="2233A957" w:rsidR="005977C7" w:rsidRPr="005977C7" w:rsidRDefault="005977C7" w:rsidP="005977C7">
      <w:pPr>
        <w:rPr>
          <w:rFonts w:ascii="Arial" w:hAnsi="Arial" w:cs="Arial"/>
        </w:rPr>
      </w:pPr>
      <w:r w:rsidRPr="005977C7">
        <w:rPr>
          <w:rFonts w:ascii="Arial" w:hAnsi="Arial" w:cs="Arial"/>
        </w:rPr>
        <w:t xml:space="preserve">There is a misconception in our system, that getting children into school earlier gives them a </w:t>
      </w:r>
      <w:r w:rsidR="009E70FB">
        <w:rPr>
          <w:rFonts w:ascii="Arial" w:hAnsi="Arial" w:cs="Arial"/>
        </w:rPr>
        <w:t xml:space="preserve">better </w:t>
      </w:r>
      <w:r w:rsidRPr="005977C7">
        <w:rPr>
          <w:rFonts w:ascii="Arial" w:hAnsi="Arial" w:cs="Arial"/>
        </w:rPr>
        <w:t xml:space="preserve">start (Morrison, 2014; Gray, 2020). However, research by Whitebread </w:t>
      </w:r>
      <w:r w:rsidRPr="005977C7">
        <w:rPr>
          <w:rFonts w:ascii="Arial" w:hAnsi="Arial" w:cs="Arial"/>
          <w:i/>
          <w:iCs/>
        </w:rPr>
        <w:t>et al</w:t>
      </w:r>
      <w:r w:rsidRPr="005977C7">
        <w:rPr>
          <w:rFonts w:ascii="Arial" w:hAnsi="Arial" w:cs="Arial"/>
        </w:rPr>
        <w:t xml:space="preserve"> (2017) and Pyle </w:t>
      </w:r>
      <w:r w:rsidRPr="005977C7">
        <w:rPr>
          <w:rFonts w:ascii="Arial" w:hAnsi="Arial" w:cs="Arial"/>
          <w:i/>
          <w:iCs/>
        </w:rPr>
        <w:t>et al</w:t>
      </w:r>
      <w:r w:rsidRPr="005977C7">
        <w:rPr>
          <w:rFonts w:ascii="Arial" w:hAnsi="Arial" w:cs="Arial"/>
        </w:rPr>
        <w:t xml:space="preserve"> (2018) highlights that early formal instruction may suppress creativity, limit self-regulation and increase anxiety in young children. A growing body of evidence shows that children who begin structured education later, but instead have access to high-quality, play-based early years experiences, often outperform their peers in the long term (</w:t>
      </w:r>
      <w:proofErr w:type="spellStart"/>
      <w:r w:rsidRPr="005977C7">
        <w:rPr>
          <w:rFonts w:ascii="Arial" w:hAnsi="Arial" w:cs="Arial"/>
        </w:rPr>
        <w:t>Pistorova</w:t>
      </w:r>
      <w:proofErr w:type="spellEnd"/>
      <w:r w:rsidRPr="005977C7">
        <w:rPr>
          <w:rFonts w:ascii="Arial" w:hAnsi="Arial" w:cs="Arial"/>
        </w:rPr>
        <w:t xml:space="preserve"> and Slutsky, 2020; Lai </w:t>
      </w:r>
      <w:r w:rsidRPr="005977C7">
        <w:rPr>
          <w:rFonts w:ascii="Arial" w:hAnsi="Arial" w:cs="Arial"/>
          <w:i/>
          <w:iCs/>
        </w:rPr>
        <w:t>et al</w:t>
      </w:r>
      <w:r w:rsidRPr="005977C7">
        <w:rPr>
          <w:rFonts w:ascii="Arial" w:hAnsi="Arial" w:cs="Arial"/>
        </w:rPr>
        <w:t xml:space="preserve">, 2018; Whitebread </w:t>
      </w:r>
      <w:r w:rsidRPr="005977C7">
        <w:rPr>
          <w:rFonts w:ascii="Arial" w:hAnsi="Arial" w:cs="Arial"/>
          <w:i/>
          <w:iCs/>
        </w:rPr>
        <w:t>et al</w:t>
      </w:r>
      <w:r w:rsidRPr="005977C7">
        <w:rPr>
          <w:rFonts w:ascii="Arial" w:hAnsi="Arial" w:cs="Arial"/>
        </w:rPr>
        <w:t xml:space="preserve">, 2017; Pyle </w:t>
      </w:r>
      <w:r w:rsidRPr="005977C7">
        <w:rPr>
          <w:rFonts w:ascii="Arial" w:hAnsi="Arial" w:cs="Arial"/>
          <w:i/>
          <w:iCs/>
        </w:rPr>
        <w:t>et al</w:t>
      </w:r>
      <w:r w:rsidRPr="005977C7">
        <w:rPr>
          <w:rFonts w:ascii="Arial" w:hAnsi="Arial" w:cs="Arial"/>
        </w:rPr>
        <w:t>, 2018).</w:t>
      </w:r>
    </w:p>
    <w:p w14:paraId="31FA53A9" w14:textId="77777777" w:rsidR="005977C7" w:rsidRPr="005977C7" w:rsidRDefault="005977C7" w:rsidP="005977C7">
      <w:pPr>
        <w:rPr>
          <w:rFonts w:ascii="Arial" w:hAnsi="Arial" w:cs="Arial"/>
        </w:rPr>
      </w:pPr>
      <w:r w:rsidRPr="005977C7">
        <w:rPr>
          <w:rFonts w:ascii="Arial" w:hAnsi="Arial" w:cs="Arial"/>
        </w:rPr>
        <w:t xml:space="preserve">Delaying school start to age seven gives children what they need most, time. Time to develop language, motor skills, emotional regulation and social confidence, becoming a more well-rounded individual (University of Cambridge, 2013; Heckman, 2021). According to the Centre on the Developing Child (2021) and Moss </w:t>
      </w:r>
      <w:r w:rsidRPr="005977C7">
        <w:rPr>
          <w:rFonts w:ascii="Arial" w:hAnsi="Arial" w:cs="Arial"/>
          <w:i/>
          <w:iCs/>
        </w:rPr>
        <w:t>et al.</w:t>
      </w:r>
      <w:r w:rsidRPr="005977C7">
        <w:rPr>
          <w:rFonts w:ascii="Arial" w:hAnsi="Arial" w:cs="Arial"/>
        </w:rPr>
        <w:t xml:space="preserve"> (2021) early experiences shape the architecture of the brain, with stable, nurturing environments being more impactful than academic content. Furthermore, a longitudinal study by </w:t>
      </w:r>
      <w:proofErr w:type="spellStart"/>
      <w:r w:rsidRPr="005977C7">
        <w:rPr>
          <w:rFonts w:ascii="Arial" w:hAnsi="Arial" w:cs="Arial"/>
        </w:rPr>
        <w:t>Suggate</w:t>
      </w:r>
      <w:proofErr w:type="spellEnd"/>
      <w:r w:rsidRPr="005977C7">
        <w:rPr>
          <w:rFonts w:ascii="Arial" w:hAnsi="Arial" w:cs="Arial"/>
        </w:rPr>
        <w:t xml:space="preserve"> (2016) found that children who began formal reading instruction at age seven often surpassed those who began at five, particularly in reading comprehension and intrinsic motivation. Similarly, Gray (2020) argues that premature academic demands erode children’s natural curiosity and love of learning, with children who start later showing more positive attitudes.</w:t>
      </w:r>
    </w:p>
    <w:p w14:paraId="6B6856B4" w14:textId="4E7382DA" w:rsidR="005977C7" w:rsidRPr="005977C7" w:rsidRDefault="005977C7" w:rsidP="005977C7">
      <w:pPr>
        <w:rPr>
          <w:rFonts w:ascii="Arial" w:hAnsi="Arial" w:cs="Arial"/>
        </w:rPr>
      </w:pPr>
      <w:r w:rsidRPr="005977C7">
        <w:rPr>
          <w:rFonts w:ascii="Arial" w:hAnsi="Arial" w:cs="Arial"/>
        </w:rPr>
        <w:lastRenderedPageBreak/>
        <w:t xml:space="preserve">It is important to recognise the example set by countries like Finland, who are consistently topping global education and child wellbeing rankings (Organisation for Economic Co-operation and Development (OECD), 2020). Finnish children start formal education at the age of 7 showing a deep respect for </w:t>
      </w:r>
      <w:r w:rsidR="007B154B">
        <w:rPr>
          <w:rFonts w:ascii="Arial" w:hAnsi="Arial" w:cs="Arial"/>
        </w:rPr>
        <w:t xml:space="preserve">early </w:t>
      </w:r>
      <w:r w:rsidRPr="005977C7">
        <w:rPr>
          <w:rFonts w:ascii="Arial" w:hAnsi="Arial" w:cs="Arial"/>
        </w:rPr>
        <w:t>childhood. Children spend their earliest years in state-funded early education settings that focus on outdoor play, emotional growth, and curiosity, with no formal teaching or testing (Sahlberg, 2021). Additionally, investment in early years has been described as the best economic decision a government can make, with OECD (2017) and UNICEF (2020) both emphasising the high return on investment for quality early childhood education</w:t>
      </w:r>
      <w:r w:rsidR="00F27576">
        <w:rPr>
          <w:rFonts w:ascii="Arial" w:hAnsi="Arial" w:cs="Arial"/>
        </w:rPr>
        <w:t xml:space="preserve">, citing </w:t>
      </w:r>
      <w:r w:rsidRPr="005977C7">
        <w:rPr>
          <w:rFonts w:ascii="Arial" w:hAnsi="Arial" w:cs="Arial"/>
        </w:rPr>
        <w:t xml:space="preserve">improved school outcomes, reduced crime rates and better health across the lifespan. </w:t>
      </w:r>
    </w:p>
    <w:p w14:paraId="1CD32F34" w14:textId="2B657B1F" w:rsidR="005977C7" w:rsidRPr="005977C7" w:rsidRDefault="005977C7" w:rsidP="005977C7">
      <w:pPr>
        <w:rPr>
          <w:rFonts w:ascii="Arial" w:hAnsi="Arial" w:cs="Arial"/>
        </w:rPr>
      </w:pPr>
      <w:r w:rsidRPr="005977C7">
        <w:rPr>
          <w:rFonts w:ascii="Arial" w:hAnsi="Arial" w:cs="Arial"/>
        </w:rPr>
        <w:t>The Welsh Government (2013)</w:t>
      </w:r>
      <w:r w:rsidR="001B7EC8">
        <w:rPr>
          <w:rFonts w:ascii="Arial" w:hAnsi="Arial" w:cs="Arial"/>
        </w:rPr>
        <w:t xml:space="preserve"> acknowledges</w:t>
      </w:r>
      <w:r w:rsidRPr="005977C7">
        <w:rPr>
          <w:rFonts w:ascii="Arial" w:hAnsi="Arial" w:cs="Arial"/>
        </w:rPr>
        <w:t xml:space="preserve"> the significance of the early years, from pre-birth to age seven, as a pivotal period for a child's develo</w:t>
      </w:r>
      <w:r w:rsidR="00791006">
        <w:rPr>
          <w:rFonts w:ascii="Arial" w:hAnsi="Arial" w:cs="Arial"/>
        </w:rPr>
        <w:t>pment</w:t>
      </w:r>
      <w:r w:rsidRPr="005977C7">
        <w:rPr>
          <w:rFonts w:ascii="Arial" w:hAnsi="Arial" w:cs="Arial"/>
        </w:rPr>
        <w:t>. It is noted that once mental and behavioural patterns are established, they become challenging to alter. This emphasis is further supported by initiatives such as Flying Start, which targets children aged 2-3 from disadvantaged areas (Welsh Government, 2015b). The Welsh Government (2024a) asserts that investing in the early years positively influences the physical and mental health and wellbeing of children, and that early intervention and high-quality childcare significantly enhance outcomes. Additionally, the expanded Early Childhood Play, Learning and Care (ECPLC) framework aims to ensure that all children receive stimulating, developmentally appropriate experiences from birth to age five (Welsh Government, 2024</w:t>
      </w:r>
      <w:r w:rsidR="005D3574">
        <w:rPr>
          <w:rFonts w:ascii="Arial" w:hAnsi="Arial" w:cs="Arial"/>
        </w:rPr>
        <w:t>d</w:t>
      </w:r>
      <w:r w:rsidRPr="005977C7">
        <w:rPr>
          <w:rFonts w:ascii="Arial" w:hAnsi="Arial" w:cs="Arial"/>
        </w:rPr>
        <w:t xml:space="preserve">). A particular focus is placed on the first 1,000 days, from conception to age two, which </w:t>
      </w:r>
      <w:r w:rsidR="005D3574">
        <w:rPr>
          <w:rFonts w:ascii="Arial" w:hAnsi="Arial" w:cs="Arial"/>
        </w:rPr>
        <w:t xml:space="preserve">is </w:t>
      </w:r>
      <w:r w:rsidRPr="005977C7">
        <w:rPr>
          <w:rFonts w:ascii="Arial" w:hAnsi="Arial" w:cs="Arial"/>
        </w:rPr>
        <w:t>described as offering the greatest potential for improving outcomes and reducing inequalities, with effects that shape future generations</w:t>
      </w:r>
      <w:r w:rsidR="00C30D30">
        <w:rPr>
          <w:rFonts w:ascii="Arial" w:hAnsi="Arial" w:cs="Arial"/>
        </w:rPr>
        <w:t xml:space="preserve"> (</w:t>
      </w:r>
      <w:r w:rsidR="008228EB">
        <w:rPr>
          <w:rFonts w:ascii="Arial" w:hAnsi="Arial" w:cs="Arial"/>
        </w:rPr>
        <w:t>Early Years Wales, 2024)</w:t>
      </w:r>
      <w:r w:rsidRPr="005977C7">
        <w:rPr>
          <w:rFonts w:ascii="Arial" w:hAnsi="Arial" w:cs="Arial"/>
        </w:rPr>
        <w:t>. Complementing this, the Welsh Government has legally enshrined the ‘Play Sufficiency Duty,’ recognizing play as essential to children’s mental, physical, social, and emotional development, particularly in mitigating the effects of poverty</w:t>
      </w:r>
      <w:r w:rsidR="00596A88">
        <w:rPr>
          <w:rFonts w:ascii="Arial" w:hAnsi="Arial" w:cs="Arial"/>
        </w:rPr>
        <w:t xml:space="preserve"> </w:t>
      </w:r>
      <w:r w:rsidR="00100164">
        <w:rPr>
          <w:rFonts w:ascii="Arial" w:hAnsi="Arial" w:cs="Arial"/>
        </w:rPr>
        <w:t>(Play Wales, n.d.)</w:t>
      </w:r>
      <w:r w:rsidRPr="005977C7">
        <w:rPr>
          <w:rFonts w:ascii="Arial" w:hAnsi="Arial" w:cs="Arial"/>
        </w:rPr>
        <w:t>. However, in 2022, only one quarter of births were to parents residing in a Flying Start area</w:t>
      </w:r>
      <w:r w:rsidR="007B1C37">
        <w:rPr>
          <w:rFonts w:ascii="Arial" w:hAnsi="Arial" w:cs="Arial"/>
        </w:rPr>
        <w:t xml:space="preserve"> and</w:t>
      </w:r>
      <w:r w:rsidRPr="005977C7">
        <w:rPr>
          <w:rFonts w:ascii="Arial" w:hAnsi="Arial" w:cs="Arial"/>
        </w:rPr>
        <w:t xml:space="preserve"> eligibility for 30 hours of free childcare between the age of 3 and 4 requires parents to be employed or in full-time education (Welsh Government, 2024c), raising concerns about the children who are not reached by either of these initiatives. For this reason, Welsh Government needs to fully fund early years provision which is accessible to all children.</w:t>
      </w:r>
    </w:p>
    <w:p w14:paraId="6CC6A273" w14:textId="65E17481" w:rsidR="005977C7" w:rsidRPr="005977C7" w:rsidRDefault="005977C7" w:rsidP="005977C7">
      <w:pPr>
        <w:rPr>
          <w:rFonts w:ascii="Arial" w:hAnsi="Arial" w:cs="Arial"/>
        </w:rPr>
      </w:pPr>
      <w:r w:rsidRPr="005977C7">
        <w:rPr>
          <w:rFonts w:ascii="Arial" w:hAnsi="Arial" w:cs="Arial"/>
        </w:rPr>
        <w:t xml:space="preserve">None of this is possible without recognising the value of the early years’ workforce. Practitioners are highly skilled professionals who lay the foundations for lifelong learning, yet they are often paid less than retail workers, with minimal progression routes (NDNA, 2023). Burnout and high turnover rates are endemic (PACEY Cymru, 2022), directly affecting children’s continuity of care. The workforce crisis must be addressed through pay equity, professional development, and parity of esteem with the teaching profession (Welsh Government, 2017; Social Care Wales, 2023). </w:t>
      </w:r>
      <w:r w:rsidR="00317475">
        <w:rPr>
          <w:rFonts w:ascii="Arial" w:hAnsi="Arial" w:cs="Arial"/>
        </w:rPr>
        <w:t>By and Large, e</w:t>
      </w:r>
      <w:r w:rsidRPr="005977C7">
        <w:rPr>
          <w:rFonts w:ascii="Arial" w:hAnsi="Arial" w:cs="Arial"/>
        </w:rPr>
        <w:t>arly years settings should be integrated more closely with the public education sector, not outsourced and underfunded.</w:t>
      </w:r>
    </w:p>
    <w:p w14:paraId="1B52F756" w14:textId="3ED27FBE" w:rsidR="005977C7" w:rsidRPr="005977C7" w:rsidRDefault="00AB318F" w:rsidP="005977C7">
      <w:pPr>
        <w:rPr>
          <w:rFonts w:ascii="Arial" w:hAnsi="Arial" w:cs="Arial"/>
        </w:rPr>
      </w:pPr>
      <w:r>
        <w:rPr>
          <w:rFonts w:ascii="Arial" w:hAnsi="Arial" w:cs="Arial"/>
        </w:rPr>
        <w:t xml:space="preserve">By </w:t>
      </w:r>
      <w:r w:rsidR="000751A8" w:rsidRPr="000751A8">
        <w:rPr>
          <w:rFonts w:ascii="Arial" w:hAnsi="Arial" w:cs="Arial"/>
        </w:rPr>
        <w:t xml:space="preserve">delaying the school starting age </w:t>
      </w:r>
      <w:r>
        <w:rPr>
          <w:rFonts w:ascii="Arial" w:hAnsi="Arial" w:cs="Arial"/>
        </w:rPr>
        <w:t xml:space="preserve">to age 7 </w:t>
      </w:r>
      <w:r w:rsidR="000751A8" w:rsidRPr="000751A8">
        <w:rPr>
          <w:rFonts w:ascii="Arial" w:hAnsi="Arial" w:cs="Arial"/>
        </w:rPr>
        <w:t>and fully funding early years education</w:t>
      </w:r>
      <w:r>
        <w:rPr>
          <w:rFonts w:ascii="Arial" w:hAnsi="Arial" w:cs="Arial"/>
        </w:rPr>
        <w:t xml:space="preserve"> </w:t>
      </w:r>
      <w:r w:rsidR="005977C7" w:rsidRPr="005977C7">
        <w:rPr>
          <w:rFonts w:ascii="Arial" w:hAnsi="Arial" w:cs="Arial"/>
        </w:rPr>
        <w:t xml:space="preserve">Wales has a chance to </w:t>
      </w:r>
      <w:r w:rsidR="00E0660C" w:rsidRPr="00E0660C">
        <w:rPr>
          <w:rFonts w:ascii="Arial" w:hAnsi="Arial" w:cs="Arial"/>
        </w:rPr>
        <w:t>finally align its policies with its principles</w:t>
      </w:r>
      <w:r>
        <w:rPr>
          <w:rFonts w:ascii="Arial" w:hAnsi="Arial" w:cs="Arial"/>
        </w:rPr>
        <w:t>.</w:t>
      </w:r>
      <w:r w:rsidR="005977C7" w:rsidRPr="005977C7">
        <w:rPr>
          <w:rFonts w:ascii="Arial" w:hAnsi="Arial" w:cs="Arial"/>
        </w:rPr>
        <w:t xml:space="preserve"> </w:t>
      </w:r>
      <w:r w:rsidR="000751A8">
        <w:rPr>
          <w:rFonts w:ascii="Arial" w:hAnsi="Arial" w:cs="Arial"/>
        </w:rPr>
        <w:t>T</w:t>
      </w:r>
      <w:r w:rsidR="005977C7" w:rsidRPr="005977C7">
        <w:rPr>
          <w:rFonts w:ascii="Arial" w:hAnsi="Arial" w:cs="Arial"/>
        </w:rPr>
        <w:t xml:space="preserve">his certainly does not mean lowering standards, it is about ensuring that children are emotionally secure, socially competent, and ready to learn when formal education begins. It’s about honouring what the evidence tells us and putting children at the heart of policy. </w:t>
      </w:r>
      <w:r w:rsidR="00453B10">
        <w:rPr>
          <w:rFonts w:ascii="Arial" w:hAnsi="Arial" w:cs="Arial"/>
        </w:rPr>
        <w:t>Ultimately, w</w:t>
      </w:r>
      <w:r w:rsidR="005977C7" w:rsidRPr="005977C7">
        <w:rPr>
          <w:rFonts w:ascii="Arial" w:hAnsi="Arial" w:cs="Arial"/>
        </w:rPr>
        <w:t>e need bold policy</w:t>
      </w:r>
      <w:r w:rsidR="00BF15A0">
        <w:rPr>
          <w:rFonts w:ascii="Arial" w:hAnsi="Arial" w:cs="Arial"/>
        </w:rPr>
        <w:t xml:space="preserve">, we need to align this policy with our </w:t>
      </w:r>
      <w:r w:rsidR="00D80156">
        <w:rPr>
          <w:rFonts w:ascii="Arial" w:hAnsi="Arial" w:cs="Arial"/>
        </w:rPr>
        <w:t>principles,</w:t>
      </w:r>
      <w:r w:rsidR="005977C7" w:rsidRPr="005977C7">
        <w:rPr>
          <w:rFonts w:ascii="Arial" w:hAnsi="Arial" w:cs="Arial"/>
        </w:rPr>
        <w:t xml:space="preserve"> and</w:t>
      </w:r>
      <w:r w:rsidR="00BF15A0">
        <w:rPr>
          <w:rFonts w:ascii="Arial" w:hAnsi="Arial" w:cs="Arial"/>
        </w:rPr>
        <w:t xml:space="preserve"> we need adequate</w:t>
      </w:r>
      <w:r w:rsidR="005977C7" w:rsidRPr="005977C7">
        <w:rPr>
          <w:rFonts w:ascii="Arial" w:hAnsi="Arial" w:cs="Arial"/>
        </w:rPr>
        <w:t xml:space="preserve"> funding that reflects our values.</w:t>
      </w:r>
    </w:p>
    <w:p w14:paraId="63FD2E47" w14:textId="77777777" w:rsidR="005977C7" w:rsidRPr="00B23D7F" w:rsidRDefault="005977C7">
      <w:pPr>
        <w:rPr>
          <w:rFonts w:ascii="Arial" w:hAnsi="Arial" w:cs="Arial"/>
        </w:rPr>
      </w:pPr>
      <w:r w:rsidRPr="005977C7">
        <w:rPr>
          <w:rFonts w:ascii="Arial" w:hAnsi="Arial" w:cs="Arial"/>
        </w:rPr>
        <w:t>Let’s fully fund early years. Let’s delay school start to when children are truly ready and let’s let them be little.</w:t>
      </w:r>
    </w:p>
    <w:p w14:paraId="20664748" w14:textId="6289FFD9" w:rsidR="007E0006" w:rsidRDefault="007E0006">
      <w:pPr>
        <w:rPr>
          <w:rFonts w:ascii="Arial" w:hAnsi="Arial" w:cs="Arial"/>
          <w:u w:val="single"/>
        </w:rPr>
      </w:pPr>
      <w:r w:rsidRPr="00B23D7F">
        <w:rPr>
          <w:rFonts w:ascii="Arial" w:hAnsi="Arial" w:cs="Arial"/>
          <w:u w:val="single"/>
        </w:rPr>
        <w:lastRenderedPageBreak/>
        <w:t>References</w:t>
      </w:r>
    </w:p>
    <w:p w14:paraId="2795919D"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Alharbi, M.O. </w:t>
      </w:r>
      <w:r>
        <w:rPr>
          <w:rFonts w:ascii="Arial" w:eastAsia="Times New Roman" w:hAnsi="Arial" w:cs="Arial"/>
          <w:kern w:val="0"/>
          <w:lang w:eastAsia="en-GB"/>
          <w14:ligatures w14:val="none"/>
        </w:rPr>
        <w:t>(</w:t>
      </w:r>
      <w:r w:rsidRPr="00B23D7F">
        <w:rPr>
          <w:rFonts w:ascii="Arial" w:eastAsia="Times New Roman" w:hAnsi="Arial" w:cs="Arial"/>
          <w:kern w:val="0"/>
          <w:lang w:eastAsia="en-GB"/>
          <w14:ligatures w14:val="none"/>
        </w:rPr>
        <w:t>2022</w:t>
      </w:r>
      <w:r>
        <w:rPr>
          <w:rFonts w:ascii="Arial" w:eastAsia="Times New Roman" w:hAnsi="Arial" w:cs="Arial"/>
          <w:kern w:val="0"/>
          <w:lang w:eastAsia="en-GB"/>
          <w14:ligatures w14:val="none"/>
        </w:rPr>
        <w:t>)</w:t>
      </w:r>
      <w:r w:rsidRPr="00B23D7F">
        <w:rPr>
          <w:rFonts w:ascii="Arial" w:eastAsia="Times New Roman" w:hAnsi="Arial" w:cs="Arial"/>
          <w:kern w:val="0"/>
          <w:lang w:eastAsia="en-GB"/>
          <w14:ligatures w14:val="none"/>
        </w:rPr>
        <w:t xml:space="preserve"> Teachers and children’s play: Exploring practices through an analysis of Vygotsky and Piaget theories. </w:t>
      </w:r>
      <w:r w:rsidRPr="00B23D7F">
        <w:rPr>
          <w:rFonts w:ascii="Arial" w:eastAsia="Times New Roman" w:hAnsi="Arial" w:cs="Arial"/>
          <w:i/>
          <w:iCs/>
          <w:kern w:val="0"/>
          <w:lang w:eastAsia="en-GB"/>
          <w14:ligatures w14:val="none"/>
        </w:rPr>
        <w:t>The Educational Review, USA</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6</w:t>
      </w:r>
      <w:r w:rsidRPr="00B23D7F">
        <w:rPr>
          <w:rFonts w:ascii="Arial" w:eastAsia="Times New Roman" w:hAnsi="Arial" w:cs="Arial"/>
          <w:kern w:val="0"/>
          <w:lang w:eastAsia="en-GB"/>
          <w14:ligatures w14:val="none"/>
        </w:rPr>
        <w:t xml:space="preserve">(11). Available at: </w:t>
      </w:r>
      <w:hyperlink r:id="rId7" w:history="1">
        <w:r w:rsidRPr="00B23D7F">
          <w:rPr>
            <w:rStyle w:val="Hyperlink"/>
            <w:rFonts w:ascii="Arial" w:eastAsia="Times New Roman" w:hAnsi="Arial" w:cs="Arial"/>
            <w:kern w:val="0"/>
            <w:lang w:eastAsia="en-GB"/>
            <w14:ligatures w14:val="none"/>
          </w:rPr>
          <w:t>https://www.hillpublisher.com/ArticleDetails/1185</w:t>
        </w:r>
      </w:hyperlink>
      <w:r w:rsidRPr="00B23D7F">
        <w:rPr>
          <w:rFonts w:ascii="Arial" w:eastAsia="Times New Roman" w:hAnsi="Arial" w:cs="Arial"/>
          <w:kern w:val="0"/>
          <w:lang w:eastAsia="en-GB"/>
          <w14:ligatures w14:val="none"/>
        </w:rPr>
        <w:t xml:space="preserve"> (</w:t>
      </w:r>
      <w:proofErr w:type="spellStart"/>
      <w:r w:rsidRPr="00B23D7F">
        <w:rPr>
          <w:rFonts w:ascii="Arial" w:eastAsia="Times New Roman" w:hAnsi="Arial" w:cs="Arial"/>
          <w:kern w:val="0"/>
          <w:lang w:eastAsia="en-GB"/>
          <w14:ligatures w14:val="none"/>
        </w:rPr>
        <w:t>Acessed</w:t>
      </w:r>
      <w:proofErr w:type="spellEnd"/>
      <w:r w:rsidRPr="00B23D7F">
        <w:rPr>
          <w:rFonts w:ascii="Arial" w:eastAsia="Times New Roman" w:hAnsi="Arial" w:cs="Arial"/>
          <w:kern w:val="0"/>
          <w:lang w:eastAsia="en-GB"/>
          <w14:ligatures w14:val="none"/>
        </w:rPr>
        <w:t>: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2FFFFD17"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Audit Wales (2022b) </w:t>
      </w:r>
      <w:r w:rsidRPr="00B23D7F">
        <w:rPr>
          <w:rFonts w:ascii="Arial" w:eastAsia="Times New Roman" w:hAnsi="Arial" w:cs="Arial"/>
          <w:i/>
          <w:iCs/>
          <w:kern w:val="0"/>
          <w:lang w:eastAsia="en-GB"/>
          <w14:ligatures w14:val="none"/>
        </w:rPr>
        <w:t xml:space="preserve">Work is needed to realise the </w:t>
      </w:r>
      <w:proofErr w:type="gramStart"/>
      <w:r w:rsidRPr="00B23D7F">
        <w:rPr>
          <w:rFonts w:ascii="Arial" w:eastAsia="Times New Roman" w:hAnsi="Arial" w:cs="Arial"/>
          <w:i/>
          <w:iCs/>
          <w:kern w:val="0"/>
          <w:lang w:eastAsia="en-GB"/>
          <w14:ligatures w14:val="none"/>
        </w:rPr>
        <w:t>long term</w:t>
      </w:r>
      <w:proofErr w:type="gramEnd"/>
      <w:r w:rsidRPr="00B23D7F">
        <w:rPr>
          <w:rFonts w:ascii="Arial" w:eastAsia="Times New Roman" w:hAnsi="Arial" w:cs="Arial"/>
          <w:i/>
          <w:iCs/>
          <w:kern w:val="0"/>
          <w:lang w:eastAsia="en-GB"/>
          <w14:ligatures w14:val="none"/>
        </w:rPr>
        <w:t xml:space="preserve"> benefits and track on-going costs of the new curriculum for Wales.</w:t>
      </w:r>
      <w:r w:rsidRPr="00B23D7F">
        <w:rPr>
          <w:rFonts w:ascii="Arial" w:eastAsia="Times New Roman" w:hAnsi="Arial" w:cs="Arial"/>
          <w:kern w:val="0"/>
          <w:lang w:eastAsia="en-GB"/>
          <w14:ligatures w14:val="none"/>
        </w:rPr>
        <w:t xml:space="preserve"> Available at: </w:t>
      </w:r>
      <w:hyperlink r:id="rId8" w:history="1">
        <w:r w:rsidRPr="00B23D7F">
          <w:rPr>
            <w:rStyle w:val="Hyperlink"/>
            <w:rFonts w:ascii="Arial" w:eastAsia="Times New Roman" w:hAnsi="Arial" w:cs="Arial"/>
            <w:kern w:val="0"/>
            <w:lang w:eastAsia="en-GB"/>
            <w14:ligatures w14:val="none"/>
          </w:rPr>
          <w:t>https://www.audit.wales/news/work-needed-realise-long-term-benefits-and-track-going-costs-new-curriculum-wales</w:t>
        </w:r>
      </w:hyperlink>
      <w:r w:rsidRPr="00B23D7F">
        <w:rPr>
          <w:rFonts w:ascii="Arial" w:eastAsia="Times New Roman" w:hAnsi="Arial" w:cs="Arial"/>
          <w:kern w:val="0"/>
          <w:lang w:eastAsia="en-GB"/>
          <w14:ligatures w14:val="none"/>
        </w:rPr>
        <w:t xml:space="preserve"> (Accessed: 27</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0A9D3905"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Baker, M. and Ryan, J. (2021) Playful provocations and playful mindsets: teacher learning and identity shifts through playful participatory research, International Journal of Play, 10:1, 6-24, Available at: </w:t>
      </w:r>
      <w:hyperlink r:id="rId9" w:history="1">
        <w:r w:rsidRPr="00B23D7F">
          <w:rPr>
            <w:rStyle w:val="Hyperlink"/>
            <w:rFonts w:ascii="Arial" w:eastAsia="Times New Roman" w:hAnsi="Arial" w:cs="Arial"/>
            <w:kern w:val="0"/>
            <w:lang w:eastAsia="en-GB"/>
            <w14:ligatures w14:val="none"/>
          </w:rPr>
          <w:t>https://doi.org/10.1080/21594937.2021.1878770</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 </w:t>
      </w:r>
    </w:p>
    <w:p w14:paraId="4CA12A3D"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Bertram, T. &amp; Pascal, C. (2016) </w:t>
      </w:r>
      <w:r w:rsidRPr="00B23D7F">
        <w:rPr>
          <w:rFonts w:ascii="Arial" w:eastAsia="Times New Roman" w:hAnsi="Arial" w:cs="Arial"/>
          <w:i/>
          <w:iCs/>
          <w:kern w:val="0"/>
          <w:lang w:eastAsia="en-GB"/>
          <w14:ligatures w14:val="none"/>
        </w:rPr>
        <w:t>Early Childhood Policies and Systems in Eight Countries</w:t>
      </w:r>
      <w:r w:rsidRPr="00B23D7F">
        <w:rPr>
          <w:rFonts w:ascii="Arial" w:eastAsia="Times New Roman" w:hAnsi="Arial" w:cs="Arial"/>
          <w:kern w:val="0"/>
          <w:lang w:eastAsia="en-GB"/>
          <w14:ligatures w14:val="none"/>
        </w:rPr>
        <w:t>. London: Bloomsbury.</w:t>
      </w:r>
    </w:p>
    <w:p w14:paraId="5DDE538E"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Bond, A., Moore, G. and Hawkins, J. (2024) ‘Understanding parental involvement with schools and parental engagement with learning across schools in areas of socioeconomic deprivation in Wales’, </w:t>
      </w:r>
      <w:r w:rsidRPr="00B23D7F">
        <w:rPr>
          <w:rFonts w:ascii="Arial" w:eastAsia="Times New Roman" w:hAnsi="Arial" w:cs="Arial"/>
          <w:i/>
          <w:iCs/>
          <w:kern w:val="0"/>
          <w:lang w:eastAsia="en-GB"/>
          <w14:ligatures w14:val="none"/>
        </w:rPr>
        <w:t>Educational Review</w:t>
      </w:r>
      <w:r w:rsidRPr="00B23D7F">
        <w:rPr>
          <w:rFonts w:ascii="Arial" w:eastAsia="Times New Roman" w:hAnsi="Arial" w:cs="Arial"/>
          <w:kern w:val="0"/>
          <w:lang w:eastAsia="en-GB"/>
          <w14:ligatures w14:val="none"/>
        </w:rPr>
        <w:t xml:space="preserve">, pp. 1–21. </w:t>
      </w:r>
      <w:proofErr w:type="spellStart"/>
      <w:r w:rsidRPr="00B23D7F">
        <w:rPr>
          <w:rFonts w:ascii="Arial" w:eastAsia="Times New Roman" w:hAnsi="Arial" w:cs="Arial"/>
          <w:kern w:val="0"/>
          <w:lang w:eastAsia="en-GB"/>
          <w14:ligatures w14:val="none"/>
        </w:rPr>
        <w:t>doi</w:t>
      </w:r>
      <w:proofErr w:type="spellEnd"/>
      <w:r w:rsidRPr="00B23D7F">
        <w:rPr>
          <w:rFonts w:ascii="Arial" w:eastAsia="Times New Roman" w:hAnsi="Arial" w:cs="Arial"/>
          <w:kern w:val="0"/>
          <w:lang w:eastAsia="en-GB"/>
          <w14:ligatures w14:val="none"/>
        </w:rPr>
        <w:t>: 10.1080/00131911.2024.2432255.</w:t>
      </w:r>
    </w:p>
    <w:p w14:paraId="35384FEB"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Bradbury, A. (2013) ‘Education policy and the “ideal learner”: producing recognisable learner-subjects through early years assessment’, </w:t>
      </w:r>
      <w:r w:rsidRPr="00B23D7F">
        <w:rPr>
          <w:rFonts w:ascii="Arial" w:eastAsia="Times New Roman" w:hAnsi="Arial" w:cs="Arial"/>
          <w:i/>
          <w:iCs/>
          <w:kern w:val="0"/>
          <w:lang w:eastAsia="en-GB"/>
          <w14:ligatures w14:val="none"/>
        </w:rPr>
        <w:t>British journal of sociology of education</w:t>
      </w:r>
      <w:r w:rsidRPr="00B23D7F">
        <w:rPr>
          <w:rFonts w:ascii="Arial" w:eastAsia="Times New Roman" w:hAnsi="Arial" w:cs="Arial"/>
          <w:kern w:val="0"/>
          <w:lang w:eastAsia="en-GB"/>
          <w14:ligatures w14:val="none"/>
        </w:rPr>
        <w:t xml:space="preserve">, 34(1), pp. 1–19. Available at: </w:t>
      </w:r>
      <w:hyperlink r:id="rId10" w:history="1">
        <w:r w:rsidRPr="00B23D7F">
          <w:rPr>
            <w:rStyle w:val="Hyperlink"/>
            <w:rFonts w:ascii="Arial" w:eastAsia="Times New Roman" w:hAnsi="Arial" w:cs="Arial"/>
            <w:kern w:val="0"/>
            <w:lang w:eastAsia="en-GB"/>
            <w14:ligatures w14:val="none"/>
          </w:rPr>
          <w:t>https://doi.org/10.1080/01425692.2012.692049</w:t>
        </w:r>
      </w:hyperlink>
      <w:r w:rsidRPr="00B23D7F">
        <w:rPr>
          <w:rFonts w:ascii="Arial" w:eastAsia="Times New Roman" w:hAnsi="Arial" w:cs="Arial"/>
          <w:kern w:val="0"/>
          <w:lang w:eastAsia="en-GB"/>
          <w14:ligatures w14:val="none"/>
        </w:rPr>
        <w:t>. (Accessed: 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4C5EC256"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Bradbury, A. and Roberts-Holmes, G. (2018) </w:t>
      </w:r>
      <w:r w:rsidRPr="00B23D7F">
        <w:rPr>
          <w:rFonts w:ascii="Arial" w:eastAsia="Times New Roman" w:hAnsi="Arial" w:cs="Arial"/>
          <w:i/>
          <w:iCs/>
          <w:kern w:val="0"/>
          <w:lang w:eastAsia="en-GB"/>
          <w14:ligatures w14:val="none"/>
        </w:rPr>
        <w:t>The Datafication of Early Years Education and its Impact on Pedagogy</w:t>
      </w:r>
      <w:r w:rsidRPr="00B23D7F">
        <w:rPr>
          <w:rFonts w:ascii="Arial" w:eastAsia="Times New Roman" w:hAnsi="Arial" w:cs="Arial"/>
          <w:kern w:val="0"/>
          <w:lang w:eastAsia="en-GB"/>
          <w14:ligatures w14:val="none"/>
        </w:rPr>
        <w:t xml:space="preserve">. London: UCL Institute of Education. Available at: </w:t>
      </w:r>
      <w:hyperlink r:id="rId11" w:history="1">
        <w:r w:rsidRPr="00B23D7F">
          <w:rPr>
            <w:rStyle w:val="Hyperlink"/>
            <w:rFonts w:ascii="Arial" w:eastAsia="Times New Roman" w:hAnsi="Arial" w:cs="Arial"/>
            <w:kern w:val="0"/>
            <w:lang w:eastAsia="en-GB"/>
            <w14:ligatures w14:val="none"/>
          </w:rPr>
          <w:t>https://journals.sagepub.com/doi/10.1177/1365480216651519</w:t>
        </w:r>
      </w:hyperlink>
      <w:r w:rsidRPr="00B23D7F">
        <w:rPr>
          <w:rFonts w:ascii="Arial" w:eastAsia="Times New Roman" w:hAnsi="Arial" w:cs="Arial"/>
          <w:kern w:val="0"/>
          <w:lang w:eastAsia="en-GB"/>
          <w14:ligatures w14:val="none"/>
        </w:rPr>
        <w:t xml:space="preserve"> (Accessed: 2</w:t>
      </w:r>
      <w:r w:rsidRPr="00B23D7F">
        <w:rPr>
          <w:rFonts w:ascii="Arial" w:eastAsia="Times New Roman" w:hAnsi="Arial" w:cs="Arial"/>
          <w:kern w:val="0"/>
          <w:vertAlign w:val="superscript"/>
          <w:lang w:eastAsia="en-GB"/>
          <w14:ligatures w14:val="none"/>
        </w:rPr>
        <w:t>nd</w:t>
      </w:r>
      <w:r w:rsidRPr="00B23D7F">
        <w:rPr>
          <w:rFonts w:ascii="Arial" w:eastAsia="Times New Roman" w:hAnsi="Arial" w:cs="Arial"/>
          <w:kern w:val="0"/>
          <w:lang w:eastAsia="en-GB"/>
          <w14:ligatures w14:val="none"/>
        </w:rPr>
        <w:t xml:space="preserve"> June 2025).</w:t>
      </w:r>
    </w:p>
    <w:p w14:paraId="6A524085"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Burman, E. (2017) </w:t>
      </w:r>
      <w:r w:rsidRPr="00B23D7F">
        <w:rPr>
          <w:rFonts w:ascii="Arial" w:eastAsia="Times New Roman" w:hAnsi="Arial" w:cs="Arial"/>
          <w:i/>
          <w:iCs/>
          <w:kern w:val="0"/>
          <w:lang w:eastAsia="en-GB"/>
          <w14:ligatures w14:val="none"/>
        </w:rPr>
        <w:t>Deconstructing Developmental Psychology</w:t>
      </w:r>
      <w:r w:rsidRPr="00B23D7F">
        <w:rPr>
          <w:rFonts w:ascii="Arial" w:eastAsia="Times New Roman" w:hAnsi="Arial" w:cs="Arial"/>
          <w:kern w:val="0"/>
          <w:lang w:eastAsia="en-GB"/>
          <w14:ligatures w14:val="none"/>
        </w:rPr>
        <w:t xml:space="preserve">. 3rd </w:t>
      </w:r>
      <w:proofErr w:type="spellStart"/>
      <w:r w:rsidRPr="00B23D7F">
        <w:rPr>
          <w:rFonts w:ascii="Arial" w:eastAsia="Times New Roman" w:hAnsi="Arial" w:cs="Arial"/>
          <w:kern w:val="0"/>
          <w:lang w:eastAsia="en-GB"/>
          <w14:ligatures w14:val="none"/>
        </w:rPr>
        <w:t>edn</w:t>
      </w:r>
      <w:proofErr w:type="spellEnd"/>
      <w:r w:rsidRPr="00B23D7F">
        <w:rPr>
          <w:rFonts w:ascii="Arial" w:eastAsia="Times New Roman" w:hAnsi="Arial" w:cs="Arial"/>
          <w:kern w:val="0"/>
          <w:lang w:eastAsia="en-GB"/>
          <w14:ligatures w14:val="none"/>
        </w:rPr>
        <w:t>. London: Routledge.</w:t>
      </w:r>
    </w:p>
    <w:p w14:paraId="70822201"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Carr, M. and Lee, W. (2019) </w:t>
      </w:r>
      <w:r w:rsidRPr="00B23D7F">
        <w:rPr>
          <w:rFonts w:ascii="Arial" w:eastAsia="Times New Roman" w:hAnsi="Arial" w:cs="Arial"/>
          <w:i/>
          <w:iCs/>
          <w:kern w:val="0"/>
          <w:lang w:eastAsia="en-GB"/>
          <w14:ligatures w14:val="none"/>
        </w:rPr>
        <w:t>Learning Stories in Practice</w:t>
      </w:r>
      <w:r w:rsidRPr="00B23D7F">
        <w:rPr>
          <w:rFonts w:ascii="Arial" w:eastAsia="Times New Roman" w:hAnsi="Arial" w:cs="Arial"/>
          <w:kern w:val="0"/>
          <w:lang w:eastAsia="en-GB"/>
          <w14:ligatures w14:val="none"/>
        </w:rPr>
        <w:t>. London: SAGE.</w:t>
      </w:r>
    </w:p>
    <w:p w14:paraId="4B5F6B96"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Centre on the Developing Child (2021) </w:t>
      </w:r>
      <w:r w:rsidRPr="00EC158D">
        <w:rPr>
          <w:rFonts w:ascii="Arial" w:eastAsia="Times New Roman" w:hAnsi="Arial" w:cs="Arial"/>
          <w:i/>
          <w:iCs/>
          <w:kern w:val="0"/>
          <w:lang w:eastAsia="en-GB"/>
          <w14:ligatures w14:val="none"/>
        </w:rPr>
        <w:t>Brain architecture.</w:t>
      </w:r>
      <w:r w:rsidRPr="00EC158D">
        <w:rPr>
          <w:rFonts w:ascii="Arial" w:eastAsia="Times New Roman" w:hAnsi="Arial" w:cs="Arial"/>
          <w:kern w:val="0"/>
          <w:lang w:eastAsia="en-GB"/>
          <w14:ligatures w14:val="none"/>
        </w:rPr>
        <w:t xml:space="preserve"> Available at: </w:t>
      </w:r>
      <w:hyperlink r:id="rId12" w:tgtFrame="_new" w:history="1">
        <w:r w:rsidRPr="00EC158D">
          <w:rPr>
            <w:rStyle w:val="Hyperlink"/>
            <w:rFonts w:ascii="Arial" w:eastAsia="Times New Roman" w:hAnsi="Arial" w:cs="Arial"/>
            <w:kern w:val="0"/>
            <w:lang w:eastAsia="en-GB"/>
            <w14:ligatures w14:val="none"/>
          </w:rPr>
          <w:t>https://developingchild.harvard.edu/science/key-concepts/brain-architecture/</w:t>
        </w:r>
      </w:hyperlink>
      <w:r w:rsidRPr="00EC158D">
        <w:rPr>
          <w:rFonts w:ascii="Arial" w:eastAsia="Times New Roman" w:hAnsi="Arial" w:cs="Arial"/>
          <w:kern w:val="0"/>
          <w:lang w:eastAsia="en-GB"/>
          <w14:ligatures w14:val="none"/>
        </w:rPr>
        <w:t xml:space="preserve"> [Accessed 8 Jun 2025].</w:t>
      </w:r>
    </w:p>
    <w:p w14:paraId="26AF30A3"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Department for Education (DfE). (2021) </w:t>
      </w:r>
      <w:r w:rsidRPr="00B23D7F">
        <w:rPr>
          <w:rFonts w:ascii="Arial" w:eastAsia="Times New Roman" w:hAnsi="Arial" w:cs="Arial"/>
          <w:i/>
          <w:iCs/>
          <w:kern w:val="0"/>
          <w:lang w:eastAsia="en-GB"/>
          <w14:ligatures w14:val="none"/>
        </w:rPr>
        <w:t>Statutory Framework for the Early Years Foundation Stage</w:t>
      </w:r>
      <w:r w:rsidRPr="00B23D7F">
        <w:rPr>
          <w:rFonts w:ascii="Arial" w:eastAsia="Times New Roman" w:hAnsi="Arial" w:cs="Arial"/>
          <w:kern w:val="0"/>
          <w:lang w:eastAsia="en-GB"/>
          <w14:ligatures w14:val="none"/>
        </w:rPr>
        <w:t>. London: DfE.</w:t>
      </w:r>
    </w:p>
    <w:p w14:paraId="29E99A35"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Donaldson, G. (2015). </w:t>
      </w:r>
      <w:r w:rsidRPr="00B23D7F">
        <w:rPr>
          <w:rFonts w:ascii="Arial" w:eastAsia="Times New Roman" w:hAnsi="Arial" w:cs="Arial"/>
          <w:i/>
          <w:iCs/>
          <w:kern w:val="0"/>
          <w:lang w:eastAsia="en-GB"/>
          <w14:ligatures w14:val="none"/>
        </w:rPr>
        <w:t>Successful Futures: Independent Review of Curriculum and Assessment Arrangements in Wales</w:t>
      </w:r>
      <w:r w:rsidRPr="00B23D7F">
        <w:rPr>
          <w:rFonts w:ascii="Arial" w:eastAsia="Times New Roman" w:hAnsi="Arial" w:cs="Arial"/>
          <w:kern w:val="0"/>
          <w:lang w:eastAsia="en-GB"/>
          <w14:ligatures w14:val="none"/>
        </w:rPr>
        <w:t xml:space="preserve">. Available at: </w:t>
      </w:r>
      <w:hyperlink r:id="rId13" w:history="1">
        <w:r w:rsidRPr="00B23D7F">
          <w:rPr>
            <w:rStyle w:val="Hyperlink"/>
            <w:rFonts w:ascii="Arial" w:eastAsia="Times New Roman" w:hAnsi="Arial" w:cs="Arial"/>
            <w:kern w:val="0"/>
            <w:lang w:eastAsia="en-GB"/>
            <w14:ligatures w14:val="none"/>
          </w:rPr>
          <w:t>https://www.gov.wales/sites/default/files/publications/2018-03/successful-futures.pdf</w:t>
        </w:r>
      </w:hyperlink>
      <w:r w:rsidRPr="00B23D7F">
        <w:rPr>
          <w:rFonts w:ascii="Arial" w:eastAsia="Times New Roman" w:hAnsi="Arial" w:cs="Arial"/>
          <w:kern w:val="0"/>
          <w:lang w:eastAsia="en-GB"/>
          <w14:ligatures w14:val="none"/>
        </w:rPr>
        <w:t xml:space="preserve"> (Accessed: 26</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01CDB78D"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Early Years Wales (2024) Early Years Wales welcomes Welsh Government’s renewed emphasis on the first 1,000 days. Available at: </w:t>
      </w:r>
      <w:hyperlink r:id="rId14" w:history="1">
        <w:r w:rsidRPr="00EC158D">
          <w:rPr>
            <w:rStyle w:val="Hyperlink"/>
            <w:rFonts w:ascii="Arial" w:eastAsia="Times New Roman" w:hAnsi="Arial" w:cs="Arial"/>
            <w:i/>
            <w:iCs/>
            <w:kern w:val="0"/>
            <w:lang w:eastAsia="en-GB"/>
            <w14:ligatures w14:val="none"/>
          </w:rPr>
          <w:t>https://www.earlyyears.wales/en/news/early-years-wales-welcomes-welsh-government%E2%80%99s-renewed-emphasis-first-1000-days</w:t>
        </w:r>
      </w:hyperlink>
      <w:r w:rsidRPr="00EC158D">
        <w:rPr>
          <w:rFonts w:ascii="Arial" w:eastAsia="Times New Roman" w:hAnsi="Arial" w:cs="Arial"/>
          <w:i/>
          <w:iCs/>
          <w:kern w:val="0"/>
          <w:lang w:eastAsia="en-GB"/>
          <w14:ligatures w14:val="none"/>
        </w:rPr>
        <w:t xml:space="preserve"> </w:t>
      </w:r>
      <w:r w:rsidRPr="00EC158D">
        <w:rPr>
          <w:rFonts w:ascii="Arial" w:eastAsia="Times New Roman" w:hAnsi="Arial" w:cs="Arial"/>
          <w:kern w:val="0"/>
          <w:lang w:eastAsia="en-GB"/>
          <w14:ligatures w14:val="none"/>
        </w:rPr>
        <w:t>(Accessed: 13</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4C075CF6"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lastRenderedPageBreak/>
        <w:t xml:space="preserve">Estyn (2021) Engagement work: Non-maintained sector update Autumn term 2021. Available at: </w:t>
      </w:r>
      <w:hyperlink r:id="rId15" w:anchor=":~:text=This%20report%20summarises%20the%20findings%20from%2057%20engagement,the%20information%20discussed%20with%20setting%20leaders%20and%20staff" w:history="1">
        <w:r w:rsidRPr="00EC158D">
          <w:rPr>
            <w:rStyle w:val="Hyperlink"/>
            <w:rFonts w:ascii="Arial" w:eastAsia="Times New Roman" w:hAnsi="Arial" w:cs="Arial"/>
            <w:kern w:val="0"/>
            <w:lang w:eastAsia="en-GB"/>
            <w14:ligatures w14:val="none"/>
          </w:rPr>
          <w:t>https://estyn.gov.wales/improvement-resources/engagement-work-non-maintained-sector-update-autumn-term-2021/#:~:text=This%20report%20summarises%20the%20findings%20from%2057%20engagement,the%20information%20discussed%20with%20setting%20leaders%20and%20staff</w:t>
        </w:r>
      </w:hyperlink>
      <w:r w:rsidRPr="00EC158D">
        <w:rPr>
          <w:rFonts w:ascii="Arial" w:eastAsia="Times New Roman" w:hAnsi="Arial" w:cs="Arial"/>
          <w:kern w:val="0"/>
          <w:lang w:eastAsia="en-GB"/>
          <w14:ligatures w14:val="none"/>
        </w:rPr>
        <w:t>. (Accessed: 14</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May 2025).</w:t>
      </w:r>
    </w:p>
    <w:p w14:paraId="518620CF"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Estyn. (2011). </w:t>
      </w:r>
      <w:r w:rsidRPr="00B23D7F">
        <w:rPr>
          <w:rFonts w:ascii="Arial" w:eastAsia="Times New Roman" w:hAnsi="Arial" w:cs="Arial"/>
          <w:i/>
          <w:iCs/>
          <w:kern w:val="0"/>
          <w:lang w:eastAsia="en-GB"/>
          <w14:ligatures w14:val="none"/>
        </w:rPr>
        <w:t>Literacy and the Foundation Phase An evaluation of the implementation of the Foundation Phase for five to six-year-olds in primary schools, with special reference to literacy.</w:t>
      </w:r>
      <w:r w:rsidRPr="00B23D7F">
        <w:rPr>
          <w:rFonts w:ascii="Arial" w:eastAsia="Times New Roman" w:hAnsi="Arial" w:cs="Arial"/>
          <w:kern w:val="0"/>
          <w:lang w:eastAsia="en-GB"/>
          <w14:ligatures w14:val="none"/>
        </w:rPr>
        <w:t xml:space="preserve"> Available at: </w:t>
      </w:r>
      <w:hyperlink r:id="rId16" w:history="1">
        <w:r w:rsidRPr="00B23D7F">
          <w:rPr>
            <w:rStyle w:val="Hyperlink"/>
            <w:rFonts w:ascii="Arial" w:eastAsia="Times New Roman" w:hAnsi="Arial" w:cs="Arial"/>
            <w:kern w:val="0"/>
            <w:lang w:eastAsia="en-GB"/>
            <w14:ligatures w14:val="none"/>
          </w:rPr>
          <w:t>https://www.estyn.gov.wales/system/files/2020-07/Literacy%2520and%2520the%2520Foundation%2520Phase%2520%2520-%2520September%25202011.pdf</w:t>
        </w:r>
      </w:hyperlink>
      <w:r w:rsidRPr="00B23D7F">
        <w:rPr>
          <w:rFonts w:ascii="Arial" w:eastAsia="Times New Roman" w:hAnsi="Arial" w:cs="Arial"/>
          <w:kern w:val="0"/>
          <w:lang w:eastAsia="en-GB"/>
          <w14:ligatures w14:val="none"/>
        </w:rPr>
        <w:t xml:space="preserve"> (Accessed: 26</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21A59512"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Evans, G. (2023) ‘A new dawn or false hope? Exploring the early implementation of Curriculum for Wales’, </w:t>
      </w:r>
      <w:r w:rsidRPr="00B23D7F">
        <w:rPr>
          <w:rFonts w:ascii="Arial" w:eastAsia="Times New Roman" w:hAnsi="Arial" w:cs="Arial"/>
          <w:i/>
          <w:iCs/>
          <w:kern w:val="0"/>
          <w:lang w:eastAsia="en-GB"/>
          <w14:ligatures w14:val="none"/>
        </w:rPr>
        <w:t>Education Inquiry</w:t>
      </w:r>
      <w:r w:rsidRPr="00B23D7F">
        <w:rPr>
          <w:rFonts w:ascii="Arial" w:eastAsia="Times New Roman" w:hAnsi="Arial" w:cs="Arial"/>
          <w:kern w:val="0"/>
          <w:lang w:eastAsia="en-GB"/>
          <w14:ligatures w14:val="none"/>
        </w:rPr>
        <w:t xml:space="preserve">, pp. 1–15. Available at: </w:t>
      </w:r>
      <w:hyperlink r:id="rId17" w:history="1">
        <w:r w:rsidRPr="00B23D7F">
          <w:rPr>
            <w:rStyle w:val="Hyperlink"/>
            <w:rFonts w:ascii="Arial" w:eastAsia="Times New Roman" w:hAnsi="Arial" w:cs="Arial"/>
            <w:kern w:val="0"/>
            <w:lang w:eastAsia="en-GB"/>
            <w14:ligatures w14:val="none"/>
          </w:rPr>
          <w:t>https://101080/20004508.2023.2297506</w:t>
        </w:r>
      </w:hyperlink>
      <w:r w:rsidRPr="00B23D7F">
        <w:rPr>
          <w:rFonts w:ascii="Arial" w:eastAsia="Times New Roman" w:hAnsi="Arial" w:cs="Arial"/>
          <w:kern w:val="0"/>
          <w:lang w:eastAsia="en-GB"/>
          <w14:ligatures w14:val="none"/>
        </w:rPr>
        <w:t xml:space="preserve"> (Accessed: 26</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 </w:t>
      </w:r>
    </w:p>
    <w:p w14:paraId="68548E48"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Fisher, J. (2022) ‘To play or not to play: teachers’ and headteachers’ perspectives on play-based approaches in transition from the Early Years Foundation Stage to Key Stage 1 in England,’ </w:t>
      </w:r>
      <w:r w:rsidRPr="00B23D7F">
        <w:rPr>
          <w:rFonts w:ascii="Arial" w:eastAsia="Times New Roman" w:hAnsi="Arial" w:cs="Arial"/>
          <w:i/>
          <w:iCs/>
          <w:kern w:val="0"/>
          <w:lang w:eastAsia="en-GB"/>
          <w14:ligatures w14:val="none"/>
        </w:rPr>
        <w:t>Education 3-13</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50</w:t>
      </w:r>
      <w:r w:rsidRPr="00B23D7F">
        <w:rPr>
          <w:rFonts w:ascii="Arial" w:eastAsia="Times New Roman" w:hAnsi="Arial" w:cs="Arial"/>
          <w:kern w:val="0"/>
          <w:lang w:eastAsia="en-GB"/>
          <w14:ligatures w14:val="none"/>
        </w:rPr>
        <w:t xml:space="preserve">(6), pp.803-815. Available at: </w:t>
      </w:r>
      <w:hyperlink r:id="rId18" w:history="1">
        <w:r w:rsidRPr="00B23D7F">
          <w:rPr>
            <w:rStyle w:val="Hyperlink"/>
            <w:rFonts w:ascii="Arial" w:eastAsia="Times New Roman" w:hAnsi="Arial" w:cs="Arial"/>
            <w:kern w:val="0"/>
            <w:lang w:eastAsia="en-GB"/>
            <w14:ligatures w14:val="none"/>
          </w:rPr>
          <w:t>https://www.tandfonline.com/doi/abs/10.1080/03004279.2021.1912136</w:t>
        </w:r>
      </w:hyperlink>
      <w:r w:rsidRPr="00B23D7F">
        <w:rPr>
          <w:rFonts w:ascii="Arial" w:eastAsia="Times New Roman" w:hAnsi="Arial" w:cs="Arial"/>
          <w:kern w:val="0"/>
          <w:lang w:eastAsia="en-GB"/>
          <w14:ligatures w14:val="none"/>
        </w:rPr>
        <w:t xml:space="preserve"> (Accessed: 28</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0EE34995"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Gov.uk (2013) </w:t>
      </w:r>
      <w:r w:rsidRPr="00B23D7F">
        <w:rPr>
          <w:rFonts w:ascii="Arial" w:eastAsia="Times New Roman" w:hAnsi="Arial" w:cs="Arial"/>
          <w:i/>
          <w:iCs/>
          <w:kern w:val="0"/>
          <w:lang w:eastAsia="en-GB"/>
          <w14:ligatures w14:val="none"/>
        </w:rPr>
        <w:t>The Equality Act 2010: Guidance</w:t>
      </w:r>
      <w:r w:rsidRPr="00B23D7F">
        <w:rPr>
          <w:rFonts w:ascii="Arial" w:eastAsia="Times New Roman" w:hAnsi="Arial" w:cs="Arial"/>
          <w:kern w:val="0"/>
          <w:lang w:eastAsia="en-GB"/>
          <w14:ligatures w14:val="none"/>
        </w:rPr>
        <w:t xml:space="preserve">. Available at </w:t>
      </w:r>
      <w:hyperlink r:id="rId19" w:history="1">
        <w:r w:rsidRPr="00B23D7F">
          <w:rPr>
            <w:rStyle w:val="Hyperlink"/>
            <w:rFonts w:ascii="Arial" w:eastAsia="Times New Roman" w:hAnsi="Arial" w:cs="Arial"/>
            <w:kern w:val="0"/>
            <w:lang w:eastAsia="en-GB"/>
            <w14:ligatures w14:val="none"/>
          </w:rPr>
          <w:t>https://www.gov.uk/guidance/equality-act-2010-guidance</w:t>
        </w:r>
      </w:hyperlink>
      <w:r w:rsidRPr="00B23D7F">
        <w:rPr>
          <w:rFonts w:ascii="Arial" w:eastAsia="Times New Roman" w:hAnsi="Arial" w:cs="Arial"/>
          <w:kern w:val="0"/>
          <w:lang w:eastAsia="en-GB"/>
          <w14:ligatures w14:val="none"/>
        </w:rPr>
        <w:t xml:space="preserve"> (Accessed: 4</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408AA269"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Gray, P. (2020) </w:t>
      </w:r>
      <w:r w:rsidRPr="00EC158D">
        <w:rPr>
          <w:rFonts w:ascii="Arial" w:eastAsia="Times New Roman" w:hAnsi="Arial" w:cs="Arial"/>
          <w:i/>
          <w:iCs/>
          <w:kern w:val="0"/>
          <w:lang w:eastAsia="en-GB"/>
          <w14:ligatures w14:val="none"/>
        </w:rPr>
        <w:t>Free to Learn: Why Unleashing the Instinct to Play Will Make Our Children Happier, More Self-Reliant, and Better Students for Life.</w:t>
      </w:r>
      <w:r w:rsidRPr="00EC158D">
        <w:rPr>
          <w:rFonts w:ascii="Arial" w:eastAsia="Times New Roman" w:hAnsi="Arial" w:cs="Arial"/>
          <w:kern w:val="0"/>
          <w:lang w:eastAsia="en-GB"/>
          <w14:ligatures w14:val="none"/>
        </w:rPr>
        <w:t xml:space="preserve"> New York: Basic Books.</w:t>
      </w:r>
    </w:p>
    <w:p w14:paraId="21856259"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Heckman, J. (2021) </w:t>
      </w:r>
      <w:r w:rsidRPr="00EC158D">
        <w:rPr>
          <w:rFonts w:ascii="Arial" w:eastAsia="Times New Roman" w:hAnsi="Arial" w:cs="Arial"/>
          <w:i/>
          <w:iCs/>
          <w:kern w:val="0"/>
          <w:lang w:eastAsia="en-GB"/>
          <w14:ligatures w14:val="none"/>
        </w:rPr>
        <w:t>There’s more to gain by taking a comprehensive approach to early childhood development</w:t>
      </w:r>
      <w:r w:rsidRPr="00EC158D">
        <w:rPr>
          <w:rFonts w:ascii="Arial" w:eastAsia="Times New Roman" w:hAnsi="Arial" w:cs="Arial"/>
          <w:kern w:val="0"/>
          <w:lang w:eastAsia="en-GB"/>
          <w14:ligatures w14:val="none"/>
        </w:rPr>
        <w:t xml:space="preserve">. Available at: </w:t>
      </w:r>
      <w:hyperlink r:id="rId20" w:tgtFrame="_new" w:history="1">
        <w:r w:rsidRPr="00EC158D">
          <w:rPr>
            <w:rStyle w:val="Hyperlink"/>
            <w:rFonts w:ascii="Arial" w:eastAsia="Times New Roman" w:hAnsi="Arial" w:cs="Arial"/>
            <w:kern w:val="0"/>
            <w:lang w:eastAsia="en-GB"/>
            <w14:ligatures w14:val="none"/>
          </w:rPr>
          <w:t>https://heckmanequation.org/</w:t>
        </w:r>
      </w:hyperlink>
      <w:r w:rsidRPr="00EC158D">
        <w:rPr>
          <w:rFonts w:ascii="Arial" w:eastAsia="Times New Roman" w:hAnsi="Arial" w:cs="Arial"/>
          <w:kern w:val="0"/>
          <w:lang w:eastAsia="en-GB"/>
          <w14:ligatures w14:val="none"/>
        </w:rPr>
        <w:t xml:space="preserve"> (Accessed 8th June 2025).</w:t>
      </w:r>
    </w:p>
    <w:p w14:paraId="151ABFC2"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Hodes, M. Gau, S.S.F. and De Vries, P.J. (2018) </w:t>
      </w:r>
      <w:r w:rsidRPr="00B23D7F">
        <w:rPr>
          <w:rFonts w:ascii="Arial" w:eastAsia="Times New Roman" w:hAnsi="Arial" w:cs="Arial"/>
          <w:i/>
          <w:iCs/>
          <w:kern w:val="0"/>
          <w:lang w:eastAsia="en-GB"/>
          <w14:ligatures w14:val="none"/>
        </w:rPr>
        <w:t>Understanding uniqueness and diversity in child and adolescent mental health</w:t>
      </w:r>
      <w:r w:rsidRPr="00B23D7F">
        <w:rPr>
          <w:rFonts w:ascii="Arial" w:eastAsia="Times New Roman" w:hAnsi="Arial" w:cs="Arial"/>
          <w:kern w:val="0"/>
          <w:lang w:eastAsia="en-GB"/>
          <w14:ligatures w14:val="none"/>
        </w:rPr>
        <w:t xml:space="preserve">. Academic Press. Available at: </w:t>
      </w:r>
      <w:hyperlink r:id="rId21" w:anchor="v=onepage&amp;q=why%20is%20understanding%20the%20child%20as%20unique%20important&amp;f=false" w:history="1">
        <w:r w:rsidRPr="00B23D7F">
          <w:rPr>
            <w:rStyle w:val="Hyperlink"/>
            <w:rFonts w:ascii="Arial" w:eastAsia="Times New Roman" w:hAnsi="Arial" w:cs="Arial"/>
            <w:kern w:val="0"/>
            <w:lang w:eastAsia="en-GB"/>
            <w14:ligatures w14:val="none"/>
          </w:rPr>
          <w:t>https://books.google.co.uk/books?hl=en&amp;lr=&amp;id=l11gDwAAQBAJ&amp;oi=fnd&amp;pg=PP1&amp;dq=why+is+understanding+the+child+as+unique+important&amp;ots=Jox6rMT0GW&amp;sig=QafmEr6C4GvRL-p2Jvi7e3CgbyY#v=onepage&amp;q=why%20is%20understanding%20the%20child%20as%20unique%20important&amp;f=false</w:t>
        </w:r>
      </w:hyperlink>
      <w:r w:rsidRPr="00B23D7F">
        <w:rPr>
          <w:rFonts w:ascii="Arial" w:eastAsia="Times New Roman" w:hAnsi="Arial" w:cs="Arial"/>
          <w:kern w:val="0"/>
          <w:lang w:eastAsia="en-GB"/>
          <w14:ligatures w14:val="none"/>
        </w:rPr>
        <w:t xml:space="preserve"> (Accessed: 1</w:t>
      </w:r>
      <w:r w:rsidRPr="00B23D7F">
        <w:rPr>
          <w:rFonts w:ascii="Arial" w:eastAsia="Times New Roman" w:hAnsi="Arial" w:cs="Arial"/>
          <w:kern w:val="0"/>
          <w:vertAlign w:val="superscript"/>
          <w:lang w:eastAsia="en-GB"/>
          <w14:ligatures w14:val="none"/>
        </w:rPr>
        <w:t>st</w:t>
      </w:r>
      <w:r w:rsidRPr="00B23D7F">
        <w:rPr>
          <w:rFonts w:ascii="Arial" w:eastAsia="Times New Roman" w:hAnsi="Arial" w:cs="Arial"/>
          <w:kern w:val="0"/>
          <w:lang w:eastAsia="en-GB"/>
          <w14:ligatures w14:val="none"/>
        </w:rPr>
        <w:t xml:space="preserve"> June 2025).</w:t>
      </w:r>
    </w:p>
    <w:p w14:paraId="3E3B3DA2"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Hulme, M. Priestley, M. &amp; Roddick, D. (2022). Curriculum reform in Wales: Realising the potential of autonomy. </w:t>
      </w:r>
      <w:r w:rsidRPr="00B23D7F">
        <w:rPr>
          <w:rFonts w:ascii="Arial" w:eastAsia="Times New Roman" w:hAnsi="Arial" w:cs="Arial"/>
          <w:i/>
          <w:iCs/>
          <w:kern w:val="0"/>
          <w:lang w:eastAsia="en-GB"/>
          <w14:ligatures w14:val="none"/>
        </w:rPr>
        <w:t>British Educational Research Journal</w:t>
      </w:r>
      <w:r w:rsidRPr="00B23D7F">
        <w:rPr>
          <w:rFonts w:ascii="Arial" w:eastAsia="Times New Roman" w:hAnsi="Arial" w:cs="Arial"/>
          <w:kern w:val="0"/>
          <w:lang w:eastAsia="en-GB"/>
          <w14:ligatures w14:val="none"/>
        </w:rPr>
        <w:t>, 48(1), pp.115–133.</w:t>
      </w:r>
    </w:p>
    <w:p w14:paraId="01B8469F"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Jones, C. and Lewis, G. (2020) ‘Language, culture and identity in Welsh-medium early childhood education’, </w:t>
      </w:r>
      <w:r w:rsidRPr="00B23D7F">
        <w:rPr>
          <w:rFonts w:ascii="Arial" w:eastAsia="Times New Roman" w:hAnsi="Arial" w:cs="Arial"/>
          <w:i/>
          <w:iCs/>
          <w:kern w:val="0"/>
          <w:lang w:eastAsia="en-GB"/>
          <w14:ligatures w14:val="none"/>
        </w:rPr>
        <w:t>Early Child Development and Care</w:t>
      </w:r>
      <w:r w:rsidRPr="00B23D7F">
        <w:rPr>
          <w:rFonts w:ascii="Arial" w:eastAsia="Times New Roman" w:hAnsi="Arial" w:cs="Arial"/>
          <w:kern w:val="0"/>
          <w:lang w:eastAsia="en-GB"/>
          <w14:ligatures w14:val="none"/>
        </w:rPr>
        <w:t xml:space="preserve">, 190(9), pp. 1370–1383. </w:t>
      </w:r>
    </w:p>
    <w:p w14:paraId="157A0247"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Joseph Rowntree Foundation (2023) </w:t>
      </w:r>
      <w:r w:rsidRPr="00EC158D">
        <w:rPr>
          <w:rFonts w:ascii="Arial" w:eastAsia="Times New Roman" w:hAnsi="Arial" w:cs="Arial"/>
          <w:i/>
          <w:iCs/>
          <w:kern w:val="0"/>
          <w:lang w:eastAsia="en-GB"/>
          <w14:ligatures w14:val="none"/>
        </w:rPr>
        <w:t>Child Poverty in Wales 2023.</w:t>
      </w:r>
      <w:r w:rsidRPr="00EC158D">
        <w:rPr>
          <w:rFonts w:ascii="Arial" w:eastAsia="Times New Roman" w:hAnsi="Arial" w:cs="Arial"/>
          <w:kern w:val="0"/>
          <w:lang w:eastAsia="en-GB"/>
          <w14:ligatures w14:val="none"/>
        </w:rPr>
        <w:t xml:space="preserve"> Available at: </w:t>
      </w:r>
      <w:hyperlink r:id="rId22" w:history="1">
        <w:r w:rsidRPr="00EC158D">
          <w:rPr>
            <w:rStyle w:val="Hyperlink"/>
            <w:rFonts w:ascii="Arial" w:eastAsia="Times New Roman" w:hAnsi="Arial" w:cs="Arial"/>
            <w:kern w:val="0"/>
            <w:lang w:eastAsia="en-GB"/>
            <w14:ligatures w14:val="none"/>
          </w:rPr>
          <w:t>https://www.jrf.org.uk/report/child-poverty-wales</w:t>
        </w:r>
      </w:hyperlink>
      <w:r w:rsidRPr="00EC158D">
        <w:rPr>
          <w:rFonts w:ascii="Arial" w:eastAsia="Times New Roman" w:hAnsi="Arial" w:cs="Arial"/>
          <w:kern w:val="0"/>
          <w:lang w:eastAsia="en-GB"/>
          <w14:ligatures w14:val="none"/>
        </w:rPr>
        <w:t xml:space="preserve"> (Accessed 8th June 2025).</w:t>
      </w:r>
    </w:p>
    <w:p w14:paraId="04B62056"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Lai, N.K. Ang, T.F. Por, L.Y. and Liew, C.S. (2018) ‘The impact of play on child development-a literature review’, </w:t>
      </w:r>
      <w:r w:rsidRPr="00EC158D">
        <w:rPr>
          <w:rFonts w:ascii="Arial" w:eastAsia="Times New Roman" w:hAnsi="Arial" w:cs="Arial"/>
          <w:i/>
          <w:iCs/>
          <w:kern w:val="0"/>
          <w:lang w:eastAsia="en-GB"/>
          <w14:ligatures w14:val="none"/>
        </w:rPr>
        <w:t>European Early Childhood Education Research Journal</w:t>
      </w:r>
      <w:r w:rsidRPr="00EC158D">
        <w:rPr>
          <w:rFonts w:ascii="Arial" w:eastAsia="Times New Roman" w:hAnsi="Arial" w:cs="Arial"/>
          <w:kern w:val="0"/>
          <w:lang w:eastAsia="en-GB"/>
          <w14:ligatures w14:val="none"/>
        </w:rPr>
        <w:t>, </w:t>
      </w:r>
      <w:r w:rsidRPr="00EC158D">
        <w:rPr>
          <w:rFonts w:ascii="Arial" w:eastAsia="Times New Roman" w:hAnsi="Arial" w:cs="Arial"/>
          <w:i/>
          <w:iCs/>
          <w:kern w:val="0"/>
          <w:lang w:eastAsia="en-GB"/>
          <w14:ligatures w14:val="none"/>
        </w:rPr>
        <w:t>26</w:t>
      </w:r>
      <w:r w:rsidRPr="00EC158D">
        <w:rPr>
          <w:rFonts w:ascii="Arial" w:eastAsia="Times New Roman" w:hAnsi="Arial" w:cs="Arial"/>
          <w:kern w:val="0"/>
          <w:lang w:eastAsia="en-GB"/>
          <w14:ligatures w14:val="none"/>
        </w:rPr>
        <w:t>(5), pp.625-643.</w:t>
      </w:r>
    </w:p>
    <w:p w14:paraId="5A0332BF"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proofErr w:type="spellStart"/>
      <w:r w:rsidRPr="00B23D7F">
        <w:rPr>
          <w:rFonts w:ascii="Arial" w:eastAsia="Times New Roman" w:hAnsi="Arial" w:cs="Arial"/>
          <w:kern w:val="0"/>
          <w:lang w:eastAsia="en-GB"/>
          <w14:ligatures w14:val="none"/>
        </w:rPr>
        <w:lastRenderedPageBreak/>
        <w:t>MacBlain</w:t>
      </w:r>
      <w:proofErr w:type="spellEnd"/>
      <w:r w:rsidRPr="00B23D7F">
        <w:rPr>
          <w:rFonts w:ascii="Arial" w:eastAsia="Times New Roman" w:hAnsi="Arial" w:cs="Arial"/>
          <w:kern w:val="0"/>
          <w:lang w:eastAsia="en-GB"/>
          <w14:ligatures w14:val="none"/>
        </w:rPr>
        <w:t xml:space="preserve">, S. (2018) </w:t>
      </w:r>
      <w:r w:rsidRPr="00B23D7F">
        <w:rPr>
          <w:rFonts w:ascii="Arial" w:eastAsia="Times New Roman" w:hAnsi="Arial" w:cs="Arial"/>
          <w:i/>
          <w:iCs/>
          <w:kern w:val="0"/>
          <w:lang w:eastAsia="en-GB"/>
          <w14:ligatures w14:val="none"/>
        </w:rPr>
        <w:t>Children’s Learning in Early Childhood</w:t>
      </w:r>
      <w:r w:rsidRPr="00B23D7F">
        <w:rPr>
          <w:rFonts w:ascii="Arial" w:eastAsia="Times New Roman" w:hAnsi="Arial" w:cs="Arial"/>
          <w:kern w:val="0"/>
          <w:lang w:eastAsia="en-GB"/>
          <w14:ligatures w14:val="none"/>
        </w:rPr>
        <w:t xml:space="preserve">. London: SAGE. </w:t>
      </w:r>
    </w:p>
    <w:p w14:paraId="47BEA95F"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proofErr w:type="spellStart"/>
      <w:r w:rsidRPr="00B23D7F">
        <w:rPr>
          <w:rFonts w:ascii="Arial" w:eastAsia="Times New Roman" w:hAnsi="Arial" w:cs="Arial"/>
          <w:kern w:val="0"/>
          <w:lang w:eastAsia="en-GB"/>
          <w14:ligatures w14:val="none"/>
        </w:rPr>
        <w:t>Malawat</w:t>
      </w:r>
      <w:proofErr w:type="spellEnd"/>
      <w:r w:rsidRPr="00B23D7F">
        <w:rPr>
          <w:rFonts w:ascii="Arial" w:eastAsia="Times New Roman" w:hAnsi="Arial" w:cs="Arial"/>
          <w:kern w:val="0"/>
          <w:lang w:eastAsia="en-GB"/>
          <w14:ligatures w14:val="none"/>
        </w:rPr>
        <w:t xml:space="preserve">, H. and Singh, G. (2024) ‘Rethinking Entrepreneurial Pedagogy: Holistic Approach </w:t>
      </w:r>
      <w:proofErr w:type="gramStart"/>
      <w:r w:rsidRPr="00B23D7F">
        <w:rPr>
          <w:rFonts w:ascii="Arial" w:eastAsia="Times New Roman" w:hAnsi="Arial" w:cs="Arial"/>
          <w:kern w:val="0"/>
          <w:lang w:eastAsia="en-GB"/>
          <w14:ligatures w14:val="none"/>
        </w:rPr>
        <w:t>From</w:t>
      </w:r>
      <w:proofErr w:type="gramEnd"/>
      <w:r w:rsidRPr="00B23D7F">
        <w:rPr>
          <w:rFonts w:ascii="Arial" w:eastAsia="Times New Roman" w:hAnsi="Arial" w:cs="Arial"/>
          <w:kern w:val="0"/>
          <w:lang w:eastAsia="en-GB"/>
          <w14:ligatures w14:val="none"/>
        </w:rPr>
        <w:t xml:space="preserve"> Pragmatism, Constructivism and Social-constructivism’, </w:t>
      </w:r>
      <w:r w:rsidRPr="00B23D7F">
        <w:rPr>
          <w:rFonts w:ascii="Arial" w:eastAsia="Times New Roman" w:hAnsi="Arial" w:cs="Arial"/>
          <w:i/>
          <w:iCs/>
          <w:kern w:val="0"/>
          <w:lang w:eastAsia="en-GB"/>
          <w14:ligatures w14:val="none"/>
        </w:rPr>
        <w:t>MSW Management Journal</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34</w:t>
      </w:r>
      <w:r w:rsidRPr="00B23D7F">
        <w:rPr>
          <w:rFonts w:ascii="Arial" w:eastAsia="Times New Roman" w:hAnsi="Arial" w:cs="Arial"/>
          <w:kern w:val="0"/>
          <w:lang w:eastAsia="en-GB"/>
          <w14:ligatures w14:val="none"/>
        </w:rPr>
        <w:t>(2), pp.205-225.</w:t>
      </w:r>
    </w:p>
    <w:p w14:paraId="78746F22"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Maynard, T. &amp; Chicken, S. (2010). ‘Through a different lens: Exploring Reggio Emilia in a Welsh context’, </w:t>
      </w:r>
      <w:r w:rsidRPr="00B23D7F">
        <w:rPr>
          <w:rFonts w:ascii="Arial" w:eastAsia="Times New Roman" w:hAnsi="Arial" w:cs="Arial"/>
          <w:i/>
          <w:iCs/>
          <w:kern w:val="0"/>
          <w:lang w:eastAsia="en-GB"/>
          <w14:ligatures w14:val="none"/>
        </w:rPr>
        <w:t>Early Years</w:t>
      </w:r>
      <w:r w:rsidRPr="00B23D7F">
        <w:rPr>
          <w:rFonts w:ascii="Arial" w:eastAsia="Times New Roman" w:hAnsi="Arial" w:cs="Arial"/>
          <w:kern w:val="0"/>
          <w:lang w:eastAsia="en-GB"/>
          <w14:ligatures w14:val="none"/>
        </w:rPr>
        <w:t xml:space="preserve">, 30(1), pp.29–39. </w:t>
      </w:r>
    </w:p>
    <w:p w14:paraId="25D87273"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Maynard, T. Waters, J. &amp; Clement, J. (2013) ‘Child-initiated learning, the outdoor environment and the ‘underachieving’ child,’ </w:t>
      </w:r>
      <w:r w:rsidRPr="00B23D7F">
        <w:rPr>
          <w:rFonts w:ascii="Arial" w:eastAsia="Times New Roman" w:hAnsi="Arial" w:cs="Arial"/>
          <w:i/>
          <w:iCs/>
          <w:kern w:val="0"/>
          <w:lang w:eastAsia="en-GB"/>
          <w14:ligatures w14:val="none"/>
        </w:rPr>
        <w:t>Early Years</w:t>
      </w:r>
      <w:r w:rsidRPr="00B23D7F">
        <w:rPr>
          <w:rFonts w:ascii="Arial" w:eastAsia="Times New Roman" w:hAnsi="Arial" w:cs="Arial"/>
          <w:kern w:val="0"/>
          <w:lang w:eastAsia="en-GB"/>
          <w14:ligatures w14:val="none"/>
        </w:rPr>
        <w:t>, 33(3), pp.212–225.</w:t>
      </w:r>
    </w:p>
    <w:p w14:paraId="7BAB6C6E"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McInnes, K. Howard, J. Miles, G. and Crowley, K. (2011) ‘Differences in practitioners’ understanding of play and how this influences pedagogy and children’s perceptions of play’, </w:t>
      </w:r>
      <w:r w:rsidRPr="00B23D7F">
        <w:rPr>
          <w:rFonts w:ascii="Arial" w:eastAsia="Times New Roman" w:hAnsi="Arial" w:cs="Arial"/>
          <w:i/>
          <w:iCs/>
          <w:kern w:val="0"/>
          <w:lang w:eastAsia="en-GB"/>
          <w14:ligatures w14:val="none"/>
        </w:rPr>
        <w:t>Early Years</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31</w:t>
      </w:r>
      <w:r w:rsidRPr="00B23D7F">
        <w:rPr>
          <w:rFonts w:ascii="Arial" w:eastAsia="Times New Roman" w:hAnsi="Arial" w:cs="Arial"/>
          <w:kern w:val="0"/>
          <w:lang w:eastAsia="en-GB"/>
          <w14:ligatures w14:val="none"/>
        </w:rPr>
        <w:t xml:space="preserve">(2), pp.121-133. Available at: </w:t>
      </w:r>
      <w:hyperlink r:id="rId23" w:history="1">
        <w:r w:rsidRPr="00B23D7F">
          <w:rPr>
            <w:rStyle w:val="Hyperlink"/>
            <w:rFonts w:ascii="Arial" w:eastAsia="Times New Roman" w:hAnsi="Arial" w:cs="Arial"/>
            <w:kern w:val="0"/>
            <w:lang w:eastAsia="en-GB"/>
            <w14:ligatures w14:val="none"/>
          </w:rPr>
          <w:t>https://www.tandfonline.com/doi/abs/10.1080/09575146.2011.572870</w:t>
        </w:r>
      </w:hyperlink>
      <w:r w:rsidRPr="00B23D7F">
        <w:rPr>
          <w:rFonts w:ascii="Arial" w:eastAsia="Times New Roman" w:hAnsi="Arial" w:cs="Arial"/>
          <w:kern w:val="0"/>
          <w:lang w:eastAsia="en-GB"/>
          <w14:ligatures w14:val="none"/>
        </w:rPr>
        <w:t xml:space="preserve"> (Accessed: 27</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7A6BC32D"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Medina, J.E.C. Poveda, D. and Ortíz, D.A.R. (2019) Education Quality: ‘Reflections </w:t>
      </w:r>
      <w:proofErr w:type="gramStart"/>
      <w:r w:rsidRPr="00B23D7F">
        <w:rPr>
          <w:rFonts w:ascii="Arial" w:eastAsia="Times New Roman" w:hAnsi="Arial" w:cs="Arial"/>
          <w:kern w:val="0"/>
          <w:lang w:eastAsia="en-GB"/>
          <w14:ligatures w14:val="none"/>
        </w:rPr>
        <w:t>On</w:t>
      </w:r>
      <w:proofErr w:type="gramEnd"/>
      <w:r w:rsidRPr="00B23D7F">
        <w:rPr>
          <w:rFonts w:ascii="Arial" w:eastAsia="Times New Roman" w:hAnsi="Arial" w:cs="Arial"/>
          <w:kern w:val="0"/>
          <w:lang w:eastAsia="en-GB"/>
          <w14:ligatures w14:val="none"/>
        </w:rPr>
        <w:t xml:space="preserve"> Its Evaluation Through Standardized Testing’, </w:t>
      </w:r>
      <w:r w:rsidRPr="00B23D7F">
        <w:rPr>
          <w:rFonts w:ascii="Arial" w:eastAsia="Times New Roman" w:hAnsi="Arial" w:cs="Arial"/>
          <w:i/>
          <w:iCs/>
          <w:kern w:val="0"/>
          <w:lang w:eastAsia="en-GB"/>
          <w14:ligatures w14:val="none"/>
        </w:rPr>
        <w:t xml:space="preserve">Saber, </w:t>
      </w:r>
      <w:proofErr w:type="spellStart"/>
      <w:r w:rsidRPr="00B23D7F">
        <w:rPr>
          <w:rFonts w:ascii="Arial" w:eastAsia="Times New Roman" w:hAnsi="Arial" w:cs="Arial"/>
          <w:i/>
          <w:iCs/>
          <w:kern w:val="0"/>
          <w:lang w:eastAsia="en-GB"/>
          <w14:ligatures w14:val="none"/>
        </w:rPr>
        <w:t>ciencia</w:t>
      </w:r>
      <w:proofErr w:type="spellEnd"/>
      <w:r w:rsidRPr="00B23D7F">
        <w:rPr>
          <w:rFonts w:ascii="Arial" w:eastAsia="Times New Roman" w:hAnsi="Arial" w:cs="Arial"/>
          <w:i/>
          <w:iCs/>
          <w:kern w:val="0"/>
          <w:lang w:eastAsia="en-GB"/>
          <w14:ligatures w14:val="none"/>
        </w:rPr>
        <w:t xml:space="preserve"> y </w:t>
      </w:r>
      <w:proofErr w:type="spellStart"/>
      <w:r w:rsidRPr="00B23D7F">
        <w:rPr>
          <w:rFonts w:ascii="Arial" w:eastAsia="Times New Roman" w:hAnsi="Arial" w:cs="Arial"/>
          <w:i/>
          <w:iCs/>
          <w:kern w:val="0"/>
          <w:lang w:eastAsia="en-GB"/>
          <w14:ligatures w14:val="none"/>
        </w:rPr>
        <w:t>libertad</w:t>
      </w:r>
      <w:proofErr w:type="spellEnd"/>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14</w:t>
      </w:r>
      <w:r w:rsidRPr="00B23D7F">
        <w:rPr>
          <w:rFonts w:ascii="Arial" w:eastAsia="Times New Roman" w:hAnsi="Arial" w:cs="Arial"/>
          <w:kern w:val="0"/>
          <w:lang w:eastAsia="en-GB"/>
          <w14:ligatures w14:val="none"/>
        </w:rPr>
        <w:t>(2), pp.247-255.</w:t>
      </w:r>
    </w:p>
    <w:p w14:paraId="132B8212"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Morrison, N. (2014) Too Much Too Soon: Why Children Should Spend More Time Playing </w:t>
      </w:r>
      <w:proofErr w:type="gramStart"/>
      <w:r w:rsidRPr="00EC158D">
        <w:rPr>
          <w:rFonts w:ascii="Arial" w:eastAsia="Times New Roman" w:hAnsi="Arial" w:cs="Arial"/>
          <w:kern w:val="0"/>
          <w:lang w:eastAsia="en-GB"/>
          <w14:ligatures w14:val="none"/>
        </w:rPr>
        <w:t>And</w:t>
      </w:r>
      <w:proofErr w:type="gramEnd"/>
      <w:r w:rsidRPr="00EC158D">
        <w:rPr>
          <w:rFonts w:ascii="Arial" w:eastAsia="Times New Roman" w:hAnsi="Arial" w:cs="Arial"/>
          <w:kern w:val="0"/>
          <w:lang w:eastAsia="en-GB"/>
          <w14:ligatures w14:val="none"/>
        </w:rPr>
        <w:t xml:space="preserve"> Start School Later. Available at: </w:t>
      </w:r>
      <w:hyperlink r:id="rId24" w:history="1">
        <w:r w:rsidRPr="00EC158D">
          <w:rPr>
            <w:rStyle w:val="Hyperlink"/>
            <w:rFonts w:ascii="Arial" w:eastAsia="Times New Roman" w:hAnsi="Arial" w:cs="Arial"/>
            <w:kern w:val="0"/>
            <w:lang w:eastAsia="en-GB"/>
            <w14:ligatures w14:val="none"/>
          </w:rPr>
          <w:t>https://www.forbes.com/sites/nickmorrison/2014/01/30/too-much-too-soon-why-children-should-spend-more-time-playing-and-start-school-later/</w:t>
        </w:r>
      </w:hyperlink>
      <w:r w:rsidRPr="00EC158D">
        <w:rPr>
          <w:rFonts w:ascii="Arial" w:eastAsia="Times New Roman" w:hAnsi="Arial" w:cs="Arial"/>
          <w:kern w:val="0"/>
          <w:lang w:eastAsia="en-GB"/>
          <w14:ligatures w14:val="none"/>
        </w:rPr>
        <w:t xml:space="preserve"> (Accessed: 10</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0729B599"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Moss, P. Urban, M. and Cameron, C. (2021) </w:t>
      </w:r>
      <w:r w:rsidRPr="00EC158D">
        <w:rPr>
          <w:rFonts w:ascii="Arial" w:eastAsia="Times New Roman" w:hAnsi="Arial" w:cs="Arial"/>
          <w:i/>
          <w:iCs/>
          <w:kern w:val="0"/>
          <w:lang w:eastAsia="en-GB"/>
          <w14:ligatures w14:val="none"/>
        </w:rPr>
        <w:t>Time to reimagine early childhood education and care.</w:t>
      </w:r>
      <w:r w:rsidRPr="00EC158D">
        <w:rPr>
          <w:rFonts w:ascii="Arial" w:eastAsia="Times New Roman" w:hAnsi="Arial" w:cs="Arial"/>
          <w:kern w:val="0"/>
          <w:lang w:eastAsia="en-GB"/>
          <w14:ligatures w14:val="none"/>
        </w:rPr>
        <w:t xml:space="preserve"> London: UCL Institute of Education.</w:t>
      </w:r>
    </w:p>
    <w:p w14:paraId="662865E1"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NAEYC (2018) </w:t>
      </w:r>
      <w:r w:rsidRPr="00B23D7F">
        <w:rPr>
          <w:rFonts w:ascii="Arial" w:eastAsia="Times New Roman" w:hAnsi="Arial" w:cs="Arial"/>
          <w:i/>
          <w:iCs/>
          <w:kern w:val="0"/>
          <w:lang w:eastAsia="en-GB"/>
          <w14:ligatures w14:val="none"/>
        </w:rPr>
        <w:t>Early Learning Program Accreditation Standards and Assessment Items.</w:t>
      </w:r>
      <w:r w:rsidRPr="00B23D7F">
        <w:rPr>
          <w:rFonts w:ascii="Arial" w:eastAsia="Times New Roman" w:hAnsi="Arial" w:cs="Arial"/>
          <w:kern w:val="0"/>
          <w:lang w:eastAsia="en-GB"/>
          <w14:ligatures w14:val="none"/>
        </w:rPr>
        <w:t xml:space="preserve"> Available at: </w:t>
      </w:r>
      <w:hyperlink r:id="rId25" w:history="1">
        <w:r w:rsidRPr="00B23D7F">
          <w:rPr>
            <w:rStyle w:val="Hyperlink"/>
            <w:rFonts w:ascii="Arial" w:eastAsia="Times New Roman" w:hAnsi="Arial" w:cs="Arial"/>
            <w:kern w:val="0"/>
            <w:lang w:eastAsia="en-GB"/>
            <w14:ligatures w14:val="none"/>
          </w:rPr>
          <w:t>https://issuu.com/naeyc/docs/standards_and_assessment_web</w:t>
        </w:r>
      </w:hyperlink>
      <w:r w:rsidRPr="00B23D7F">
        <w:rPr>
          <w:rFonts w:ascii="Arial" w:eastAsia="Times New Roman" w:hAnsi="Arial" w:cs="Arial"/>
          <w:kern w:val="0"/>
          <w:lang w:eastAsia="en-GB"/>
          <w14:ligatures w14:val="none"/>
        </w:rPr>
        <w:t xml:space="preserve"> (Accessed: 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36D94487"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National Day Nurseries Association (NDNA) (2023) </w:t>
      </w:r>
      <w:r w:rsidRPr="00EC158D">
        <w:rPr>
          <w:rFonts w:ascii="Arial" w:eastAsia="Times New Roman" w:hAnsi="Arial" w:cs="Arial"/>
          <w:i/>
          <w:iCs/>
          <w:kern w:val="0"/>
          <w:lang w:eastAsia="en-GB"/>
          <w14:ligatures w14:val="none"/>
        </w:rPr>
        <w:t>Workforce survey 2023: Wales.</w:t>
      </w:r>
      <w:r w:rsidRPr="00EC158D">
        <w:rPr>
          <w:rFonts w:ascii="Arial" w:eastAsia="Times New Roman" w:hAnsi="Arial" w:cs="Arial"/>
          <w:kern w:val="0"/>
          <w:lang w:eastAsia="en-GB"/>
          <w14:ligatures w14:val="none"/>
        </w:rPr>
        <w:t xml:space="preserve"> Available at: </w:t>
      </w:r>
      <w:hyperlink r:id="rId26" w:tgtFrame="_new" w:history="1">
        <w:r w:rsidRPr="00EC158D">
          <w:rPr>
            <w:rStyle w:val="Hyperlink"/>
            <w:rFonts w:ascii="Arial" w:eastAsia="Times New Roman" w:hAnsi="Arial" w:cs="Arial"/>
            <w:kern w:val="0"/>
            <w:lang w:eastAsia="en-GB"/>
            <w14:ligatures w14:val="none"/>
          </w:rPr>
          <w:t>https://www.ndna.org.uk</w:t>
        </w:r>
      </w:hyperlink>
      <w:r w:rsidRPr="00EC158D">
        <w:rPr>
          <w:rFonts w:ascii="Arial" w:eastAsia="Times New Roman" w:hAnsi="Arial" w:cs="Arial"/>
          <w:kern w:val="0"/>
          <w:lang w:eastAsia="en-GB"/>
          <w14:ligatures w14:val="none"/>
        </w:rPr>
        <w:t xml:space="preserve"> (Accessed 8</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4826B613"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Navarrete, A. (2015) </w:t>
      </w:r>
      <w:r w:rsidRPr="00B23D7F">
        <w:rPr>
          <w:rFonts w:ascii="Arial" w:eastAsia="Times New Roman" w:hAnsi="Arial" w:cs="Arial"/>
          <w:i/>
          <w:iCs/>
          <w:kern w:val="0"/>
          <w:lang w:eastAsia="en-GB"/>
          <w14:ligatures w14:val="none"/>
        </w:rPr>
        <w:t>Assessment in the Early Years: The Perspectives and Practices of Early Childhood Educators.</w:t>
      </w:r>
      <w:r w:rsidRPr="00B23D7F">
        <w:rPr>
          <w:rFonts w:ascii="Arial" w:eastAsia="Times New Roman" w:hAnsi="Arial" w:cs="Arial"/>
          <w:kern w:val="0"/>
          <w:lang w:eastAsia="en-GB"/>
          <w14:ligatures w14:val="none"/>
        </w:rPr>
        <w:t xml:space="preserve"> Available at: </w:t>
      </w:r>
      <w:hyperlink r:id="rId27" w:history="1">
        <w:r w:rsidRPr="00B23D7F">
          <w:rPr>
            <w:rStyle w:val="Hyperlink"/>
            <w:rFonts w:ascii="Arial" w:eastAsia="Times New Roman" w:hAnsi="Arial" w:cs="Arial"/>
            <w:kern w:val="0"/>
            <w:lang w:eastAsia="en-GB"/>
            <w14:ligatures w14:val="none"/>
          </w:rPr>
          <w:t>https://arrow.tudublin.ie/aaschssldis/89/</w:t>
        </w:r>
      </w:hyperlink>
      <w:r w:rsidRPr="00B23D7F">
        <w:rPr>
          <w:rFonts w:ascii="Arial" w:eastAsia="Times New Roman" w:hAnsi="Arial" w:cs="Arial"/>
          <w:kern w:val="0"/>
          <w:lang w:eastAsia="en-GB"/>
          <w14:ligatures w14:val="none"/>
        </w:rPr>
        <w:t xml:space="preserve"> (Accessed: 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1023D83D"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Newton, N (2018) </w:t>
      </w:r>
      <w:r w:rsidRPr="00B23D7F">
        <w:rPr>
          <w:rFonts w:ascii="Arial" w:eastAsia="Times New Roman" w:hAnsi="Arial" w:cs="Arial"/>
          <w:i/>
          <w:iCs/>
          <w:kern w:val="0"/>
          <w:lang w:eastAsia="en-GB"/>
          <w14:ligatures w14:val="none"/>
        </w:rPr>
        <w:t>Hopes and Fears: The development of a new curriculum in Wales.</w:t>
      </w:r>
      <w:r w:rsidRPr="00B23D7F">
        <w:rPr>
          <w:rFonts w:ascii="Arial" w:eastAsia="Times New Roman" w:hAnsi="Arial" w:cs="Arial"/>
          <w:kern w:val="0"/>
          <w:lang w:eastAsia="en-GB"/>
          <w14:ligatures w14:val="none"/>
        </w:rPr>
        <w:t xml:space="preserve"> Available at: </w:t>
      </w:r>
      <w:hyperlink r:id="rId28" w:history="1">
        <w:r w:rsidRPr="00B23D7F">
          <w:rPr>
            <w:rStyle w:val="Hyperlink"/>
            <w:rFonts w:ascii="Arial" w:eastAsia="Times New Roman" w:hAnsi="Arial" w:cs="Arial"/>
            <w:kern w:val="0"/>
            <w:lang w:eastAsia="en-GB"/>
            <w14:ligatures w14:val="none"/>
          </w:rPr>
          <w:t>https://www.bera.ac.uk/blog/hopes-and-fears-the-development-of-a-new-curriculum-in-wales</w:t>
        </w:r>
      </w:hyperlink>
      <w:r w:rsidRPr="00B23D7F">
        <w:rPr>
          <w:rFonts w:ascii="Arial" w:eastAsia="Times New Roman" w:hAnsi="Arial" w:cs="Arial"/>
          <w:kern w:val="0"/>
          <w:lang w:eastAsia="en-GB"/>
          <w14:ligatures w14:val="none"/>
        </w:rPr>
        <w:t xml:space="preserve"> (Accessed: 28</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4A2B4DC3"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Newton, N (no date) </w:t>
      </w:r>
      <w:r w:rsidRPr="00B23D7F">
        <w:rPr>
          <w:rFonts w:ascii="Arial" w:eastAsia="Times New Roman" w:hAnsi="Arial" w:cs="Arial"/>
          <w:i/>
          <w:iCs/>
          <w:kern w:val="0"/>
          <w:lang w:eastAsia="en-GB"/>
          <w14:ligatures w14:val="none"/>
        </w:rPr>
        <w:t>Teachers’ perspectives on the development of the new curriculum for Wales.</w:t>
      </w:r>
      <w:r w:rsidRPr="00B23D7F">
        <w:rPr>
          <w:rFonts w:ascii="Arial" w:eastAsia="Times New Roman" w:hAnsi="Arial" w:cs="Arial"/>
          <w:kern w:val="0"/>
          <w:lang w:eastAsia="en-GB"/>
          <w14:ligatures w14:val="none"/>
        </w:rPr>
        <w:t xml:space="preserve"> Available at: </w:t>
      </w:r>
      <w:hyperlink r:id="rId29" w:history="1">
        <w:r w:rsidRPr="00B23D7F">
          <w:rPr>
            <w:rStyle w:val="Hyperlink"/>
            <w:rFonts w:ascii="Arial" w:eastAsia="Times New Roman" w:hAnsi="Arial" w:cs="Arial"/>
            <w:kern w:val="0"/>
            <w:lang w:eastAsia="en-GB"/>
            <w14:ligatures w14:val="none"/>
          </w:rPr>
          <w:t>https://busnes.senedd.cymru/documents/s95980/Powerpoint%20-%2014%20Tachwedd%202019%20-%20Saesneg%20yn%20Unig.pdf</w:t>
        </w:r>
      </w:hyperlink>
      <w:r w:rsidRPr="00B23D7F">
        <w:rPr>
          <w:rFonts w:ascii="Arial" w:eastAsia="Times New Roman" w:hAnsi="Arial" w:cs="Arial"/>
          <w:kern w:val="0"/>
          <w:lang w:eastAsia="en-GB"/>
          <w14:ligatures w14:val="none"/>
        </w:rPr>
        <w:t xml:space="preserve"> (Accessed: 27</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7A53151E"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Nieminen, J. H. (2024) ‘How does assessment shape student identities? An integrative review’, </w:t>
      </w:r>
      <w:r w:rsidRPr="00B23D7F">
        <w:rPr>
          <w:rFonts w:ascii="Arial" w:eastAsia="Times New Roman" w:hAnsi="Arial" w:cs="Arial"/>
          <w:i/>
          <w:iCs/>
          <w:kern w:val="0"/>
          <w:lang w:eastAsia="en-GB"/>
          <w14:ligatures w14:val="none"/>
        </w:rPr>
        <w:t>Studies in Higher Education</w:t>
      </w:r>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50</w:t>
      </w:r>
      <w:r w:rsidRPr="00B23D7F">
        <w:rPr>
          <w:rFonts w:ascii="Arial" w:eastAsia="Times New Roman" w:hAnsi="Arial" w:cs="Arial"/>
          <w:kern w:val="0"/>
          <w:lang w:eastAsia="en-GB"/>
          <w14:ligatures w14:val="none"/>
        </w:rPr>
        <w:t xml:space="preserve">(2), 287–305. </w:t>
      </w:r>
      <w:hyperlink r:id="rId30" w:history="1">
        <w:r w:rsidRPr="00B23D7F">
          <w:rPr>
            <w:rStyle w:val="Hyperlink"/>
            <w:rFonts w:ascii="Arial" w:eastAsia="Times New Roman" w:hAnsi="Arial" w:cs="Arial"/>
            <w:kern w:val="0"/>
            <w:lang w:eastAsia="en-GB"/>
            <w14:ligatures w14:val="none"/>
          </w:rPr>
          <w:t>https://doi.org/10.1080/03075079.2024.2334844</w:t>
        </w:r>
      </w:hyperlink>
      <w:r w:rsidRPr="00B23D7F">
        <w:rPr>
          <w:rFonts w:ascii="Arial" w:eastAsia="Times New Roman" w:hAnsi="Arial" w:cs="Arial"/>
          <w:kern w:val="0"/>
          <w:lang w:eastAsia="en-GB"/>
          <w14:ligatures w14:val="none"/>
        </w:rPr>
        <w:t xml:space="preserve"> (Accessed: 2</w:t>
      </w:r>
      <w:r w:rsidRPr="00B23D7F">
        <w:rPr>
          <w:rFonts w:ascii="Arial" w:eastAsia="Times New Roman" w:hAnsi="Arial" w:cs="Arial"/>
          <w:kern w:val="0"/>
          <w:vertAlign w:val="superscript"/>
          <w:lang w:eastAsia="en-GB"/>
          <w14:ligatures w14:val="none"/>
        </w:rPr>
        <w:t>nd</w:t>
      </w:r>
      <w:r w:rsidRPr="00B23D7F">
        <w:rPr>
          <w:rFonts w:ascii="Arial" w:eastAsia="Times New Roman" w:hAnsi="Arial" w:cs="Arial"/>
          <w:kern w:val="0"/>
          <w:lang w:eastAsia="en-GB"/>
          <w14:ligatures w14:val="none"/>
        </w:rPr>
        <w:t xml:space="preserve"> June 2025).</w:t>
      </w:r>
    </w:p>
    <w:p w14:paraId="605E1396"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lastRenderedPageBreak/>
        <w:t xml:space="preserve">NSPCC (2021) </w:t>
      </w:r>
      <w:r w:rsidRPr="00EC158D">
        <w:rPr>
          <w:rFonts w:ascii="Arial" w:eastAsia="Times New Roman" w:hAnsi="Arial" w:cs="Arial"/>
          <w:i/>
          <w:iCs/>
          <w:kern w:val="0"/>
          <w:lang w:eastAsia="en-GB"/>
          <w14:ligatures w14:val="none"/>
        </w:rPr>
        <w:t>Why early years matter.</w:t>
      </w:r>
      <w:r w:rsidRPr="00EC158D">
        <w:rPr>
          <w:rFonts w:ascii="Arial" w:eastAsia="Times New Roman" w:hAnsi="Arial" w:cs="Arial"/>
          <w:kern w:val="0"/>
          <w:lang w:eastAsia="en-GB"/>
          <w14:ligatures w14:val="none"/>
        </w:rPr>
        <w:t xml:space="preserve"> Available at: </w:t>
      </w:r>
      <w:hyperlink r:id="rId31" w:tgtFrame="_new" w:history="1">
        <w:r w:rsidRPr="00EC158D">
          <w:rPr>
            <w:rStyle w:val="Hyperlink"/>
            <w:rFonts w:ascii="Arial" w:eastAsia="Times New Roman" w:hAnsi="Arial" w:cs="Arial"/>
            <w:kern w:val="0"/>
            <w:lang w:eastAsia="en-GB"/>
            <w14:ligatures w14:val="none"/>
          </w:rPr>
          <w:t>https://www.nspcc.org.uk</w:t>
        </w:r>
      </w:hyperlink>
      <w:r w:rsidRPr="00EC158D">
        <w:rPr>
          <w:rFonts w:ascii="Arial" w:eastAsia="Times New Roman" w:hAnsi="Arial" w:cs="Arial"/>
          <w:kern w:val="0"/>
          <w:lang w:eastAsia="en-GB"/>
          <w14:ligatures w14:val="none"/>
        </w:rPr>
        <w:t xml:space="preserve"> (Accessed 8</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14224CB8"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NSPCC (2024) </w:t>
      </w:r>
      <w:r w:rsidRPr="00B23D7F">
        <w:rPr>
          <w:rFonts w:ascii="Arial" w:eastAsia="Times New Roman" w:hAnsi="Arial" w:cs="Arial"/>
          <w:i/>
          <w:iCs/>
          <w:kern w:val="0"/>
          <w:lang w:eastAsia="en-GB"/>
          <w14:ligatures w14:val="none"/>
        </w:rPr>
        <w:t>How can we hear and facilitate the voice of the child?</w:t>
      </w:r>
      <w:r w:rsidRPr="00B23D7F">
        <w:rPr>
          <w:rFonts w:ascii="Arial" w:eastAsia="Times New Roman" w:hAnsi="Arial" w:cs="Arial"/>
          <w:kern w:val="0"/>
          <w:lang w:eastAsia="en-GB"/>
          <w14:ligatures w14:val="none"/>
        </w:rPr>
        <w:t xml:space="preserve"> Available at: </w:t>
      </w:r>
      <w:hyperlink r:id="rId32" w:history="1">
        <w:r w:rsidRPr="00B23D7F">
          <w:rPr>
            <w:rStyle w:val="Hyperlink"/>
            <w:rFonts w:ascii="Arial" w:eastAsia="Times New Roman" w:hAnsi="Arial" w:cs="Arial"/>
            <w:kern w:val="0"/>
            <w:lang w:eastAsia="en-GB"/>
            <w14:ligatures w14:val="none"/>
          </w:rPr>
          <w:t>https://learning.nspcc.org.uk/research-resources/practice-points-series/voice-child</w:t>
        </w:r>
      </w:hyperlink>
      <w:r w:rsidRPr="00B23D7F">
        <w:rPr>
          <w:rFonts w:ascii="Arial" w:eastAsia="Times New Roman" w:hAnsi="Arial" w:cs="Arial"/>
          <w:kern w:val="0"/>
          <w:lang w:eastAsia="en-GB"/>
          <w14:ligatures w14:val="none"/>
        </w:rPr>
        <w:t xml:space="preserve">  (Accessed: 28</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02E5DF8D" w14:textId="77777777" w:rsidR="00F409BA" w:rsidRPr="000756C2" w:rsidRDefault="00F409BA">
      <w:pPr>
        <w:rPr>
          <w:rFonts w:ascii="Arial" w:hAnsi="Arial" w:cs="Arial"/>
        </w:rPr>
      </w:pPr>
      <w:r w:rsidRPr="000756C2">
        <w:rPr>
          <w:rFonts w:ascii="Arial" w:hAnsi="Arial" w:cs="Arial"/>
        </w:rPr>
        <w:t>Nutbr</w:t>
      </w:r>
      <w:r>
        <w:rPr>
          <w:rFonts w:ascii="Arial" w:hAnsi="Arial" w:cs="Arial"/>
        </w:rPr>
        <w:t>own, K (2012)</w:t>
      </w:r>
      <w:r w:rsidRPr="000756C2">
        <w:rPr>
          <w:rFonts w:ascii="Arial" w:hAnsi="Arial" w:cs="Arial"/>
        </w:rPr>
        <w:t xml:space="preserve"> The independent review of early education and childcare qualifications</w:t>
      </w:r>
      <w:r>
        <w:rPr>
          <w:rFonts w:ascii="Arial" w:hAnsi="Arial" w:cs="Arial"/>
        </w:rPr>
        <w:t>:</w:t>
      </w:r>
      <w:r w:rsidRPr="000756C2">
        <w:rPr>
          <w:rFonts w:ascii="Arial" w:hAnsi="Arial" w:cs="Arial"/>
        </w:rPr>
        <w:t xml:space="preserve"> Final Report</w:t>
      </w:r>
      <w:r>
        <w:rPr>
          <w:rFonts w:ascii="Arial" w:hAnsi="Arial" w:cs="Arial"/>
        </w:rPr>
        <w:t xml:space="preserve">. Available at: </w:t>
      </w:r>
      <w:hyperlink r:id="rId33" w:history="1">
        <w:r w:rsidRPr="00566EAF">
          <w:rPr>
            <w:rStyle w:val="Hyperlink"/>
            <w:rFonts w:ascii="Arial" w:hAnsi="Arial" w:cs="Arial"/>
          </w:rPr>
          <w:t>https://assets.publishing.service.gov.uk/media/5a74af28ed915d0e8e39a315/Nutbrown-Review.pdf</w:t>
        </w:r>
      </w:hyperlink>
      <w:r>
        <w:rPr>
          <w:rFonts w:ascii="Arial" w:hAnsi="Arial" w:cs="Arial"/>
        </w:rPr>
        <w:t xml:space="preserve"> (Accessed: 14</w:t>
      </w:r>
      <w:r w:rsidRPr="000756C2">
        <w:rPr>
          <w:rFonts w:ascii="Arial" w:hAnsi="Arial" w:cs="Arial"/>
          <w:vertAlign w:val="superscript"/>
        </w:rPr>
        <w:t>th</w:t>
      </w:r>
      <w:r>
        <w:rPr>
          <w:rFonts w:ascii="Arial" w:hAnsi="Arial" w:cs="Arial"/>
        </w:rPr>
        <w:t xml:space="preserve"> June 2025).</w:t>
      </w:r>
    </w:p>
    <w:p w14:paraId="47BDDA3F"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OECD (2017) </w:t>
      </w:r>
      <w:r w:rsidRPr="00EC158D">
        <w:rPr>
          <w:rFonts w:ascii="Arial" w:eastAsia="Times New Roman" w:hAnsi="Arial" w:cs="Arial"/>
          <w:i/>
          <w:iCs/>
          <w:kern w:val="0"/>
          <w:lang w:eastAsia="en-GB"/>
          <w14:ligatures w14:val="none"/>
        </w:rPr>
        <w:t>Starting Strong V: Transitions from Early Childhood Education and Care to Primary Education.</w:t>
      </w:r>
      <w:r w:rsidRPr="00EC158D">
        <w:rPr>
          <w:rFonts w:ascii="Arial" w:eastAsia="Times New Roman" w:hAnsi="Arial" w:cs="Arial"/>
          <w:kern w:val="0"/>
          <w:lang w:eastAsia="en-GB"/>
          <w14:ligatures w14:val="none"/>
        </w:rPr>
        <w:t xml:space="preserve"> Paris: OECD Publishing. Available at: </w:t>
      </w:r>
      <w:hyperlink r:id="rId34" w:history="1">
        <w:r w:rsidRPr="00EC158D">
          <w:rPr>
            <w:rStyle w:val="Hyperlink"/>
            <w:rFonts w:ascii="Arial" w:eastAsia="Times New Roman" w:hAnsi="Arial" w:cs="Arial"/>
            <w:kern w:val="0"/>
            <w:lang w:eastAsia="en-GB"/>
            <w14:ligatures w14:val="none"/>
          </w:rPr>
          <w:t>https://www.oecd.org/en/publications/starting-strong-v_9789264276253-en.htmlOECD</w:t>
        </w:r>
      </w:hyperlink>
      <w:r w:rsidRPr="00EC158D">
        <w:rPr>
          <w:rFonts w:ascii="Arial" w:eastAsia="Times New Roman" w:hAnsi="Arial" w:cs="Arial"/>
          <w:kern w:val="0"/>
          <w:lang w:eastAsia="en-GB"/>
          <w14:ligatures w14:val="none"/>
        </w:rPr>
        <w:t xml:space="preserve"> (Accessed: 8</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596A7B4E" w14:textId="64B6F4B0"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PACEY Cymru</w:t>
      </w:r>
      <w:r w:rsidR="006E0929">
        <w:rPr>
          <w:rFonts w:ascii="Arial" w:eastAsia="Times New Roman" w:hAnsi="Arial" w:cs="Arial"/>
          <w:kern w:val="0"/>
          <w:lang w:eastAsia="en-GB"/>
          <w14:ligatures w14:val="none"/>
        </w:rPr>
        <w:t xml:space="preserve"> (</w:t>
      </w:r>
      <w:r w:rsidRPr="00EC158D">
        <w:rPr>
          <w:rFonts w:ascii="Arial" w:eastAsia="Times New Roman" w:hAnsi="Arial" w:cs="Arial"/>
          <w:kern w:val="0"/>
          <w:lang w:eastAsia="en-GB"/>
          <w14:ligatures w14:val="none"/>
        </w:rPr>
        <w:t>2022</w:t>
      </w:r>
      <w:r w:rsidR="006E0929">
        <w:rPr>
          <w:rFonts w:ascii="Arial" w:eastAsia="Times New Roman" w:hAnsi="Arial" w:cs="Arial"/>
          <w:kern w:val="0"/>
          <w:lang w:eastAsia="en-GB"/>
          <w14:ligatures w14:val="none"/>
        </w:rPr>
        <w:t>)</w:t>
      </w:r>
      <w:r w:rsidRPr="00EC158D">
        <w:rPr>
          <w:rFonts w:ascii="Arial" w:eastAsia="Times New Roman" w:hAnsi="Arial" w:cs="Arial"/>
          <w:kern w:val="0"/>
          <w:lang w:eastAsia="en-GB"/>
          <w14:ligatures w14:val="none"/>
        </w:rPr>
        <w:t xml:space="preserve"> </w:t>
      </w:r>
      <w:r w:rsidRPr="00EC158D">
        <w:rPr>
          <w:rFonts w:ascii="Arial" w:eastAsia="Times New Roman" w:hAnsi="Arial" w:cs="Arial"/>
          <w:i/>
          <w:iCs/>
          <w:kern w:val="0"/>
          <w:lang w:eastAsia="en-GB"/>
          <w14:ligatures w14:val="none"/>
        </w:rPr>
        <w:t>The early years workforce in Wales: A state of crisis?</w:t>
      </w:r>
      <w:r w:rsidRPr="00EC158D">
        <w:rPr>
          <w:rFonts w:ascii="Arial" w:eastAsia="Times New Roman" w:hAnsi="Arial" w:cs="Arial"/>
          <w:kern w:val="0"/>
          <w:lang w:eastAsia="en-GB"/>
          <w14:ligatures w14:val="none"/>
        </w:rPr>
        <w:t xml:space="preserve"> Cardiff: PACEY.</w:t>
      </w:r>
    </w:p>
    <w:p w14:paraId="650936B3"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Peterson, G. and Elam, E. (2020) ‘Observation and Assessment in Early Childhood Education’, </w:t>
      </w:r>
      <w:r w:rsidRPr="00B23D7F">
        <w:rPr>
          <w:rFonts w:ascii="Arial" w:eastAsia="Times New Roman" w:hAnsi="Arial" w:cs="Arial"/>
          <w:i/>
          <w:iCs/>
          <w:kern w:val="0"/>
          <w:lang w:eastAsia="en-GB"/>
          <w14:ligatures w14:val="none"/>
        </w:rPr>
        <w:t xml:space="preserve">An Open Educational Resources Publication by College of the Canyons. </w:t>
      </w:r>
      <w:r w:rsidRPr="00B23D7F">
        <w:rPr>
          <w:rFonts w:ascii="Arial" w:eastAsia="Times New Roman" w:hAnsi="Arial" w:cs="Arial"/>
          <w:kern w:val="0"/>
          <w:lang w:eastAsia="en-GB"/>
          <w14:ligatures w14:val="none"/>
        </w:rPr>
        <w:t xml:space="preserve">Available at: </w:t>
      </w:r>
      <w:hyperlink r:id="rId35" w:history="1">
        <w:r w:rsidRPr="00B23D7F">
          <w:rPr>
            <w:rStyle w:val="Hyperlink"/>
            <w:rFonts w:ascii="Arial" w:eastAsia="Times New Roman" w:hAnsi="Arial" w:cs="Arial"/>
            <w:kern w:val="0"/>
            <w:lang w:eastAsia="en-GB"/>
            <w14:ligatures w14:val="none"/>
          </w:rPr>
          <w:t>https://www.ltcc.edu/campusresources/ece124observationandassessmentoerbook.pdf</w:t>
        </w:r>
      </w:hyperlink>
      <w:r w:rsidRPr="00B23D7F">
        <w:rPr>
          <w:rFonts w:ascii="Arial" w:eastAsia="Times New Roman" w:hAnsi="Arial" w:cs="Arial"/>
          <w:kern w:val="0"/>
          <w:lang w:eastAsia="en-GB"/>
          <w14:ligatures w14:val="none"/>
        </w:rPr>
        <w:t xml:space="preserve"> (Accessed: 4</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June 2025).</w:t>
      </w:r>
    </w:p>
    <w:p w14:paraId="2D84694A"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proofErr w:type="spellStart"/>
      <w:r w:rsidRPr="00EC158D">
        <w:rPr>
          <w:rFonts w:ascii="Arial" w:eastAsia="Times New Roman" w:hAnsi="Arial" w:cs="Arial"/>
          <w:kern w:val="0"/>
          <w:lang w:eastAsia="en-GB"/>
          <w14:ligatures w14:val="none"/>
        </w:rPr>
        <w:t>Pistorova</w:t>
      </w:r>
      <w:proofErr w:type="spellEnd"/>
      <w:r w:rsidRPr="00EC158D">
        <w:rPr>
          <w:rFonts w:ascii="Arial" w:eastAsia="Times New Roman" w:hAnsi="Arial" w:cs="Arial"/>
          <w:kern w:val="0"/>
          <w:lang w:eastAsia="en-GB"/>
          <w14:ligatures w14:val="none"/>
        </w:rPr>
        <w:t>, S. and Slutsky, R. (2020) ‘There is still nothing better than quality play experiences for young children's learning and development: building the foundation for inquiry in our educational practices’, In </w:t>
      </w:r>
      <w:r w:rsidRPr="00EC158D">
        <w:rPr>
          <w:rFonts w:ascii="Arial" w:eastAsia="Times New Roman" w:hAnsi="Arial" w:cs="Arial"/>
          <w:i/>
          <w:iCs/>
          <w:kern w:val="0"/>
          <w:lang w:eastAsia="en-GB"/>
          <w14:ligatures w14:val="none"/>
        </w:rPr>
        <w:t>Early Childhood Education and Care Quality in Europe and the USA</w:t>
      </w:r>
      <w:r w:rsidRPr="00EC158D">
        <w:rPr>
          <w:rFonts w:ascii="Arial" w:eastAsia="Times New Roman" w:hAnsi="Arial" w:cs="Arial"/>
          <w:kern w:val="0"/>
          <w:lang w:eastAsia="en-GB"/>
          <w14:ligatures w14:val="none"/>
        </w:rPr>
        <w:t>, pp. 5-17. Routledge.</w:t>
      </w:r>
    </w:p>
    <w:p w14:paraId="4BC803D0"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Play Wales (n.d.) </w:t>
      </w:r>
      <w:r w:rsidRPr="00EC158D">
        <w:rPr>
          <w:rFonts w:ascii="Arial" w:eastAsia="Times New Roman" w:hAnsi="Arial" w:cs="Arial"/>
          <w:i/>
          <w:iCs/>
          <w:kern w:val="0"/>
          <w:lang w:eastAsia="en-GB"/>
          <w14:ligatures w14:val="none"/>
        </w:rPr>
        <w:t>Play sufficiency.</w:t>
      </w:r>
      <w:r w:rsidRPr="00EC158D">
        <w:rPr>
          <w:rFonts w:ascii="Arial" w:eastAsia="Times New Roman" w:hAnsi="Arial" w:cs="Arial"/>
          <w:kern w:val="0"/>
          <w:lang w:eastAsia="en-GB"/>
          <w14:ligatures w14:val="none"/>
        </w:rPr>
        <w:t xml:space="preserve"> </w:t>
      </w:r>
      <w:hyperlink r:id="rId36" w:history="1">
        <w:r w:rsidRPr="00EC158D">
          <w:rPr>
            <w:rStyle w:val="Hyperlink"/>
            <w:rFonts w:ascii="Arial" w:eastAsia="Times New Roman" w:hAnsi="Arial" w:cs="Arial"/>
            <w:kern w:val="0"/>
            <w:lang w:eastAsia="en-GB"/>
            <w14:ligatures w14:val="none"/>
          </w:rPr>
          <w:t>https://play.wales/play-policy-legislation/play-sufficiency/</w:t>
        </w:r>
      </w:hyperlink>
      <w:r w:rsidRPr="00EC158D">
        <w:rPr>
          <w:rFonts w:ascii="Arial" w:eastAsia="Times New Roman" w:hAnsi="Arial" w:cs="Arial"/>
          <w:kern w:val="0"/>
          <w:lang w:eastAsia="en-GB"/>
          <w14:ligatures w14:val="none"/>
        </w:rPr>
        <w:t xml:space="preserve"> (Accessed: 13</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53472AC9"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Pyle, A. </w:t>
      </w:r>
      <w:proofErr w:type="spellStart"/>
      <w:r w:rsidRPr="00EC158D">
        <w:rPr>
          <w:rFonts w:ascii="Arial" w:eastAsia="Times New Roman" w:hAnsi="Arial" w:cs="Arial"/>
          <w:kern w:val="0"/>
          <w:lang w:eastAsia="en-GB"/>
          <w14:ligatures w14:val="none"/>
        </w:rPr>
        <w:t>Poliszczuk</w:t>
      </w:r>
      <w:proofErr w:type="spellEnd"/>
      <w:r w:rsidRPr="00EC158D">
        <w:rPr>
          <w:rFonts w:ascii="Arial" w:eastAsia="Times New Roman" w:hAnsi="Arial" w:cs="Arial"/>
          <w:kern w:val="0"/>
          <w:lang w:eastAsia="en-GB"/>
          <w14:ligatures w14:val="none"/>
        </w:rPr>
        <w:t xml:space="preserve">, D. and Danniels, E. (2018) ‘The challenges of promoting literacy integration within a play-based learning kindergarten program: Teacher perspectives and implementation’, </w:t>
      </w:r>
      <w:r w:rsidRPr="00EC158D">
        <w:rPr>
          <w:rFonts w:ascii="Arial" w:eastAsia="Times New Roman" w:hAnsi="Arial" w:cs="Arial"/>
          <w:i/>
          <w:iCs/>
          <w:kern w:val="0"/>
          <w:lang w:eastAsia="en-GB"/>
          <w14:ligatures w14:val="none"/>
        </w:rPr>
        <w:t>Journal of Research in Childhood Education</w:t>
      </w:r>
      <w:r w:rsidRPr="00EC158D">
        <w:rPr>
          <w:rFonts w:ascii="Arial" w:eastAsia="Times New Roman" w:hAnsi="Arial" w:cs="Arial"/>
          <w:kern w:val="0"/>
          <w:lang w:eastAsia="en-GB"/>
          <w14:ligatures w14:val="none"/>
        </w:rPr>
        <w:t>, 32(2), pp.219–233.</w:t>
      </w:r>
    </w:p>
    <w:p w14:paraId="6C415442"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Roberts-Holmes, G. and Bradbury, A. (2016) ‘Governance, accountability and the datafication of early years education in England’, </w:t>
      </w:r>
      <w:r w:rsidRPr="00B23D7F">
        <w:rPr>
          <w:rFonts w:ascii="Arial" w:eastAsia="Times New Roman" w:hAnsi="Arial" w:cs="Arial"/>
          <w:i/>
          <w:iCs/>
          <w:kern w:val="0"/>
          <w:lang w:eastAsia="en-GB"/>
          <w14:ligatures w14:val="none"/>
        </w:rPr>
        <w:t>British Educational Research Journal</w:t>
      </w:r>
      <w:r w:rsidRPr="00B23D7F">
        <w:rPr>
          <w:rFonts w:ascii="Arial" w:eastAsia="Times New Roman" w:hAnsi="Arial" w:cs="Arial"/>
          <w:kern w:val="0"/>
          <w:lang w:eastAsia="en-GB"/>
          <w14:ligatures w14:val="none"/>
        </w:rPr>
        <w:t xml:space="preserve">, 42(4), pp. 600–613. Available at: </w:t>
      </w:r>
      <w:hyperlink r:id="rId37" w:history="1">
        <w:r w:rsidRPr="00B23D7F">
          <w:rPr>
            <w:rStyle w:val="Hyperlink"/>
            <w:rFonts w:ascii="Arial" w:eastAsia="Times New Roman" w:hAnsi="Arial" w:cs="Arial"/>
            <w:kern w:val="0"/>
            <w:lang w:eastAsia="en-GB"/>
            <w14:ligatures w14:val="none"/>
          </w:rPr>
          <w:t>https://bera-journals.onlinelibrary.wiley.com/doi/10.1002/berj.3221</w:t>
        </w:r>
      </w:hyperlink>
      <w:r w:rsidRPr="00B23D7F">
        <w:rPr>
          <w:rFonts w:ascii="Arial" w:eastAsia="Times New Roman" w:hAnsi="Arial" w:cs="Arial"/>
          <w:kern w:val="0"/>
          <w:lang w:eastAsia="en-GB"/>
          <w14:ligatures w14:val="none"/>
        </w:rPr>
        <w:t xml:space="preserve"> (Accessed: 2</w:t>
      </w:r>
      <w:r w:rsidRPr="00B23D7F">
        <w:rPr>
          <w:rFonts w:ascii="Arial" w:eastAsia="Times New Roman" w:hAnsi="Arial" w:cs="Arial"/>
          <w:kern w:val="0"/>
          <w:vertAlign w:val="superscript"/>
          <w:lang w:eastAsia="en-GB"/>
          <w14:ligatures w14:val="none"/>
        </w:rPr>
        <w:t>nd</w:t>
      </w:r>
      <w:r w:rsidRPr="00B23D7F">
        <w:rPr>
          <w:rFonts w:ascii="Arial" w:eastAsia="Times New Roman" w:hAnsi="Arial" w:cs="Arial"/>
          <w:kern w:val="0"/>
          <w:lang w:eastAsia="en-GB"/>
          <w14:ligatures w14:val="none"/>
        </w:rPr>
        <w:t xml:space="preserve"> June 2025).</w:t>
      </w:r>
    </w:p>
    <w:p w14:paraId="214A4FC1"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Robson, S. (2019) </w:t>
      </w:r>
      <w:r w:rsidRPr="00B23D7F">
        <w:rPr>
          <w:rFonts w:ascii="Arial" w:eastAsia="Times New Roman" w:hAnsi="Arial" w:cs="Arial"/>
          <w:i/>
          <w:iCs/>
          <w:kern w:val="0"/>
          <w:lang w:eastAsia="en-GB"/>
          <w14:ligatures w14:val="none"/>
        </w:rPr>
        <w:t>Developing Thinking and Understanding in Young Children</w:t>
      </w:r>
      <w:r w:rsidRPr="00B23D7F">
        <w:rPr>
          <w:rFonts w:ascii="Arial" w:eastAsia="Times New Roman" w:hAnsi="Arial" w:cs="Arial"/>
          <w:kern w:val="0"/>
          <w:lang w:eastAsia="en-GB"/>
          <w14:ligatures w14:val="none"/>
        </w:rPr>
        <w:t xml:space="preserve">. 2nd </w:t>
      </w:r>
      <w:proofErr w:type="spellStart"/>
      <w:r w:rsidRPr="00B23D7F">
        <w:rPr>
          <w:rFonts w:ascii="Arial" w:eastAsia="Times New Roman" w:hAnsi="Arial" w:cs="Arial"/>
          <w:kern w:val="0"/>
          <w:lang w:eastAsia="en-GB"/>
          <w14:ligatures w14:val="none"/>
        </w:rPr>
        <w:t>edn</w:t>
      </w:r>
      <w:proofErr w:type="spellEnd"/>
      <w:r w:rsidRPr="00B23D7F">
        <w:rPr>
          <w:rFonts w:ascii="Arial" w:eastAsia="Times New Roman" w:hAnsi="Arial" w:cs="Arial"/>
          <w:kern w:val="0"/>
          <w:lang w:eastAsia="en-GB"/>
          <w14:ligatures w14:val="none"/>
        </w:rPr>
        <w:t>. Abingdon: Routledge.</w:t>
      </w:r>
    </w:p>
    <w:p w14:paraId="3AE2689E"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Sahlberg, P. (2021) </w:t>
      </w:r>
      <w:r w:rsidRPr="00EC158D">
        <w:rPr>
          <w:rFonts w:ascii="Arial" w:eastAsia="Times New Roman" w:hAnsi="Arial" w:cs="Arial"/>
          <w:i/>
          <w:iCs/>
          <w:kern w:val="0"/>
          <w:lang w:eastAsia="en-GB"/>
          <w14:ligatures w14:val="none"/>
        </w:rPr>
        <w:t>Finnish lessons 3.0: What can the world learn from educational change in Finland?</w:t>
      </w:r>
      <w:r w:rsidRPr="00EC158D">
        <w:rPr>
          <w:rFonts w:ascii="Arial" w:eastAsia="Times New Roman" w:hAnsi="Arial" w:cs="Arial"/>
          <w:kern w:val="0"/>
          <w:lang w:eastAsia="en-GB"/>
          <w14:ligatures w14:val="none"/>
        </w:rPr>
        <w:t xml:space="preserve"> New York: Teachers College Press.</w:t>
      </w:r>
    </w:p>
    <w:p w14:paraId="1AD45682"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Save the Children (2022) </w:t>
      </w:r>
      <w:r w:rsidRPr="00EC158D">
        <w:rPr>
          <w:rFonts w:ascii="Arial" w:eastAsia="Times New Roman" w:hAnsi="Arial" w:cs="Arial"/>
          <w:i/>
          <w:iCs/>
          <w:kern w:val="0"/>
          <w:lang w:eastAsia="en-GB"/>
          <w14:ligatures w14:val="none"/>
        </w:rPr>
        <w:t>Early Learning Equals Lifelong Success.</w:t>
      </w:r>
      <w:r w:rsidRPr="00EC158D">
        <w:rPr>
          <w:rFonts w:ascii="Arial" w:eastAsia="Times New Roman" w:hAnsi="Arial" w:cs="Arial"/>
          <w:kern w:val="0"/>
          <w:lang w:eastAsia="en-GB"/>
          <w14:ligatures w14:val="none"/>
        </w:rPr>
        <w:t xml:space="preserve"> Available at: </w:t>
      </w:r>
      <w:hyperlink r:id="rId38" w:tgtFrame="_new" w:history="1">
        <w:r w:rsidRPr="00EC158D">
          <w:rPr>
            <w:rStyle w:val="Hyperlink"/>
            <w:rFonts w:ascii="Arial" w:eastAsia="Times New Roman" w:hAnsi="Arial" w:cs="Arial"/>
            <w:kern w:val="0"/>
            <w:lang w:eastAsia="en-GB"/>
            <w14:ligatures w14:val="none"/>
          </w:rPr>
          <w:t>https://www.savethechildren.org.uk</w:t>
        </w:r>
      </w:hyperlink>
      <w:r w:rsidRPr="00EC158D">
        <w:rPr>
          <w:rFonts w:ascii="Arial" w:eastAsia="Times New Roman" w:hAnsi="Arial" w:cs="Arial"/>
          <w:kern w:val="0"/>
          <w:lang w:eastAsia="en-GB"/>
          <w14:ligatures w14:val="none"/>
        </w:rPr>
        <w:t xml:space="preserve"> (Accessed 9</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5F077C49"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proofErr w:type="spellStart"/>
      <w:r w:rsidRPr="00B23D7F">
        <w:rPr>
          <w:rFonts w:ascii="Arial" w:eastAsia="Times New Roman" w:hAnsi="Arial" w:cs="Arial"/>
          <w:kern w:val="0"/>
          <w:lang w:eastAsia="en-GB"/>
          <w14:ligatures w14:val="none"/>
        </w:rPr>
        <w:t>Sibieta</w:t>
      </w:r>
      <w:proofErr w:type="spellEnd"/>
      <w:r w:rsidRPr="00B23D7F">
        <w:rPr>
          <w:rFonts w:ascii="Arial" w:eastAsia="Times New Roman" w:hAnsi="Arial" w:cs="Arial"/>
          <w:kern w:val="0"/>
          <w:lang w:eastAsia="en-GB"/>
          <w14:ligatures w14:val="none"/>
        </w:rPr>
        <w:t xml:space="preserve">, L. (2024) </w:t>
      </w:r>
      <w:r w:rsidRPr="00B23D7F">
        <w:rPr>
          <w:rFonts w:ascii="Arial" w:eastAsia="Times New Roman" w:hAnsi="Arial" w:cs="Arial"/>
          <w:i/>
          <w:iCs/>
          <w:kern w:val="0"/>
          <w:lang w:eastAsia="en-GB"/>
          <w14:ligatures w14:val="none"/>
        </w:rPr>
        <w:t>Major Challenges for Education in Wales.</w:t>
      </w:r>
      <w:r w:rsidRPr="00B23D7F">
        <w:rPr>
          <w:rFonts w:ascii="Arial" w:eastAsia="Times New Roman" w:hAnsi="Arial" w:cs="Arial"/>
          <w:kern w:val="0"/>
          <w:lang w:eastAsia="en-GB"/>
          <w14:ligatures w14:val="none"/>
        </w:rPr>
        <w:t xml:space="preserve"> Available at: </w:t>
      </w:r>
      <w:hyperlink r:id="rId39" w:history="1">
        <w:r w:rsidRPr="00B23D7F">
          <w:rPr>
            <w:rStyle w:val="Hyperlink"/>
            <w:rFonts w:ascii="Arial" w:eastAsia="Times New Roman" w:hAnsi="Arial" w:cs="Arial"/>
            <w:kern w:val="0"/>
            <w:lang w:eastAsia="en-GB"/>
            <w14:ligatures w14:val="none"/>
          </w:rPr>
          <w:t>https://ifs.org.uk/publications/major-challenges-education-wales</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 </w:t>
      </w:r>
    </w:p>
    <w:p w14:paraId="3D37EC2A"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lastRenderedPageBreak/>
        <w:t xml:space="preserve">Siraj-Blatchford, I., Sylva, K., </w:t>
      </w:r>
      <w:proofErr w:type="spellStart"/>
      <w:r w:rsidRPr="00B23D7F">
        <w:rPr>
          <w:rFonts w:ascii="Arial" w:eastAsia="Times New Roman" w:hAnsi="Arial" w:cs="Arial"/>
          <w:kern w:val="0"/>
          <w:lang w:eastAsia="en-GB"/>
          <w14:ligatures w14:val="none"/>
        </w:rPr>
        <w:t>Muttock</w:t>
      </w:r>
      <w:proofErr w:type="spellEnd"/>
      <w:r w:rsidRPr="00B23D7F">
        <w:rPr>
          <w:rFonts w:ascii="Arial" w:eastAsia="Times New Roman" w:hAnsi="Arial" w:cs="Arial"/>
          <w:kern w:val="0"/>
          <w:lang w:eastAsia="en-GB"/>
          <w14:ligatures w14:val="none"/>
        </w:rPr>
        <w:t xml:space="preserve">, S., Gilden, R. and Bell, D. (2008) </w:t>
      </w:r>
      <w:r w:rsidRPr="00B23D7F">
        <w:rPr>
          <w:rFonts w:ascii="Arial" w:eastAsia="Times New Roman" w:hAnsi="Arial" w:cs="Arial"/>
          <w:i/>
          <w:iCs/>
          <w:kern w:val="0"/>
          <w:lang w:eastAsia="en-GB"/>
          <w14:ligatures w14:val="none"/>
        </w:rPr>
        <w:t>Researching Effective Pedagogy in the Early Years</w:t>
      </w:r>
      <w:r w:rsidRPr="00B23D7F">
        <w:rPr>
          <w:rFonts w:ascii="Arial" w:eastAsia="Times New Roman" w:hAnsi="Arial" w:cs="Arial"/>
          <w:kern w:val="0"/>
          <w:lang w:eastAsia="en-GB"/>
          <w14:ligatures w14:val="none"/>
        </w:rPr>
        <w:t xml:space="preserve">. London: Department for Education and Skills. Available at: </w:t>
      </w:r>
      <w:hyperlink r:id="rId40" w:history="1">
        <w:r w:rsidRPr="00B23D7F">
          <w:rPr>
            <w:rStyle w:val="Hyperlink"/>
            <w:rFonts w:ascii="Arial" w:eastAsia="Times New Roman" w:hAnsi="Arial" w:cs="Arial"/>
            <w:kern w:val="0"/>
            <w:lang w:eastAsia="en-GB"/>
            <w14:ligatures w14:val="none"/>
          </w:rPr>
          <w:t>https://dera.ioe.ac.uk/id/eprint/4650/1/RR356.pdf</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256BD376" w14:textId="77777777" w:rsidR="00F409BA" w:rsidRPr="00EC158D" w:rsidRDefault="00F409BA" w:rsidP="00EC158D">
      <w:pPr>
        <w:spacing w:before="100" w:beforeAutospacing="1" w:after="100" w:afterAutospacing="1" w:line="240" w:lineRule="auto"/>
        <w:rPr>
          <w:rFonts w:ascii="Arial" w:eastAsia="Times New Roman" w:hAnsi="Arial" w:cs="Arial"/>
          <w:i/>
          <w:iCs/>
          <w:kern w:val="0"/>
          <w:lang w:eastAsia="en-GB"/>
          <w14:ligatures w14:val="none"/>
        </w:rPr>
      </w:pPr>
      <w:r w:rsidRPr="00EC158D">
        <w:rPr>
          <w:rFonts w:ascii="Arial" w:eastAsia="Times New Roman" w:hAnsi="Arial" w:cs="Arial"/>
          <w:kern w:val="0"/>
          <w:lang w:eastAsia="en-GB"/>
          <w14:ligatures w14:val="none"/>
        </w:rPr>
        <w:t xml:space="preserve">Social Care Wales (2023) </w:t>
      </w:r>
      <w:r w:rsidRPr="00EC158D">
        <w:rPr>
          <w:rFonts w:ascii="Arial" w:eastAsia="Times New Roman" w:hAnsi="Arial" w:cs="Arial"/>
          <w:i/>
          <w:iCs/>
          <w:kern w:val="0"/>
          <w:lang w:eastAsia="en-GB"/>
          <w14:ligatures w14:val="none"/>
        </w:rPr>
        <w:t>Early years and childcare workforce plan.</w:t>
      </w:r>
    </w:p>
    <w:p w14:paraId="349C254B"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proofErr w:type="spellStart"/>
      <w:r w:rsidRPr="00EC158D">
        <w:rPr>
          <w:rFonts w:ascii="Arial" w:eastAsia="Times New Roman" w:hAnsi="Arial" w:cs="Arial"/>
          <w:kern w:val="0"/>
          <w:lang w:eastAsia="en-GB"/>
          <w14:ligatures w14:val="none"/>
        </w:rPr>
        <w:t>Suggate</w:t>
      </w:r>
      <w:proofErr w:type="spellEnd"/>
      <w:r w:rsidRPr="00EC158D">
        <w:rPr>
          <w:rFonts w:ascii="Arial" w:eastAsia="Times New Roman" w:hAnsi="Arial" w:cs="Arial"/>
          <w:kern w:val="0"/>
          <w:lang w:eastAsia="en-GB"/>
          <w14:ligatures w14:val="none"/>
        </w:rPr>
        <w:t xml:space="preserve">, S., 2016. ‘A Meta-Analysis of the Long-Term Effects of Phonemic Awareness, Phonics, Fluency, and Reading Comprehension Interventions’, </w:t>
      </w:r>
      <w:r w:rsidRPr="00EC158D">
        <w:rPr>
          <w:rFonts w:ascii="Arial" w:eastAsia="Times New Roman" w:hAnsi="Arial" w:cs="Arial"/>
          <w:i/>
          <w:iCs/>
          <w:kern w:val="0"/>
          <w:lang w:eastAsia="en-GB"/>
          <w14:ligatures w14:val="none"/>
        </w:rPr>
        <w:t>Educational Research Review</w:t>
      </w:r>
      <w:r w:rsidRPr="00EC158D">
        <w:rPr>
          <w:rFonts w:ascii="Arial" w:eastAsia="Times New Roman" w:hAnsi="Arial" w:cs="Arial"/>
          <w:kern w:val="0"/>
          <w:lang w:eastAsia="en-GB"/>
          <w14:ligatures w14:val="none"/>
        </w:rPr>
        <w:t>, 17, pp.21–30.</w:t>
      </w:r>
    </w:p>
    <w:p w14:paraId="654F7666"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proofErr w:type="spellStart"/>
      <w:r w:rsidRPr="00B23D7F">
        <w:rPr>
          <w:rFonts w:ascii="Arial" w:eastAsia="Times New Roman" w:hAnsi="Arial" w:cs="Arial"/>
          <w:kern w:val="0"/>
          <w:lang w:eastAsia="en-GB"/>
          <w14:ligatures w14:val="none"/>
        </w:rPr>
        <w:t>Syzdykbayeva</w:t>
      </w:r>
      <w:proofErr w:type="spellEnd"/>
      <w:r w:rsidRPr="00B23D7F">
        <w:rPr>
          <w:rFonts w:ascii="Arial" w:eastAsia="Times New Roman" w:hAnsi="Arial" w:cs="Arial"/>
          <w:kern w:val="0"/>
          <w:lang w:eastAsia="en-GB"/>
          <w14:ligatures w14:val="none"/>
        </w:rPr>
        <w:t xml:space="preserve">, A.D. </w:t>
      </w:r>
      <w:proofErr w:type="spellStart"/>
      <w:r w:rsidRPr="00B23D7F">
        <w:rPr>
          <w:rFonts w:ascii="Arial" w:eastAsia="Times New Roman" w:hAnsi="Arial" w:cs="Arial"/>
          <w:kern w:val="0"/>
          <w:lang w:eastAsia="en-GB"/>
          <w14:ligatures w14:val="none"/>
        </w:rPr>
        <w:t>Izmagambetova</w:t>
      </w:r>
      <w:proofErr w:type="spellEnd"/>
      <w:r w:rsidRPr="00B23D7F">
        <w:rPr>
          <w:rFonts w:ascii="Arial" w:eastAsia="Times New Roman" w:hAnsi="Arial" w:cs="Arial"/>
          <w:kern w:val="0"/>
          <w:lang w:eastAsia="en-GB"/>
          <w14:ligatures w14:val="none"/>
        </w:rPr>
        <w:t xml:space="preserve">, R.K. Amirova, A.S. </w:t>
      </w:r>
      <w:proofErr w:type="spellStart"/>
      <w:r w:rsidRPr="00B23D7F">
        <w:rPr>
          <w:rFonts w:ascii="Arial" w:eastAsia="Times New Roman" w:hAnsi="Arial" w:cs="Arial"/>
          <w:kern w:val="0"/>
          <w:lang w:eastAsia="en-GB"/>
          <w14:ligatures w14:val="none"/>
        </w:rPr>
        <w:t>Bainazarova</w:t>
      </w:r>
      <w:proofErr w:type="spellEnd"/>
      <w:r w:rsidRPr="00B23D7F">
        <w:rPr>
          <w:rFonts w:ascii="Arial" w:eastAsia="Times New Roman" w:hAnsi="Arial" w:cs="Arial"/>
          <w:kern w:val="0"/>
          <w:lang w:eastAsia="en-GB"/>
          <w14:ligatures w14:val="none"/>
        </w:rPr>
        <w:t>, T.B. and Sadykova, M.K. (2021) ‘Formation of primary school children self-esteem on the basis of criteria-based assessment’, </w:t>
      </w:r>
      <w:proofErr w:type="spellStart"/>
      <w:r w:rsidRPr="00B23D7F">
        <w:rPr>
          <w:rFonts w:ascii="Arial" w:eastAsia="Times New Roman" w:hAnsi="Arial" w:cs="Arial"/>
          <w:i/>
          <w:iCs/>
          <w:kern w:val="0"/>
          <w:lang w:eastAsia="en-GB"/>
          <w14:ligatures w14:val="none"/>
        </w:rPr>
        <w:t>Образование</w:t>
      </w:r>
      <w:proofErr w:type="spellEnd"/>
      <w:r w:rsidRPr="00B23D7F">
        <w:rPr>
          <w:rFonts w:ascii="Arial" w:eastAsia="Times New Roman" w:hAnsi="Arial" w:cs="Arial"/>
          <w:i/>
          <w:iCs/>
          <w:kern w:val="0"/>
          <w:lang w:eastAsia="en-GB"/>
          <w14:ligatures w14:val="none"/>
        </w:rPr>
        <w:t xml:space="preserve"> и </w:t>
      </w:r>
      <w:proofErr w:type="spellStart"/>
      <w:r w:rsidRPr="00B23D7F">
        <w:rPr>
          <w:rFonts w:ascii="Arial" w:eastAsia="Times New Roman" w:hAnsi="Arial" w:cs="Arial"/>
          <w:i/>
          <w:iCs/>
          <w:kern w:val="0"/>
          <w:lang w:eastAsia="en-GB"/>
          <w14:ligatures w14:val="none"/>
        </w:rPr>
        <w:t>наука</w:t>
      </w:r>
      <w:proofErr w:type="spellEnd"/>
      <w:r w:rsidRPr="00B23D7F">
        <w:rPr>
          <w:rFonts w:ascii="Arial" w:eastAsia="Times New Roman" w:hAnsi="Arial" w:cs="Arial"/>
          <w:kern w:val="0"/>
          <w:lang w:eastAsia="en-GB"/>
          <w14:ligatures w14:val="none"/>
        </w:rPr>
        <w:t>, </w:t>
      </w:r>
      <w:r w:rsidRPr="00B23D7F">
        <w:rPr>
          <w:rFonts w:ascii="Arial" w:eastAsia="Times New Roman" w:hAnsi="Arial" w:cs="Arial"/>
          <w:i/>
          <w:iCs/>
          <w:kern w:val="0"/>
          <w:lang w:eastAsia="en-GB"/>
          <w14:ligatures w14:val="none"/>
        </w:rPr>
        <w:t>23</w:t>
      </w:r>
      <w:r w:rsidRPr="00B23D7F">
        <w:rPr>
          <w:rFonts w:ascii="Arial" w:eastAsia="Times New Roman" w:hAnsi="Arial" w:cs="Arial"/>
          <w:kern w:val="0"/>
          <w:lang w:eastAsia="en-GB"/>
          <w14:ligatures w14:val="none"/>
        </w:rPr>
        <w:t>(7), pp.147-169.</w:t>
      </w:r>
    </w:p>
    <w:p w14:paraId="347E2430" w14:textId="77777777" w:rsidR="00F409BA" w:rsidRPr="00B23D7F" w:rsidRDefault="00F409BA" w:rsidP="001331A4">
      <w:pPr>
        <w:spacing w:before="100" w:beforeAutospacing="1" w:after="100" w:afterAutospacing="1" w:line="240" w:lineRule="auto"/>
        <w:rPr>
          <w:rFonts w:ascii="Arial" w:eastAsia="Times New Roman" w:hAnsi="Arial" w:cs="Arial"/>
          <w:kern w:val="0"/>
          <w:lang w:val="en-US" w:eastAsia="en-GB"/>
          <w14:ligatures w14:val="none"/>
        </w:rPr>
      </w:pPr>
      <w:r w:rsidRPr="00B23D7F">
        <w:rPr>
          <w:rFonts w:ascii="Arial" w:eastAsia="Times New Roman" w:hAnsi="Arial" w:cs="Arial"/>
          <w:kern w:val="0"/>
          <w:lang w:val="en-US" w:eastAsia="en-GB"/>
          <w14:ligatures w14:val="none"/>
        </w:rPr>
        <w:t xml:space="preserve">Taylor, C. Rhys, M. and Waldron, S. (2016) ‘Implementing curriculum reform in Wales: The case of the Foundation Phase’, </w:t>
      </w:r>
      <w:r w:rsidRPr="00B23D7F">
        <w:rPr>
          <w:rFonts w:ascii="Arial" w:eastAsia="Times New Roman" w:hAnsi="Arial" w:cs="Arial"/>
          <w:i/>
          <w:iCs/>
          <w:kern w:val="0"/>
          <w:lang w:val="en-US" w:eastAsia="en-GB"/>
          <w14:ligatures w14:val="none"/>
        </w:rPr>
        <w:t>British Educational Research Journal</w:t>
      </w:r>
      <w:r w:rsidRPr="00B23D7F">
        <w:rPr>
          <w:rFonts w:ascii="Arial" w:eastAsia="Times New Roman" w:hAnsi="Arial" w:cs="Arial"/>
          <w:kern w:val="0"/>
          <w:lang w:val="en-US" w:eastAsia="en-GB"/>
          <w14:ligatures w14:val="none"/>
        </w:rPr>
        <w:t>, 42(2), pp. 223–245.</w:t>
      </w:r>
    </w:p>
    <w:p w14:paraId="663F05F3" w14:textId="77777777" w:rsidR="00F409BA" w:rsidRPr="00B23D7F" w:rsidRDefault="00F409BA" w:rsidP="001331A4">
      <w:pPr>
        <w:spacing w:before="100" w:beforeAutospacing="1" w:after="100" w:afterAutospacing="1" w:line="240" w:lineRule="auto"/>
        <w:rPr>
          <w:rFonts w:ascii="Arial" w:eastAsia="Times New Roman" w:hAnsi="Arial" w:cs="Arial"/>
          <w:kern w:val="0"/>
          <w:lang w:val="en-US" w:eastAsia="en-GB"/>
          <w14:ligatures w14:val="none"/>
        </w:rPr>
      </w:pPr>
      <w:proofErr w:type="spellStart"/>
      <w:r w:rsidRPr="00B23D7F">
        <w:rPr>
          <w:rFonts w:ascii="Arial" w:eastAsia="Times New Roman" w:hAnsi="Arial" w:cs="Arial"/>
          <w:kern w:val="0"/>
          <w:lang w:val="en-US" w:eastAsia="en-GB"/>
          <w14:ligatures w14:val="none"/>
        </w:rPr>
        <w:t>Tymms</w:t>
      </w:r>
      <w:proofErr w:type="spellEnd"/>
      <w:r w:rsidRPr="00B23D7F">
        <w:rPr>
          <w:rFonts w:ascii="Arial" w:eastAsia="Times New Roman" w:hAnsi="Arial" w:cs="Arial"/>
          <w:kern w:val="0"/>
          <w:lang w:val="en-US" w:eastAsia="en-GB"/>
          <w14:ligatures w14:val="none"/>
        </w:rPr>
        <w:t>, P. Merrell, C. and Henderson, B. (2013) ‘The long-term impact of the Foundation Phase on literacy and numeracy outcomes’, School Effectiveness and School Improvement, 24(2), pp. 209–226.</w:t>
      </w:r>
    </w:p>
    <w:p w14:paraId="1AD4242E"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proofErr w:type="spellStart"/>
      <w:r w:rsidRPr="00B23D7F">
        <w:rPr>
          <w:rFonts w:ascii="Arial" w:eastAsia="Times New Roman" w:hAnsi="Arial" w:cs="Arial"/>
          <w:kern w:val="0"/>
          <w:lang w:eastAsia="en-GB"/>
          <w14:ligatures w14:val="none"/>
        </w:rPr>
        <w:t>Unicef</w:t>
      </w:r>
      <w:proofErr w:type="spellEnd"/>
      <w:r w:rsidRPr="00B23D7F">
        <w:rPr>
          <w:rFonts w:ascii="Arial" w:eastAsia="Times New Roman" w:hAnsi="Arial" w:cs="Arial"/>
          <w:kern w:val="0"/>
          <w:lang w:eastAsia="en-GB"/>
          <w14:ligatures w14:val="none"/>
        </w:rPr>
        <w:t xml:space="preserve"> (2019) A summary of the United Nations Convention on the Rights of the Child. Available at: </w:t>
      </w:r>
      <w:hyperlink r:id="rId41" w:history="1">
        <w:r w:rsidRPr="00B23D7F">
          <w:rPr>
            <w:rStyle w:val="Hyperlink"/>
            <w:rFonts w:ascii="Arial" w:eastAsia="Times New Roman" w:hAnsi="Arial" w:cs="Arial"/>
            <w:kern w:val="0"/>
            <w:lang w:eastAsia="en-GB"/>
            <w14:ligatures w14:val="none"/>
          </w:rPr>
          <w:t>https://www.unicef.org.uk/wp-content/uploads/2019/10/UNCRC_summary-1_1.pdf</w:t>
        </w:r>
      </w:hyperlink>
      <w:r w:rsidRPr="00B23D7F">
        <w:rPr>
          <w:rFonts w:ascii="Arial" w:eastAsia="Times New Roman" w:hAnsi="Arial" w:cs="Arial"/>
          <w:kern w:val="0"/>
          <w:lang w:eastAsia="en-GB"/>
          <w14:ligatures w14:val="none"/>
        </w:rPr>
        <w:t xml:space="preserve"> (Accessed: 26</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577CB793"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UNICEF (2020) </w:t>
      </w:r>
      <w:r w:rsidRPr="00EC158D">
        <w:rPr>
          <w:rFonts w:ascii="Arial" w:eastAsia="Times New Roman" w:hAnsi="Arial" w:cs="Arial"/>
          <w:i/>
          <w:iCs/>
          <w:kern w:val="0"/>
          <w:lang w:eastAsia="en-GB"/>
          <w14:ligatures w14:val="none"/>
        </w:rPr>
        <w:t>Worlds of Influence: Understanding what shapes child well-being in rich countries.</w:t>
      </w:r>
      <w:r w:rsidRPr="00EC158D">
        <w:rPr>
          <w:rFonts w:ascii="Arial" w:eastAsia="Times New Roman" w:hAnsi="Arial" w:cs="Arial"/>
          <w:kern w:val="0"/>
          <w:lang w:eastAsia="en-GB"/>
          <w14:ligatures w14:val="none"/>
        </w:rPr>
        <w:t xml:space="preserve"> Available at: </w:t>
      </w:r>
      <w:hyperlink r:id="rId42" w:anchor=":~:text=UNICEF%20Innocenti%E2%80%99s%20Report%20Card%20%E2%80%98Worlds%20of%20Influence%3A%20Understanding,and%20understanding%20child%20well-being%20in%20High-Income%20Countries%20%28HICs%29" w:history="1">
        <w:r w:rsidRPr="00EC158D">
          <w:rPr>
            <w:rStyle w:val="Hyperlink"/>
            <w:rFonts w:ascii="Arial" w:eastAsia="Times New Roman" w:hAnsi="Arial" w:cs="Arial"/>
            <w:kern w:val="0"/>
            <w:lang w:eastAsia="en-GB"/>
            <w14:ligatures w14:val="none"/>
          </w:rPr>
          <w:t>https://www.unicef.org.uk/wp-content/uploads/2020/09/Unicef-UK-Briefing-UNICEF-Innocenti-Report-Card-16-September-2020.pdf#:~:text=UNICEF%20Innocenti%E2%80%99s%20Report%20Card%20%E2%80%98Worlds%20of%20Influence%3A%20Understanding,and%20understanding%20child%20well-being%20in%20High-Income%20Countries%20%28HICs%29</w:t>
        </w:r>
      </w:hyperlink>
      <w:r w:rsidRPr="00EC158D">
        <w:rPr>
          <w:rFonts w:ascii="Arial" w:eastAsia="Times New Roman" w:hAnsi="Arial" w:cs="Arial"/>
          <w:kern w:val="0"/>
          <w:lang w:eastAsia="en-GB"/>
          <w14:ligatures w14:val="none"/>
        </w:rPr>
        <w:t>. (Accessed: 10</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669B6B73"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University of Cambridge (2013) School Starting Age: The Evidence. Available at: </w:t>
      </w:r>
      <w:hyperlink r:id="rId43" w:history="1">
        <w:r w:rsidRPr="00EC158D">
          <w:rPr>
            <w:rStyle w:val="Hyperlink"/>
            <w:rFonts w:ascii="Arial" w:eastAsia="Times New Roman" w:hAnsi="Arial" w:cs="Arial"/>
            <w:kern w:val="0"/>
            <w:lang w:eastAsia="en-GB"/>
            <w14:ligatures w14:val="none"/>
          </w:rPr>
          <w:t>https://www.cam.ac.uk/research/discussion/school-starting-age-the-evidence</w:t>
        </w:r>
      </w:hyperlink>
      <w:r w:rsidRPr="00EC158D">
        <w:rPr>
          <w:rFonts w:ascii="Arial" w:eastAsia="Times New Roman" w:hAnsi="Arial" w:cs="Arial"/>
          <w:kern w:val="0"/>
          <w:lang w:eastAsia="en-GB"/>
          <w14:ligatures w14:val="none"/>
        </w:rPr>
        <w:t xml:space="preserve"> (Accessed: 10</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 </w:t>
      </w:r>
    </w:p>
    <w:p w14:paraId="73760DF0"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Assembly Government (WAG) (2008) </w:t>
      </w:r>
      <w:r w:rsidRPr="00B23D7F">
        <w:rPr>
          <w:rFonts w:ascii="Arial" w:eastAsia="Times New Roman" w:hAnsi="Arial" w:cs="Arial"/>
          <w:i/>
          <w:iCs/>
          <w:kern w:val="0"/>
          <w:lang w:eastAsia="en-GB"/>
          <w14:ligatures w14:val="none"/>
        </w:rPr>
        <w:t>Framework for Children’s Learning for 3 to 7-year-olds in Wales</w:t>
      </w:r>
      <w:r w:rsidRPr="00B23D7F">
        <w:rPr>
          <w:rFonts w:ascii="Arial" w:eastAsia="Times New Roman" w:hAnsi="Arial" w:cs="Arial"/>
          <w:kern w:val="0"/>
          <w:lang w:eastAsia="en-GB"/>
          <w14:ligatures w14:val="none"/>
        </w:rPr>
        <w:t xml:space="preserve">. Cardiff: Department for Children, Education, Lifelong Learning and Skills. Available at: </w:t>
      </w:r>
      <w:hyperlink r:id="rId44" w:history="1">
        <w:r w:rsidRPr="00B23D7F">
          <w:rPr>
            <w:rStyle w:val="Hyperlink"/>
            <w:rFonts w:ascii="Arial" w:eastAsia="Times New Roman" w:hAnsi="Arial" w:cs="Arial"/>
            <w:kern w:val="0"/>
            <w:lang w:eastAsia="en-GB"/>
            <w14:ligatures w14:val="none"/>
          </w:rPr>
          <w:t>https://dera.ioe.ac.uk/id/eprint/15788/1/frameworkforchildrene.pdf_lang%3Den</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1301B75C"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Welsh Government (2013) </w:t>
      </w:r>
      <w:r w:rsidRPr="00EC158D">
        <w:rPr>
          <w:rFonts w:ascii="Arial" w:eastAsia="Times New Roman" w:hAnsi="Arial" w:cs="Arial"/>
          <w:i/>
          <w:iCs/>
          <w:kern w:val="0"/>
          <w:lang w:eastAsia="en-GB"/>
          <w14:ligatures w14:val="none"/>
        </w:rPr>
        <w:t>Building a Brighter Future: Early Years and Childcare Plan.</w:t>
      </w:r>
      <w:r w:rsidRPr="00EC158D">
        <w:rPr>
          <w:rFonts w:ascii="Arial" w:eastAsia="Times New Roman" w:hAnsi="Arial" w:cs="Arial"/>
          <w:kern w:val="0"/>
          <w:lang w:eastAsia="en-GB"/>
          <w14:ligatures w14:val="none"/>
        </w:rPr>
        <w:t xml:space="preserve"> Available at: </w:t>
      </w:r>
      <w:hyperlink r:id="rId45" w:anchor=":~:text=It%20brings%20together%20priorities%2C%20policies%20and%20programmes%20that,Regeneration%3B%20Local%20Government%20and%20Government%20Business%3B%20and%20Finance" w:history="1">
        <w:r w:rsidRPr="00EC158D">
          <w:rPr>
            <w:rStyle w:val="Hyperlink"/>
            <w:rFonts w:ascii="Arial" w:eastAsia="Times New Roman" w:hAnsi="Arial" w:cs="Arial"/>
            <w:kern w:val="0"/>
            <w:lang w:eastAsia="en-GB"/>
            <w14:ligatures w14:val="none"/>
          </w:rPr>
          <w:t>https://dera.ioe.ac.uk/id/eprint/18045/1/130716-building-brighter-future-en.pdf#:~:text=It%20brings%20together%20priorities%2C%20policies%20and%20programmes%20that,Regeneration%3B%20Local%20Government%20and%20Government%20Business%3B%20and%20Finance</w:t>
        </w:r>
      </w:hyperlink>
      <w:r w:rsidRPr="00EC158D">
        <w:rPr>
          <w:rFonts w:ascii="Arial" w:eastAsia="Times New Roman" w:hAnsi="Arial" w:cs="Arial"/>
          <w:kern w:val="0"/>
          <w:lang w:eastAsia="en-GB"/>
          <w14:ligatures w14:val="none"/>
        </w:rPr>
        <w:t>. (Accessed: 13</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43E411F9"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Welsh Government (2014)</w:t>
      </w:r>
      <w:r w:rsidRPr="00B23D7F">
        <w:rPr>
          <w:rFonts w:ascii="Arial" w:eastAsia="Times New Roman" w:hAnsi="Arial" w:cs="Arial"/>
          <w:i/>
          <w:iCs/>
          <w:kern w:val="0"/>
          <w:lang w:eastAsia="en-GB"/>
          <w14:ligatures w14:val="none"/>
        </w:rPr>
        <w:t xml:space="preserve"> Evaluating the Foundation Phase Key Findings on Pedagogy and Understanding.</w:t>
      </w:r>
      <w:r w:rsidRPr="00B23D7F">
        <w:rPr>
          <w:rFonts w:ascii="Arial" w:eastAsia="Times New Roman" w:hAnsi="Arial" w:cs="Arial"/>
          <w:kern w:val="0"/>
          <w:lang w:eastAsia="en-GB"/>
          <w14:ligatures w14:val="none"/>
        </w:rPr>
        <w:t xml:space="preserve"> Available at: </w:t>
      </w:r>
      <w:hyperlink r:id="rId46" w:history="1">
        <w:r w:rsidRPr="00B23D7F">
          <w:rPr>
            <w:rStyle w:val="Hyperlink"/>
            <w:rFonts w:ascii="Arial" w:eastAsia="Times New Roman" w:hAnsi="Arial" w:cs="Arial"/>
            <w:kern w:val="0"/>
            <w:lang w:eastAsia="en-GB"/>
            <w14:ligatures w14:val="none"/>
          </w:rPr>
          <w:t>https://www.gov.wales/sites/default/files/statistics-and-research/2019-07/140506-evaluating-foundation-phase-pedagogy-understanding-en.pdf</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1F925739"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lastRenderedPageBreak/>
        <w:t xml:space="preserve">Welsh Government (2015a) Foundation Phase Framework. Available at: </w:t>
      </w:r>
      <w:hyperlink r:id="rId47" w:history="1">
        <w:r w:rsidRPr="00B23D7F">
          <w:rPr>
            <w:rStyle w:val="Hyperlink"/>
            <w:rFonts w:ascii="Arial" w:eastAsia="Times New Roman" w:hAnsi="Arial" w:cs="Arial"/>
            <w:kern w:val="0"/>
            <w:lang w:eastAsia="en-GB"/>
            <w14:ligatures w14:val="none"/>
          </w:rPr>
          <w:t>https://www.gov.wales/sites/default/files/publications/2018-02/foundation-phase-framework-revised-2015.pdf</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 </w:t>
      </w:r>
    </w:p>
    <w:p w14:paraId="4C28F069"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Welsh Government (2015</w:t>
      </w:r>
      <w:r w:rsidRPr="00B23D7F">
        <w:rPr>
          <w:rFonts w:ascii="Arial" w:eastAsia="Times New Roman" w:hAnsi="Arial" w:cs="Arial"/>
          <w:kern w:val="0"/>
          <w:lang w:eastAsia="en-GB"/>
          <w14:ligatures w14:val="none"/>
        </w:rPr>
        <w:t>b</w:t>
      </w:r>
      <w:r w:rsidRPr="00EC158D">
        <w:rPr>
          <w:rFonts w:ascii="Arial" w:eastAsia="Times New Roman" w:hAnsi="Arial" w:cs="Arial"/>
          <w:kern w:val="0"/>
          <w:lang w:eastAsia="en-GB"/>
          <w14:ligatures w14:val="none"/>
        </w:rPr>
        <w:t xml:space="preserve">) </w:t>
      </w:r>
      <w:r w:rsidRPr="00EC158D">
        <w:rPr>
          <w:rFonts w:ascii="Arial" w:eastAsia="Times New Roman" w:hAnsi="Arial" w:cs="Arial"/>
          <w:i/>
          <w:iCs/>
          <w:kern w:val="0"/>
          <w:lang w:eastAsia="en-GB"/>
          <w14:ligatures w14:val="none"/>
        </w:rPr>
        <w:t>Flying Start Programme</w:t>
      </w:r>
      <w:r w:rsidRPr="00EC158D">
        <w:rPr>
          <w:rFonts w:ascii="Arial" w:eastAsia="Times New Roman" w:hAnsi="Arial" w:cs="Arial"/>
          <w:kern w:val="0"/>
          <w:lang w:eastAsia="en-GB"/>
          <w14:ligatures w14:val="none"/>
        </w:rPr>
        <w:t xml:space="preserve">. Available at: </w:t>
      </w:r>
      <w:hyperlink r:id="rId48" w:history="1">
        <w:r w:rsidRPr="00EC158D">
          <w:rPr>
            <w:rStyle w:val="Hyperlink"/>
            <w:rFonts w:ascii="Arial" w:eastAsia="Times New Roman" w:hAnsi="Arial" w:cs="Arial"/>
            <w:kern w:val="0"/>
            <w:lang w:eastAsia="en-GB"/>
            <w14:ligatures w14:val="none"/>
          </w:rPr>
          <w:t>https://www.researchgate.net/publication/340137325_The_importance_of_play_A_report_on_the_value_of_children%27s_play_with_a_series_of_policy_recommendations</w:t>
        </w:r>
      </w:hyperlink>
      <w:r w:rsidRPr="00EC158D">
        <w:rPr>
          <w:rFonts w:ascii="Arial" w:eastAsia="Times New Roman" w:hAnsi="Arial" w:cs="Arial"/>
          <w:kern w:val="0"/>
          <w:lang w:eastAsia="en-GB"/>
          <w14:ligatures w14:val="none"/>
        </w:rPr>
        <w:t xml:space="preserve"> (Accessed: 10</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 </w:t>
      </w:r>
    </w:p>
    <w:p w14:paraId="599BC9A7" w14:textId="77777777" w:rsidR="00F409BA"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Welsh Government (2017) Childcare, Play and Early Years Workforce Plan. Available at: </w:t>
      </w:r>
      <w:hyperlink r:id="rId49" w:history="1">
        <w:r w:rsidRPr="00EC158D">
          <w:rPr>
            <w:rStyle w:val="Hyperlink"/>
            <w:rFonts w:ascii="Arial" w:eastAsia="Times New Roman" w:hAnsi="Arial" w:cs="Arial"/>
            <w:kern w:val="0"/>
            <w:lang w:eastAsia="en-GB"/>
            <w14:ligatures w14:val="none"/>
          </w:rPr>
          <w:t>https://www.gov.wales/sites/default/files/publications/2022-12/early-years-workforce-plan.pdf</w:t>
        </w:r>
      </w:hyperlink>
      <w:r w:rsidRPr="00EC158D">
        <w:rPr>
          <w:rFonts w:ascii="Arial" w:eastAsia="Times New Roman" w:hAnsi="Arial" w:cs="Arial"/>
          <w:kern w:val="0"/>
          <w:lang w:eastAsia="en-GB"/>
          <w14:ligatures w14:val="none"/>
        </w:rPr>
        <w:t xml:space="preserve"> (Accessed: 9</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4893FFE2"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Welsh Government (2018) </w:t>
      </w:r>
      <w:r w:rsidRPr="005A12DC">
        <w:rPr>
          <w:rFonts w:ascii="Arial" w:eastAsia="Times New Roman" w:hAnsi="Arial" w:cs="Arial"/>
          <w:kern w:val="0"/>
          <w:lang w:eastAsia="en-GB"/>
          <w14:ligatures w14:val="none"/>
        </w:rPr>
        <w:t>Foundation Phase Profile Handboo</w:t>
      </w:r>
      <w:r>
        <w:rPr>
          <w:rFonts w:ascii="Arial" w:eastAsia="Times New Roman" w:hAnsi="Arial" w:cs="Arial"/>
          <w:kern w:val="0"/>
          <w:lang w:eastAsia="en-GB"/>
          <w14:ligatures w14:val="none"/>
        </w:rPr>
        <w:t xml:space="preserve">k. Available at: </w:t>
      </w:r>
      <w:hyperlink r:id="rId50" w:history="1">
        <w:r w:rsidRPr="00566EAF">
          <w:rPr>
            <w:rStyle w:val="Hyperlink"/>
            <w:rFonts w:ascii="Arial" w:eastAsia="Times New Roman" w:hAnsi="Arial" w:cs="Arial"/>
            <w:kern w:val="0"/>
            <w:lang w:eastAsia="en-GB"/>
            <w14:ligatures w14:val="none"/>
          </w:rPr>
          <w:t>https://www.gov.wales/sites/default/files/publications/2018-03/foundation-phase-profile-handbook-revised-september-2017.pdf</w:t>
        </w:r>
      </w:hyperlink>
      <w:r>
        <w:rPr>
          <w:rFonts w:ascii="Arial" w:eastAsia="Times New Roman" w:hAnsi="Arial" w:cs="Arial"/>
          <w:kern w:val="0"/>
          <w:lang w:eastAsia="en-GB"/>
          <w14:ligatures w14:val="none"/>
        </w:rPr>
        <w:t xml:space="preserve"> (Accessed: 9</w:t>
      </w:r>
      <w:r w:rsidRPr="006611B2">
        <w:rPr>
          <w:rFonts w:ascii="Arial" w:eastAsia="Times New Roman" w:hAnsi="Arial" w:cs="Arial"/>
          <w:kern w:val="0"/>
          <w:vertAlign w:val="superscript"/>
          <w:lang w:eastAsia="en-GB"/>
          <w14:ligatures w14:val="none"/>
        </w:rPr>
        <w:t>th</w:t>
      </w:r>
      <w:r>
        <w:rPr>
          <w:rFonts w:ascii="Arial" w:eastAsia="Times New Roman" w:hAnsi="Arial" w:cs="Arial"/>
          <w:kern w:val="0"/>
          <w:lang w:eastAsia="en-GB"/>
          <w14:ligatures w14:val="none"/>
        </w:rPr>
        <w:t xml:space="preserve"> June 2025).</w:t>
      </w:r>
    </w:p>
    <w:p w14:paraId="70CC505F"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Government (2019) </w:t>
      </w:r>
      <w:r w:rsidRPr="00B23D7F">
        <w:rPr>
          <w:rFonts w:ascii="Arial" w:eastAsia="Times New Roman" w:hAnsi="Arial" w:cs="Arial"/>
          <w:i/>
          <w:iCs/>
          <w:kern w:val="0"/>
          <w:lang w:eastAsia="en-GB"/>
          <w14:ligatures w14:val="none"/>
        </w:rPr>
        <w:t>Curriculum for Wales 2022 feedback analysis</w:t>
      </w:r>
      <w:r w:rsidRPr="00B23D7F">
        <w:rPr>
          <w:rFonts w:ascii="Arial" w:eastAsia="Times New Roman" w:hAnsi="Arial" w:cs="Arial"/>
          <w:kern w:val="0"/>
          <w:lang w:eastAsia="en-GB"/>
          <w14:ligatures w14:val="none"/>
        </w:rPr>
        <w:t xml:space="preserve">. Available at: </w:t>
      </w:r>
      <w:hyperlink r:id="rId51" w:history="1">
        <w:r w:rsidRPr="00B23D7F">
          <w:rPr>
            <w:rStyle w:val="Hyperlink"/>
            <w:rFonts w:ascii="Arial" w:eastAsia="Times New Roman" w:hAnsi="Arial" w:cs="Arial"/>
            <w:kern w:val="0"/>
            <w:lang w:eastAsia="en-GB"/>
            <w14:ligatures w14:val="none"/>
          </w:rPr>
          <w:t>https://www.gov.wales/sites/default/files/consultations/2019-10/curriculum-wales-2022-feedback-analysis.pdf</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69345375"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Government (2020a) </w:t>
      </w:r>
      <w:r w:rsidRPr="00B23D7F">
        <w:rPr>
          <w:rFonts w:ascii="Arial" w:eastAsia="Times New Roman" w:hAnsi="Arial" w:cs="Arial"/>
          <w:i/>
          <w:iCs/>
          <w:kern w:val="0"/>
          <w:lang w:eastAsia="en-GB"/>
          <w14:ligatures w14:val="none"/>
        </w:rPr>
        <w:t>Cross-cutting themes for designing your curriculum.</w:t>
      </w:r>
      <w:r w:rsidRPr="00B23D7F">
        <w:rPr>
          <w:rFonts w:ascii="Arial" w:eastAsia="Times New Roman" w:hAnsi="Arial" w:cs="Arial"/>
          <w:kern w:val="0"/>
          <w:lang w:eastAsia="en-GB"/>
          <w14:ligatures w14:val="none"/>
        </w:rPr>
        <w:t xml:space="preserve"> Available at: </w:t>
      </w:r>
      <w:hyperlink r:id="rId52" w:anchor="diversity" w:history="1">
        <w:r w:rsidRPr="00B23D7F">
          <w:rPr>
            <w:rStyle w:val="Hyperlink"/>
            <w:rFonts w:ascii="Arial" w:eastAsia="Times New Roman" w:hAnsi="Arial" w:cs="Arial"/>
            <w:kern w:val="0"/>
            <w:lang w:eastAsia="en-GB"/>
            <w14:ligatures w14:val="none"/>
          </w:rPr>
          <w:t>Cross-cutting themes for designing your curriculum - Hwb</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17728E97" w14:textId="77777777" w:rsidR="00F409BA" w:rsidRPr="00B23D7F" w:rsidRDefault="00F409BA" w:rsidP="001331A4">
      <w:pPr>
        <w:spacing w:before="100" w:beforeAutospacing="1" w:after="100" w:afterAutospacing="1" w:line="240" w:lineRule="auto"/>
        <w:rPr>
          <w:rFonts w:ascii="Arial" w:eastAsia="Times New Roman" w:hAnsi="Arial" w:cs="Arial"/>
          <w:b/>
          <w:bCs/>
          <w:kern w:val="0"/>
          <w:lang w:eastAsia="en-GB"/>
          <w14:ligatures w14:val="none"/>
        </w:rPr>
      </w:pPr>
      <w:r w:rsidRPr="00B23D7F">
        <w:rPr>
          <w:rFonts w:ascii="Arial" w:eastAsia="Times New Roman" w:hAnsi="Arial" w:cs="Arial"/>
          <w:kern w:val="0"/>
          <w:lang w:eastAsia="en-GB"/>
          <w14:ligatures w14:val="none"/>
        </w:rPr>
        <w:t xml:space="preserve">Welsh Government (2020b) </w:t>
      </w:r>
      <w:r w:rsidRPr="00B23D7F">
        <w:rPr>
          <w:rFonts w:ascii="Arial" w:eastAsia="Times New Roman" w:hAnsi="Arial" w:cs="Arial"/>
          <w:i/>
          <w:iCs/>
          <w:kern w:val="0"/>
          <w:lang w:eastAsia="en-GB"/>
          <w14:ligatures w14:val="none"/>
        </w:rPr>
        <w:t xml:space="preserve">Supporting learner progression: assessment guidance. </w:t>
      </w:r>
      <w:r w:rsidRPr="00B23D7F">
        <w:rPr>
          <w:rFonts w:ascii="Arial" w:eastAsia="Times New Roman" w:hAnsi="Arial" w:cs="Arial"/>
          <w:kern w:val="0"/>
          <w:lang w:eastAsia="en-GB"/>
          <w14:ligatures w14:val="none"/>
        </w:rPr>
        <w:t xml:space="preserve">Available at: </w:t>
      </w:r>
      <w:hyperlink r:id="rId53" w:history="1">
        <w:r w:rsidRPr="00B23D7F">
          <w:rPr>
            <w:rStyle w:val="Hyperlink"/>
            <w:rFonts w:ascii="Arial" w:eastAsia="Times New Roman" w:hAnsi="Arial" w:cs="Arial"/>
            <w:kern w:val="0"/>
            <w:lang w:eastAsia="en-GB"/>
            <w14:ligatures w14:val="none"/>
          </w:rPr>
          <w:t>https://hwb.gov.wales/curriculum-for-wales/assessment-arrangements/supporting-learner-progression-assessment-guidance/</w:t>
        </w:r>
      </w:hyperlink>
      <w:r w:rsidRPr="00B23D7F">
        <w:rPr>
          <w:rFonts w:ascii="Arial" w:eastAsia="Times New Roman" w:hAnsi="Arial" w:cs="Arial"/>
          <w:kern w:val="0"/>
          <w:lang w:eastAsia="en-GB"/>
          <w14:ligatures w14:val="none"/>
        </w:rPr>
        <w:t xml:space="preserve"> (Accessed: 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20D4FD97"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Welsh Government (2022</w:t>
      </w:r>
      <w:r w:rsidRPr="00B23D7F">
        <w:rPr>
          <w:rFonts w:ascii="Arial" w:eastAsia="Times New Roman" w:hAnsi="Arial" w:cs="Arial"/>
          <w:kern w:val="0"/>
          <w:lang w:eastAsia="en-GB"/>
          <w14:ligatures w14:val="none"/>
        </w:rPr>
        <w:t>c</w:t>
      </w:r>
      <w:r w:rsidRPr="00EC158D">
        <w:rPr>
          <w:rFonts w:ascii="Arial" w:eastAsia="Times New Roman" w:hAnsi="Arial" w:cs="Arial"/>
          <w:kern w:val="0"/>
          <w:lang w:eastAsia="en-GB"/>
          <w14:ligatures w14:val="none"/>
        </w:rPr>
        <w:t xml:space="preserve">) </w:t>
      </w:r>
      <w:r w:rsidRPr="00EC158D">
        <w:rPr>
          <w:rFonts w:ascii="Arial" w:eastAsia="Times New Roman" w:hAnsi="Arial" w:cs="Arial"/>
          <w:i/>
          <w:iCs/>
          <w:kern w:val="0"/>
          <w:lang w:eastAsia="en-GB"/>
          <w14:ligatures w14:val="none"/>
        </w:rPr>
        <w:t>Expanding childcare support: Cabinet paper</w:t>
      </w:r>
      <w:r w:rsidRPr="00EC158D">
        <w:rPr>
          <w:rFonts w:ascii="Arial" w:eastAsia="Times New Roman" w:hAnsi="Arial" w:cs="Arial"/>
          <w:kern w:val="0"/>
          <w:lang w:eastAsia="en-GB"/>
          <w14:ligatures w14:val="none"/>
        </w:rPr>
        <w:t xml:space="preserve">. Available at: </w:t>
      </w:r>
      <w:hyperlink r:id="rId54" w:history="1">
        <w:r w:rsidRPr="00EC158D">
          <w:rPr>
            <w:rStyle w:val="Hyperlink"/>
            <w:rFonts w:ascii="Arial" w:eastAsia="Times New Roman" w:hAnsi="Arial" w:cs="Arial"/>
            <w:kern w:val="0"/>
            <w:lang w:eastAsia="en-GB"/>
            <w14:ligatures w14:val="none"/>
          </w:rPr>
          <w:t>https://www.gov.wales/sites/default/files/pdf-versions/2022/4/4/1649928662/expanding-childcare-support-cabinet-paper.pdf</w:t>
        </w:r>
      </w:hyperlink>
      <w:r w:rsidRPr="00EC158D">
        <w:rPr>
          <w:rFonts w:ascii="Arial" w:eastAsia="Times New Roman" w:hAnsi="Arial" w:cs="Arial"/>
          <w:kern w:val="0"/>
          <w:lang w:eastAsia="en-GB"/>
          <w14:ligatures w14:val="none"/>
        </w:rPr>
        <w:t xml:space="preserve"> (Accessed: 13</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26114F51" w14:textId="6D0869AF"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Government (2022d) </w:t>
      </w:r>
      <w:r w:rsidR="00A45454">
        <w:rPr>
          <w:rFonts w:ascii="Arial" w:eastAsia="Times New Roman" w:hAnsi="Arial" w:cs="Arial"/>
          <w:i/>
          <w:iCs/>
          <w:kern w:val="0"/>
          <w:lang w:eastAsia="en-GB"/>
          <w14:ligatures w14:val="none"/>
        </w:rPr>
        <w:t>T</w:t>
      </w:r>
      <w:r w:rsidRPr="00B23D7F">
        <w:rPr>
          <w:rFonts w:ascii="Arial" w:eastAsia="Times New Roman" w:hAnsi="Arial" w:cs="Arial"/>
          <w:i/>
          <w:iCs/>
          <w:kern w:val="0"/>
          <w:lang w:eastAsia="en-GB"/>
          <w14:ligatures w14:val="none"/>
        </w:rPr>
        <w:t xml:space="preserve">he Additional Learning Needs and Education Tribunal (Wales) Act 2018: practitioner guide. </w:t>
      </w:r>
      <w:r w:rsidRPr="00B23D7F">
        <w:rPr>
          <w:rFonts w:ascii="Arial" w:eastAsia="Times New Roman" w:hAnsi="Arial" w:cs="Arial"/>
          <w:kern w:val="0"/>
          <w:lang w:eastAsia="en-GB"/>
          <w14:ligatures w14:val="none"/>
        </w:rPr>
        <w:t xml:space="preserve">Available at: </w:t>
      </w:r>
      <w:hyperlink r:id="rId55" w:history="1">
        <w:r w:rsidRPr="00B23D7F">
          <w:rPr>
            <w:rStyle w:val="Hyperlink"/>
            <w:rFonts w:ascii="Arial" w:eastAsia="Times New Roman" w:hAnsi="Arial" w:cs="Arial"/>
            <w:kern w:val="0"/>
            <w:lang w:eastAsia="en-GB"/>
            <w14:ligatures w14:val="none"/>
          </w:rPr>
          <w:t>https://www.gov.wales/implementing-additional-learning-needs-and-education-tribunal-wales-act-2018-practitioner-guide-0</w:t>
        </w:r>
      </w:hyperlink>
      <w:r w:rsidRPr="00B23D7F">
        <w:rPr>
          <w:rFonts w:ascii="Arial" w:eastAsia="Times New Roman" w:hAnsi="Arial" w:cs="Arial"/>
          <w:kern w:val="0"/>
          <w:lang w:eastAsia="en-GB"/>
          <w14:ligatures w14:val="none"/>
        </w:rPr>
        <w:t xml:space="preserve"> (Accessed: 4</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011C9884"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Welsh Government (2022e) Curriculum for Wales. Available at: </w:t>
      </w:r>
      <w:hyperlink r:id="rId56" w:history="1">
        <w:r w:rsidRPr="00B23D7F">
          <w:rPr>
            <w:rStyle w:val="Hyperlink"/>
            <w:rFonts w:ascii="Arial" w:eastAsia="Times New Roman" w:hAnsi="Arial" w:cs="Arial"/>
            <w:kern w:val="0"/>
            <w:lang w:eastAsia="en-GB"/>
            <w14:ligatures w14:val="none"/>
          </w:rPr>
          <w:t>https://hwb.gov.wales/curriculum-for-wales/</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 </w:t>
      </w:r>
    </w:p>
    <w:p w14:paraId="4113BB5F" w14:textId="77777777" w:rsidR="00F409BA" w:rsidRDefault="00F409BA" w:rsidP="001331A4">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Welsh Government (2022f)</w:t>
      </w:r>
      <w:r w:rsidRPr="00B23D7F">
        <w:rPr>
          <w:rFonts w:ascii="Arial" w:eastAsia="Times New Roman" w:hAnsi="Arial" w:cs="Arial"/>
          <w:i/>
          <w:iCs/>
          <w:kern w:val="0"/>
          <w:lang w:eastAsia="en-GB"/>
          <w14:ligatures w14:val="none"/>
        </w:rPr>
        <w:t xml:space="preserve"> Developing a vision for curriculum design</w:t>
      </w:r>
      <w:r w:rsidRPr="00B23D7F">
        <w:rPr>
          <w:rFonts w:ascii="Arial" w:eastAsia="Times New Roman" w:hAnsi="Arial" w:cs="Arial"/>
          <w:kern w:val="0"/>
          <w:lang w:eastAsia="en-GB"/>
          <w14:ligatures w14:val="none"/>
        </w:rPr>
        <w:t xml:space="preserve">. Available at: </w:t>
      </w:r>
      <w:hyperlink r:id="rId57" w:history="1">
        <w:r w:rsidRPr="00B23D7F">
          <w:rPr>
            <w:rStyle w:val="Hyperlink"/>
            <w:rFonts w:ascii="Arial" w:eastAsia="Times New Roman" w:hAnsi="Arial" w:cs="Arial"/>
            <w:kern w:val="0"/>
            <w:lang w:eastAsia="en-GB"/>
            <w14:ligatures w14:val="none"/>
          </w:rPr>
          <w:t>https://hwb.gov.wales/curriculum-for-wales/designing-your-curriculum/developing-a-vision-for-curriculum-design/</w:t>
        </w:r>
      </w:hyperlink>
      <w:r w:rsidRPr="00B23D7F">
        <w:rPr>
          <w:rFonts w:ascii="Arial" w:eastAsia="Times New Roman" w:hAnsi="Arial" w:cs="Arial"/>
          <w:kern w:val="0"/>
          <w:lang w:eastAsia="en-GB"/>
          <w14:ligatures w14:val="none"/>
        </w:rPr>
        <w:t xml:space="preserve"> (Accessed: 2</w:t>
      </w:r>
      <w:r w:rsidRPr="00B23D7F">
        <w:rPr>
          <w:rFonts w:ascii="Arial" w:eastAsia="Times New Roman" w:hAnsi="Arial" w:cs="Arial"/>
          <w:kern w:val="0"/>
          <w:vertAlign w:val="superscript"/>
          <w:lang w:eastAsia="en-GB"/>
          <w14:ligatures w14:val="none"/>
        </w:rPr>
        <w:t>nd</w:t>
      </w:r>
      <w:r w:rsidRPr="00B23D7F">
        <w:rPr>
          <w:rFonts w:ascii="Arial" w:eastAsia="Times New Roman" w:hAnsi="Arial" w:cs="Arial"/>
          <w:kern w:val="0"/>
          <w:lang w:eastAsia="en-GB"/>
          <w14:ligatures w14:val="none"/>
        </w:rPr>
        <w:t xml:space="preserve"> January 2025).</w:t>
      </w:r>
    </w:p>
    <w:p w14:paraId="407C2A44" w14:textId="59605955" w:rsidR="00091C86" w:rsidRPr="00B23D7F" w:rsidRDefault="00091C86" w:rsidP="001331A4">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Welsh Government (2022g) </w:t>
      </w:r>
      <w:r w:rsidRPr="00091C86">
        <w:rPr>
          <w:rFonts w:ascii="Arial" w:eastAsia="Times New Roman" w:hAnsi="Arial" w:cs="Arial"/>
          <w:kern w:val="0"/>
          <w:lang w:eastAsia="en-GB"/>
          <w14:ligatures w14:val="none"/>
        </w:rPr>
        <w:t>Curriculum for funded non-maintained nursery settings</w:t>
      </w:r>
      <w:r>
        <w:rPr>
          <w:rFonts w:ascii="Arial" w:eastAsia="Times New Roman" w:hAnsi="Arial" w:cs="Arial"/>
          <w:kern w:val="0"/>
          <w:lang w:eastAsia="en-GB"/>
          <w14:ligatures w14:val="none"/>
        </w:rPr>
        <w:t>. Avai</w:t>
      </w:r>
      <w:r w:rsidR="00713A03">
        <w:rPr>
          <w:rFonts w:ascii="Arial" w:eastAsia="Times New Roman" w:hAnsi="Arial" w:cs="Arial"/>
          <w:kern w:val="0"/>
          <w:lang w:eastAsia="en-GB"/>
          <w14:ligatures w14:val="none"/>
        </w:rPr>
        <w:t xml:space="preserve">lable at: </w:t>
      </w:r>
      <w:hyperlink r:id="rId58" w:history="1">
        <w:r w:rsidR="00713A03" w:rsidRPr="00566EAF">
          <w:rPr>
            <w:rStyle w:val="Hyperlink"/>
            <w:rFonts w:ascii="Arial" w:eastAsia="Times New Roman" w:hAnsi="Arial" w:cs="Arial"/>
            <w:kern w:val="0"/>
            <w:lang w:eastAsia="en-GB"/>
            <w14:ligatures w14:val="none"/>
          </w:rPr>
          <w:t>https://hwb.gov.wales/curriculum-for-wales/curriculum-for-funded-non-maintained-nursery-settings/</w:t>
        </w:r>
      </w:hyperlink>
      <w:r w:rsidR="00713A03">
        <w:rPr>
          <w:rFonts w:ascii="Arial" w:eastAsia="Times New Roman" w:hAnsi="Arial" w:cs="Arial"/>
          <w:kern w:val="0"/>
          <w:lang w:eastAsia="en-GB"/>
          <w14:ligatures w14:val="none"/>
        </w:rPr>
        <w:t xml:space="preserve"> (Accessed: 13</w:t>
      </w:r>
      <w:r w:rsidR="00713A03" w:rsidRPr="00713A03">
        <w:rPr>
          <w:rFonts w:ascii="Arial" w:eastAsia="Times New Roman" w:hAnsi="Arial" w:cs="Arial"/>
          <w:kern w:val="0"/>
          <w:vertAlign w:val="superscript"/>
          <w:lang w:eastAsia="en-GB"/>
          <w14:ligatures w14:val="none"/>
        </w:rPr>
        <w:t>th</w:t>
      </w:r>
      <w:r w:rsidR="00713A03">
        <w:rPr>
          <w:rFonts w:ascii="Arial" w:eastAsia="Times New Roman" w:hAnsi="Arial" w:cs="Arial"/>
          <w:kern w:val="0"/>
          <w:lang w:eastAsia="en-GB"/>
          <w14:ligatures w14:val="none"/>
        </w:rPr>
        <w:t xml:space="preserve"> June 2025).</w:t>
      </w:r>
    </w:p>
    <w:p w14:paraId="2D0806ED"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Welsh Government (2024a) </w:t>
      </w:r>
      <w:r w:rsidRPr="00EC158D">
        <w:rPr>
          <w:rFonts w:ascii="Arial" w:eastAsia="Times New Roman" w:hAnsi="Arial" w:cs="Arial"/>
          <w:i/>
          <w:iCs/>
          <w:kern w:val="0"/>
          <w:lang w:eastAsia="en-GB"/>
          <w14:ligatures w14:val="none"/>
        </w:rPr>
        <w:t>Phased expansion of Early Years Provision</w:t>
      </w:r>
      <w:r w:rsidRPr="00EC158D">
        <w:rPr>
          <w:rFonts w:ascii="Arial" w:eastAsia="Times New Roman" w:hAnsi="Arial" w:cs="Arial"/>
          <w:kern w:val="0"/>
          <w:lang w:eastAsia="en-GB"/>
          <w14:ligatures w14:val="none"/>
        </w:rPr>
        <w:t xml:space="preserve">. Available at: </w:t>
      </w:r>
      <w:hyperlink r:id="rId59" w:history="1">
        <w:r w:rsidRPr="00EC158D">
          <w:rPr>
            <w:rStyle w:val="Hyperlink"/>
            <w:rFonts w:ascii="Arial" w:eastAsia="Times New Roman" w:hAnsi="Arial" w:cs="Arial"/>
            <w:kern w:val="0"/>
            <w:lang w:eastAsia="en-GB"/>
            <w14:ligatures w14:val="none"/>
          </w:rPr>
          <w:t>https://www.researchgate.net/publication/340137325_The_importance_of_play_A_report_on_the_value_of_children%27s_play_with_a_series_of_policy_recommendations</w:t>
        </w:r>
      </w:hyperlink>
      <w:r w:rsidRPr="00EC158D">
        <w:rPr>
          <w:rFonts w:ascii="Arial" w:eastAsia="Times New Roman" w:hAnsi="Arial" w:cs="Arial"/>
          <w:kern w:val="0"/>
          <w:lang w:eastAsia="en-GB"/>
          <w14:ligatures w14:val="none"/>
        </w:rPr>
        <w:t xml:space="preserve"> (Accessed: 14</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27FE881E"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lastRenderedPageBreak/>
        <w:t>Welsh Government (2024</w:t>
      </w:r>
      <w:r w:rsidRPr="00B23D7F">
        <w:rPr>
          <w:rFonts w:ascii="Arial" w:eastAsia="Times New Roman" w:hAnsi="Arial" w:cs="Arial"/>
          <w:kern w:val="0"/>
          <w:lang w:eastAsia="en-GB"/>
          <w14:ligatures w14:val="none"/>
        </w:rPr>
        <w:t>b</w:t>
      </w:r>
      <w:r w:rsidRPr="00EC158D">
        <w:rPr>
          <w:rFonts w:ascii="Arial" w:eastAsia="Times New Roman" w:hAnsi="Arial" w:cs="Arial"/>
          <w:kern w:val="0"/>
          <w:lang w:eastAsia="en-GB"/>
          <w14:ligatures w14:val="none"/>
        </w:rPr>
        <w:t xml:space="preserve">) </w:t>
      </w:r>
      <w:r w:rsidRPr="00EC158D">
        <w:rPr>
          <w:rFonts w:ascii="Arial" w:eastAsia="Times New Roman" w:hAnsi="Arial" w:cs="Arial"/>
          <w:i/>
          <w:iCs/>
          <w:kern w:val="0"/>
          <w:lang w:eastAsia="en-GB"/>
          <w14:ligatures w14:val="none"/>
        </w:rPr>
        <w:t xml:space="preserve">Child Poverty Strategy for Wales: The best start in life. </w:t>
      </w:r>
      <w:r w:rsidRPr="00EC158D">
        <w:rPr>
          <w:rFonts w:ascii="Arial" w:eastAsia="Times New Roman" w:hAnsi="Arial" w:cs="Arial"/>
          <w:kern w:val="0"/>
          <w:lang w:eastAsia="en-GB"/>
          <w14:ligatures w14:val="none"/>
        </w:rPr>
        <w:t xml:space="preserve">Available at: </w:t>
      </w:r>
      <w:hyperlink r:id="rId60" w:history="1">
        <w:r w:rsidRPr="00EC158D">
          <w:rPr>
            <w:rStyle w:val="Hyperlink"/>
            <w:rFonts w:ascii="Arial" w:eastAsia="Times New Roman" w:hAnsi="Arial" w:cs="Arial"/>
            <w:kern w:val="0"/>
            <w:lang w:eastAsia="en-GB"/>
            <w14:ligatures w14:val="none"/>
          </w:rPr>
          <w:t>https://www.gov.wales/sites/default/files/pdf-versions/2024/7/5/1720789730/child-poverty-strategy-wales-2024.pdf</w:t>
        </w:r>
      </w:hyperlink>
      <w:r w:rsidRPr="00EC158D">
        <w:rPr>
          <w:rFonts w:ascii="Arial" w:eastAsia="Times New Roman" w:hAnsi="Arial" w:cs="Arial"/>
          <w:kern w:val="0"/>
          <w:lang w:eastAsia="en-GB"/>
          <w14:ligatures w14:val="none"/>
        </w:rPr>
        <w:t xml:space="preserve"> (Accessed: 13</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2024).</w:t>
      </w:r>
    </w:p>
    <w:p w14:paraId="6AB8AE74" w14:textId="77777777" w:rsidR="00F409BA"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Welsh Government (2024</w:t>
      </w:r>
      <w:r w:rsidRPr="00B23D7F">
        <w:rPr>
          <w:rFonts w:ascii="Arial" w:eastAsia="Times New Roman" w:hAnsi="Arial" w:cs="Arial"/>
          <w:kern w:val="0"/>
          <w:lang w:eastAsia="en-GB"/>
          <w14:ligatures w14:val="none"/>
        </w:rPr>
        <w:t>c</w:t>
      </w:r>
      <w:r w:rsidRPr="00EC158D">
        <w:rPr>
          <w:rFonts w:ascii="Arial" w:eastAsia="Times New Roman" w:hAnsi="Arial" w:cs="Arial"/>
          <w:kern w:val="0"/>
          <w:lang w:eastAsia="en-GB"/>
          <w14:ligatures w14:val="none"/>
        </w:rPr>
        <w:t xml:space="preserve">) </w:t>
      </w:r>
      <w:r w:rsidRPr="00EC158D">
        <w:rPr>
          <w:rFonts w:ascii="Arial" w:eastAsia="Times New Roman" w:hAnsi="Arial" w:cs="Arial"/>
          <w:i/>
          <w:iCs/>
          <w:kern w:val="0"/>
          <w:lang w:eastAsia="en-GB"/>
          <w14:ligatures w14:val="none"/>
        </w:rPr>
        <w:t xml:space="preserve">Get 30 hours of free childcare for </w:t>
      </w:r>
      <w:proofErr w:type="gramStart"/>
      <w:r w:rsidRPr="00EC158D">
        <w:rPr>
          <w:rFonts w:ascii="Arial" w:eastAsia="Times New Roman" w:hAnsi="Arial" w:cs="Arial"/>
          <w:i/>
          <w:iCs/>
          <w:kern w:val="0"/>
          <w:lang w:eastAsia="en-GB"/>
          <w14:ligatures w14:val="none"/>
        </w:rPr>
        <w:t>3 and 4 year olds</w:t>
      </w:r>
      <w:proofErr w:type="gramEnd"/>
      <w:r w:rsidRPr="00EC158D">
        <w:rPr>
          <w:rFonts w:ascii="Arial" w:eastAsia="Times New Roman" w:hAnsi="Arial" w:cs="Arial"/>
          <w:i/>
          <w:iCs/>
          <w:kern w:val="0"/>
          <w:lang w:eastAsia="en-GB"/>
          <w14:ligatures w14:val="none"/>
        </w:rPr>
        <w:t>.</w:t>
      </w:r>
      <w:r w:rsidRPr="00EC158D">
        <w:rPr>
          <w:rFonts w:ascii="Arial" w:eastAsia="Times New Roman" w:hAnsi="Arial" w:cs="Arial"/>
          <w:kern w:val="0"/>
          <w:lang w:eastAsia="en-GB"/>
          <w14:ligatures w14:val="none"/>
        </w:rPr>
        <w:t xml:space="preserve"> Available at: </w:t>
      </w:r>
      <w:hyperlink r:id="rId61" w:history="1">
        <w:r w:rsidRPr="00EC158D">
          <w:rPr>
            <w:rStyle w:val="Hyperlink"/>
            <w:rFonts w:ascii="Arial" w:eastAsia="Times New Roman" w:hAnsi="Arial" w:cs="Arial"/>
            <w:kern w:val="0"/>
            <w:lang w:eastAsia="en-GB"/>
            <w14:ligatures w14:val="none"/>
          </w:rPr>
          <w:t>https://www.researchgate.net/publication/340137325_The_importance_of_play_A_report_on_the_value_of_children%27s_play_with_a_series_of_policy_recommendations</w:t>
        </w:r>
      </w:hyperlink>
      <w:r w:rsidRPr="00EC158D">
        <w:rPr>
          <w:rFonts w:ascii="Arial" w:eastAsia="Times New Roman" w:hAnsi="Arial" w:cs="Arial"/>
          <w:kern w:val="0"/>
          <w:lang w:eastAsia="en-GB"/>
          <w14:ligatures w14:val="none"/>
        </w:rPr>
        <w:t xml:space="preserve"> (Accessed: 11</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4A0983E3"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Welsh Government (2024d)</w:t>
      </w:r>
      <w:r>
        <w:rPr>
          <w:rFonts w:ascii="Arial" w:eastAsia="Times New Roman" w:hAnsi="Arial" w:cs="Arial"/>
          <w:b/>
          <w:bCs/>
          <w:color w:val="1F1F1F"/>
          <w:kern w:val="36"/>
          <w:sz w:val="48"/>
          <w:szCs w:val="48"/>
          <w:lang w:eastAsia="en-GB"/>
          <w14:ligatures w14:val="none"/>
        </w:rPr>
        <w:t xml:space="preserve"> </w:t>
      </w:r>
      <w:r w:rsidRPr="00C95047">
        <w:rPr>
          <w:rFonts w:ascii="Arial" w:eastAsia="Times New Roman" w:hAnsi="Arial" w:cs="Arial"/>
          <w:i/>
          <w:iCs/>
          <w:kern w:val="0"/>
          <w:lang w:eastAsia="en-GB"/>
          <w14:ligatures w14:val="none"/>
        </w:rPr>
        <w:t>Early Childhood Play, Learning and Care (ECPLC)</w:t>
      </w:r>
      <w:r>
        <w:rPr>
          <w:rFonts w:ascii="Arial" w:eastAsia="Times New Roman" w:hAnsi="Arial" w:cs="Arial"/>
          <w:i/>
          <w:iCs/>
          <w:kern w:val="0"/>
          <w:lang w:eastAsia="en-GB"/>
          <w14:ligatures w14:val="none"/>
        </w:rPr>
        <w:t xml:space="preserve">. </w:t>
      </w:r>
      <w:r>
        <w:rPr>
          <w:rFonts w:ascii="Arial" w:eastAsia="Times New Roman" w:hAnsi="Arial" w:cs="Arial"/>
          <w:kern w:val="0"/>
          <w:lang w:eastAsia="en-GB"/>
          <w14:ligatures w14:val="none"/>
        </w:rPr>
        <w:t xml:space="preserve">Available at: </w:t>
      </w:r>
      <w:hyperlink r:id="rId62" w:history="1">
        <w:r w:rsidRPr="00566EAF">
          <w:rPr>
            <w:rStyle w:val="Hyperlink"/>
            <w:rFonts w:ascii="Arial" w:eastAsia="Times New Roman" w:hAnsi="Arial" w:cs="Arial"/>
            <w:kern w:val="0"/>
            <w:lang w:eastAsia="en-GB"/>
            <w14:ligatures w14:val="none"/>
          </w:rPr>
          <w:t>https://www.gov.wales/early-childhood-play-learning-and-care-ecplc</w:t>
        </w:r>
      </w:hyperlink>
      <w:r>
        <w:rPr>
          <w:rFonts w:ascii="Arial" w:eastAsia="Times New Roman" w:hAnsi="Arial" w:cs="Arial"/>
          <w:kern w:val="0"/>
          <w:lang w:eastAsia="en-GB"/>
          <w14:ligatures w14:val="none"/>
        </w:rPr>
        <w:t xml:space="preserve"> (Accessed: 13</w:t>
      </w:r>
      <w:r w:rsidRPr="00C95047">
        <w:rPr>
          <w:rFonts w:ascii="Arial" w:eastAsia="Times New Roman" w:hAnsi="Arial" w:cs="Arial"/>
          <w:kern w:val="0"/>
          <w:vertAlign w:val="superscript"/>
          <w:lang w:eastAsia="en-GB"/>
          <w14:ligatures w14:val="none"/>
        </w:rPr>
        <w:t>th</w:t>
      </w:r>
      <w:r>
        <w:rPr>
          <w:rFonts w:ascii="Arial" w:eastAsia="Times New Roman" w:hAnsi="Arial" w:cs="Arial"/>
          <w:kern w:val="0"/>
          <w:lang w:eastAsia="en-GB"/>
          <w14:ligatures w14:val="none"/>
        </w:rPr>
        <w:t xml:space="preserve"> June 2025). </w:t>
      </w:r>
    </w:p>
    <w:p w14:paraId="6A157CF2"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Whalley, M. (2017) </w:t>
      </w:r>
      <w:r w:rsidRPr="00B23D7F">
        <w:rPr>
          <w:rFonts w:ascii="Arial" w:eastAsia="Times New Roman" w:hAnsi="Arial" w:cs="Arial"/>
          <w:i/>
          <w:iCs/>
          <w:kern w:val="0"/>
          <w:lang w:eastAsia="en-GB"/>
          <w14:ligatures w14:val="none"/>
        </w:rPr>
        <w:t>Involving Parents in their Children’s Learning</w:t>
      </w:r>
      <w:r w:rsidRPr="00B23D7F">
        <w:rPr>
          <w:rFonts w:ascii="Arial" w:eastAsia="Times New Roman" w:hAnsi="Arial" w:cs="Arial"/>
          <w:kern w:val="0"/>
          <w:lang w:eastAsia="en-GB"/>
          <w14:ligatures w14:val="none"/>
        </w:rPr>
        <w:t xml:space="preserve">. 3rd </w:t>
      </w:r>
      <w:proofErr w:type="spellStart"/>
      <w:r w:rsidRPr="00B23D7F">
        <w:rPr>
          <w:rFonts w:ascii="Arial" w:eastAsia="Times New Roman" w:hAnsi="Arial" w:cs="Arial"/>
          <w:kern w:val="0"/>
          <w:lang w:eastAsia="en-GB"/>
          <w14:ligatures w14:val="none"/>
        </w:rPr>
        <w:t>edn</w:t>
      </w:r>
      <w:proofErr w:type="spellEnd"/>
      <w:r w:rsidRPr="00B23D7F">
        <w:rPr>
          <w:rFonts w:ascii="Arial" w:eastAsia="Times New Roman" w:hAnsi="Arial" w:cs="Arial"/>
          <w:kern w:val="0"/>
          <w:lang w:eastAsia="en-GB"/>
          <w14:ligatures w14:val="none"/>
        </w:rPr>
        <w:t>. London: SAGE.</w:t>
      </w:r>
    </w:p>
    <w:p w14:paraId="556735D1" w14:textId="77777777" w:rsidR="00F409BA" w:rsidRPr="00EC158D" w:rsidRDefault="00F409BA" w:rsidP="00EC158D">
      <w:pPr>
        <w:spacing w:before="100" w:beforeAutospacing="1" w:after="100" w:afterAutospacing="1" w:line="240" w:lineRule="auto"/>
        <w:rPr>
          <w:rFonts w:ascii="Arial" w:eastAsia="Times New Roman" w:hAnsi="Arial" w:cs="Arial"/>
          <w:kern w:val="0"/>
          <w:lang w:eastAsia="en-GB"/>
          <w14:ligatures w14:val="none"/>
        </w:rPr>
      </w:pPr>
      <w:r w:rsidRPr="00EC158D">
        <w:rPr>
          <w:rFonts w:ascii="Arial" w:eastAsia="Times New Roman" w:hAnsi="Arial" w:cs="Arial"/>
          <w:kern w:val="0"/>
          <w:lang w:eastAsia="en-GB"/>
          <w14:ligatures w14:val="none"/>
        </w:rPr>
        <w:t xml:space="preserve">Whitebread, D. Basilio, M. </w:t>
      </w:r>
      <w:proofErr w:type="spellStart"/>
      <w:r w:rsidRPr="00EC158D">
        <w:rPr>
          <w:rFonts w:ascii="Arial" w:eastAsia="Times New Roman" w:hAnsi="Arial" w:cs="Arial"/>
          <w:kern w:val="0"/>
          <w:lang w:eastAsia="en-GB"/>
          <w14:ligatures w14:val="none"/>
        </w:rPr>
        <w:t>Kuvalja</w:t>
      </w:r>
      <w:proofErr w:type="spellEnd"/>
      <w:r w:rsidRPr="00EC158D">
        <w:rPr>
          <w:rFonts w:ascii="Arial" w:eastAsia="Times New Roman" w:hAnsi="Arial" w:cs="Arial"/>
          <w:kern w:val="0"/>
          <w:lang w:eastAsia="en-GB"/>
          <w14:ligatures w14:val="none"/>
        </w:rPr>
        <w:t xml:space="preserve">, M. and Verma, M. (2017) </w:t>
      </w:r>
      <w:r w:rsidRPr="00EC158D">
        <w:rPr>
          <w:rFonts w:ascii="Arial" w:eastAsia="Times New Roman" w:hAnsi="Arial" w:cs="Arial"/>
          <w:i/>
          <w:iCs/>
          <w:kern w:val="0"/>
          <w:lang w:eastAsia="en-GB"/>
          <w14:ligatures w14:val="none"/>
        </w:rPr>
        <w:t xml:space="preserve">The importance of play: A report on the value of children’s play with a series of policy recommendations. </w:t>
      </w:r>
      <w:hyperlink r:id="rId63" w:history="1">
        <w:r w:rsidRPr="00EC158D">
          <w:rPr>
            <w:rStyle w:val="Hyperlink"/>
            <w:rFonts w:ascii="Arial" w:eastAsia="Times New Roman" w:hAnsi="Arial" w:cs="Arial"/>
            <w:kern w:val="0"/>
            <w:lang w:eastAsia="en-GB"/>
            <w14:ligatures w14:val="none"/>
          </w:rPr>
          <w:t>https://www.researchgate.net/publication/340137325_The_importance_of_play_A_report_on_the_value_of_children%27s_play_with_a_series_of_policy_recommendations</w:t>
        </w:r>
      </w:hyperlink>
      <w:r w:rsidRPr="00EC158D">
        <w:rPr>
          <w:rFonts w:ascii="Arial" w:eastAsia="Times New Roman" w:hAnsi="Arial" w:cs="Arial"/>
          <w:kern w:val="0"/>
          <w:lang w:eastAsia="en-GB"/>
          <w14:ligatures w14:val="none"/>
        </w:rPr>
        <w:t xml:space="preserve"> (Accessed: 10</w:t>
      </w:r>
      <w:r w:rsidRPr="00EC158D">
        <w:rPr>
          <w:rFonts w:ascii="Arial" w:eastAsia="Times New Roman" w:hAnsi="Arial" w:cs="Arial"/>
          <w:kern w:val="0"/>
          <w:vertAlign w:val="superscript"/>
          <w:lang w:eastAsia="en-GB"/>
          <w14:ligatures w14:val="none"/>
        </w:rPr>
        <w:t>th</w:t>
      </w:r>
      <w:r w:rsidRPr="00EC158D">
        <w:rPr>
          <w:rFonts w:ascii="Arial" w:eastAsia="Times New Roman" w:hAnsi="Arial" w:cs="Arial"/>
          <w:kern w:val="0"/>
          <w:lang w:eastAsia="en-GB"/>
          <w14:ligatures w14:val="none"/>
        </w:rPr>
        <w:t xml:space="preserve"> June 2025).</w:t>
      </w:r>
    </w:p>
    <w:p w14:paraId="73886DF6" w14:textId="77777777" w:rsidR="00F409BA" w:rsidRPr="00B23D7F" w:rsidRDefault="00F409BA" w:rsidP="001331A4">
      <w:pPr>
        <w:spacing w:before="100" w:beforeAutospacing="1" w:after="100" w:afterAutospacing="1" w:line="240" w:lineRule="auto"/>
        <w:rPr>
          <w:rFonts w:ascii="Arial" w:eastAsia="Times New Roman" w:hAnsi="Arial" w:cs="Arial"/>
          <w:kern w:val="0"/>
          <w:lang w:val="en-US" w:eastAsia="en-GB"/>
          <w14:ligatures w14:val="none"/>
        </w:rPr>
      </w:pPr>
      <w:r w:rsidRPr="00B23D7F">
        <w:rPr>
          <w:rFonts w:ascii="Arial" w:eastAsia="Times New Roman" w:hAnsi="Arial" w:cs="Arial"/>
          <w:kern w:val="0"/>
          <w:lang w:val="en-US" w:eastAsia="en-GB"/>
          <w14:ligatures w14:val="none"/>
        </w:rPr>
        <w:t xml:space="preserve">Whitebread, D. Basillio, M. </w:t>
      </w:r>
      <w:proofErr w:type="spellStart"/>
      <w:r w:rsidRPr="00B23D7F">
        <w:rPr>
          <w:rFonts w:ascii="Arial" w:eastAsia="Times New Roman" w:hAnsi="Arial" w:cs="Arial"/>
          <w:kern w:val="0"/>
          <w:lang w:val="en-US" w:eastAsia="en-GB"/>
          <w14:ligatures w14:val="none"/>
        </w:rPr>
        <w:t>Kuvalja</w:t>
      </w:r>
      <w:proofErr w:type="spellEnd"/>
      <w:r w:rsidRPr="00B23D7F">
        <w:rPr>
          <w:rFonts w:ascii="Arial" w:eastAsia="Times New Roman" w:hAnsi="Arial" w:cs="Arial"/>
          <w:kern w:val="0"/>
          <w:lang w:val="en-US" w:eastAsia="en-GB"/>
          <w14:ligatures w14:val="none"/>
        </w:rPr>
        <w:t xml:space="preserve">, M. Verma, M. (2021) The importance of play in education policy. Cambridge University Policy Briefing.  Available at: </w:t>
      </w:r>
      <w:hyperlink r:id="rId64" w:history="1">
        <w:r w:rsidRPr="00B23D7F">
          <w:rPr>
            <w:rStyle w:val="Hyperlink"/>
            <w:rFonts w:ascii="Arial" w:eastAsia="Times New Roman" w:hAnsi="Arial" w:cs="Arial"/>
            <w:kern w:val="0"/>
            <w:lang w:eastAsia="en-GB"/>
            <w14:ligatures w14:val="none"/>
          </w:rPr>
          <w:t>https://www.csap.cam.ac.uk/media/uploads/files/1/david-whitebread---importance-of-play-report.pdf</w:t>
        </w:r>
      </w:hyperlink>
      <w:r w:rsidRPr="00B23D7F">
        <w:rPr>
          <w:rFonts w:ascii="Arial" w:eastAsia="Times New Roman" w:hAnsi="Arial" w:cs="Arial"/>
          <w:kern w:val="0"/>
          <w:lang w:eastAsia="en-GB"/>
          <w14:ligatures w14:val="none"/>
        </w:rPr>
        <w:t xml:space="preserve"> (Accessed: 28</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p w14:paraId="53EF6ACE" w14:textId="77777777" w:rsidR="00F409BA" w:rsidRPr="00B23D7F" w:rsidRDefault="00F409BA" w:rsidP="00A56CB7">
      <w:pPr>
        <w:spacing w:before="100" w:beforeAutospacing="1" w:after="100" w:afterAutospacing="1" w:line="240" w:lineRule="auto"/>
        <w:rPr>
          <w:rFonts w:ascii="Arial" w:eastAsia="Times New Roman" w:hAnsi="Arial" w:cs="Arial"/>
          <w:kern w:val="0"/>
          <w:lang w:eastAsia="en-GB"/>
          <w14:ligatures w14:val="none"/>
        </w:rPr>
      </w:pPr>
      <w:r w:rsidRPr="00B23D7F">
        <w:rPr>
          <w:rFonts w:ascii="Arial" w:eastAsia="Times New Roman" w:hAnsi="Arial" w:cs="Arial"/>
          <w:kern w:val="0"/>
          <w:lang w:eastAsia="en-GB"/>
          <w14:ligatures w14:val="none"/>
        </w:rPr>
        <w:t xml:space="preserve">Wood, E. (2020) </w:t>
      </w:r>
      <w:r w:rsidRPr="00B23D7F">
        <w:rPr>
          <w:rFonts w:ascii="Arial" w:eastAsia="Times New Roman" w:hAnsi="Arial" w:cs="Arial"/>
          <w:i/>
          <w:iCs/>
          <w:kern w:val="0"/>
          <w:lang w:eastAsia="en-GB"/>
          <w14:ligatures w14:val="none"/>
        </w:rPr>
        <w:t>The Routledge Reader in Early Childhood Education</w:t>
      </w:r>
      <w:r w:rsidRPr="00B23D7F">
        <w:rPr>
          <w:rFonts w:ascii="Arial" w:eastAsia="Times New Roman" w:hAnsi="Arial" w:cs="Arial"/>
          <w:kern w:val="0"/>
          <w:lang w:eastAsia="en-GB"/>
          <w14:ligatures w14:val="none"/>
        </w:rPr>
        <w:t>. London: Routledge.</w:t>
      </w:r>
    </w:p>
    <w:p w14:paraId="22E1452B" w14:textId="77777777" w:rsidR="00F409BA" w:rsidRPr="00B23D7F" w:rsidRDefault="00F409BA" w:rsidP="001331A4">
      <w:pPr>
        <w:spacing w:before="100" w:beforeAutospacing="1" w:after="100" w:afterAutospacing="1" w:line="240" w:lineRule="auto"/>
        <w:rPr>
          <w:rFonts w:ascii="Arial" w:eastAsia="Times New Roman" w:hAnsi="Arial" w:cs="Arial"/>
          <w:kern w:val="0"/>
          <w:lang w:eastAsia="en-GB"/>
          <w14:ligatures w14:val="none"/>
        </w:rPr>
      </w:pPr>
      <w:proofErr w:type="spellStart"/>
      <w:r w:rsidRPr="00B23D7F">
        <w:rPr>
          <w:rFonts w:ascii="Arial" w:eastAsia="Times New Roman" w:hAnsi="Arial" w:cs="Arial"/>
          <w:kern w:val="0"/>
          <w:lang w:eastAsia="en-GB"/>
          <w14:ligatures w14:val="none"/>
        </w:rPr>
        <w:t>Zosh</w:t>
      </w:r>
      <w:proofErr w:type="spellEnd"/>
      <w:r w:rsidRPr="00B23D7F">
        <w:rPr>
          <w:rFonts w:ascii="Arial" w:eastAsia="Times New Roman" w:hAnsi="Arial" w:cs="Arial"/>
          <w:kern w:val="0"/>
          <w:lang w:eastAsia="en-GB"/>
          <w14:ligatures w14:val="none"/>
        </w:rPr>
        <w:t xml:space="preserve">, J.M. Gaudreau, C. </w:t>
      </w:r>
      <w:proofErr w:type="spellStart"/>
      <w:r w:rsidRPr="00B23D7F">
        <w:rPr>
          <w:rFonts w:ascii="Arial" w:eastAsia="Times New Roman" w:hAnsi="Arial" w:cs="Arial"/>
          <w:kern w:val="0"/>
          <w:lang w:eastAsia="en-GB"/>
          <w14:ligatures w14:val="none"/>
        </w:rPr>
        <w:t>Golinkoff</w:t>
      </w:r>
      <w:proofErr w:type="spellEnd"/>
      <w:r w:rsidRPr="00B23D7F">
        <w:rPr>
          <w:rFonts w:ascii="Arial" w:eastAsia="Times New Roman" w:hAnsi="Arial" w:cs="Arial"/>
          <w:kern w:val="0"/>
          <w:lang w:eastAsia="en-GB"/>
          <w14:ligatures w14:val="none"/>
        </w:rPr>
        <w:t xml:space="preserve">, R.M. and Hirsh-Pasek, K. (2022) The Power of Playful Learning in the Early Childhood Setting, National Association for the Education of Young Children (NAEYS). Available at: </w:t>
      </w:r>
      <w:hyperlink r:id="rId65" w:history="1">
        <w:r w:rsidRPr="00B23D7F">
          <w:rPr>
            <w:rStyle w:val="Hyperlink"/>
            <w:rFonts w:ascii="Arial" w:eastAsia="Times New Roman" w:hAnsi="Arial" w:cs="Arial"/>
            <w:kern w:val="0"/>
            <w:lang w:eastAsia="en-GB"/>
            <w14:ligatures w14:val="none"/>
          </w:rPr>
          <w:t>https://www.naeyc.org/resources/pubs/yc/summer2022/power-playful-learninge Early Childhood Setting | NAEYC</w:t>
        </w:r>
      </w:hyperlink>
      <w:r w:rsidRPr="00B23D7F">
        <w:rPr>
          <w:rFonts w:ascii="Arial" w:eastAsia="Times New Roman" w:hAnsi="Arial" w:cs="Arial"/>
          <w:kern w:val="0"/>
          <w:lang w:eastAsia="en-GB"/>
          <w14:ligatures w14:val="none"/>
        </w:rPr>
        <w:t xml:space="preserve"> (Accessed: 25</w:t>
      </w:r>
      <w:r w:rsidRPr="00B23D7F">
        <w:rPr>
          <w:rFonts w:ascii="Arial" w:eastAsia="Times New Roman" w:hAnsi="Arial" w:cs="Arial"/>
          <w:kern w:val="0"/>
          <w:vertAlign w:val="superscript"/>
          <w:lang w:eastAsia="en-GB"/>
          <w14:ligatures w14:val="none"/>
        </w:rPr>
        <w:t>th</w:t>
      </w:r>
      <w:r w:rsidRPr="00B23D7F">
        <w:rPr>
          <w:rFonts w:ascii="Arial" w:eastAsia="Times New Roman" w:hAnsi="Arial" w:cs="Arial"/>
          <w:kern w:val="0"/>
          <w:lang w:eastAsia="en-GB"/>
          <w14:ligatures w14:val="none"/>
        </w:rPr>
        <w:t xml:space="preserve"> May 2025).</w:t>
      </w:r>
    </w:p>
    <w:sectPr w:rsidR="00F409BA" w:rsidRPr="00B23D7F">
      <w:headerReference w:type="default" r:id="rId66"/>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02ADD" w14:textId="77777777" w:rsidR="00FA576E" w:rsidRDefault="00FA576E" w:rsidP="00497DA3">
      <w:pPr>
        <w:spacing w:after="0" w:line="240" w:lineRule="auto"/>
      </w:pPr>
      <w:r>
        <w:separator/>
      </w:r>
    </w:p>
  </w:endnote>
  <w:endnote w:type="continuationSeparator" w:id="0">
    <w:p w14:paraId="57572CC4" w14:textId="77777777" w:rsidR="00FA576E" w:rsidRDefault="00FA576E" w:rsidP="00497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0039049"/>
      <w:docPartObj>
        <w:docPartGallery w:val="Page Numbers (Bottom of Page)"/>
        <w:docPartUnique/>
      </w:docPartObj>
    </w:sdtPr>
    <w:sdtEndPr>
      <w:rPr>
        <w:noProof/>
      </w:rPr>
    </w:sdtEndPr>
    <w:sdtContent>
      <w:p w14:paraId="06CEC742" w14:textId="2540EAC3" w:rsidR="00F05DA5" w:rsidRDefault="00F05D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4E968F" w14:textId="77777777" w:rsidR="00F05DA5" w:rsidRDefault="00F05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15BB7" w14:textId="77777777" w:rsidR="00FA576E" w:rsidRDefault="00FA576E" w:rsidP="00497DA3">
      <w:pPr>
        <w:spacing w:after="0" w:line="240" w:lineRule="auto"/>
      </w:pPr>
      <w:r>
        <w:separator/>
      </w:r>
    </w:p>
  </w:footnote>
  <w:footnote w:type="continuationSeparator" w:id="0">
    <w:p w14:paraId="0EB0197D" w14:textId="77777777" w:rsidR="00FA576E" w:rsidRDefault="00FA576E" w:rsidP="00497D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3352B2" w14:textId="72CE6BA8" w:rsidR="00497DA3" w:rsidRDefault="00B65C2F">
    <w:pPr>
      <w:pStyle w:val="Header"/>
    </w:pPr>
    <w:r>
      <w:t>ECEY6010</w:t>
    </w:r>
    <w:r>
      <w:ptab w:relativeTo="margin" w:alignment="center" w:leader="none"/>
    </w:r>
    <w:r>
      <w:t>2306182</w:t>
    </w:r>
    <w:r>
      <w:ptab w:relativeTo="margin" w:alignment="right" w:leader="none"/>
    </w:r>
    <w:r>
      <w:t>4388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D047FA"/>
    <w:multiLevelType w:val="multilevel"/>
    <w:tmpl w:val="FC640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3849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9A0"/>
    <w:rsid w:val="00007DF4"/>
    <w:rsid w:val="00010B62"/>
    <w:rsid w:val="0001689B"/>
    <w:rsid w:val="00030E7C"/>
    <w:rsid w:val="00034F8B"/>
    <w:rsid w:val="0004350E"/>
    <w:rsid w:val="000453D7"/>
    <w:rsid w:val="00045E03"/>
    <w:rsid w:val="000531C1"/>
    <w:rsid w:val="00057343"/>
    <w:rsid w:val="00061A0C"/>
    <w:rsid w:val="00066F0E"/>
    <w:rsid w:val="000751A8"/>
    <w:rsid w:val="000756C2"/>
    <w:rsid w:val="00084F22"/>
    <w:rsid w:val="00084FDC"/>
    <w:rsid w:val="0008509F"/>
    <w:rsid w:val="00086878"/>
    <w:rsid w:val="00086FED"/>
    <w:rsid w:val="000875E6"/>
    <w:rsid w:val="00091AD5"/>
    <w:rsid w:val="00091C86"/>
    <w:rsid w:val="00093F60"/>
    <w:rsid w:val="000B2E76"/>
    <w:rsid w:val="000C1373"/>
    <w:rsid w:val="000C5D42"/>
    <w:rsid w:val="000C7C7C"/>
    <w:rsid w:val="000D5B26"/>
    <w:rsid w:val="000E1177"/>
    <w:rsid w:val="000F5253"/>
    <w:rsid w:val="000F62D3"/>
    <w:rsid w:val="00100164"/>
    <w:rsid w:val="001051F3"/>
    <w:rsid w:val="0011671E"/>
    <w:rsid w:val="001258BD"/>
    <w:rsid w:val="001331A4"/>
    <w:rsid w:val="00133385"/>
    <w:rsid w:val="001373FA"/>
    <w:rsid w:val="00142C43"/>
    <w:rsid w:val="0015384F"/>
    <w:rsid w:val="0015675D"/>
    <w:rsid w:val="001577B4"/>
    <w:rsid w:val="00167D15"/>
    <w:rsid w:val="00176215"/>
    <w:rsid w:val="001778A1"/>
    <w:rsid w:val="00180B7F"/>
    <w:rsid w:val="00181F34"/>
    <w:rsid w:val="0019129E"/>
    <w:rsid w:val="001A6A25"/>
    <w:rsid w:val="001B3599"/>
    <w:rsid w:val="001B7AB5"/>
    <w:rsid w:val="001B7EC8"/>
    <w:rsid w:val="001C1907"/>
    <w:rsid w:val="001D1F85"/>
    <w:rsid w:val="001E63DE"/>
    <w:rsid w:val="001E695C"/>
    <w:rsid w:val="001F017D"/>
    <w:rsid w:val="001F21C3"/>
    <w:rsid w:val="001F2D95"/>
    <w:rsid w:val="001F60AA"/>
    <w:rsid w:val="001F78BC"/>
    <w:rsid w:val="00201454"/>
    <w:rsid w:val="00214D35"/>
    <w:rsid w:val="002153D5"/>
    <w:rsid w:val="002169A0"/>
    <w:rsid w:val="00223C61"/>
    <w:rsid w:val="0022518C"/>
    <w:rsid w:val="00232881"/>
    <w:rsid w:val="00234401"/>
    <w:rsid w:val="00236009"/>
    <w:rsid w:val="002416A2"/>
    <w:rsid w:val="00241834"/>
    <w:rsid w:val="0025077E"/>
    <w:rsid w:val="0025489E"/>
    <w:rsid w:val="00272627"/>
    <w:rsid w:val="00284DD8"/>
    <w:rsid w:val="002875B9"/>
    <w:rsid w:val="00291B33"/>
    <w:rsid w:val="00295865"/>
    <w:rsid w:val="002A74A9"/>
    <w:rsid w:val="002A78E7"/>
    <w:rsid w:val="002B1A27"/>
    <w:rsid w:val="002B57F9"/>
    <w:rsid w:val="002B7D08"/>
    <w:rsid w:val="002C288D"/>
    <w:rsid w:val="002C3285"/>
    <w:rsid w:val="002C46B7"/>
    <w:rsid w:val="002D0CC7"/>
    <w:rsid w:val="002D1443"/>
    <w:rsid w:val="002D6FCB"/>
    <w:rsid w:val="002E04F9"/>
    <w:rsid w:val="002E3EDD"/>
    <w:rsid w:val="002E704D"/>
    <w:rsid w:val="00311AF0"/>
    <w:rsid w:val="00312A85"/>
    <w:rsid w:val="00317475"/>
    <w:rsid w:val="00320C50"/>
    <w:rsid w:val="00326AE3"/>
    <w:rsid w:val="003324C3"/>
    <w:rsid w:val="003331EC"/>
    <w:rsid w:val="00333CD5"/>
    <w:rsid w:val="00352ADD"/>
    <w:rsid w:val="00357951"/>
    <w:rsid w:val="00362298"/>
    <w:rsid w:val="00393362"/>
    <w:rsid w:val="00395F10"/>
    <w:rsid w:val="0039681A"/>
    <w:rsid w:val="003A0671"/>
    <w:rsid w:val="003B400A"/>
    <w:rsid w:val="003B64E6"/>
    <w:rsid w:val="003C1986"/>
    <w:rsid w:val="003C3312"/>
    <w:rsid w:val="003D151B"/>
    <w:rsid w:val="003D1938"/>
    <w:rsid w:val="003E5157"/>
    <w:rsid w:val="003E5513"/>
    <w:rsid w:val="003E5DE9"/>
    <w:rsid w:val="003E620C"/>
    <w:rsid w:val="003F49A4"/>
    <w:rsid w:val="004128A1"/>
    <w:rsid w:val="00415392"/>
    <w:rsid w:val="00430A16"/>
    <w:rsid w:val="00441915"/>
    <w:rsid w:val="00450899"/>
    <w:rsid w:val="00453B10"/>
    <w:rsid w:val="00454496"/>
    <w:rsid w:val="00462A71"/>
    <w:rsid w:val="00465138"/>
    <w:rsid w:val="00465983"/>
    <w:rsid w:val="00467060"/>
    <w:rsid w:val="0047025B"/>
    <w:rsid w:val="00474E2A"/>
    <w:rsid w:val="00475948"/>
    <w:rsid w:val="0047625A"/>
    <w:rsid w:val="00476BB1"/>
    <w:rsid w:val="00481F3C"/>
    <w:rsid w:val="0048517B"/>
    <w:rsid w:val="00490DEC"/>
    <w:rsid w:val="00495E17"/>
    <w:rsid w:val="00497DA3"/>
    <w:rsid w:val="004A0020"/>
    <w:rsid w:val="004A232E"/>
    <w:rsid w:val="004A3FCA"/>
    <w:rsid w:val="004A67A1"/>
    <w:rsid w:val="004B5E39"/>
    <w:rsid w:val="004C6426"/>
    <w:rsid w:val="004E3033"/>
    <w:rsid w:val="004E39E1"/>
    <w:rsid w:val="004E506F"/>
    <w:rsid w:val="004F041E"/>
    <w:rsid w:val="004F6820"/>
    <w:rsid w:val="004F725D"/>
    <w:rsid w:val="00505F5B"/>
    <w:rsid w:val="005128B4"/>
    <w:rsid w:val="00515757"/>
    <w:rsid w:val="0052180E"/>
    <w:rsid w:val="005270EF"/>
    <w:rsid w:val="00530D5E"/>
    <w:rsid w:val="00532391"/>
    <w:rsid w:val="00535C1E"/>
    <w:rsid w:val="00540D75"/>
    <w:rsid w:val="00542F2D"/>
    <w:rsid w:val="005474B5"/>
    <w:rsid w:val="005505D6"/>
    <w:rsid w:val="00555053"/>
    <w:rsid w:val="00557AC8"/>
    <w:rsid w:val="00567BD0"/>
    <w:rsid w:val="00580559"/>
    <w:rsid w:val="005827D7"/>
    <w:rsid w:val="00586D86"/>
    <w:rsid w:val="00596A88"/>
    <w:rsid w:val="005977C7"/>
    <w:rsid w:val="005A12DC"/>
    <w:rsid w:val="005A639D"/>
    <w:rsid w:val="005B1275"/>
    <w:rsid w:val="005B6DC8"/>
    <w:rsid w:val="005B6E70"/>
    <w:rsid w:val="005C098D"/>
    <w:rsid w:val="005C23D0"/>
    <w:rsid w:val="005D00B7"/>
    <w:rsid w:val="005D29CD"/>
    <w:rsid w:val="005D3574"/>
    <w:rsid w:val="005D4B15"/>
    <w:rsid w:val="005E0364"/>
    <w:rsid w:val="005E0796"/>
    <w:rsid w:val="005E10F2"/>
    <w:rsid w:val="005E4A24"/>
    <w:rsid w:val="005E765A"/>
    <w:rsid w:val="00614EA1"/>
    <w:rsid w:val="00625859"/>
    <w:rsid w:val="0063089D"/>
    <w:rsid w:val="0063135C"/>
    <w:rsid w:val="00632BB1"/>
    <w:rsid w:val="00634727"/>
    <w:rsid w:val="00645AF6"/>
    <w:rsid w:val="0064628F"/>
    <w:rsid w:val="00647ABB"/>
    <w:rsid w:val="006503B3"/>
    <w:rsid w:val="00653BA1"/>
    <w:rsid w:val="006557D1"/>
    <w:rsid w:val="006611B2"/>
    <w:rsid w:val="00667017"/>
    <w:rsid w:val="00673479"/>
    <w:rsid w:val="00677405"/>
    <w:rsid w:val="00686A0D"/>
    <w:rsid w:val="0069783F"/>
    <w:rsid w:val="006A4043"/>
    <w:rsid w:val="006B6BD8"/>
    <w:rsid w:val="006B7F69"/>
    <w:rsid w:val="006D241E"/>
    <w:rsid w:val="006D60E8"/>
    <w:rsid w:val="006E0929"/>
    <w:rsid w:val="006E34CC"/>
    <w:rsid w:val="006E5ECD"/>
    <w:rsid w:val="007017F5"/>
    <w:rsid w:val="00702DAC"/>
    <w:rsid w:val="007138A2"/>
    <w:rsid w:val="00713A03"/>
    <w:rsid w:val="00713FCC"/>
    <w:rsid w:val="00715159"/>
    <w:rsid w:val="00715FC9"/>
    <w:rsid w:val="00722DF9"/>
    <w:rsid w:val="00732951"/>
    <w:rsid w:val="00732C35"/>
    <w:rsid w:val="0073718E"/>
    <w:rsid w:val="00753D62"/>
    <w:rsid w:val="00754B9E"/>
    <w:rsid w:val="0075586D"/>
    <w:rsid w:val="00766971"/>
    <w:rsid w:val="00773496"/>
    <w:rsid w:val="0078463A"/>
    <w:rsid w:val="007872B4"/>
    <w:rsid w:val="007873FE"/>
    <w:rsid w:val="00790198"/>
    <w:rsid w:val="00791006"/>
    <w:rsid w:val="007A1295"/>
    <w:rsid w:val="007A4C85"/>
    <w:rsid w:val="007A59C0"/>
    <w:rsid w:val="007A5CD7"/>
    <w:rsid w:val="007B154B"/>
    <w:rsid w:val="007B1C37"/>
    <w:rsid w:val="007B1DC8"/>
    <w:rsid w:val="007C3696"/>
    <w:rsid w:val="007C5053"/>
    <w:rsid w:val="007C7231"/>
    <w:rsid w:val="007D3ECD"/>
    <w:rsid w:val="007D45D4"/>
    <w:rsid w:val="007E0006"/>
    <w:rsid w:val="007F17E7"/>
    <w:rsid w:val="007F23AF"/>
    <w:rsid w:val="007F5834"/>
    <w:rsid w:val="00810087"/>
    <w:rsid w:val="008119DF"/>
    <w:rsid w:val="00811E39"/>
    <w:rsid w:val="0081784B"/>
    <w:rsid w:val="008228EB"/>
    <w:rsid w:val="0083382F"/>
    <w:rsid w:val="00833C30"/>
    <w:rsid w:val="00837B69"/>
    <w:rsid w:val="00844FE2"/>
    <w:rsid w:val="0084557D"/>
    <w:rsid w:val="00853443"/>
    <w:rsid w:val="00862825"/>
    <w:rsid w:val="00881A1C"/>
    <w:rsid w:val="00887A40"/>
    <w:rsid w:val="00890C30"/>
    <w:rsid w:val="00895609"/>
    <w:rsid w:val="008A49C6"/>
    <w:rsid w:val="008B0282"/>
    <w:rsid w:val="008B5C31"/>
    <w:rsid w:val="008C05A8"/>
    <w:rsid w:val="008C0D0D"/>
    <w:rsid w:val="008C0FA3"/>
    <w:rsid w:val="008C108B"/>
    <w:rsid w:val="008C2540"/>
    <w:rsid w:val="008D3CA4"/>
    <w:rsid w:val="008D740F"/>
    <w:rsid w:val="008F3CC1"/>
    <w:rsid w:val="00915C8F"/>
    <w:rsid w:val="0093043B"/>
    <w:rsid w:val="00931FBC"/>
    <w:rsid w:val="00933A4E"/>
    <w:rsid w:val="00946316"/>
    <w:rsid w:val="00956339"/>
    <w:rsid w:val="00966C5B"/>
    <w:rsid w:val="0097590C"/>
    <w:rsid w:val="00976DBC"/>
    <w:rsid w:val="009802DA"/>
    <w:rsid w:val="0098088F"/>
    <w:rsid w:val="009817AA"/>
    <w:rsid w:val="00982391"/>
    <w:rsid w:val="009823B0"/>
    <w:rsid w:val="009872A3"/>
    <w:rsid w:val="009A386E"/>
    <w:rsid w:val="009A52D6"/>
    <w:rsid w:val="009B5F5F"/>
    <w:rsid w:val="009D6AA5"/>
    <w:rsid w:val="009E170D"/>
    <w:rsid w:val="009E70FB"/>
    <w:rsid w:val="00A05A67"/>
    <w:rsid w:val="00A064A6"/>
    <w:rsid w:val="00A245B7"/>
    <w:rsid w:val="00A272D2"/>
    <w:rsid w:val="00A33604"/>
    <w:rsid w:val="00A354DB"/>
    <w:rsid w:val="00A42390"/>
    <w:rsid w:val="00A435EF"/>
    <w:rsid w:val="00A45454"/>
    <w:rsid w:val="00A52FF7"/>
    <w:rsid w:val="00A56CB7"/>
    <w:rsid w:val="00A710A0"/>
    <w:rsid w:val="00A72A77"/>
    <w:rsid w:val="00A759AE"/>
    <w:rsid w:val="00A8585C"/>
    <w:rsid w:val="00A8710E"/>
    <w:rsid w:val="00A92EF1"/>
    <w:rsid w:val="00A95F4B"/>
    <w:rsid w:val="00AA6576"/>
    <w:rsid w:val="00AB0DAC"/>
    <w:rsid w:val="00AB318F"/>
    <w:rsid w:val="00AB67D3"/>
    <w:rsid w:val="00AC09E5"/>
    <w:rsid w:val="00AD5EEF"/>
    <w:rsid w:val="00AE6BC5"/>
    <w:rsid w:val="00AF3820"/>
    <w:rsid w:val="00AF3C2E"/>
    <w:rsid w:val="00B07ABD"/>
    <w:rsid w:val="00B23D7F"/>
    <w:rsid w:val="00B24FE2"/>
    <w:rsid w:val="00B251C2"/>
    <w:rsid w:val="00B26B97"/>
    <w:rsid w:val="00B3742B"/>
    <w:rsid w:val="00B61270"/>
    <w:rsid w:val="00B6284E"/>
    <w:rsid w:val="00B64A64"/>
    <w:rsid w:val="00B65229"/>
    <w:rsid w:val="00B65C2F"/>
    <w:rsid w:val="00B94A58"/>
    <w:rsid w:val="00B96AB8"/>
    <w:rsid w:val="00B97B38"/>
    <w:rsid w:val="00BB000F"/>
    <w:rsid w:val="00BB15D4"/>
    <w:rsid w:val="00BB7911"/>
    <w:rsid w:val="00BC2A7F"/>
    <w:rsid w:val="00BC6889"/>
    <w:rsid w:val="00BD0E9D"/>
    <w:rsid w:val="00BE24EB"/>
    <w:rsid w:val="00BE40A2"/>
    <w:rsid w:val="00BE4A8C"/>
    <w:rsid w:val="00BF15A0"/>
    <w:rsid w:val="00BF38C4"/>
    <w:rsid w:val="00C02884"/>
    <w:rsid w:val="00C11B96"/>
    <w:rsid w:val="00C2373C"/>
    <w:rsid w:val="00C30D30"/>
    <w:rsid w:val="00C35C57"/>
    <w:rsid w:val="00C3788A"/>
    <w:rsid w:val="00C43650"/>
    <w:rsid w:val="00C47828"/>
    <w:rsid w:val="00C50B4D"/>
    <w:rsid w:val="00C51E45"/>
    <w:rsid w:val="00C52AB7"/>
    <w:rsid w:val="00C57B38"/>
    <w:rsid w:val="00C60B59"/>
    <w:rsid w:val="00C65E62"/>
    <w:rsid w:val="00C674A4"/>
    <w:rsid w:val="00C81E7F"/>
    <w:rsid w:val="00C863BD"/>
    <w:rsid w:val="00C95047"/>
    <w:rsid w:val="00C95B1C"/>
    <w:rsid w:val="00C9717E"/>
    <w:rsid w:val="00CA3287"/>
    <w:rsid w:val="00CB7419"/>
    <w:rsid w:val="00CD621F"/>
    <w:rsid w:val="00CD6DEF"/>
    <w:rsid w:val="00CE07C5"/>
    <w:rsid w:val="00CE41BC"/>
    <w:rsid w:val="00D05276"/>
    <w:rsid w:val="00D0558F"/>
    <w:rsid w:val="00D064BD"/>
    <w:rsid w:val="00D2211B"/>
    <w:rsid w:val="00D26BB6"/>
    <w:rsid w:val="00D4066F"/>
    <w:rsid w:val="00D563D2"/>
    <w:rsid w:val="00D63B2D"/>
    <w:rsid w:val="00D80156"/>
    <w:rsid w:val="00D858DB"/>
    <w:rsid w:val="00D87766"/>
    <w:rsid w:val="00D90959"/>
    <w:rsid w:val="00D90ABE"/>
    <w:rsid w:val="00D97B72"/>
    <w:rsid w:val="00DA7689"/>
    <w:rsid w:val="00DA7BCB"/>
    <w:rsid w:val="00DB46F8"/>
    <w:rsid w:val="00DB5CF0"/>
    <w:rsid w:val="00DB7F0A"/>
    <w:rsid w:val="00DC549F"/>
    <w:rsid w:val="00DE3F3B"/>
    <w:rsid w:val="00DE6E1B"/>
    <w:rsid w:val="00DE7A21"/>
    <w:rsid w:val="00DF4E12"/>
    <w:rsid w:val="00E048BA"/>
    <w:rsid w:val="00E054EF"/>
    <w:rsid w:val="00E0660C"/>
    <w:rsid w:val="00E13EA7"/>
    <w:rsid w:val="00E20483"/>
    <w:rsid w:val="00E27915"/>
    <w:rsid w:val="00E322A5"/>
    <w:rsid w:val="00E3283F"/>
    <w:rsid w:val="00E34C63"/>
    <w:rsid w:val="00E41167"/>
    <w:rsid w:val="00E46C3F"/>
    <w:rsid w:val="00E5772A"/>
    <w:rsid w:val="00E60AA3"/>
    <w:rsid w:val="00E65A0C"/>
    <w:rsid w:val="00E84728"/>
    <w:rsid w:val="00E86391"/>
    <w:rsid w:val="00E9137C"/>
    <w:rsid w:val="00E95FB4"/>
    <w:rsid w:val="00E97291"/>
    <w:rsid w:val="00E97845"/>
    <w:rsid w:val="00EB0D41"/>
    <w:rsid w:val="00EB636B"/>
    <w:rsid w:val="00EB65FD"/>
    <w:rsid w:val="00EC0798"/>
    <w:rsid w:val="00EC158D"/>
    <w:rsid w:val="00EC31AC"/>
    <w:rsid w:val="00EE02A9"/>
    <w:rsid w:val="00EE0C57"/>
    <w:rsid w:val="00EE22CB"/>
    <w:rsid w:val="00EE56C0"/>
    <w:rsid w:val="00EE5AC9"/>
    <w:rsid w:val="00EF1434"/>
    <w:rsid w:val="00F00341"/>
    <w:rsid w:val="00F05DA5"/>
    <w:rsid w:val="00F1195F"/>
    <w:rsid w:val="00F12F9E"/>
    <w:rsid w:val="00F13464"/>
    <w:rsid w:val="00F13815"/>
    <w:rsid w:val="00F27576"/>
    <w:rsid w:val="00F27CFE"/>
    <w:rsid w:val="00F409BA"/>
    <w:rsid w:val="00F478DC"/>
    <w:rsid w:val="00F47D64"/>
    <w:rsid w:val="00F529A8"/>
    <w:rsid w:val="00F56AA2"/>
    <w:rsid w:val="00F670F3"/>
    <w:rsid w:val="00F70A21"/>
    <w:rsid w:val="00F726C4"/>
    <w:rsid w:val="00F8320C"/>
    <w:rsid w:val="00F9164A"/>
    <w:rsid w:val="00F92AA9"/>
    <w:rsid w:val="00F9411D"/>
    <w:rsid w:val="00F96604"/>
    <w:rsid w:val="00F96F76"/>
    <w:rsid w:val="00FA0F7F"/>
    <w:rsid w:val="00FA576E"/>
    <w:rsid w:val="00FA7A56"/>
    <w:rsid w:val="00FA7B88"/>
    <w:rsid w:val="00FB0E94"/>
    <w:rsid w:val="00FB4A94"/>
    <w:rsid w:val="00FB7431"/>
    <w:rsid w:val="00FC73A6"/>
    <w:rsid w:val="00FD357D"/>
    <w:rsid w:val="00FD40A5"/>
    <w:rsid w:val="00FE408A"/>
    <w:rsid w:val="00FF033E"/>
    <w:rsid w:val="00FF7C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7CEB0"/>
  <w15:chartTrackingRefBased/>
  <w15:docId w15:val="{9FC6610B-E772-489A-949A-87F20C76D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69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69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69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69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69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69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69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69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69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9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69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69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69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69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69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69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69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69A0"/>
    <w:rPr>
      <w:rFonts w:eastAsiaTheme="majorEastAsia" w:cstheme="majorBidi"/>
      <w:color w:val="272727" w:themeColor="text1" w:themeTint="D8"/>
    </w:rPr>
  </w:style>
  <w:style w:type="paragraph" w:styleId="Title">
    <w:name w:val="Title"/>
    <w:basedOn w:val="Normal"/>
    <w:next w:val="Normal"/>
    <w:link w:val="TitleChar"/>
    <w:uiPriority w:val="10"/>
    <w:qFormat/>
    <w:rsid w:val="002169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69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69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69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69A0"/>
    <w:pPr>
      <w:spacing w:before="160"/>
      <w:jc w:val="center"/>
    </w:pPr>
    <w:rPr>
      <w:i/>
      <w:iCs/>
      <w:color w:val="404040" w:themeColor="text1" w:themeTint="BF"/>
    </w:rPr>
  </w:style>
  <w:style w:type="character" w:customStyle="1" w:styleId="QuoteChar">
    <w:name w:val="Quote Char"/>
    <w:basedOn w:val="DefaultParagraphFont"/>
    <w:link w:val="Quote"/>
    <w:uiPriority w:val="29"/>
    <w:rsid w:val="002169A0"/>
    <w:rPr>
      <w:i/>
      <w:iCs/>
      <w:color w:val="404040" w:themeColor="text1" w:themeTint="BF"/>
    </w:rPr>
  </w:style>
  <w:style w:type="paragraph" w:styleId="ListParagraph">
    <w:name w:val="List Paragraph"/>
    <w:basedOn w:val="Normal"/>
    <w:uiPriority w:val="34"/>
    <w:qFormat/>
    <w:rsid w:val="002169A0"/>
    <w:pPr>
      <w:ind w:left="720"/>
      <w:contextualSpacing/>
    </w:pPr>
  </w:style>
  <w:style w:type="character" w:styleId="IntenseEmphasis">
    <w:name w:val="Intense Emphasis"/>
    <w:basedOn w:val="DefaultParagraphFont"/>
    <w:uiPriority w:val="21"/>
    <w:qFormat/>
    <w:rsid w:val="002169A0"/>
    <w:rPr>
      <w:i/>
      <w:iCs/>
      <w:color w:val="0F4761" w:themeColor="accent1" w:themeShade="BF"/>
    </w:rPr>
  </w:style>
  <w:style w:type="paragraph" w:styleId="IntenseQuote">
    <w:name w:val="Intense Quote"/>
    <w:basedOn w:val="Normal"/>
    <w:next w:val="Normal"/>
    <w:link w:val="IntenseQuoteChar"/>
    <w:uiPriority w:val="30"/>
    <w:qFormat/>
    <w:rsid w:val="002169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69A0"/>
    <w:rPr>
      <w:i/>
      <w:iCs/>
      <w:color w:val="0F4761" w:themeColor="accent1" w:themeShade="BF"/>
    </w:rPr>
  </w:style>
  <w:style w:type="character" w:styleId="IntenseReference">
    <w:name w:val="Intense Reference"/>
    <w:basedOn w:val="DefaultParagraphFont"/>
    <w:uiPriority w:val="32"/>
    <w:qFormat/>
    <w:rsid w:val="002169A0"/>
    <w:rPr>
      <w:b/>
      <w:bCs/>
      <w:smallCaps/>
      <w:color w:val="0F4761" w:themeColor="accent1" w:themeShade="BF"/>
      <w:spacing w:val="5"/>
    </w:rPr>
  </w:style>
  <w:style w:type="character" w:styleId="Hyperlink">
    <w:name w:val="Hyperlink"/>
    <w:basedOn w:val="DefaultParagraphFont"/>
    <w:uiPriority w:val="99"/>
    <w:unhideWhenUsed/>
    <w:rsid w:val="00E86391"/>
    <w:rPr>
      <w:color w:val="467886" w:themeColor="hyperlink"/>
      <w:u w:val="single"/>
    </w:rPr>
  </w:style>
  <w:style w:type="character" w:styleId="UnresolvedMention">
    <w:name w:val="Unresolved Mention"/>
    <w:basedOn w:val="DefaultParagraphFont"/>
    <w:uiPriority w:val="99"/>
    <w:semiHidden/>
    <w:unhideWhenUsed/>
    <w:rsid w:val="00E86391"/>
    <w:rPr>
      <w:color w:val="605E5C"/>
      <w:shd w:val="clear" w:color="auto" w:fill="E1DFDD"/>
    </w:rPr>
  </w:style>
  <w:style w:type="paragraph" w:styleId="NormalWeb">
    <w:name w:val="Normal (Web)"/>
    <w:basedOn w:val="Normal"/>
    <w:uiPriority w:val="99"/>
    <w:unhideWhenUsed/>
    <w:rsid w:val="0083382F"/>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NoSpacing">
    <w:name w:val="No Spacing"/>
    <w:link w:val="NoSpacingChar"/>
    <w:uiPriority w:val="1"/>
    <w:qFormat/>
    <w:rsid w:val="0019129E"/>
    <w:pPr>
      <w:spacing w:after="0" w:line="240" w:lineRule="auto"/>
    </w:pPr>
  </w:style>
  <w:style w:type="character" w:customStyle="1" w:styleId="NoSpacingChar">
    <w:name w:val="No Spacing Char"/>
    <w:basedOn w:val="DefaultParagraphFont"/>
    <w:link w:val="NoSpacing"/>
    <w:uiPriority w:val="1"/>
    <w:rsid w:val="0063089D"/>
  </w:style>
  <w:style w:type="paragraph" w:styleId="Header">
    <w:name w:val="header"/>
    <w:basedOn w:val="Normal"/>
    <w:link w:val="HeaderChar"/>
    <w:uiPriority w:val="99"/>
    <w:unhideWhenUsed/>
    <w:rsid w:val="00497D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DA3"/>
  </w:style>
  <w:style w:type="paragraph" w:styleId="Footer">
    <w:name w:val="footer"/>
    <w:basedOn w:val="Normal"/>
    <w:link w:val="FooterChar"/>
    <w:uiPriority w:val="99"/>
    <w:unhideWhenUsed/>
    <w:rsid w:val="00497D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D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19438">
      <w:bodyDiv w:val="1"/>
      <w:marLeft w:val="0"/>
      <w:marRight w:val="0"/>
      <w:marTop w:val="0"/>
      <w:marBottom w:val="0"/>
      <w:divBdr>
        <w:top w:val="none" w:sz="0" w:space="0" w:color="auto"/>
        <w:left w:val="none" w:sz="0" w:space="0" w:color="auto"/>
        <w:bottom w:val="none" w:sz="0" w:space="0" w:color="auto"/>
        <w:right w:val="none" w:sz="0" w:space="0" w:color="auto"/>
      </w:divBdr>
    </w:div>
    <w:div w:id="72823174">
      <w:bodyDiv w:val="1"/>
      <w:marLeft w:val="0"/>
      <w:marRight w:val="0"/>
      <w:marTop w:val="0"/>
      <w:marBottom w:val="0"/>
      <w:divBdr>
        <w:top w:val="none" w:sz="0" w:space="0" w:color="auto"/>
        <w:left w:val="none" w:sz="0" w:space="0" w:color="auto"/>
        <w:bottom w:val="none" w:sz="0" w:space="0" w:color="auto"/>
        <w:right w:val="none" w:sz="0" w:space="0" w:color="auto"/>
      </w:divBdr>
      <w:divsChild>
        <w:div w:id="303898446">
          <w:marLeft w:val="0"/>
          <w:marRight w:val="0"/>
          <w:marTop w:val="0"/>
          <w:marBottom w:val="0"/>
          <w:divBdr>
            <w:top w:val="none" w:sz="0" w:space="0" w:color="auto"/>
            <w:left w:val="none" w:sz="0" w:space="0" w:color="auto"/>
            <w:bottom w:val="none" w:sz="0" w:space="0" w:color="auto"/>
            <w:right w:val="none" w:sz="0" w:space="0" w:color="auto"/>
          </w:divBdr>
          <w:divsChild>
            <w:div w:id="116890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56445">
      <w:bodyDiv w:val="1"/>
      <w:marLeft w:val="0"/>
      <w:marRight w:val="0"/>
      <w:marTop w:val="0"/>
      <w:marBottom w:val="0"/>
      <w:divBdr>
        <w:top w:val="none" w:sz="0" w:space="0" w:color="auto"/>
        <w:left w:val="none" w:sz="0" w:space="0" w:color="auto"/>
        <w:bottom w:val="none" w:sz="0" w:space="0" w:color="auto"/>
        <w:right w:val="none" w:sz="0" w:space="0" w:color="auto"/>
      </w:divBdr>
      <w:divsChild>
        <w:div w:id="993874676">
          <w:marLeft w:val="0"/>
          <w:marRight w:val="0"/>
          <w:marTop w:val="0"/>
          <w:marBottom w:val="0"/>
          <w:divBdr>
            <w:top w:val="none" w:sz="0" w:space="0" w:color="242424"/>
            <w:left w:val="none" w:sz="0" w:space="0" w:color="242424"/>
            <w:bottom w:val="none" w:sz="0" w:space="0" w:color="242424"/>
            <w:right w:val="none" w:sz="0" w:space="0" w:color="242424"/>
          </w:divBdr>
          <w:divsChild>
            <w:div w:id="1166553330">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141434721">
      <w:bodyDiv w:val="1"/>
      <w:marLeft w:val="0"/>
      <w:marRight w:val="0"/>
      <w:marTop w:val="0"/>
      <w:marBottom w:val="0"/>
      <w:divBdr>
        <w:top w:val="none" w:sz="0" w:space="0" w:color="auto"/>
        <w:left w:val="none" w:sz="0" w:space="0" w:color="auto"/>
        <w:bottom w:val="none" w:sz="0" w:space="0" w:color="auto"/>
        <w:right w:val="none" w:sz="0" w:space="0" w:color="auto"/>
      </w:divBdr>
    </w:div>
    <w:div w:id="148907255">
      <w:bodyDiv w:val="1"/>
      <w:marLeft w:val="0"/>
      <w:marRight w:val="0"/>
      <w:marTop w:val="0"/>
      <w:marBottom w:val="0"/>
      <w:divBdr>
        <w:top w:val="none" w:sz="0" w:space="0" w:color="auto"/>
        <w:left w:val="none" w:sz="0" w:space="0" w:color="auto"/>
        <w:bottom w:val="none" w:sz="0" w:space="0" w:color="auto"/>
        <w:right w:val="none" w:sz="0" w:space="0" w:color="auto"/>
      </w:divBdr>
    </w:div>
    <w:div w:id="191772072">
      <w:bodyDiv w:val="1"/>
      <w:marLeft w:val="0"/>
      <w:marRight w:val="0"/>
      <w:marTop w:val="0"/>
      <w:marBottom w:val="0"/>
      <w:divBdr>
        <w:top w:val="none" w:sz="0" w:space="0" w:color="auto"/>
        <w:left w:val="none" w:sz="0" w:space="0" w:color="auto"/>
        <w:bottom w:val="none" w:sz="0" w:space="0" w:color="auto"/>
        <w:right w:val="none" w:sz="0" w:space="0" w:color="auto"/>
      </w:divBdr>
    </w:div>
    <w:div w:id="193467778">
      <w:bodyDiv w:val="1"/>
      <w:marLeft w:val="0"/>
      <w:marRight w:val="0"/>
      <w:marTop w:val="0"/>
      <w:marBottom w:val="0"/>
      <w:divBdr>
        <w:top w:val="none" w:sz="0" w:space="0" w:color="auto"/>
        <w:left w:val="none" w:sz="0" w:space="0" w:color="auto"/>
        <w:bottom w:val="none" w:sz="0" w:space="0" w:color="auto"/>
        <w:right w:val="none" w:sz="0" w:space="0" w:color="auto"/>
      </w:divBdr>
    </w:div>
    <w:div w:id="199247384">
      <w:bodyDiv w:val="1"/>
      <w:marLeft w:val="0"/>
      <w:marRight w:val="0"/>
      <w:marTop w:val="0"/>
      <w:marBottom w:val="0"/>
      <w:divBdr>
        <w:top w:val="none" w:sz="0" w:space="0" w:color="auto"/>
        <w:left w:val="none" w:sz="0" w:space="0" w:color="auto"/>
        <w:bottom w:val="none" w:sz="0" w:space="0" w:color="auto"/>
        <w:right w:val="none" w:sz="0" w:space="0" w:color="auto"/>
      </w:divBdr>
    </w:div>
    <w:div w:id="312611862">
      <w:bodyDiv w:val="1"/>
      <w:marLeft w:val="0"/>
      <w:marRight w:val="0"/>
      <w:marTop w:val="0"/>
      <w:marBottom w:val="0"/>
      <w:divBdr>
        <w:top w:val="none" w:sz="0" w:space="0" w:color="auto"/>
        <w:left w:val="none" w:sz="0" w:space="0" w:color="auto"/>
        <w:bottom w:val="none" w:sz="0" w:space="0" w:color="auto"/>
        <w:right w:val="none" w:sz="0" w:space="0" w:color="auto"/>
      </w:divBdr>
    </w:div>
    <w:div w:id="346100347">
      <w:bodyDiv w:val="1"/>
      <w:marLeft w:val="0"/>
      <w:marRight w:val="0"/>
      <w:marTop w:val="0"/>
      <w:marBottom w:val="0"/>
      <w:divBdr>
        <w:top w:val="none" w:sz="0" w:space="0" w:color="auto"/>
        <w:left w:val="none" w:sz="0" w:space="0" w:color="auto"/>
        <w:bottom w:val="none" w:sz="0" w:space="0" w:color="auto"/>
        <w:right w:val="none" w:sz="0" w:space="0" w:color="auto"/>
      </w:divBdr>
    </w:div>
    <w:div w:id="346978533">
      <w:bodyDiv w:val="1"/>
      <w:marLeft w:val="0"/>
      <w:marRight w:val="0"/>
      <w:marTop w:val="0"/>
      <w:marBottom w:val="0"/>
      <w:divBdr>
        <w:top w:val="none" w:sz="0" w:space="0" w:color="auto"/>
        <w:left w:val="none" w:sz="0" w:space="0" w:color="auto"/>
        <w:bottom w:val="none" w:sz="0" w:space="0" w:color="auto"/>
        <w:right w:val="none" w:sz="0" w:space="0" w:color="auto"/>
      </w:divBdr>
    </w:div>
    <w:div w:id="355353006">
      <w:bodyDiv w:val="1"/>
      <w:marLeft w:val="0"/>
      <w:marRight w:val="0"/>
      <w:marTop w:val="0"/>
      <w:marBottom w:val="0"/>
      <w:divBdr>
        <w:top w:val="none" w:sz="0" w:space="0" w:color="auto"/>
        <w:left w:val="none" w:sz="0" w:space="0" w:color="auto"/>
        <w:bottom w:val="none" w:sz="0" w:space="0" w:color="auto"/>
        <w:right w:val="none" w:sz="0" w:space="0" w:color="auto"/>
      </w:divBdr>
    </w:div>
    <w:div w:id="372996097">
      <w:bodyDiv w:val="1"/>
      <w:marLeft w:val="0"/>
      <w:marRight w:val="0"/>
      <w:marTop w:val="0"/>
      <w:marBottom w:val="0"/>
      <w:divBdr>
        <w:top w:val="none" w:sz="0" w:space="0" w:color="auto"/>
        <w:left w:val="none" w:sz="0" w:space="0" w:color="auto"/>
        <w:bottom w:val="none" w:sz="0" w:space="0" w:color="auto"/>
        <w:right w:val="none" w:sz="0" w:space="0" w:color="auto"/>
      </w:divBdr>
    </w:div>
    <w:div w:id="383527083">
      <w:bodyDiv w:val="1"/>
      <w:marLeft w:val="0"/>
      <w:marRight w:val="0"/>
      <w:marTop w:val="0"/>
      <w:marBottom w:val="0"/>
      <w:divBdr>
        <w:top w:val="none" w:sz="0" w:space="0" w:color="auto"/>
        <w:left w:val="none" w:sz="0" w:space="0" w:color="auto"/>
        <w:bottom w:val="none" w:sz="0" w:space="0" w:color="auto"/>
        <w:right w:val="none" w:sz="0" w:space="0" w:color="auto"/>
      </w:divBdr>
    </w:div>
    <w:div w:id="399013486">
      <w:bodyDiv w:val="1"/>
      <w:marLeft w:val="0"/>
      <w:marRight w:val="0"/>
      <w:marTop w:val="0"/>
      <w:marBottom w:val="0"/>
      <w:divBdr>
        <w:top w:val="none" w:sz="0" w:space="0" w:color="auto"/>
        <w:left w:val="none" w:sz="0" w:space="0" w:color="auto"/>
        <w:bottom w:val="none" w:sz="0" w:space="0" w:color="auto"/>
        <w:right w:val="none" w:sz="0" w:space="0" w:color="auto"/>
      </w:divBdr>
    </w:div>
    <w:div w:id="426850098">
      <w:bodyDiv w:val="1"/>
      <w:marLeft w:val="0"/>
      <w:marRight w:val="0"/>
      <w:marTop w:val="0"/>
      <w:marBottom w:val="0"/>
      <w:divBdr>
        <w:top w:val="none" w:sz="0" w:space="0" w:color="auto"/>
        <w:left w:val="none" w:sz="0" w:space="0" w:color="auto"/>
        <w:bottom w:val="none" w:sz="0" w:space="0" w:color="auto"/>
        <w:right w:val="none" w:sz="0" w:space="0" w:color="auto"/>
      </w:divBdr>
    </w:div>
    <w:div w:id="467750097">
      <w:bodyDiv w:val="1"/>
      <w:marLeft w:val="0"/>
      <w:marRight w:val="0"/>
      <w:marTop w:val="0"/>
      <w:marBottom w:val="0"/>
      <w:divBdr>
        <w:top w:val="none" w:sz="0" w:space="0" w:color="auto"/>
        <w:left w:val="none" w:sz="0" w:space="0" w:color="auto"/>
        <w:bottom w:val="none" w:sz="0" w:space="0" w:color="auto"/>
        <w:right w:val="none" w:sz="0" w:space="0" w:color="auto"/>
      </w:divBdr>
    </w:div>
    <w:div w:id="562105368">
      <w:bodyDiv w:val="1"/>
      <w:marLeft w:val="0"/>
      <w:marRight w:val="0"/>
      <w:marTop w:val="0"/>
      <w:marBottom w:val="0"/>
      <w:divBdr>
        <w:top w:val="none" w:sz="0" w:space="0" w:color="auto"/>
        <w:left w:val="none" w:sz="0" w:space="0" w:color="auto"/>
        <w:bottom w:val="none" w:sz="0" w:space="0" w:color="auto"/>
        <w:right w:val="none" w:sz="0" w:space="0" w:color="auto"/>
      </w:divBdr>
    </w:div>
    <w:div w:id="638728855">
      <w:bodyDiv w:val="1"/>
      <w:marLeft w:val="0"/>
      <w:marRight w:val="0"/>
      <w:marTop w:val="0"/>
      <w:marBottom w:val="0"/>
      <w:divBdr>
        <w:top w:val="none" w:sz="0" w:space="0" w:color="auto"/>
        <w:left w:val="none" w:sz="0" w:space="0" w:color="auto"/>
        <w:bottom w:val="none" w:sz="0" w:space="0" w:color="auto"/>
        <w:right w:val="none" w:sz="0" w:space="0" w:color="auto"/>
      </w:divBdr>
      <w:divsChild>
        <w:div w:id="1948347801">
          <w:marLeft w:val="0"/>
          <w:marRight w:val="0"/>
          <w:marTop w:val="0"/>
          <w:marBottom w:val="0"/>
          <w:divBdr>
            <w:top w:val="none" w:sz="0" w:space="0" w:color="auto"/>
            <w:left w:val="none" w:sz="0" w:space="0" w:color="auto"/>
            <w:bottom w:val="none" w:sz="0" w:space="0" w:color="auto"/>
            <w:right w:val="none" w:sz="0" w:space="0" w:color="auto"/>
          </w:divBdr>
          <w:divsChild>
            <w:div w:id="415981524">
              <w:marLeft w:val="0"/>
              <w:marRight w:val="0"/>
              <w:marTop w:val="0"/>
              <w:marBottom w:val="0"/>
              <w:divBdr>
                <w:top w:val="none" w:sz="0" w:space="0" w:color="auto"/>
                <w:left w:val="none" w:sz="0" w:space="0" w:color="auto"/>
                <w:bottom w:val="none" w:sz="0" w:space="0" w:color="auto"/>
                <w:right w:val="none" w:sz="0" w:space="0" w:color="auto"/>
              </w:divBdr>
              <w:divsChild>
                <w:div w:id="144056523">
                  <w:marLeft w:val="0"/>
                  <w:marRight w:val="0"/>
                  <w:marTop w:val="0"/>
                  <w:marBottom w:val="0"/>
                  <w:divBdr>
                    <w:top w:val="none" w:sz="0" w:space="0" w:color="auto"/>
                    <w:left w:val="none" w:sz="0" w:space="0" w:color="auto"/>
                    <w:bottom w:val="none" w:sz="0" w:space="0" w:color="auto"/>
                    <w:right w:val="none" w:sz="0" w:space="0" w:color="auto"/>
                  </w:divBdr>
                  <w:divsChild>
                    <w:div w:id="1242373132">
                      <w:marLeft w:val="0"/>
                      <w:marRight w:val="0"/>
                      <w:marTop w:val="0"/>
                      <w:marBottom w:val="0"/>
                      <w:divBdr>
                        <w:top w:val="none" w:sz="0" w:space="0" w:color="auto"/>
                        <w:left w:val="none" w:sz="0" w:space="0" w:color="auto"/>
                        <w:bottom w:val="none" w:sz="0" w:space="0" w:color="auto"/>
                        <w:right w:val="none" w:sz="0" w:space="0" w:color="auto"/>
                      </w:divBdr>
                      <w:divsChild>
                        <w:div w:id="1339428366">
                          <w:marLeft w:val="0"/>
                          <w:marRight w:val="0"/>
                          <w:marTop w:val="0"/>
                          <w:marBottom w:val="0"/>
                          <w:divBdr>
                            <w:top w:val="none" w:sz="0" w:space="0" w:color="auto"/>
                            <w:left w:val="none" w:sz="0" w:space="0" w:color="auto"/>
                            <w:bottom w:val="none" w:sz="0" w:space="0" w:color="auto"/>
                            <w:right w:val="none" w:sz="0" w:space="0" w:color="auto"/>
                          </w:divBdr>
                          <w:divsChild>
                            <w:div w:id="279387170">
                              <w:marLeft w:val="0"/>
                              <w:marRight w:val="0"/>
                              <w:marTop w:val="0"/>
                              <w:marBottom w:val="0"/>
                              <w:divBdr>
                                <w:top w:val="none" w:sz="0" w:space="0" w:color="auto"/>
                                <w:left w:val="none" w:sz="0" w:space="0" w:color="auto"/>
                                <w:bottom w:val="none" w:sz="0" w:space="0" w:color="auto"/>
                                <w:right w:val="none" w:sz="0" w:space="0" w:color="auto"/>
                              </w:divBdr>
                              <w:divsChild>
                                <w:div w:id="849106690">
                                  <w:marLeft w:val="0"/>
                                  <w:marRight w:val="0"/>
                                  <w:marTop w:val="0"/>
                                  <w:marBottom w:val="0"/>
                                  <w:divBdr>
                                    <w:top w:val="none" w:sz="0" w:space="0" w:color="auto"/>
                                    <w:left w:val="none" w:sz="0" w:space="0" w:color="auto"/>
                                    <w:bottom w:val="none" w:sz="0" w:space="0" w:color="auto"/>
                                    <w:right w:val="none" w:sz="0" w:space="0" w:color="auto"/>
                                  </w:divBdr>
                                  <w:divsChild>
                                    <w:div w:id="1506046011">
                                      <w:marLeft w:val="0"/>
                                      <w:marRight w:val="0"/>
                                      <w:marTop w:val="0"/>
                                      <w:marBottom w:val="0"/>
                                      <w:divBdr>
                                        <w:top w:val="none" w:sz="0" w:space="0" w:color="auto"/>
                                        <w:left w:val="none" w:sz="0" w:space="0" w:color="auto"/>
                                        <w:bottom w:val="none" w:sz="0" w:space="0" w:color="auto"/>
                                        <w:right w:val="none" w:sz="0" w:space="0" w:color="auto"/>
                                      </w:divBdr>
                                      <w:divsChild>
                                        <w:div w:id="1215460025">
                                          <w:marLeft w:val="0"/>
                                          <w:marRight w:val="0"/>
                                          <w:marTop w:val="0"/>
                                          <w:marBottom w:val="0"/>
                                          <w:divBdr>
                                            <w:top w:val="none" w:sz="0" w:space="0" w:color="auto"/>
                                            <w:left w:val="none" w:sz="0" w:space="0" w:color="auto"/>
                                            <w:bottom w:val="none" w:sz="0" w:space="0" w:color="auto"/>
                                            <w:right w:val="none" w:sz="0" w:space="0" w:color="auto"/>
                                          </w:divBdr>
                                          <w:divsChild>
                                            <w:div w:id="1849635472">
                                              <w:marLeft w:val="0"/>
                                              <w:marRight w:val="0"/>
                                              <w:marTop w:val="0"/>
                                              <w:marBottom w:val="0"/>
                                              <w:divBdr>
                                                <w:top w:val="none" w:sz="0" w:space="0" w:color="auto"/>
                                                <w:left w:val="none" w:sz="0" w:space="0" w:color="auto"/>
                                                <w:bottom w:val="none" w:sz="0" w:space="0" w:color="auto"/>
                                                <w:right w:val="none" w:sz="0" w:space="0" w:color="auto"/>
                                              </w:divBdr>
                                              <w:divsChild>
                                                <w:div w:id="661542674">
                                                  <w:marLeft w:val="0"/>
                                                  <w:marRight w:val="0"/>
                                                  <w:marTop w:val="0"/>
                                                  <w:marBottom w:val="0"/>
                                                  <w:divBdr>
                                                    <w:top w:val="none" w:sz="0" w:space="0" w:color="auto"/>
                                                    <w:left w:val="none" w:sz="0" w:space="0" w:color="auto"/>
                                                    <w:bottom w:val="none" w:sz="0" w:space="0" w:color="auto"/>
                                                    <w:right w:val="none" w:sz="0" w:space="0" w:color="auto"/>
                                                  </w:divBdr>
                                                  <w:divsChild>
                                                    <w:div w:id="1480540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64481145">
      <w:bodyDiv w:val="1"/>
      <w:marLeft w:val="0"/>
      <w:marRight w:val="0"/>
      <w:marTop w:val="0"/>
      <w:marBottom w:val="0"/>
      <w:divBdr>
        <w:top w:val="none" w:sz="0" w:space="0" w:color="auto"/>
        <w:left w:val="none" w:sz="0" w:space="0" w:color="auto"/>
        <w:bottom w:val="none" w:sz="0" w:space="0" w:color="auto"/>
        <w:right w:val="none" w:sz="0" w:space="0" w:color="auto"/>
      </w:divBdr>
      <w:divsChild>
        <w:div w:id="695884884">
          <w:marLeft w:val="0"/>
          <w:marRight w:val="0"/>
          <w:marTop w:val="0"/>
          <w:marBottom w:val="0"/>
          <w:divBdr>
            <w:top w:val="none" w:sz="0" w:space="0" w:color="242424"/>
            <w:left w:val="none" w:sz="0" w:space="0" w:color="242424"/>
            <w:bottom w:val="none" w:sz="0" w:space="0" w:color="242424"/>
            <w:right w:val="none" w:sz="0" w:space="0" w:color="242424"/>
          </w:divBdr>
          <w:divsChild>
            <w:div w:id="1954094783">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678429656">
      <w:bodyDiv w:val="1"/>
      <w:marLeft w:val="0"/>
      <w:marRight w:val="0"/>
      <w:marTop w:val="0"/>
      <w:marBottom w:val="0"/>
      <w:divBdr>
        <w:top w:val="none" w:sz="0" w:space="0" w:color="auto"/>
        <w:left w:val="none" w:sz="0" w:space="0" w:color="auto"/>
        <w:bottom w:val="none" w:sz="0" w:space="0" w:color="auto"/>
        <w:right w:val="none" w:sz="0" w:space="0" w:color="auto"/>
      </w:divBdr>
    </w:div>
    <w:div w:id="686754042">
      <w:bodyDiv w:val="1"/>
      <w:marLeft w:val="0"/>
      <w:marRight w:val="0"/>
      <w:marTop w:val="0"/>
      <w:marBottom w:val="0"/>
      <w:divBdr>
        <w:top w:val="none" w:sz="0" w:space="0" w:color="auto"/>
        <w:left w:val="none" w:sz="0" w:space="0" w:color="auto"/>
        <w:bottom w:val="none" w:sz="0" w:space="0" w:color="auto"/>
        <w:right w:val="none" w:sz="0" w:space="0" w:color="auto"/>
      </w:divBdr>
    </w:div>
    <w:div w:id="823468735">
      <w:bodyDiv w:val="1"/>
      <w:marLeft w:val="0"/>
      <w:marRight w:val="0"/>
      <w:marTop w:val="0"/>
      <w:marBottom w:val="0"/>
      <w:divBdr>
        <w:top w:val="none" w:sz="0" w:space="0" w:color="auto"/>
        <w:left w:val="none" w:sz="0" w:space="0" w:color="auto"/>
        <w:bottom w:val="none" w:sz="0" w:space="0" w:color="auto"/>
        <w:right w:val="none" w:sz="0" w:space="0" w:color="auto"/>
      </w:divBdr>
    </w:div>
    <w:div w:id="831530088">
      <w:bodyDiv w:val="1"/>
      <w:marLeft w:val="0"/>
      <w:marRight w:val="0"/>
      <w:marTop w:val="0"/>
      <w:marBottom w:val="0"/>
      <w:divBdr>
        <w:top w:val="none" w:sz="0" w:space="0" w:color="auto"/>
        <w:left w:val="none" w:sz="0" w:space="0" w:color="auto"/>
        <w:bottom w:val="none" w:sz="0" w:space="0" w:color="auto"/>
        <w:right w:val="none" w:sz="0" w:space="0" w:color="auto"/>
      </w:divBdr>
    </w:div>
    <w:div w:id="904796546">
      <w:bodyDiv w:val="1"/>
      <w:marLeft w:val="0"/>
      <w:marRight w:val="0"/>
      <w:marTop w:val="0"/>
      <w:marBottom w:val="0"/>
      <w:divBdr>
        <w:top w:val="none" w:sz="0" w:space="0" w:color="auto"/>
        <w:left w:val="none" w:sz="0" w:space="0" w:color="auto"/>
        <w:bottom w:val="none" w:sz="0" w:space="0" w:color="auto"/>
        <w:right w:val="none" w:sz="0" w:space="0" w:color="auto"/>
      </w:divBdr>
    </w:div>
    <w:div w:id="908157205">
      <w:bodyDiv w:val="1"/>
      <w:marLeft w:val="0"/>
      <w:marRight w:val="0"/>
      <w:marTop w:val="0"/>
      <w:marBottom w:val="0"/>
      <w:divBdr>
        <w:top w:val="none" w:sz="0" w:space="0" w:color="auto"/>
        <w:left w:val="none" w:sz="0" w:space="0" w:color="auto"/>
        <w:bottom w:val="none" w:sz="0" w:space="0" w:color="auto"/>
        <w:right w:val="none" w:sz="0" w:space="0" w:color="auto"/>
      </w:divBdr>
    </w:div>
    <w:div w:id="922298921">
      <w:bodyDiv w:val="1"/>
      <w:marLeft w:val="0"/>
      <w:marRight w:val="0"/>
      <w:marTop w:val="0"/>
      <w:marBottom w:val="0"/>
      <w:divBdr>
        <w:top w:val="none" w:sz="0" w:space="0" w:color="auto"/>
        <w:left w:val="none" w:sz="0" w:space="0" w:color="auto"/>
        <w:bottom w:val="none" w:sz="0" w:space="0" w:color="auto"/>
        <w:right w:val="none" w:sz="0" w:space="0" w:color="auto"/>
      </w:divBdr>
    </w:div>
    <w:div w:id="960844867">
      <w:bodyDiv w:val="1"/>
      <w:marLeft w:val="0"/>
      <w:marRight w:val="0"/>
      <w:marTop w:val="0"/>
      <w:marBottom w:val="0"/>
      <w:divBdr>
        <w:top w:val="none" w:sz="0" w:space="0" w:color="auto"/>
        <w:left w:val="none" w:sz="0" w:space="0" w:color="auto"/>
        <w:bottom w:val="none" w:sz="0" w:space="0" w:color="auto"/>
        <w:right w:val="none" w:sz="0" w:space="0" w:color="auto"/>
      </w:divBdr>
    </w:div>
    <w:div w:id="990403781">
      <w:bodyDiv w:val="1"/>
      <w:marLeft w:val="0"/>
      <w:marRight w:val="0"/>
      <w:marTop w:val="0"/>
      <w:marBottom w:val="0"/>
      <w:divBdr>
        <w:top w:val="none" w:sz="0" w:space="0" w:color="auto"/>
        <w:left w:val="none" w:sz="0" w:space="0" w:color="auto"/>
        <w:bottom w:val="none" w:sz="0" w:space="0" w:color="auto"/>
        <w:right w:val="none" w:sz="0" w:space="0" w:color="auto"/>
      </w:divBdr>
    </w:div>
    <w:div w:id="1016154200">
      <w:bodyDiv w:val="1"/>
      <w:marLeft w:val="0"/>
      <w:marRight w:val="0"/>
      <w:marTop w:val="0"/>
      <w:marBottom w:val="0"/>
      <w:divBdr>
        <w:top w:val="none" w:sz="0" w:space="0" w:color="auto"/>
        <w:left w:val="none" w:sz="0" w:space="0" w:color="auto"/>
        <w:bottom w:val="none" w:sz="0" w:space="0" w:color="auto"/>
        <w:right w:val="none" w:sz="0" w:space="0" w:color="auto"/>
      </w:divBdr>
    </w:div>
    <w:div w:id="1085538385">
      <w:bodyDiv w:val="1"/>
      <w:marLeft w:val="0"/>
      <w:marRight w:val="0"/>
      <w:marTop w:val="0"/>
      <w:marBottom w:val="0"/>
      <w:divBdr>
        <w:top w:val="none" w:sz="0" w:space="0" w:color="auto"/>
        <w:left w:val="none" w:sz="0" w:space="0" w:color="auto"/>
        <w:bottom w:val="none" w:sz="0" w:space="0" w:color="auto"/>
        <w:right w:val="none" w:sz="0" w:space="0" w:color="auto"/>
      </w:divBdr>
    </w:div>
    <w:div w:id="1088235849">
      <w:bodyDiv w:val="1"/>
      <w:marLeft w:val="0"/>
      <w:marRight w:val="0"/>
      <w:marTop w:val="0"/>
      <w:marBottom w:val="0"/>
      <w:divBdr>
        <w:top w:val="none" w:sz="0" w:space="0" w:color="auto"/>
        <w:left w:val="none" w:sz="0" w:space="0" w:color="auto"/>
        <w:bottom w:val="none" w:sz="0" w:space="0" w:color="auto"/>
        <w:right w:val="none" w:sz="0" w:space="0" w:color="auto"/>
      </w:divBdr>
    </w:div>
    <w:div w:id="1100758651">
      <w:bodyDiv w:val="1"/>
      <w:marLeft w:val="0"/>
      <w:marRight w:val="0"/>
      <w:marTop w:val="0"/>
      <w:marBottom w:val="0"/>
      <w:divBdr>
        <w:top w:val="none" w:sz="0" w:space="0" w:color="auto"/>
        <w:left w:val="none" w:sz="0" w:space="0" w:color="auto"/>
        <w:bottom w:val="none" w:sz="0" w:space="0" w:color="auto"/>
        <w:right w:val="none" w:sz="0" w:space="0" w:color="auto"/>
      </w:divBdr>
    </w:div>
    <w:div w:id="1115756801">
      <w:bodyDiv w:val="1"/>
      <w:marLeft w:val="0"/>
      <w:marRight w:val="0"/>
      <w:marTop w:val="0"/>
      <w:marBottom w:val="0"/>
      <w:divBdr>
        <w:top w:val="none" w:sz="0" w:space="0" w:color="auto"/>
        <w:left w:val="none" w:sz="0" w:space="0" w:color="auto"/>
        <w:bottom w:val="none" w:sz="0" w:space="0" w:color="auto"/>
        <w:right w:val="none" w:sz="0" w:space="0" w:color="auto"/>
      </w:divBdr>
    </w:div>
    <w:div w:id="1143886457">
      <w:bodyDiv w:val="1"/>
      <w:marLeft w:val="0"/>
      <w:marRight w:val="0"/>
      <w:marTop w:val="0"/>
      <w:marBottom w:val="0"/>
      <w:divBdr>
        <w:top w:val="none" w:sz="0" w:space="0" w:color="auto"/>
        <w:left w:val="none" w:sz="0" w:space="0" w:color="auto"/>
        <w:bottom w:val="none" w:sz="0" w:space="0" w:color="auto"/>
        <w:right w:val="none" w:sz="0" w:space="0" w:color="auto"/>
      </w:divBdr>
    </w:div>
    <w:div w:id="1163010064">
      <w:bodyDiv w:val="1"/>
      <w:marLeft w:val="0"/>
      <w:marRight w:val="0"/>
      <w:marTop w:val="0"/>
      <w:marBottom w:val="0"/>
      <w:divBdr>
        <w:top w:val="none" w:sz="0" w:space="0" w:color="auto"/>
        <w:left w:val="none" w:sz="0" w:space="0" w:color="auto"/>
        <w:bottom w:val="none" w:sz="0" w:space="0" w:color="auto"/>
        <w:right w:val="none" w:sz="0" w:space="0" w:color="auto"/>
      </w:divBdr>
    </w:div>
    <w:div w:id="1189374768">
      <w:bodyDiv w:val="1"/>
      <w:marLeft w:val="0"/>
      <w:marRight w:val="0"/>
      <w:marTop w:val="0"/>
      <w:marBottom w:val="0"/>
      <w:divBdr>
        <w:top w:val="none" w:sz="0" w:space="0" w:color="auto"/>
        <w:left w:val="none" w:sz="0" w:space="0" w:color="auto"/>
        <w:bottom w:val="none" w:sz="0" w:space="0" w:color="auto"/>
        <w:right w:val="none" w:sz="0" w:space="0" w:color="auto"/>
      </w:divBdr>
    </w:div>
    <w:div w:id="1200314849">
      <w:bodyDiv w:val="1"/>
      <w:marLeft w:val="0"/>
      <w:marRight w:val="0"/>
      <w:marTop w:val="0"/>
      <w:marBottom w:val="0"/>
      <w:divBdr>
        <w:top w:val="none" w:sz="0" w:space="0" w:color="auto"/>
        <w:left w:val="none" w:sz="0" w:space="0" w:color="auto"/>
        <w:bottom w:val="none" w:sz="0" w:space="0" w:color="auto"/>
        <w:right w:val="none" w:sz="0" w:space="0" w:color="auto"/>
      </w:divBdr>
      <w:divsChild>
        <w:div w:id="1408991146">
          <w:marLeft w:val="0"/>
          <w:marRight w:val="0"/>
          <w:marTop w:val="0"/>
          <w:marBottom w:val="0"/>
          <w:divBdr>
            <w:top w:val="none" w:sz="0" w:space="0" w:color="auto"/>
            <w:left w:val="none" w:sz="0" w:space="0" w:color="auto"/>
            <w:bottom w:val="none" w:sz="0" w:space="0" w:color="auto"/>
            <w:right w:val="none" w:sz="0" w:space="0" w:color="auto"/>
          </w:divBdr>
          <w:divsChild>
            <w:div w:id="165756858">
              <w:marLeft w:val="0"/>
              <w:marRight w:val="0"/>
              <w:marTop w:val="0"/>
              <w:marBottom w:val="0"/>
              <w:divBdr>
                <w:top w:val="none" w:sz="0" w:space="0" w:color="auto"/>
                <w:left w:val="none" w:sz="0" w:space="0" w:color="auto"/>
                <w:bottom w:val="none" w:sz="0" w:space="0" w:color="auto"/>
                <w:right w:val="none" w:sz="0" w:space="0" w:color="auto"/>
              </w:divBdr>
              <w:divsChild>
                <w:div w:id="1952467743">
                  <w:marLeft w:val="0"/>
                  <w:marRight w:val="0"/>
                  <w:marTop w:val="0"/>
                  <w:marBottom w:val="0"/>
                  <w:divBdr>
                    <w:top w:val="none" w:sz="0" w:space="0" w:color="auto"/>
                    <w:left w:val="none" w:sz="0" w:space="0" w:color="auto"/>
                    <w:bottom w:val="none" w:sz="0" w:space="0" w:color="auto"/>
                    <w:right w:val="none" w:sz="0" w:space="0" w:color="auto"/>
                  </w:divBdr>
                  <w:divsChild>
                    <w:div w:id="714045445">
                      <w:marLeft w:val="0"/>
                      <w:marRight w:val="0"/>
                      <w:marTop w:val="0"/>
                      <w:marBottom w:val="0"/>
                      <w:divBdr>
                        <w:top w:val="none" w:sz="0" w:space="0" w:color="auto"/>
                        <w:left w:val="none" w:sz="0" w:space="0" w:color="auto"/>
                        <w:bottom w:val="none" w:sz="0" w:space="0" w:color="auto"/>
                        <w:right w:val="none" w:sz="0" w:space="0" w:color="auto"/>
                      </w:divBdr>
                      <w:divsChild>
                        <w:div w:id="1811630019">
                          <w:marLeft w:val="0"/>
                          <w:marRight w:val="0"/>
                          <w:marTop w:val="0"/>
                          <w:marBottom w:val="0"/>
                          <w:divBdr>
                            <w:top w:val="none" w:sz="0" w:space="0" w:color="auto"/>
                            <w:left w:val="none" w:sz="0" w:space="0" w:color="auto"/>
                            <w:bottom w:val="none" w:sz="0" w:space="0" w:color="auto"/>
                            <w:right w:val="none" w:sz="0" w:space="0" w:color="auto"/>
                          </w:divBdr>
                          <w:divsChild>
                            <w:div w:id="191574105">
                              <w:marLeft w:val="0"/>
                              <w:marRight w:val="0"/>
                              <w:marTop w:val="0"/>
                              <w:marBottom w:val="0"/>
                              <w:divBdr>
                                <w:top w:val="none" w:sz="0" w:space="0" w:color="auto"/>
                                <w:left w:val="none" w:sz="0" w:space="0" w:color="auto"/>
                                <w:bottom w:val="none" w:sz="0" w:space="0" w:color="auto"/>
                                <w:right w:val="none" w:sz="0" w:space="0" w:color="auto"/>
                              </w:divBdr>
                              <w:divsChild>
                                <w:div w:id="180970153">
                                  <w:marLeft w:val="0"/>
                                  <w:marRight w:val="0"/>
                                  <w:marTop w:val="0"/>
                                  <w:marBottom w:val="0"/>
                                  <w:divBdr>
                                    <w:top w:val="none" w:sz="0" w:space="0" w:color="auto"/>
                                    <w:left w:val="none" w:sz="0" w:space="0" w:color="auto"/>
                                    <w:bottom w:val="none" w:sz="0" w:space="0" w:color="auto"/>
                                    <w:right w:val="none" w:sz="0" w:space="0" w:color="auto"/>
                                  </w:divBdr>
                                  <w:divsChild>
                                    <w:div w:id="822697187">
                                      <w:marLeft w:val="0"/>
                                      <w:marRight w:val="0"/>
                                      <w:marTop w:val="0"/>
                                      <w:marBottom w:val="0"/>
                                      <w:divBdr>
                                        <w:top w:val="none" w:sz="0" w:space="0" w:color="auto"/>
                                        <w:left w:val="none" w:sz="0" w:space="0" w:color="auto"/>
                                        <w:bottom w:val="none" w:sz="0" w:space="0" w:color="auto"/>
                                        <w:right w:val="none" w:sz="0" w:space="0" w:color="auto"/>
                                      </w:divBdr>
                                      <w:divsChild>
                                        <w:div w:id="1485316209">
                                          <w:marLeft w:val="0"/>
                                          <w:marRight w:val="0"/>
                                          <w:marTop w:val="0"/>
                                          <w:marBottom w:val="0"/>
                                          <w:divBdr>
                                            <w:top w:val="none" w:sz="0" w:space="0" w:color="auto"/>
                                            <w:left w:val="none" w:sz="0" w:space="0" w:color="auto"/>
                                            <w:bottom w:val="none" w:sz="0" w:space="0" w:color="auto"/>
                                            <w:right w:val="none" w:sz="0" w:space="0" w:color="auto"/>
                                          </w:divBdr>
                                          <w:divsChild>
                                            <w:div w:id="1349329234">
                                              <w:marLeft w:val="0"/>
                                              <w:marRight w:val="0"/>
                                              <w:marTop w:val="0"/>
                                              <w:marBottom w:val="0"/>
                                              <w:divBdr>
                                                <w:top w:val="none" w:sz="0" w:space="0" w:color="auto"/>
                                                <w:left w:val="none" w:sz="0" w:space="0" w:color="auto"/>
                                                <w:bottom w:val="none" w:sz="0" w:space="0" w:color="auto"/>
                                                <w:right w:val="none" w:sz="0" w:space="0" w:color="auto"/>
                                              </w:divBdr>
                                              <w:divsChild>
                                                <w:div w:id="1074594555">
                                                  <w:marLeft w:val="0"/>
                                                  <w:marRight w:val="0"/>
                                                  <w:marTop w:val="0"/>
                                                  <w:marBottom w:val="0"/>
                                                  <w:divBdr>
                                                    <w:top w:val="none" w:sz="0" w:space="0" w:color="auto"/>
                                                    <w:left w:val="none" w:sz="0" w:space="0" w:color="auto"/>
                                                    <w:bottom w:val="none" w:sz="0" w:space="0" w:color="auto"/>
                                                    <w:right w:val="none" w:sz="0" w:space="0" w:color="auto"/>
                                                  </w:divBdr>
                                                  <w:divsChild>
                                                    <w:div w:id="196545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38384297">
      <w:bodyDiv w:val="1"/>
      <w:marLeft w:val="0"/>
      <w:marRight w:val="0"/>
      <w:marTop w:val="0"/>
      <w:marBottom w:val="0"/>
      <w:divBdr>
        <w:top w:val="none" w:sz="0" w:space="0" w:color="auto"/>
        <w:left w:val="none" w:sz="0" w:space="0" w:color="auto"/>
        <w:bottom w:val="none" w:sz="0" w:space="0" w:color="auto"/>
        <w:right w:val="none" w:sz="0" w:space="0" w:color="auto"/>
      </w:divBdr>
    </w:div>
    <w:div w:id="1379360145">
      <w:bodyDiv w:val="1"/>
      <w:marLeft w:val="0"/>
      <w:marRight w:val="0"/>
      <w:marTop w:val="0"/>
      <w:marBottom w:val="0"/>
      <w:divBdr>
        <w:top w:val="none" w:sz="0" w:space="0" w:color="auto"/>
        <w:left w:val="none" w:sz="0" w:space="0" w:color="auto"/>
        <w:bottom w:val="none" w:sz="0" w:space="0" w:color="auto"/>
        <w:right w:val="none" w:sz="0" w:space="0" w:color="auto"/>
      </w:divBdr>
    </w:div>
    <w:div w:id="1422221513">
      <w:bodyDiv w:val="1"/>
      <w:marLeft w:val="0"/>
      <w:marRight w:val="0"/>
      <w:marTop w:val="0"/>
      <w:marBottom w:val="0"/>
      <w:divBdr>
        <w:top w:val="none" w:sz="0" w:space="0" w:color="auto"/>
        <w:left w:val="none" w:sz="0" w:space="0" w:color="auto"/>
        <w:bottom w:val="none" w:sz="0" w:space="0" w:color="auto"/>
        <w:right w:val="none" w:sz="0" w:space="0" w:color="auto"/>
      </w:divBdr>
    </w:div>
    <w:div w:id="1551454693">
      <w:bodyDiv w:val="1"/>
      <w:marLeft w:val="0"/>
      <w:marRight w:val="0"/>
      <w:marTop w:val="0"/>
      <w:marBottom w:val="0"/>
      <w:divBdr>
        <w:top w:val="none" w:sz="0" w:space="0" w:color="auto"/>
        <w:left w:val="none" w:sz="0" w:space="0" w:color="auto"/>
        <w:bottom w:val="none" w:sz="0" w:space="0" w:color="auto"/>
        <w:right w:val="none" w:sz="0" w:space="0" w:color="auto"/>
      </w:divBdr>
    </w:div>
    <w:div w:id="1558663635">
      <w:bodyDiv w:val="1"/>
      <w:marLeft w:val="0"/>
      <w:marRight w:val="0"/>
      <w:marTop w:val="0"/>
      <w:marBottom w:val="0"/>
      <w:divBdr>
        <w:top w:val="none" w:sz="0" w:space="0" w:color="auto"/>
        <w:left w:val="none" w:sz="0" w:space="0" w:color="auto"/>
        <w:bottom w:val="none" w:sz="0" w:space="0" w:color="auto"/>
        <w:right w:val="none" w:sz="0" w:space="0" w:color="auto"/>
      </w:divBdr>
    </w:div>
    <w:div w:id="1563563235">
      <w:bodyDiv w:val="1"/>
      <w:marLeft w:val="0"/>
      <w:marRight w:val="0"/>
      <w:marTop w:val="0"/>
      <w:marBottom w:val="0"/>
      <w:divBdr>
        <w:top w:val="none" w:sz="0" w:space="0" w:color="auto"/>
        <w:left w:val="none" w:sz="0" w:space="0" w:color="auto"/>
        <w:bottom w:val="none" w:sz="0" w:space="0" w:color="auto"/>
        <w:right w:val="none" w:sz="0" w:space="0" w:color="auto"/>
      </w:divBdr>
    </w:div>
    <w:div w:id="1614557948">
      <w:bodyDiv w:val="1"/>
      <w:marLeft w:val="0"/>
      <w:marRight w:val="0"/>
      <w:marTop w:val="0"/>
      <w:marBottom w:val="0"/>
      <w:divBdr>
        <w:top w:val="none" w:sz="0" w:space="0" w:color="auto"/>
        <w:left w:val="none" w:sz="0" w:space="0" w:color="auto"/>
        <w:bottom w:val="none" w:sz="0" w:space="0" w:color="auto"/>
        <w:right w:val="none" w:sz="0" w:space="0" w:color="auto"/>
      </w:divBdr>
    </w:div>
    <w:div w:id="1619876513">
      <w:bodyDiv w:val="1"/>
      <w:marLeft w:val="0"/>
      <w:marRight w:val="0"/>
      <w:marTop w:val="0"/>
      <w:marBottom w:val="0"/>
      <w:divBdr>
        <w:top w:val="none" w:sz="0" w:space="0" w:color="auto"/>
        <w:left w:val="none" w:sz="0" w:space="0" w:color="auto"/>
        <w:bottom w:val="none" w:sz="0" w:space="0" w:color="auto"/>
        <w:right w:val="none" w:sz="0" w:space="0" w:color="auto"/>
      </w:divBdr>
    </w:div>
    <w:div w:id="1649363926">
      <w:bodyDiv w:val="1"/>
      <w:marLeft w:val="0"/>
      <w:marRight w:val="0"/>
      <w:marTop w:val="0"/>
      <w:marBottom w:val="0"/>
      <w:divBdr>
        <w:top w:val="none" w:sz="0" w:space="0" w:color="auto"/>
        <w:left w:val="none" w:sz="0" w:space="0" w:color="auto"/>
        <w:bottom w:val="none" w:sz="0" w:space="0" w:color="auto"/>
        <w:right w:val="none" w:sz="0" w:space="0" w:color="auto"/>
      </w:divBdr>
    </w:div>
    <w:div w:id="1674382961">
      <w:bodyDiv w:val="1"/>
      <w:marLeft w:val="0"/>
      <w:marRight w:val="0"/>
      <w:marTop w:val="0"/>
      <w:marBottom w:val="0"/>
      <w:divBdr>
        <w:top w:val="none" w:sz="0" w:space="0" w:color="auto"/>
        <w:left w:val="none" w:sz="0" w:space="0" w:color="auto"/>
        <w:bottom w:val="none" w:sz="0" w:space="0" w:color="auto"/>
        <w:right w:val="none" w:sz="0" w:space="0" w:color="auto"/>
      </w:divBdr>
    </w:div>
    <w:div w:id="1679695395">
      <w:bodyDiv w:val="1"/>
      <w:marLeft w:val="0"/>
      <w:marRight w:val="0"/>
      <w:marTop w:val="0"/>
      <w:marBottom w:val="0"/>
      <w:divBdr>
        <w:top w:val="none" w:sz="0" w:space="0" w:color="auto"/>
        <w:left w:val="none" w:sz="0" w:space="0" w:color="auto"/>
        <w:bottom w:val="none" w:sz="0" w:space="0" w:color="auto"/>
        <w:right w:val="none" w:sz="0" w:space="0" w:color="auto"/>
      </w:divBdr>
    </w:div>
    <w:div w:id="1702243989">
      <w:bodyDiv w:val="1"/>
      <w:marLeft w:val="0"/>
      <w:marRight w:val="0"/>
      <w:marTop w:val="0"/>
      <w:marBottom w:val="0"/>
      <w:divBdr>
        <w:top w:val="none" w:sz="0" w:space="0" w:color="auto"/>
        <w:left w:val="none" w:sz="0" w:space="0" w:color="auto"/>
        <w:bottom w:val="none" w:sz="0" w:space="0" w:color="auto"/>
        <w:right w:val="none" w:sz="0" w:space="0" w:color="auto"/>
      </w:divBdr>
    </w:div>
    <w:div w:id="1715545336">
      <w:bodyDiv w:val="1"/>
      <w:marLeft w:val="0"/>
      <w:marRight w:val="0"/>
      <w:marTop w:val="0"/>
      <w:marBottom w:val="0"/>
      <w:divBdr>
        <w:top w:val="none" w:sz="0" w:space="0" w:color="auto"/>
        <w:left w:val="none" w:sz="0" w:space="0" w:color="auto"/>
        <w:bottom w:val="none" w:sz="0" w:space="0" w:color="auto"/>
        <w:right w:val="none" w:sz="0" w:space="0" w:color="auto"/>
      </w:divBdr>
    </w:div>
    <w:div w:id="1752849564">
      <w:bodyDiv w:val="1"/>
      <w:marLeft w:val="0"/>
      <w:marRight w:val="0"/>
      <w:marTop w:val="0"/>
      <w:marBottom w:val="0"/>
      <w:divBdr>
        <w:top w:val="none" w:sz="0" w:space="0" w:color="auto"/>
        <w:left w:val="none" w:sz="0" w:space="0" w:color="auto"/>
        <w:bottom w:val="none" w:sz="0" w:space="0" w:color="auto"/>
        <w:right w:val="none" w:sz="0" w:space="0" w:color="auto"/>
      </w:divBdr>
    </w:div>
    <w:div w:id="1897542224">
      <w:bodyDiv w:val="1"/>
      <w:marLeft w:val="0"/>
      <w:marRight w:val="0"/>
      <w:marTop w:val="0"/>
      <w:marBottom w:val="0"/>
      <w:divBdr>
        <w:top w:val="none" w:sz="0" w:space="0" w:color="auto"/>
        <w:left w:val="none" w:sz="0" w:space="0" w:color="auto"/>
        <w:bottom w:val="none" w:sz="0" w:space="0" w:color="auto"/>
        <w:right w:val="none" w:sz="0" w:space="0" w:color="auto"/>
      </w:divBdr>
    </w:div>
    <w:div w:id="1908103414">
      <w:bodyDiv w:val="1"/>
      <w:marLeft w:val="0"/>
      <w:marRight w:val="0"/>
      <w:marTop w:val="0"/>
      <w:marBottom w:val="0"/>
      <w:divBdr>
        <w:top w:val="none" w:sz="0" w:space="0" w:color="auto"/>
        <w:left w:val="none" w:sz="0" w:space="0" w:color="auto"/>
        <w:bottom w:val="none" w:sz="0" w:space="0" w:color="auto"/>
        <w:right w:val="none" w:sz="0" w:space="0" w:color="auto"/>
      </w:divBdr>
    </w:div>
    <w:div w:id="1945186465">
      <w:bodyDiv w:val="1"/>
      <w:marLeft w:val="0"/>
      <w:marRight w:val="0"/>
      <w:marTop w:val="0"/>
      <w:marBottom w:val="0"/>
      <w:divBdr>
        <w:top w:val="none" w:sz="0" w:space="0" w:color="auto"/>
        <w:left w:val="none" w:sz="0" w:space="0" w:color="auto"/>
        <w:bottom w:val="none" w:sz="0" w:space="0" w:color="auto"/>
        <w:right w:val="none" w:sz="0" w:space="0" w:color="auto"/>
      </w:divBdr>
    </w:div>
    <w:div w:id="1962687741">
      <w:bodyDiv w:val="1"/>
      <w:marLeft w:val="0"/>
      <w:marRight w:val="0"/>
      <w:marTop w:val="0"/>
      <w:marBottom w:val="0"/>
      <w:divBdr>
        <w:top w:val="none" w:sz="0" w:space="0" w:color="auto"/>
        <w:left w:val="none" w:sz="0" w:space="0" w:color="auto"/>
        <w:bottom w:val="none" w:sz="0" w:space="0" w:color="auto"/>
        <w:right w:val="none" w:sz="0" w:space="0" w:color="auto"/>
      </w:divBdr>
    </w:div>
    <w:div w:id="1976597399">
      <w:bodyDiv w:val="1"/>
      <w:marLeft w:val="0"/>
      <w:marRight w:val="0"/>
      <w:marTop w:val="0"/>
      <w:marBottom w:val="0"/>
      <w:divBdr>
        <w:top w:val="none" w:sz="0" w:space="0" w:color="auto"/>
        <w:left w:val="none" w:sz="0" w:space="0" w:color="auto"/>
        <w:bottom w:val="none" w:sz="0" w:space="0" w:color="auto"/>
        <w:right w:val="none" w:sz="0" w:space="0" w:color="auto"/>
      </w:divBdr>
    </w:div>
    <w:div w:id="1984112636">
      <w:bodyDiv w:val="1"/>
      <w:marLeft w:val="0"/>
      <w:marRight w:val="0"/>
      <w:marTop w:val="0"/>
      <w:marBottom w:val="0"/>
      <w:divBdr>
        <w:top w:val="none" w:sz="0" w:space="0" w:color="auto"/>
        <w:left w:val="none" w:sz="0" w:space="0" w:color="auto"/>
        <w:bottom w:val="none" w:sz="0" w:space="0" w:color="auto"/>
        <w:right w:val="none" w:sz="0" w:space="0" w:color="auto"/>
      </w:divBdr>
    </w:div>
    <w:div w:id="2043968401">
      <w:bodyDiv w:val="1"/>
      <w:marLeft w:val="0"/>
      <w:marRight w:val="0"/>
      <w:marTop w:val="0"/>
      <w:marBottom w:val="0"/>
      <w:divBdr>
        <w:top w:val="none" w:sz="0" w:space="0" w:color="auto"/>
        <w:left w:val="none" w:sz="0" w:space="0" w:color="auto"/>
        <w:bottom w:val="none" w:sz="0" w:space="0" w:color="auto"/>
        <w:right w:val="none" w:sz="0" w:space="0" w:color="auto"/>
      </w:divBdr>
    </w:div>
    <w:div w:id="2077628114">
      <w:bodyDiv w:val="1"/>
      <w:marLeft w:val="0"/>
      <w:marRight w:val="0"/>
      <w:marTop w:val="0"/>
      <w:marBottom w:val="0"/>
      <w:divBdr>
        <w:top w:val="none" w:sz="0" w:space="0" w:color="auto"/>
        <w:left w:val="none" w:sz="0" w:space="0" w:color="auto"/>
        <w:bottom w:val="none" w:sz="0" w:space="0" w:color="auto"/>
        <w:right w:val="none" w:sz="0" w:space="0" w:color="auto"/>
      </w:divBdr>
      <w:divsChild>
        <w:div w:id="240793200">
          <w:marLeft w:val="0"/>
          <w:marRight w:val="0"/>
          <w:marTop w:val="0"/>
          <w:marBottom w:val="0"/>
          <w:divBdr>
            <w:top w:val="none" w:sz="0" w:space="0" w:color="auto"/>
            <w:left w:val="none" w:sz="0" w:space="0" w:color="auto"/>
            <w:bottom w:val="none" w:sz="0" w:space="0" w:color="auto"/>
            <w:right w:val="none" w:sz="0" w:space="0" w:color="auto"/>
          </w:divBdr>
          <w:divsChild>
            <w:div w:id="40229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783763">
      <w:bodyDiv w:val="1"/>
      <w:marLeft w:val="0"/>
      <w:marRight w:val="0"/>
      <w:marTop w:val="0"/>
      <w:marBottom w:val="0"/>
      <w:divBdr>
        <w:top w:val="none" w:sz="0" w:space="0" w:color="auto"/>
        <w:left w:val="none" w:sz="0" w:space="0" w:color="auto"/>
        <w:bottom w:val="none" w:sz="0" w:space="0" w:color="auto"/>
        <w:right w:val="none" w:sz="0" w:space="0" w:color="auto"/>
      </w:divBdr>
      <w:divsChild>
        <w:div w:id="281232222">
          <w:marLeft w:val="0"/>
          <w:marRight w:val="0"/>
          <w:marTop w:val="0"/>
          <w:marBottom w:val="0"/>
          <w:divBdr>
            <w:top w:val="none" w:sz="0" w:space="0" w:color="242424"/>
            <w:left w:val="none" w:sz="0" w:space="0" w:color="242424"/>
            <w:bottom w:val="none" w:sz="0" w:space="0" w:color="242424"/>
            <w:right w:val="none" w:sz="0" w:space="0" w:color="242424"/>
          </w:divBdr>
          <w:divsChild>
            <w:div w:id="2076704972">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2116364755">
      <w:bodyDiv w:val="1"/>
      <w:marLeft w:val="0"/>
      <w:marRight w:val="0"/>
      <w:marTop w:val="0"/>
      <w:marBottom w:val="0"/>
      <w:divBdr>
        <w:top w:val="none" w:sz="0" w:space="0" w:color="auto"/>
        <w:left w:val="none" w:sz="0" w:space="0" w:color="auto"/>
        <w:bottom w:val="none" w:sz="0" w:space="0" w:color="auto"/>
        <w:right w:val="none" w:sz="0" w:space="0" w:color="auto"/>
      </w:divBdr>
      <w:divsChild>
        <w:div w:id="1641420811">
          <w:marLeft w:val="0"/>
          <w:marRight w:val="0"/>
          <w:marTop w:val="0"/>
          <w:marBottom w:val="0"/>
          <w:divBdr>
            <w:top w:val="none" w:sz="0" w:space="0" w:color="242424"/>
            <w:left w:val="none" w:sz="0" w:space="0" w:color="242424"/>
            <w:bottom w:val="none" w:sz="0" w:space="0" w:color="242424"/>
            <w:right w:val="none" w:sz="0" w:space="0" w:color="242424"/>
          </w:divBdr>
          <w:divsChild>
            <w:div w:id="13851256">
              <w:marLeft w:val="0"/>
              <w:marRight w:val="0"/>
              <w:marTop w:val="0"/>
              <w:marBottom w:val="0"/>
              <w:divBdr>
                <w:top w:val="none" w:sz="0" w:space="0" w:color="242424"/>
                <w:left w:val="none" w:sz="0" w:space="0" w:color="242424"/>
                <w:bottom w:val="none" w:sz="0" w:space="0" w:color="242424"/>
                <w:right w:val="none" w:sz="0" w:space="0" w:color="242424"/>
              </w:divBdr>
            </w:div>
          </w:divsChild>
        </w:div>
      </w:divsChild>
    </w:div>
    <w:div w:id="2135785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18-03/successful-futures.pdf" TargetMode="External"/><Relationship Id="rId18" Type="http://schemas.openxmlformats.org/officeDocument/2006/relationships/hyperlink" Target="https://www.tandfonline.com/doi/abs/10.1080/03004279.2021.1912136" TargetMode="External"/><Relationship Id="rId26" Type="http://schemas.openxmlformats.org/officeDocument/2006/relationships/hyperlink" Target="https://www.ndna.org.uk" TargetMode="External"/><Relationship Id="rId39" Type="http://schemas.openxmlformats.org/officeDocument/2006/relationships/hyperlink" Target="https://ifs.org.uk/publications/major-challenges-education-wales" TargetMode="External"/><Relationship Id="rId21" Type="http://schemas.openxmlformats.org/officeDocument/2006/relationships/hyperlink" Target="https://books.google.co.uk/books?hl=en&amp;lr=&amp;id=l11gDwAAQBAJ&amp;oi=fnd&amp;pg=PP1&amp;dq=why+is+understanding+the+child+as+unique+important&amp;ots=Jox6rMT0GW&amp;sig=QafmEr6C4GvRL-p2Jvi7e3CgbyY" TargetMode="External"/><Relationship Id="rId34" Type="http://schemas.openxmlformats.org/officeDocument/2006/relationships/hyperlink" Target="https://www.oecd.org/en/publications/starting-strong-v_9789264276253-en.htmlOECD" TargetMode="External"/><Relationship Id="rId42" Type="http://schemas.openxmlformats.org/officeDocument/2006/relationships/hyperlink" Target="https://www.unicef.org.uk/wp-content/uploads/2020/09/Unicef-UK-Briefing-UNICEF-Innocenti-Report-Card-16-September-2020.pdf" TargetMode="External"/><Relationship Id="rId47" Type="http://schemas.openxmlformats.org/officeDocument/2006/relationships/hyperlink" Target="https://www.gov.wales/sites/default/files/publications/2018-02/foundation-phase-framework-revised-2015.pdf" TargetMode="External"/><Relationship Id="rId50" Type="http://schemas.openxmlformats.org/officeDocument/2006/relationships/hyperlink" Target="https://www.gov.wales/sites/default/files/publications/2018-03/foundation-phase-profile-handbook-revised-september-2017.pdf" TargetMode="External"/><Relationship Id="rId55" Type="http://schemas.openxmlformats.org/officeDocument/2006/relationships/hyperlink" Target="https://www.gov.wales/implementing-additional-learning-needs-and-education-tribunal-wales-act-2018-practitioner-guide-0" TargetMode="External"/><Relationship Id="rId63" Type="http://schemas.openxmlformats.org/officeDocument/2006/relationships/hyperlink" Target="https://www.researchgate.net/publication/340137325_The_importance_of_play_A_report_on_the_value_of_children%27s_play_with_a_series_of_policy_recommendations" TargetMode="External"/><Relationship Id="rId68" Type="http://schemas.openxmlformats.org/officeDocument/2006/relationships/fontTable" Target="fontTable.xml"/><Relationship Id="rId7" Type="http://schemas.openxmlformats.org/officeDocument/2006/relationships/hyperlink" Target="https://www.hillpublisher.com/ArticleDetails/1185" TargetMode="External"/><Relationship Id="rId2" Type="http://schemas.openxmlformats.org/officeDocument/2006/relationships/styles" Target="styles.xml"/><Relationship Id="rId16" Type="http://schemas.openxmlformats.org/officeDocument/2006/relationships/hyperlink" Target="https://www.estyn.gov.wales/system/files/2020-07/Literacy%2520and%2520the%2520Foundation%2520Phase%2520%2520-%2520September%25202011.pdf" TargetMode="External"/><Relationship Id="rId29" Type="http://schemas.openxmlformats.org/officeDocument/2006/relationships/hyperlink" Target="https://busnes.senedd.cymru/documents/s95980/Powerpoint%20-%2014%20Tachwedd%202019%20-%20Saesneg%20yn%20Unig.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10.1177/1365480216651519" TargetMode="External"/><Relationship Id="rId24" Type="http://schemas.openxmlformats.org/officeDocument/2006/relationships/hyperlink" Target="https://www.forbes.com/sites/nickmorrison/2014/01/30/too-much-too-soon-why-children-should-spend-more-time-playing-and-start-school-later/" TargetMode="External"/><Relationship Id="rId32" Type="http://schemas.openxmlformats.org/officeDocument/2006/relationships/hyperlink" Target="https://learning.nspcc.org.uk/research-resources/practice-points-series/voice-child" TargetMode="External"/><Relationship Id="rId37" Type="http://schemas.openxmlformats.org/officeDocument/2006/relationships/hyperlink" Target="https://bera-journals.onlinelibrary.wiley.com/doi/10.1002/berj.3221" TargetMode="External"/><Relationship Id="rId40" Type="http://schemas.openxmlformats.org/officeDocument/2006/relationships/hyperlink" Target="https://dera.ioe.ac.uk/id/eprint/4650/1/RR356.pdf" TargetMode="External"/><Relationship Id="rId45" Type="http://schemas.openxmlformats.org/officeDocument/2006/relationships/hyperlink" Target="https://dera.ioe.ac.uk/id/eprint/18045/1/130716-building-brighter-future-en.pdf" TargetMode="External"/><Relationship Id="rId53" Type="http://schemas.openxmlformats.org/officeDocument/2006/relationships/hyperlink" Target="https://hwb.gov.wales/curriculum-for-wales/assessment-arrangements/supporting-learner-progression-assessment-guidance/" TargetMode="External"/><Relationship Id="rId58" Type="http://schemas.openxmlformats.org/officeDocument/2006/relationships/hyperlink" Target="https://hwb.gov.wales/curriculum-for-wales/curriculum-for-funded-non-maintained-nursery-settings/" TargetMode="External"/><Relationship Id="rId66"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estyn.gov.wales/improvement-resources/engagement-work-non-maintained-sector-update-autumn-term-2021/" TargetMode="External"/><Relationship Id="rId23" Type="http://schemas.openxmlformats.org/officeDocument/2006/relationships/hyperlink" Target="https://www.tandfonline.com/doi/abs/10.1080/09575146.2011.572870" TargetMode="External"/><Relationship Id="rId28" Type="http://schemas.openxmlformats.org/officeDocument/2006/relationships/hyperlink" Target="https://www.bera.ac.uk/blog/hopes-and-fears-the-development-of-a-new-curriculum-in-wales" TargetMode="External"/><Relationship Id="rId36" Type="http://schemas.openxmlformats.org/officeDocument/2006/relationships/hyperlink" Target="https://play.wales/play-policy-legislation/play-sufficiency/" TargetMode="External"/><Relationship Id="rId49" Type="http://schemas.openxmlformats.org/officeDocument/2006/relationships/hyperlink" Target="https://www.gov.wales/sites/default/files/publications/2022-12/early-years-workforce-plan.pdf" TargetMode="External"/><Relationship Id="rId57" Type="http://schemas.openxmlformats.org/officeDocument/2006/relationships/hyperlink" Target="https://hwb.gov.wales/curriculum-for-wales/designing-your-curriculum/developing-a-vision-for-curriculum-design/" TargetMode="External"/><Relationship Id="rId61" Type="http://schemas.openxmlformats.org/officeDocument/2006/relationships/hyperlink" Target="https://www.researchgate.net/publication/340137325_The_importance_of_play_A_report_on_the_value_of_children%27s_play_with_a_series_of_policy_recommendations" TargetMode="External"/><Relationship Id="rId10" Type="http://schemas.openxmlformats.org/officeDocument/2006/relationships/hyperlink" Target="https://doi.org/10.1080/01425692.2012.692049" TargetMode="External"/><Relationship Id="rId19" Type="http://schemas.openxmlformats.org/officeDocument/2006/relationships/hyperlink" Target="https://www.gov.uk/guidance/equality-act-2010-guidance" TargetMode="External"/><Relationship Id="rId31" Type="http://schemas.openxmlformats.org/officeDocument/2006/relationships/hyperlink" Target="https://www.nspcc.org.uk" TargetMode="External"/><Relationship Id="rId44" Type="http://schemas.openxmlformats.org/officeDocument/2006/relationships/hyperlink" Target="https://dera.ioe.ac.uk/id/eprint/15788/1/frameworkforchildrene.pdf_lang%3Den" TargetMode="External"/><Relationship Id="rId52" Type="http://schemas.openxmlformats.org/officeDocument/2006/relationships/hyperlink" Target="https://hwb.gov.wales/curriculum-for-wales/designing-your-curriculum/cross-cutting-themes-for-designing-your-curriculum/" TargetMode="External"/><Relationship Id="rId60" Type="http://schemas.openxmlformats.org/officeDocument/2006/relationships/hyperlink" Target="https://www.gov.wales/sites/default/files/pdf-versions/2024/7/5/1720789730/child-poverty-strategy-wales-2024.pdf" TargetMode="External"/><Relationship Id="rId65" Type="http://schemas.openxmlformats.org/officeDocument/2006/relationships/hyperlink" Target="https://www.naeyc.org/resources/pubs/yc/summer2022/power-playful-learninge%20Early%20Childhood%20Setting%20|%20NAEYC" TargetMode="External"/><Relationship Id="rId4" Type="http://schemas.openxmlformats.org/officeDocument/2006/relationships/webSettings" Target="webSettings.xml"/><Relationship Id="rId9" Type="http://schemas.openxmlformats.org/officeDocument/2006/relationships/hyperlink" Target="https://doi.org/10.1080/21594937.2021.1878770" TargetMode="External"/><Relationship Id="rId14" Type="http://schemas.openxmlformats.org/officeDocument/2006/relationships/hyperlink" Target="https://www.earlyyears.wales/en/news/early-years-wales-welcomes-welsh-government%E2%80%99s-renewed-emphasis-first-1000-days" TargetMode="External"/><Relationship Id="rId22" Type="http://schemas.openxmlformats.org/officeDocument/2006/relationships/hyperlink" Target="https://www.jrf.org.uk/report/child-poverty-wales" TargetMode="External"/><Relationship Id="rId27" Type="http://schemas.openxmlformats.org/officeDocument/2006/relationships/hyperlink" Target="https://arrow.tudublin.ie/aaschssldis/89/" TargetMode="External"/><Relationship Id="rId30" Type="http://schemas.openxmlformats.org/officeDocument/2006/relationships/hyperlink" Target="https://doi.org/10.1080/03075079.2024.2334844" TargetMode="External"/><Relationship Id="rId35" Type="http://schemas.openxmlformats.org/officeDocument/2006/relationships/hyperlink" Target="https://www.ltcc.edu/campusresources/ece124observationandassessmentoerbook.pdf" TargetMode="External"/><Relationship Id="rId43" Type="http://schemas.openxmlformats.org/officeDocument/2006/relationships/hyperlink" Target="https://www.cam.ac.uk/research/discussion/school-starting-age-the-evidence" TargetMode="External"/><Relationship Id="rId48" Type="http://schemas.openxmlformats.org/officeDocument/2006/relationships/hyperlink" Target="https://www.researchgate.net/publication/340137325_The_importance_of_play_A_report_on_the_value_of_children%27s_play_with_a_series_of_policy_recommendations" TargetMode="External"/><Relationship Id="rId56" Type="http://schemas.openxmlformats.org/officeDocument/2006/relationships/hyperlink" Target="https://hwb.gov.wales/curriculum-for-wales/" TargetMode="External"/><Relationship Id="rId64" Type="http://schemas.openxmlformats.org/officeDocument/2006/relationships/hyperlink" Target="https://www.csap.cam.ac.uk/media/uploads/files/1/david-whitebread---importance-of-play-report.pdf" TargetMode="External"/><Relationship Id="rId69" Type="http://schemas.openxmlformats.org/officeDocument/2006/relationships/theme" Target="theme/theme1.xml"/><Relationship Id="rId8" Type="http://schemas.openxmlformats.org/officeDocument/2006/relationships/hyperlink" Target="https://www.audit.wales/news/work-needed-realise-long-term-benefits-and-track-going-costs-new-curriculum-wales" TargetMode="External"/><Relationship Id="rId51" Type="http://schemas.openxmlformats.org/officeDocument/2006/relationships/hyperlink" Target="https://www.gov.wales/sites/default/files/consultations/2019-10/curriculum-wales-2022-feedback-analysis.pdf" TargetMode="External"/><Relationship Id="rId3" Type="http://schemas.openxmlformats.org/officeDocument/2006/relationships/settings" Target="settings.xml"/><Relationship Id="rId12" Type="http://schemas.openxmlformats.org/officeDocument/2006/relationships/hyperlink" Target="https://developingchild.harvard.edu/science/key-concepts/brain-architecture/" TargetMode="External"/><Relationship Id="rId17" Type="http://schemas.openxmlformats.org/officeDocument/2006/relationships/hyperlink" Target="https://101080/20004508.2023.2297506" TargetMode="External"/><Relationship Id="rId25" Type="http://schemas.openxmlformats.org/officeDocument/2006/relationships/hyperlink" Target="https://issuu.com/naeyc/docs/standards_and_assessment_web" TargetMode="External"/><Relationship Id="rId33" Type="http://schemas.openxmlformats.org/officeDocument/2006/relationships/hyperlink" Target="https://assets.publishing.service.gov.uk/media/5a74af28ed915d0e8e39a315/Nutbrown-Review.pdf" TargetMode="External"/><Relationship Id="rId38" Type="http://schemas.openxmlformats.org/officeDocument/2006/relationships/hyperlink" Target="https://www.savethechildren.org.uk" TargetMode="External"/><Relationship Id="rId46" Type="http://schemas.openxmlformats.org/officeDocument/2006/relationships/hyperlink" Target="https://www.gov.wales/sites/default/files/statistics-and-research/2019-07/140506-evaluating-foundation-phase-pedagogy-understanding-en.pdf" TargetMode="External"/><Relationship Id="rId59" Type="http://schemas.openxmlformats.org/officeDocument/2006/relationships/hyperlink" Target="https://www.researchgate.net/publication/340137325_The_importance_of_play_A_report_on_the_value_of_children%27s_play_with_a_series_of_policy_recommendations" TargetMode="External"/><Relationship Id="rId67" Type="http://schemas.openxmlformats.org/officeDocument/2006/relationships/footer" Target="footer1.xml"/><Relationship Id="rId20" Type="http://schemas.openxmlformats.org/officeDocument/2006/relationships/hyperlink" Target="https://heckmanequation.org/" TargetMode="External"/><Relationship Id="rId41" Type="http://schemas.openxmlformats.org/officeDocument/2006/relationships/hyperlink" Target="https://www.unicef.org.uk/wp-content/uploads/2019/10/UNCRC_summary-1_1.pdf" TargetMode="External"/><Relationship Id="rId54" Type="http://schemas.openxmlformats.org/officeDocument/2006/relationships/hyperlink" Target="https://www.gov.wales/sites/default/files/pdf-versions/2022/4/4/1649928662/expanding-childcare-support-cabinet-paper.pdf" TargetMode="External"/><Relationship Id="rId62" Type="http://schemas.openxmlformats.org/officeDocument/2006/relationships/hyperlink" Target="https://www.gov.wales/early-childhood-play-learning-and-care-ecp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15</Pages>
  <Words>8163</Words>
  <Characters>46532</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Hayde</dc:creator>
  <cp:keywords/>
  <dc:description/>
  <cp:lastModifiedBy>Becky Hayde</cp:lastModifiedBy>
  <cp:revision>195</cp:revision>
  <dcterms:created xsi:type="dcterms:W3CDTF">2025-06-08T12:22:00Z</dcterms:created>
  <dcterms:modified xsi:type="dcterms:W3CDTF">2025-06-14T15:53:00Z</dcterms:modified>
</cp:coreProperties>
</file>