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E72EF8" w:rsidP="00E72EF8">
      <w:pPr>
        <w:jc w:val="center"/>
        <w:rPr>
          <w:rFonts w:ascii="Times New Roman" w:hAnsi="Times New Roman" w:cs="Times New Roman"/>
          <w:b/>
          <w:sz w:val="32"/>
          <w:u w:val="single"/>
        </w:rPr>
      </w:pPr>
      <w:r>
        <w:rPr>
          <w:rFonts w:ascii="Times New Roman" w:hAnsi="Times New Roman" w:cs="Times New Roman"/>
          <w:b/>
          <w:sz w:val="32"/>
          <w:u w:val="single"/>
        </w:rPr>
        <w:t>Historical Overview of the Amarna Period</w:t>
      </w:r>
    </w:p>
    <w:p w:rsidR="00E72EF8" w:rsidRDefault="00E72EF8" w:rsidP="00E72EF8">
      <w:pPr>
        <w:jc w:val="center"/>
        <w:rPr>
          <w:rFonts w:ascii="Times New Roman" w:hAnsi="Times New Roman" w:cs="Times New Roman"/>
          <w:b/>
          <w:sz w:val="32"/>
          <w:u w:val="single"/>
        </w:rPr>
      </w:pPr>
    </w:p>
    <w:p w:rsidR="00E72EF8" w:rsidRDefault="00E26885" w:rsidP="00E72EF8">
      <w:pPr>
        <w:rPr>
          <w:rFonts w:ascii="Times New Roman" w:hAnsi="Times New Roman" w:cs="Times New Roman"/>
          <w:sz w:val="24"/>
        </w:rPr>
      </w:pPr>
      <w:r>
        <w:rPr>
          <w:rFonts w:ascii="Times New Roman" w:hAnsi="Times New Roman" w:cs="Times New Roman"/>
          <w:sz w:val="24"/>
        </w:rPr>
        <w:t xml:space="preserve">The Amarna period in ancient Egypt remains one of the most widely discussed and widely debated topics in all of Egyptology, and has captivated the minds of countless Egyptologists, historians and archaeologists, with countless works being written about this short time in history. </w:t>
      </w:r>
      <w:r w:rsidR="000A2C72">
        <w:rPr>
          <w:rFonts w:ascii="Times New Roman" w:hAnsi="Times New Roman" w:cs="Times New Roman"/>
          <w:sz w:val="24"/>
        </w:rPr>
        <w:t>The Amarna period dated from 1352 – 1323 BCE, lasting only approximately thirty years, from the end of the reign of Amenhotep III, all the way to the beginning of the reign of Horemhab, with focus in this time being on Akhenaten.</w:t>
      </w:r>
      <w:r w:rsidR="00501DDF">
        <w:rPr>
          <w:rFonts w:ascii="Times New Roman" w:hAnsi="Times New Roman" w:cs="Times New Roman"/>
          <w:sz w:val="24"/>
        </w:rPr>
        <w:t xml:space="preserve"> During the Amarna period Egypt was considered to be at the peak of its imperial height</w:t>
      </w:r>
      <w:r w:rsidR="00EE472D">
        <w:rPr>
          <w:rFonts w:ascii="Times New Roman" w:hAnsi="Times New Roman" w:cs="Times New Roman"/>
          <w:sz w:val="24"/>
        </w:rPr>
        <w:t>, and during this time is when ancient Egypt went through its largest and most dramatic change in all of its history. The pharaoh Akhenaten did not only relocate the Egyptian capital to the city of Amarna, but he also put Egypt through a rather unexpected and unusual change, the complete reshaping of their religious beliefs.</w:t>
      </w:r>
    </w:p>
    <w:p w:rsidR="00EE472D" w:rsidRDefault="00951D07" w:rsidP="00E72EF8">
      <w:pPr>
        <w:rPr>
          <w:rFonts w:ascii="Times New Roman" w:hAnsi="Times New Roman" w:cs="Times New Roman"/>
          <w:sz w:val="24"/>
        </w:rPr>
      </w:pPr>
      <w:r>
        <w:rPr>
          <w:rFonts w:ascii="Times New Roman" w:hAnsi="Times New Roman" w:cs="Times New Roman"/>
          <w:sz w:val="24"/>
        </w:rPr>
        <w:t xml:space="preserve">When we look into the earlier stages of the Amarna period it appears as though not much at all happened. This is the time when Amenhotep IV was crowned pharaoh in Thebes, and before the time in which he changed his name to Akhenaten. During this time Amenhotep IV also began to adopt the traditional religious beliefs of this time. Throughout the first </w:t>
      </w:r>
      <w:r w:rsidR="00F331D9">
        <w:rPr>
          <w:rFonts w:ascii="Times New Roman" w:hAnsi="Times New Roman" w:cs="Times New Roman"/>
          <w:sz w:val="24"/>
        </w:rPr>
        <w:t>couple of years of Amenhotep IV</w:t>
      </w:r>
      <w:r>
        <w:rPr>
          <w:rFonts w:ascii="Times New Roman" w:hAnsi="Times New Roman" w:cs="Times New Roman"/>
          <w:sz w:val="24"/>
        </w:rPr>
        <w:t xml:space="preserve"> reign, there was very little change in any aspect of Egyptian life, a brief period in his reign where he appears to be no different than any other pharaoh that had come before or after him.</w:t>
      </w:r>
    </w:p>
    <w:p w:rsidR="00C7314F" w:rsidRDefault="00972880" w:rsidP="00E72EF8">
      <w:pPr>
        <w:rPr>
          <w:rFonts w:ascii="Times New Roman" w:hAnsi="Times New Roman" w:cs="Times New Roman"/>
          <w:sz w:val="24"/>
        </w:rPr>
      </w:pPr>
      <w:r>
        <w:rPr>
          <w:rFonts w:ascii="Times New Roman" w:hAnsi="Times New Roman" w:cs="Times New Roman"/>
          <w:sz w:val="24"/>
        </w:rPr>
        <w:t xml:space="preserve">The calm period </w:t>
      </w:r>
      <w:r w:rsidR="00F331D9">
        <w:rPr>
          <w:rFonts w:ascii="Times New Roman" w:hAnsi="Times New Roman" w:cs="Times New Roman"/>
          <w:sz w:val="24"/>
        </w:rPr>
        <w:t>in the beginning of Amenhotep IV</w:t>
      </w:r>
      <w:r>
        <w:rPr>
          <w:rFonts w:ascii="Times New Roman" w:hAnsi="Times New Roman" w:cs="Times New Roman"/>
          <w:sz w:val="24"/>
        </w:rPr>
        <w:t xml:space="preserve"> reign soon came to an end as he began to reshape the ancient Egyptian religion to his will, in order to suit his own needs.</w:t>
      </w:r>
      <w:r w:rsidR="00224015">
        <w:rPr>
          <w:rFonts w:ascii="Times New Roman" w:hAnsi="Times New Roman" w:cs="Times New Roman"/>
          <w:sz w:val="24"/>
        </w:rPr>
        <w:t xml:space="preserve"> He began his drastic religious reform by first introducing a new solar god, which was named Ra-Horakhty. This god was created from the combination of two pre-existing gods in the ancient Egyptian religious system, </w:t>
      </w:r>
      <w:r w:rsidR="008C4FBF">
        <w:rPr>
          <w:rFonts w:ascii="Times New Roman" w:hAnsi="Times New Roman" w:cs="Times New Roman"/>
          <w:sz w:val="24"/>
        </w:rPr>
        <w:t>Ra and Horus, with “Horakhty” meaning Horus of the Horizon. The belief behind this unification of the two gods was that Horus was the god of the sky, and Ra was the god of the sun, and therefore together, Ra-Horakhty was believed to have been the god of the rising sun.</w:t>
      </w:r>
      <w:r w:rsidR="00F331D9">
        <w:rPr>
          <w:rFonts w:ascii="Times New Roman" w:hAnsi="Times New Roman" w:cs="Times New Roman"/>
          <w:sz w:val="24"/>
        </w:rPr>
        <w:t xml:space="preserve"> Amenhotep IV then declared that there was one god above all and that god was Aten. This has interested many researchers as it can be argued that this was one of the first examples of a monotheistic society in history.</w:t>
      </w:r>
    </w:p>
    <w:p w:rsidR="00DD16F7" w:rsidRDefault="00DD16F7" w:rsidP="00E72EF8">
      <w:pPr>
        <w:rPr>
          <w:rFonts w:ascii="Times New Roman" w:hAnsi="Times New Roman" w:cs="Times New Roman"/>
          <w:sz w:val="24"/>
        </w:rPr>
      </w:pPr>
      <w:r>
        <w:rPr>
          <w:rFonts w:ascii="Times New Roman" w:hAnsi="Times New Roman" w:cs="Times New Roman"/>
          <w:sz w:val="24"/>
        </w:rPr>
        <w:t>Still in the early years of Amenhotep IV reign, he set to work on unfinished monuments of his father, Amenhotep III at Karnak. After this he immediately set his eyes on solidifying his new religion be building temples to the Aten in the site of east Karnak.</w:t>
      </w:r>
      <w:r w:rsidR="00BC3557">
        <w:rPr>
          <w:rFonts w:ascii="Times New Roman" w:hAnsi="Times New Roman" w:cs="Times New Roman"/>
          <w:sz w:val="24"/>
        </w:rPr>
        <w:t xml:space="preserve"> It was also during the Amarna period that we last see the building blocks that were used which are known as talatat, which much like most of the changes that Akhenaten made in his reign, were never used by the ancient Egyptians again.</w:t>
      </w:r>
      <w:r w:rsidR="00597ECA">
        <w:rPr>
          <w:rFonts w:ascii="Times New Roman" w:hAnsi="Times New Roman" w:cs="Times New Roman"/>
          <w:sz w:val="24"/>
        </w:rPr>
        <w:t xml:space="preserve"> Although they were never used by the ancient Egyptians again after the Amarna period, talatat were a very useful building material as unlike most other construction in ancient Egypt, each talatat were able to be transported by a single person as they were very small and very closely resembled modern day bricks.</w:t>
      </w:r>
    </w:p>
    <w:p w:rsidR="00834B15" w:rsidRDefault="00834B15" w:rsidP="00E72EF8">
      <w:pPr>
        <w:rPr>
          <w:rFonts w:ascii="Times New Roman" w:hAnsi="Times New Roman" w:cs="Times New Roman"/>
          <w:sz w:val="24"/>
        </w:rPr>
      </w:pPr>
      <w:r>
        <w:rPr>
          <w:rFonts w:ascii="Times New Roman" w:hAnsi="Times New Roman" w:cs="Times New Roman"/>
          <w:sz w:val="24"/>
        </w:rPr>
        <w:t>Once Amenhotep IV created a complete religious reshaping with Aten at the centre of it all, he also changed his name from Amenhotep IV, to Akhenaten, roughly translated to meaning one who is beneficial for the Aten. Perhaps one of the largest changes that Akhenaten made to ancient Egyptian society was the relocation of the capital from Thebes to Amarna.</w:t>
      </w:r>
      <w:r w:rsidR="00EA53E8">
        <w:rPr>
          <w:rFonts w:ascii="Times New Roman" w:hAnsi="Times New Roman" w:cs="Times New Roman"/>
          <w:sz w:val="24"/>
        </w:rPr>
        <w:t xml:space="preserve"> </w:t>
      </w:r>
      <w:r w:rsidR="00EA53E8">
        <w:rPr>
          <w:rFonts w:ascii="Times New Roman" w:hAnsi="Times New Roman" w:cs="Times New Roman"/>
          <w:sz w:val="24"/>
        </w:rPr>
        <w:lastRenderedPageBreak/>
        <w:t>Akhenaten built his very own city almost at the direct mid-point between Thebes and Memphis, the previous capital and administrative capital.</w:t>
      </w:r>
      <w:r w:rsidR="004D6218">
        <w:rPr>
          <w:rFonts w:ascii="Times New Roman" w:hAnsi="Times New Roman" w:cs="Times New Roman"/>
          <w:sz w:val="24"/>
        </w:rPr>
        <w:t xml:space="preserve"> The site of Amarna was chosen due to a number of reasons, of course it had to be beside the Nile as that is the life blood of Egypt, and life could not be sustained far from it. The area also provided a large flat plain on which to build comfortably, with nearby access to the building materials that they required in nearby quarries.</w:t>
      </w:r>
      <w:r w:rsidR="000A291B">
        <w:rPr>
          <w:rFonts w:ascii="Times New Roman" w:hAnsi="Times New Roman" w:cs="Times New Roman"/>
          <w:sz w:val="24"/>
        </w:rPr>
        <w:t xml:space="preserve"> The area in which Amarna was built was also unoccupied and therefore provided a politically neutral land to build on, and as well as this there was also no previous deity that was associated with the area, and therefore this area was not only politically neutral, but also religiously neutral as well.</w:t>
      </w:r>
      <w:r w:rsidR="0046180A">
        <w:rPr>
          <w:rFonts w:ascii="Times New Roman" w:hAnsi="Times New Roman" w:cs="Times New Roman"/>
          <w:sz w:val="24"/>
        </w:rPr>
        <w:t xml:space="preserve"> This is what made it possible for Akhenaten to quickly and easily associate this land and the city that was built on it to be strongly associated with Akhenaten’s new deity, Aten.</w:t>
      </w:r>
    </w:p>
    <w:p w:rsidR="000E26DF" w:rsidRDefault="00965CDF" w:rsidP="00E72EF8">
      <w:pPr>
        <w:rPr>
          <w:rFonts w:ascii="Times New Roman" w:hAnsi="Times New Roman" w:cs="Times New Roman"/>
          <w:sz w:val="24"/>
        </w:rPr>
      </w:pPr>
      <w:r>
        <w:rPr>
          <w:rFonts w:ascii="Times New Roman" w:hAnsi="Times New Roman" w:cs="Times New Roman"/>
          <w:sz w:val="24"/>
        </w:rPr>
        <w:t>It was by Akhenaten’s 8</w:t>
      </w:r>
      <w:r w:rsidRPr="00965CDF">
        <w:rPr>
          <w:rFonts w:ascii="Times New Roman" w:hAnsi="Times New Roman" w:cs="Times New Roman"/>
          <w:sz w:val="24"/>
          <w:vertAlign w:val="superscript"/>
        </w:rPr>
        <w:t>th</w:t>
      </w:r>
      <w:r>
        <w:rPr>
          <w:rFonts w:ascii="Times New Roman" w:hAnsi="Times New Roman" w:cs="Times New Roman"/>
          <w:sz w:val="24"/>
        </w:rPr>
        <w:t xml:space="preserve"> regnal year that his city of Amarna was completed, with the great speed of this ambitious project being largely due to the use of talatat as the building material for the city.</w:t>
      </w:r>
      <w:r w:rsidR="00F700E8">
        <w:rPr>
          <w:rFonts w:ascii="Times New Roman" w:hAnsi="Times New Roman" w:cs="Times New Roman"/>
          <w:sz w:val="24"/>
        </w:rPr>
        <w:t xml:space="preserve"> With the completion of the city of </w:t>
      </w:r>
      <w:r w:rsidR="00893AC9">
        <w:rPr>
          <w:rFonts w:ascii="Times New Roman" w:hAnsi="Times New Roman" w:cs="Times New Roman"/>
          <w:sz w:val="24"/>
        </w:rPr>
        <w:t>Amarna, which was dedicated to the Aten,</w:t>
      </w:r>
      <w:r w:rsidR="00F700E8">
        <w:rPr>
          <w:rFonts w:ascii="Times New Roman" w:hAnsi="Times New Roman" w:cs="Times New Roman"/>
          <w:sz w:val="24"/>
        </w:rPr>
        <w:t xml:space="preserve"> it firmly planted Akhenaten’s new religious ideas and beliefs into place within ancient Egyptian culture, allowing the deity Aten planted in their new religion.</w:t>
      </w:r>
    </w:p>
    <w:p w:rsidR="00652168" w:rsidRDefault="00652168" w:rsidP="00E72EF8">
      <w:pPr>
        <w:rPr>
          <w:rFonts w:ascii="Times New Roman" w:hAnsi="Times New Roman" w:cs="Times New Roman"/>
          <w:sz w:val="24"/>
        </w:rPr>
      </w:pPr>
      <w:r>
        <w:rPr>
          <w:rFonts w:ascii="Times New Roman" w:hAnsi="Times New Roman" w:cs="Times New Roman"/>
          <w:sz w:val="24"/>
        </w:rPr>
        <w:t>One thing that can be seen in the Amarna period but not in any other period in ancient Egyptian culture, is the drastic change that took place within Egyptian art.</w:t>
      </w:r>
      <w:r w:rsidR="00EC7EB9">
        <w:rPr>
          <w:rFonts w:ascii="Times New Roman" w:hAnsi="Times New Roman" w:cs="Times New Roman"/>
          <w:sz w:val="24"/>
        </w:rPr>
        <w:t xml:space="preserve"> Both before and after the Amarna period the classic traditional art style of ancient Egypt was used. This style is one which is not necessarily realistic, but always in proportion in relation to the human body. It is a very simplistic art style that is the most common in ancient Egypt as the Amarna period appears to the only time in ancient Egyptian history in which this art style is not predominately used.</w:t>
      </w:r>
      <w:r w:rsidR="00176ECE">
        <w:rPr>
          <w:rFonts w:ascii="Times New Roman" w:hAnsi="Times New Roman" w:cs="Times New Roman"/>
          <w:sz w:val="24"/>
        </w:rPr>
        <w:t xml:space="preserve"> It was in the Amarna period that the Egyptian art style changed completely into something that was never seen before and was never seen again after this time. The art style that came into the forefront during the Amarna period was naturalistic art, where art would focus more on nature, and are still considered today as being some of the most beautiful art ever created by the ancient Egyptians as it did not follow the rules set out for the traditional art style of ancient Egypt.</w:t>
      </w:r>
      <w:r w:rsidR="007D475A">
        <w:rPr>
          <w:rFonts w:ascii="Times New Roman" w:hAnsi="Times New Roman" w:cs="Times New Roman"/>
          <w:sz w:val="24"/>
        </w:rPr>
        <w:t xml:space="preserve"> This change of art style, unlike most of the changes that occurred during the Amarna period, began to happen under the reign of Amenhotep III, rather than his son Akhenaten. However, this art style changed at a rather slow rate, and by the end of Amenhotep III reign, the art style had not changed that much from the previous traditional art style; it was only when Akhenaten took to the throne that the naturalistic art style began to really flourish and change significantly from traditional art.</w:t>
      </w:r>
    </w:p>
    <w:p w:rsidR="00652E24" w:rsidRDefault="00652E24" w:rsidP="00E72EF8">
      <w:pPr>
        <w:rPr>
          <w:rFonts w:ascii="Times New Roman" w:hAnsi="Times New Roman" w:cs="Times New Roman"/>
          <w:sz w:val="24"/>
        </w:rPr>
      </w:pPr>
      <w:r>
        <w:rPr>
          <w:rFonts w:ascii="Times New Roman" w:hAnsi="Times New Roman" w:cs="Times New Roman"/>
          <w:sz w:val="24"/>
        </w:rPr>
        <w:t>One of the most obvious changes to ancient Egyptian art can be seen in statues. For the majority of ancient Egyptian history statues of pharaohs were always depicted as being in peak physical fitness and possessing a perfect body, however, with the new art style in place, the statues that were built started to become much more realistic and portrayed the pharaoh much more accurately; so rather that the pharaoh possessing a perfect body, Akhenaten was often shown to have wide hips, a bit of a belly, very elongated features, such as his fingers, toes and most noticeably, his face. This art style was very unique as it did away with the pre conceived notions of art, and in doing so got rid of the idea that the world and the pharaoh are perfect, and showed everything in a much more realistic, almost flawed manner.</w:t>
      </w:r>
    </w:p>
    <w:p w:rsidR="009F0CC8" w:rsidRDefault="00C511E4" w:rsidP="00E72EF8">
      <w:pPr>
        <w:rPr>
          <w:rFonts w:ascii="Times New Roman" w:hAnsi="Times New Roman" w:cs="Times New Roman"/>
          <w:sz w:val="24"/>
        </w:rPr>
      </w:pPr>
      <w:r>
        <w:rPr>
          <w:rFonts w:ascii="Times New Roman" w:hAnsi="Times New Roman" w:cs="Times New Roman"/>
          <w:sz w:val="24"/>
        </w:rPr>
        <w:t xml:space="preserve">Towards the very end of the Amarna period, when Horemhab took to the throne, most of the changes that were made to make the Amarna period truly stand out, were binned, and </w:t>
      </w:r>
      <w:r>
        <w:rPr>
          <w:rFonts w:ascii="Times New Roman" w:hAnsi="Times New Roman" w:cs="Times New Roman"/>
          <w:sz w:val="24"/>
        </w:rPr>
        <w:lastRenderedPageBreak/>
        <w:t>Horemhab brought ancient Egypt back to its original belief system, as well as reverting the art style back to the original traditional form. Everything that was achieved during this period were done away with in almost an instant, with even Amarna being all but empty at this time. This is a large reason as to why the Amarna period has drawn so many peoples interest, as it is a period unlike any other in ancient Egyptian civilisation, appearing almost in an instant, and disappearing just as quick.</w:t>
      </w:r>
    </w:p>
    <w:p w:rsidR="009F0CC8" w:rsidRDefault="009F0CC8">
      <w:pPr>
        <w:rPr>
          <w:rFonts w:ascii="Times New Roman" w:hAnsi="Times New Roman" w:cs="Times New Roman"/>
          <w:sz w:val="24"/>
        </w:rPr>
      </w:pPr>
      <w:r>
        <w:rPr>
          <w:rFonts w:ascii="Times New Roman" w:hAnsi="Times New Roman" w:cs="Times New Roman"/>
          <w:sz w:val="24"/>
        </w:rPr>
        <w:br w:type="page"/>
      </w:r>
    </w:p>
    <w:p w:rsidR="00652E24" w:rsidRDefault="009F0CC8" w:rsidP="009F0CC8">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9F0CC8" w:rsidRDefault="009F0CC8" w:rsidP="009F0CC8">
      <w:pPr>
        <w:jc w:val="center"/>
        <w:rPr>
          <w:rFonts w:ascii="Times New Roman" w:hAnsi="Times New Roman" w:cs="Times New Roman"/>
          <w:b/>
          <w:sz w:val="32"/>
          <w:u w:val="single"/>
        </w:rPr>
      </w:pPr>
    </w:p>
    <w:p w:rsidR="009F0CC8" w:rsidRDefault="00B77807" w:rsidP="009F0CC8">
      <w:pPr>
        <w:rPr>
          <w:rFonts w:ascii="Arial" w:hAnsi="Arial" w:cs="Arial"/>
          <w:color w:val="333333"/>
          <w:sz w:val="21"/>
          <w:szCs w:val="21"/>
        </w:rPr>
      </w:pPr>
      <w:proofErr w:type="spellStart"/>
      <w:r>
        <w:rPr>
          <w:rFonts w:ascii="Arial" w:hAnsi="Arial" w:cs="Arial"/>
          <w:color w:val="333333"/>
          <w:sz w:val="21"/>
          <w:szCs w:val="21"/>
        </w:rPr>
        <w:t>Aldred</w:t>
      </w:r>
      <w:proofErr w:type="spellEnd"/>
      <w:r>
        <w:rPr>
          <w:rFonts w:ascii="Arial" w:hAnsi="Arial" w:cs="Arial"/>
          <w:color w:val="333333"/>
          <w:sz w:val="21"/>
          <w:szCs w:val="21"/>
        </w:rPr>
        <w:t>, Cyril. “The Beginning of the El-'</w:t>
      </w:r>
      <w:proofErr w:type="spellStart"/>
      <w:r>
        <w:rPr>
          <w:rFonts w:ascii="Arial" w:hAnsi="Arial" w:cs="Arial"/>
          <w:color w:val="333333"/>
          <w:sz w:val="21"/>
          <w:szCs w:val="21"/>
        </w:rPr>
        <w:t>Amārna</w:t>
      </w:r>
      <w:proofErr w:type="spellEnd"/>
      <w:r>
        <w:rPr>
          <w:rFonts w:ascii="Arial" w:hAnsi="Arial" w:cs="Arial"/>
          <w:color w:val="333333"/>
          <w:sz w:val="21"/>
          <w:szCs w:val="21"/>
        </w:rPr>
        <w:t xml:space="preserve"> Period.” </w:t>
      </w:r>
      <w:r>
        <w:rPr>
          <w:rFonts w:ascii="&amp;quot" w:hAnsi="&amp;quot"/>
          <w:i/>
          <w:iCs/>
          <w:color w:val="333333"/>
          <w:sz w:val="21"/>
          <w:szCs w:val="21"/>
        </w:rPr>
        <w:t>The Journal of Egyptian Archaeology</w:t>
      </w:r>
      <w:r>
        <w:rPr>
          <w:rFonts w:ascii="Arial" w:hAnsi="Arial" w:cs="Arial"/>
          <w:color w:val="333333"/>
          <w:sz w:val="21"/>
          <w:szCs w:val="21"/>
        </w:rPr>
        <w:t xml:space="preserve">, vol. 45, 1959, pp. 19–33. </w:t>
      </w:r>
      <w:r>
        <w:rPr>
          <w:rFonts w:ascii="&amp;quot" w:hAnsi="&amp;quot"/>
          <w:i/>
          <w:iCs/>
          <w:color w:val="333333"/>
          <w:sz w:val="21"/>
          <w:szCs w:val="21"/>
        </w:rPr>
        <w:t>JSTOR</w:t>
      </w:r>
      <w:r>
        <w:rPr>
          <w:rFonts w:ascii="Arial" w:hAnsi="Arial" w:cs="Arial"/>
          <w:color w:val="333333"/>
          <w:sz w:val="21"/>
          <w:szCs w:val="21"/>
        </w:rPr>
        <w:t xml:space="preserve">, </w:t>
      </w:r>
      <w:hyperlink r:id="rId4" w:history="1">
        <w:r w:rsidRPr="0026792D">
          <w:rPr>
            <w:rStyle w:val="Hyperlink"/>
            <w:rFonts w:ascii="Arial" w:hAnsi="Arial" w:cs="Arial"/>
            <w:sz w:val="21"/>
            <w:szCs w:val="21"/>
          </w:rPr>
          <w:t>www.jstor.org/stable/3855459</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proofErr w:type="spellStart"/>
      <w:r>
        <w:rPr>
          <w:rFonts w:ascii="Arial" w:hAnsi="Arial" w:cs="Arial"/>
          <w:color w:val="333333"/>
          <w:sz w:val="21"/>
          <w:szCs w:val="21"/>
        </w:rPr>
        <w:t>Aldred</w:t>
      </w:r>
      <w:proofErr w:type="spellEnd"/>
      <w:r>
        <w:rPr>
          <w:rFonts w:ascii="Arial" w:hAnsi="Arial" w:cs="Arial"/>
          <w:color w:val="333333"/>
          <w:sz w:val="21"/>
          <w:szCs w:val="21"/>
        </w:rPr>
        <w:t>, Cyril. “The End of the El-'</w:t>
      </w:r>
      <w:proofErr w:type="spellStart"/>
      <w:r>
        <w:rPr>
          <w:rFonts w:ascii="Arial" w:hAnsi="Arial" w:cs="Arial"/>
          <w:color w:val="333333"/>
          <w:sz w:val="21"/>
          <w:szCs w:val="21"/>
        </w:rPr>
        <w:t>Amārna</w:t>
      </w:r>
      <w:proofErr w:type="spellEnd"/>
      <w:r>
        <w:rPr>
          <w:rFonts w:ascii="Arial" w:hAnsi="Arial" w:cs="Arial"/>
          <w:color w:val="333333"/>
          <w:sz w:val="21"/>
          <w:szCs w:val="21"/>
        </w:rPr>
        <w:t xml:space="preserve"> Period.” </w:t>
      </w:r>
      <w:r>
        <w:rPr>
          <w:rFonts w:ascii="&amp;quot" w:hAnsi="&amp;quot"/>
          <w:i/>
          <w:iCs/>
          <w:color w:val="333333"/>
          <w:sz w:val="21"/>
          <w:szCs w:val="21"/>
        </w:rPr>
        <w:t>The Journal of Egyptian Archaeology</w:t>
      </w:r>
      <w:r>
        <w:rPr>
          <w:rFonts w:ascii="Arial" w:hAnsi="Arial" w:cs="Arial"/>
          <w:color w:val="333333"/>
          <w:sz w:val="21"/>
          <w:szCs w:val="21"/>
        </w:rPr>
        <w:t xml:space="preserve">, vol. 43, 1957, pp. 30–41. </w:t>
      </w:r>
      <w:r>
        <w:rPr>
          <w:rFonts w:ascii="&amp;quot" w:hAnsi="&amp;quot"/>
          <w:i/>
          <w:iCs/>
          <w:color w:val="333333"/>
          <w:sz w:val="21"/>
          <w:szCs w:val="21"/>
        </w:rPr>
        <w:t>JSTOR</w:t>
      </w:r>
      <w:r>
        <w:rPr>
          <w:rFonts w:ascii="Arial" w:hAnsi="Arial" w:cs="Arial"/>
          <w:color w:val="333333"/>
          <w:sz w:val="21"/>
          <w:szCs w:val="21"/>
        </w:rPr>
        <w:t xml:space="preserve">, </w:t>
      </w:r>
      <w:hyperlink r:id="rId5" w:history="1">
        <w:r w:rsidRPr="0026792D">
          <w:rPr>
            <w:rStyle w:val="Hyperlink"/>
            <w:rFonts w:ascii="Arial" w:hAnsi="Arial" w:cs="Arial"/>
            <w:sz w:val="21"/>
            <w:szCs w:val="21"/>
          </w:rPr>
          <w:t>www.jstor.org/stable/3855276</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Brand, Peter. “Secondary Restorations in the Post-Amarna Period.” </w:t>
      </w:r>
      <w:r>
        <w:rPr>
          <w:rFonts w:ascii="&amp;quot" w:hAnsi="&amp;quot"/>
          <w:i/>
          <w:iCs/>
          <w:color w:val="333333"/>
          <w:sz w:val="21"/>
          <w:szCs w:val="21"/>
        </w:rPr>
        <w:t xml:space="preserve">Journal of the American Research </w:t>
      </w:r>
      <w:proofErr w:type="spellStart"/>
      <w:r>
        <w:rPr>
          <w:rFonts w:ascii="&amp;quot" w:hAnsi="&amp;quot"/>
          <w:i/>
          <w:iCs/>
          <w:color w:val="333333"/>
          <w:sz w:val="21"/>
          <w:szCs w:val="21"/>
        </w:rPr>
        <w:t>Center</w:t>
      </w:r>
      <w:proofErr w:type="spellEnd"/>
      <w:r>
        <w:rPr>
          <w:rFonts w:ascii="&amp;quot" w:hAnsi="&amp;quot"/>
          <w:i/>
          <w:iCs/>
          <w:color w:val="333333"/>
          <w:sz w:val="21"/>
          <w:szCs w:val="21"/>
        </w:rPr>
        <w:t xml:space="preserve"> in Egypt</w:t>
      </w:r>
      <w:r>
        <w:rPr>
          <w:rFonts w:ascii="Arial" w:hAnsi="Arial" w:cs="Arial"/>
          <w:color w:val="333333"/>
          <w:sz w:val="21"/>
          <w:szCs w:val="21"/>
        </w:rPr>
        <w:t xml:space="preserve">, vol. 36, 1999, pp. 113–134. </w:t>
      </w:r>
      <w:r>
        <w:rPr>
          <w:rFonts w:ascii="&amp;quot" w:hAnsi="&amp;quot"/>
          <w:i/>
          <w:iCs/>
          <w:color w:val="333333"/>
          <w:sz w:val="21"/>
          <w:szCs w:val="21"/>
        </w:rPr>
        <w:t>JSTOR</w:t>
      </w:r>
      <w:r>
        <w:rPr>
          <w:rFonts w:ascii="Arial" w:hAnsi="Arial" w:cs="Arial"/>
          <w:color w:val="333333"/>
          <w:sz w:val="21"/>
          <w:szCs w:val="21"/>
        </w:rPr>
        <w:t xml:space="preserve">, </w:t>
      </w:r>
      <w:hyperlink r:id="rId6" w:history="1">
        <w:r w:rsidRPr="0026792D">
          <w:rPr>
            <w:rStyle w:val="Hyperlink"/>
            <w:rFonts w:ascii="Arial" w:hAnsi="Arial" w:cs="Arial"/>
            <w:sz w:val="21"/>
            <w:szCs w:val="21"/>
          </w:rPr>
          <w:t>www.jstor.org/stable/40000206</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Burridge, Alwyn. “Did Akhenaten Suffer from </w:t>
      </w:r>
      <w:proofErr w:type="spellStart"/>
      <w:r>
        <w:rPr>
          <w:rFonts w:ascii="Arial" w:hAnsi="Arial" w:cs="Arial"/>
          <w:color w:val="333333"/>
          <w:sz w:val="21"/>
          <w:szCs w:val="21"/>
        </w:rPr>
        <w:t>Marfan's</w:t>
      </w:r>
      <w:proofErr w:type="spellEnd"/>
      <w:r>
        <w:rPr>
          <w:rFonts w:ascii="Arial" w:hAnsi="Arial" w:cs="Arial"/>
          <w:color w:val="333333"/>
          <w:sz w:val="21"/>
          <w:szCs w:val="21"/>
        </w:rPr>
        <w:t xml:space="preserve"> Syndrome?” </w:t>
      </w:r>
      <w:r>
        <w:rPr>
          <w:rFonts w:ascii="&amp;quot" w:hAnsi="&amp;quot"/>
          <w:i/>
          <w:iCs/>
          <w:color w:val="333333"/>
          <w:sz w:val="21"/>
          <w:szCs w:val="21"/>
        </w:rPr>
        <w:t>The Biblical Archaeologist</w:t>
      </w:r>
      <w:r>
        <w:rPr>
          <w:rFonts w:ascii="Arial" w:hAnsi="Arial" w:cs="Arial"/>
          <w:color w:val="333333"/>
          <w:sz w:val="21"/>
          <w:szCs w:val="21"/>
        </w:rPr>
        <w:t xml:space="preserve">, vol. 59, no. 2, 1996, pp. 127–128. </w:t>
      </w:r>
      <w:r>
        <w:rPr>
          <w:rFonts w:ascii="&amp;quot" w:hAnsi="&amp;quot"/>
          <w:i/>
          <w:iCs/>
          <w:color w:val="333333"/>
          <w:sz w:val="21"/>
          <w:szCs w:val="21"/>
        </w:rPr>
        <w:t>JSTOR</w:t>
      </w:r>
      <w:r>
        <w:rPr>
          <w:rFonts w:ascii="Arial" w:hAnsi="Arial" w:cs="Arial"/>
          <w:color w:val="333333"/>
          <w:sz w:val="21"/>
          <w:szCs w:val="21"/>
        </w:rPr>
        <w:t xml:space="preserve">, </w:t>
      </w:r>
      <w:hyperlink r:id="rId7" w:history="1">
        <w:r w:rsidRPr="0026792D">
          <w:rPr>
            <w:rStyle w:val="Hyperlink"/>
            <w:rFonts w:ascii="Arial" w:hAnsi="Arial" w:cs="Arial"/>
            <w:sz w:val="21"/>
            <w:szCs w:val="21"/>
          </w:rPr>
          <w:t>www.jstor.org/stable/3210517</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Campbell, Edward F. “The Amarna Letters and the Amarna Period.” </w:t>
      </w:r>
      <w:r>
        <w:rPr>
          <w:rFonts w:ascii="&amp;quot" w:hAnsi="&amp;quot"/>
          <w:i/>
          <w:iCs/>
          <w:color w:val="333333"/>
          <w:sz w:val="21"/>
          <w:szCs w:val="21"/>
        </w:rPr>
        <w:t>The Biblical Archaeologist</w:t>
      </w:r>
      <w:r>
        <w:rPr>
          <w:rFonts w:ascii="Arial" w:hAnsi="Arial" w:cs="Arial"/>
          <w:color w:val="333333"/>
          <w:sz w:val="21"/>
          <w:szCs w:val="21"/>
        </w:rPr>
        <w:t xml:space="preserve">, vol. 23, no. 1, 1960, pp. 2–22. </w:t>
      </w:r>
      <w:r>
        <w:rPr>
          <w:rFonts w:ascii="&amp;quot" w:hAnsi="&amp;quot"/>
          <w:i/>
          <w:iCs/>
          <w:color w:val="333333"/>
          <w:sz w:val="21"/>
          <w:szCs w:val="21"/>
        </w:rPr>
        <w:t>JSTOR</w:t>
      </w:r>
      <w:r>
        <w:rPr>
          <w:rFonts w:ascii="Arial" w:hAnsi="Arial" w:cs="Arial"/>
          <w:color w:val="333333"/>
          <w:sz w:val="21"/>
          <w:szCs w:val="21"/>
        </w:rPr>
        <w:t xml:space="preserve">, </w:t>
      </w:r>
      <w:hyperlink r:id="rId8" w:history="1">
        <w:r w:rsidRPr="0026792D">
          <w:rPr>
            <w:rStyle w:val="Hyperlink"/>
            <w:rFonts w:ascii="Arial" w:hAnsi="Arial" w:cs="Arial"/>
            <w:sz w:val="21"/>
            <w:szCs w:val="21"/>
          </w:rPr>
          <w:t>www.jstor.org/stable/3209193</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Christie, Jessica Joyce. “Akhenaten’s Amarna in New Kingdom Egypt: Relations of Landscape and Ideology.” </w:t>
      </w:r>
      <w:r>
        <w:rPr>
          <w:rFonts w:ascii="&amp;quot" w:hAnsi="&amp;quot"/>
          <w:i/>
          <w:iCs/>
          <w:color w:val="333333"/>
          <w:sz w:val="21"/>
          <w:szCs w:val="21"/>
        </w:rPr>
        <w:t>Political Landscapes of Capital Cities</w:t>
      </w:r>
      <w:r>
        <w:rPr>
          <w:rFonts w:ascii="Arial" w:hAnsi="Arial" w:cs="Arial"/>
          <w:color w:val="333333"/>
          <w:sz w:val="21"/>
          <w:szCs w:val="21"/>
        </w:rPr>
        <w:t xml:space="preserve">, edited by Jessica Joyce Christie et al., University Press of Colorado, Boulder, Colorado, 2016, pp. 25–64. </w:t>
      </w:r>
      <w:r>
        <w:rPr>
          <w:rFonts w:ascii="&amp;quot" w:hAnsi="&amp;quot"/>
          <w:i/>
          <w:iCs/>
          <w:color w:val="333333"/>
          <w:sz w:val="21"/>
          <w:szCs w:val="21"/>
        </w:rPr>
        <w:t>JSTOR</w:t>
      </w:r>
      <w:r>
        <w:rPr>
          <w:rFonts w:ascii="Arial" w:hAnsi="Arial" w:cs="Arial"/>
          <w:color w:val="333333"/>
          <w:sz w:val="21"/>
          <w:szCs w:val="21"/>
        </w:rPr>
        <w:t xml:space="preserve">, </w:t>
      </w:r>
      <w:hyperlink r:id="rId9" w:history="1">
        <w:r w:rsidRPr="0026792D">
          <w:rPr>
            <w:rStyle w:val="Hyperlink"/>
            <w:rFonts w:ascii="Arial" w:hAnsi="Arial" w:cs="Arial"/>
            <w:sz w:val="21"/>
            <w:szCs w:val="21"/>
          </w:rPr>
          <w:t>www.jstor.org/stable/j.ctt1dfnt2b.7</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Friedman, Florence. “</w:t>
      </w:r>
      <w:proofErr w:type="spellStart"/>
      <w:r>
        <w:rPr>
          <w:rFonts w:ascii="Arial" w:hAnsi="Arial" w:cs="Arial"/>
          <w:color w:val="333333"/>
          <w:sz w:val="21"/>
          <w:szCs w:val="21"/>
        </w:rPr>
        <w:t>Ȝḫ</w:t>
      </w:r>
      <w:proofErr w:type="spellEnd"/>
      <w:r>
        <w:rPr>
          <w:rFonts w:ascii="Arial" w:hAnsi="Arial" w:cs="Arial"/>
          <w:color w:val="333333"/>
          <w:sz w:val="21"/>
          <w:szCs w:val="21"/>
        </w:rPr>
        <w:t xml:space="preserve"> in the Amarna Period.” </w:t>
      </w:r>
      <w:r>
        <w:rPr>
          <w:rFonts w:ascii="&amp;quot" w:hAnsi="&amp;quot"/>
          <w:i/>
          <w:iCs/>
          <w:color w:val="333333"/>
          <w:sz w:val="21"/>
          <w:szCs w:val="21"/>
        </w:rPr>
        <w:t xml:space="preserve">Journal of the American Research </w:t>
      </w:r>
      <w:proofErr w:type="spellStart"/>
      <w:r>
        <w:rPr>
          <w:rFonts w:ascii="&amp;quot" w:hAnsi="&amp;quot"/>
          <w:i/>
          <w:iCs/>
          <w:color w:val="333333"/>
          <w:sz w:val="21"/>
          <w:szCs w:val="21"/>
        </w:rPr>
        <w:t>Center</w:t>
      </w:r>
      <w:proofErr w:type="spellEnd"/>
      <w:r>
        <w:rPr>
          <w:rFonts w:ascii="&amp;quot" w:hAnsi="&amp;quot"/>
          <w:i/>
          <w:iCs/>
          <w:color w:val="333333"/>
          <w:sz w:val="21"/>
          <w:szCs w:val="21"/>
        </w:rPr>
        <w:t xml:space="preserve"> in Egypt</w:t>
      </w:r>
      <w:r>
        <w:rPr>
          <w:rFonts w:ascii="Arial" w:hAnsi="Arial" w:cs="Arial"/>
          <w:color w:val="333333"/>
          <w:sz w:val="21"/>
          <w:szCs w:val="21"/>
        </w:rPr>
        <w:t xml:space="preserve">, vol. 23, 1986, pp. 99–106. </w:t>
      </w:r>
      <w:r>
        <w:rPr>
          <w:rFonts w:ascii="&amp;quot" w:hAnsi="&amp;quot"/>
          <w:i/>
          <w:iCs/>
          <w:color w:val="333333"/>
          <w:sz w:val="21"/>
          <w:szCs w:val="21"/>
        </w:rPr>
        <w:t>JSTOR</w:t>
      </w:r>
      <w:r>
        <w:rPr>
          <w:rFonts w:ascii="Arial" w:hAnsi="Arial" w:cs="Arial"/>
          <w:color w:val="333333"/>
          <w:sz w:val="21"/>
          <w:szCs w:val="21"/>
        </w:rPr>
        <w:t xml:space="preserve">, </w:t>
      </w:r>
      <w:hyperlink r:id="rId10" w:history="1">
        <w:r w:rsidRPr="0026792D">
          <w:rPr>
            <w:rStyle w:val="Hyperlink"/>
            <w:rFonts w:ascii="Arial" w:hAnsi="Arial" w:cs="Arial"/>
            <w:sz w:val="21"/>
            <w:szCs w:val="21"/>
          </w:rPr>
          <w:t>www.jstor.org/stable/40001092</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Friedman, Florence. “</w:t>
      </w:r>
      <w:proofErr w:type="spellStart"/>
      <w:r>
        <w:rPr>
          <w:rFonts w:ascii="Arial" w:hAnsi="Arial" w:cs="Arial"/>
          <w:color w:val="333333"/>
          <w:sz w:val="21"/>
          <w:szCs w:val="21"/>
        </w:rPr>
        <w:t>Ȝḫ</w:t>
      </w:r>
      <w:proofErr w:type="spellEnd"/>
      <w:r>
        <w:rPr>
          <w:rFonts w:ascii="Arial" w:hAnsi="Arial" w:cs="Arial"/>
          <w:color w:val="333333"/>
          <w:sz w:val="21"/>
          <w:szCs w:val="21"/>
        </w:rPr>
        <w:t xml:space="preserve"> in the Amarna Period.” </w:t>
      </w:r>
      <w:r>
        <w:rPr>
          <w:rFonts w:ascii="&amp;quot" w:hAnsi="&amp;quot"/>
          <w:i/>
          <w:iCs/>
          <w:color w:val="333333"/>
          <w:sz w:val="21"/>
          <w:szCs w:val="21"/>
        </w:rPr>
        <w:t xml:space="preserve">Journal of the American Research </w:t>
      </w:r>
      <w:proofErr w:type="spellStart"/>
      <w:r>
        <w:rPr>
          <w:rFonts w:ascii="&amp;quot" w:hAnsi="&amp;quot"/>
          <w:i/>
          <w:iCs/>
          <w:color w:val="333333"/>
          <w:sz w:val="21"/>
          <w:szCs w:val="21"/>
        </w:rPr>
        <w:t>Center</w:t>
      </w:r>
      <w:proofErr w:type="spellEnd"/>
      <w:r>
        <w:rPr>
          <w:rFonts w:ascii="&amp;quot" w:hAnsi="&amp;quot"/>
          <w:i/>
          <w:iCs/>
          <w:color w:val="333333"/>
          <w:sz w:val="21"/>
          <w:szCs w:val="21"/>
        </w:rPr>
        <w:t xml:space="preserve"> in Egypt</w:t>
      </w:r>
      <w:r>
        <w:rPr>
          <w:rFonts w:ascii="Arial" w:hAnsi="Arial" w:cs="Arial"/>
          <w:color w:val="333333"/>
          <w:sz w:val="21"/>
          <w:szCs w:val="21"/>
        </w:rPr>
        <w:t xml:space="preserve">, vol. 23, 1986, pp. 99–106. </w:t>
      </w:r>
      <w:r>
        <w:rPr>
          <w:rFonts w:ascii="&amp;quot" w:hAnsi="&amp;quot"/>
          <w:i/>
          <w:iCs/>
          <w:color w:val="333333"/>
          <w:sz w:val="21"/>
          <w:szCs w:val="21"/>
        </w:rPr>
        <w:t>JSTOR</w:t>
      </w:r>
      <w:r>
        <w:rPr>
          <w:rFonts w:ascii="Arial" w:hAnsi="Arial" w:cs="Arial"/>
          <w:color w:val="333333"/>
          <w:sz w:val="21"/>
          <w:szCs w:val="21"/>
        </w:rPr>
        <w:t xml:space="preserve">, </w:t>
      </w:r>
      <w:hyperlink r:id="rId11" w:history="1">
        <w:r w:rsidRPr="0026792D">
          <w:rPr>
            <w:rStyle w:val="Hyperlink"/>
            <w:rFonts w:ascii="Arial" w:hAnsi="Arial" w:cs="Arial"/>
            <w:sz w:val="21"/>
            <w:szCs w:val="21"/>
          </w:rPr>
          <w:t>www.jstor.org/stable/40001092</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proofErr w:type="spellStart"/>
      <w:r>
        <w:rPr>
          <w:rFonts w:ascii="Arial" w:hAnsi="Arial" w:cs="Arial"/>
          <w:color w:val="333333"/>
          <w:sz w:val="21"/>
          <w:szCs w:val="21"/>
        </w:rPr>
        <w:t>Goldwasser</w:t>
      </w:r>
      <w:proofErr w:type="spellEnd"/>
      <w:r>
        <w:rPr>
          <w:rFonts w:ascii="Arial" w:hAnsi="Arial" w:cs="Arial"/>
          <w:color w:val="333333"/>
          <w:sz w:val="21"/>
          <w:szCs w:val="21"/>
        </w:rPr>
        <w:t xml:space="preserve">, </w:t>
      </w:r>
      <w:proofErr w:type="spellStart"/>
      <w:r>
        <w:rPr>
          <w:rFonts w:ascii="Arial" w:hAnsi="Arial" w:cs="Arial"/>
          <w:color w:val="333333"/>
          <w:sz w:val="21"/>
          <w:szCs w:val="21"/>
        </w:rPr>
        <w:t>Orly</w:t>
      </w:r>
      <w:proofErr w:type="spellEnd"/>
      <w:r>
        <w:rPr>
          <w:rFonts w:ascii="Arial" w:hAnsi="Arial" w:cs="Arial"/>
          <w:color w:val="333333"/>
          <w:sz w:val="21"/>
          <w:szCs w:val="21"/>
        </w:rPr>
        <w:t xml:space="preserve">. “The Aten Is the ‘Energy of Light’: New Evidence from the Script.” </w:t>
      </w:r>
      <w:r>
        <w:rPr>
          <w:rFonts w:ascii="&amp;quot" w:hAnsi="&amp;quot"/>
          <w:i/>
          <w:iCs/>
          <w:color w:val="333333"/>
          <w:sz w:val="21"/>
          <w:szCs w:val="21"/>
        </w:rPr>
        <w:t xml:space="preserve">Journal of the American Research </w:t>
      </w:r>
      <w:proofErr w:type="spellStart"/>
      <w:r>
        <w:rPr>
          <w:rFonts w:ascii="&amp;quot" w:hAnsi="&amp;quot"/>
          <w:i/>
          <w:iCs/>
          <w:color w:val="333333"/>
          <w:sz w:val="21"/>
          <w:szCs w:val="21"/>
        </w:rPr>
        <w:t>Center</w:t>
      </w:r>
      <w:proofErr w:type="spellEnd"/>
      <w:r>
        <w:rPr>
          <w:rFonts w:ascii="&amp;quot" w:hAnsi="&amp;quot"/>
          <w:i/>
          <w:iCs/>
          <w:color w:val="333333"/>
          <w:sz w:val="21"/>
          <w:szCs w:val="21"/>
        </w:rPr>
        <w:t xml:space="preserve"> in Egypt</w:t>
      </w:r>
      <w:r>
        <w:rPr>
          <w:rFonts w:ascii="Arial" w:hAnsi="Arial" w:cs="Arial"/>
          <w:color w:val="333333"/>
          <w:sz w:val="21"/>
          <w:szCs w:val="21"/>
        </w:rPr>
        <w:t xml:space="preserve">, vol. 46, 2010, pp. 159–165. </w:t>
      </w:r>
      <w:r>
        <w:rPr>
          <w:rFonts w:ascii="&amp;quot" w:hAnsi="&amp;quot"/>
          <w:i/>
          <w:iCs/>
          <w:color w:val="333333"/>
          <w:sz w:val="21"/>
          <w:szCs w:val="21"/>
        </w:rPr>
        <w:t>JSTOR</w:t>
      </w:r>
      <w:r>
        <w:rPr>
          <w:rFonts w:ascii="Arial" w:hAnsi="Arial" w:cs="Arial"/>
          <w:color w:val="333333"/>
          <w:sz w:val="21"/>
          <w:szCs w:val="21"/>
        </w:rPr>
        <w:t xml:space="preserve">, </w:t>
      </w:r>
      <w:hyperlink r:id="rId12" w:history="1">
        <w:r w:rsidRPr="0026792D">
          <w:rPr>
            <w:rStyle w:val="Hyperlink"/>
            <w:rFonts w:ascii="Arial" w:hAnsi="Arial" w:cs="Arial"/>
            <w:sz w:val="21"/>
            <w:szCs w:val="21"/>
          </w:rPr>
          <w:t>www.jstor.org/stable/41431576</w:t>
        </w:r>
      </w:hyperlink>
      <w:r>
        <w:rPr>
          <w:rFonts w:ascii="Arial" w:hAnsi="Arial" w:cs="Arial"/>
          <w:color w:val="333333"/>
          <w:sz w:val="21"/>
          <w:szCs w:val="21"/>
        </w:rPr>
        <w:t>.</w:t>
      </w:r>
    </w:p>
    <w:p w:rsidR="00B77807" w:rsidRDefault="00AA7BE8" w:rsidP="009F0CC8">
      <w:pPr>
        <w:rPr>
          <w:rFonts w:ascii="Arial" w:hAnsi="Arial" w:cs="Arial"/>
          <w:color w:val="333333"/>
          <w:sz w:val="21"/>
          <w:szCs w:val="21"/>
        </w:rPr>
      </w:pPr>
      <w:r>
        <w:rPr>
          <w:rFonts w:ascii="Arial" w:hAnsi="Arial" w:cs="Arial"/>
          <w:color w:val="333333"/>
          <w:sz w:val="21"/>
          <w:szCs w:val="21"/>
        </w:rPr>
        <w:t xml:space="preserve">HOFFMEIER, JAMES K., and JACOBUS VAN DIJK. “NEW LIGHT ON THE AMARNA PERIOD FROM NORTH SINAI.” </w:t>
      </w:r>
      <w:r>
        <w:rPr>
          <w:rFonts w:ascii="&amp;quot" w:hAnsi="&amp;quot"/>
          <w:i/>
          <w:iCs/>
          <w:color w:val="333333"/>
          <w:sz w:val="21"/>
          <w:szCs w:val="21"/>
        </w:rPr>
        <w:t>The Journal of Egyptian Archaeology</w:t>
      </w:r>
      <w:r>
        <w:rPr>
          <w:rFonts w:ascii="Arial" w:hAnsi="Arial" w:cs="Arial"/>
          <w:color w:val="333333"/>
          <w:sz w:val="21"/>
          <w:szCs w:val="21"/>
        </w:rPr>
        <w:t xml:space="preserve">, vol. 96, 2010, pp. 191–205. </w:t>
      </w:r>
      <w:r>
        <w:rPr>
          <w:rFonts w:ascii="&amp;quot" w:hAnsi="&amp;quot"/>
          <w:i/>
          <w:iCs/>
          <w:color w:val="333333"/>
          <w:sz w:val="21"/>
          <w:szCs w:val="21"/>
        </w:rPr>
        <w:t>JSTOR</w:t>
      </w:r>
      <w:r>
        <w:rPr>
          <w:rFonts w:ascii="Arial" w:hAnsi="Arial" w:cs="Arial"/>
          <w:color w:val="333333"/>
          <w:sz w:val="21"/>
          <w:szCs w:val="21"/>
        </w:rPr>
        <w:t xml:space="preserve">, </w:t>
      </w:r>
      <w:hyperlink r:id="rId13" w:history="1">
        <w:r w:rsidRPr="0026792D">
          <w:rPr>
            <w:rStyle w:val="Hyperlink"/>
            <w:rFonts w:ascii="Arial" w:hAnsi="Arial" w:cs="Arial"/>
            <w:sz w:val="21"/>
            <w:szCs w:val="21"/>
          </w:rPr>
          <w:t>www.jstor.org/stable/23269764</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Kemp, Barry, and Albert Zink. “Life in Ancient Egypt </w:t>
      </w:r>
      <w:proofErr w:type="spellStart"/>
      <w:r>
        <w:rPr>
          <w:rFonts w:ascii="Arial" w:hAnsi="Arial" w:cs="Arial"/>
          <w:color w:val="333333"/>
          <w:sz w:val="21"/>
          <w:szCs w:val="21"/>
        </w:rPr>
        <w:t>Akhentanen</w:t>
      </w:r>
      <w:proofErr w:type="spellEnd"/>
      <w:r>
        <w:rPr>
          <w:rFonts w:ascii="Arial" w:hAnsi="Arial" w:cs="Arial"/>
          <w:color w:val="333333"/>
          <w:sz w:val="21"/>
          <w:szCs w:val="21"/>
        </w:rPr>
        <w:t xml:space="preserve">, the Amarna Period, and Tutankhamun.” </w:t>
      </w:r>
      <w:r>
        <w:rPr>
          <w:rFonts w:ascii="&amp;quot" w:hAnsi="&amp;quot"/>
          <w:i/>
          <w:iCs/>
          <w:color w:val="333333"/>
          <w:sz w:val="21"/>
          <w:szCs w:val="21"/>
        </w:rPr>
        <w:t>RCC Perspectives</w:t>
      </w:r>
      <w:r>
        <w:rPr>
          <w:rFonts w:ascii="Arial" w:hAnsi="Arial" w:cs="Arial"/>
          <w:color w:val="333333"/>
          <w:sz w:val="21"/>
          <w:szCs w:val="21"/>
        </w:rPr>
        <w:t xml:space="preserve">, no. 3, 2012, pp. 9–24. </w:t>
      </w:r>
      <w:r>
        <w:rPr>
          <w:rFonts w:ascii="&amp;quot" w:hAnsi="&amp;quot"/>
          <w:i/>
          <w:iCs/>
          <w:color w:val="333333"/>
          <w:sz w:val="21"/>
          <w:szCs w:val="21"/>
        </w:rPr>
        <w:t>JSTOR</w:t>
      </w:r>
      <w:r>
        <w:rPr>
          <w:rFonts w:ascii="Arial" w:hAnsi="Arial" w:cs="Arial"/>
          <w:color w:val="333333"/>
          <w:sz w:val="21"/>
          <w:szCs w:val="21"/>
        </w:rPr>
        <w:t xml:space="preserve">, </w:t>
      </w:r>
      <w:hyperlink r:id="rId14" w:history="1">
        <w:r w:rsidRPr="0026792D">
          <w:rPr>
            <w:rStyle w:val="Hyperlink"/>
            <w:rFonts w:ascii="Arial" w:hAnsi="Arial" w:cs="Arial"/>
            <w:sz w:val="21"/>
            <w:szCs w:val="21"/>
          </w:rPr>
          <w:t>www.jstor.org/stable/26240370</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KEMP, BARRY. “TELL EL-AMARNA, 2014.” </w:t>
      </w:r>
      <w:r>
        <w:rPr>
          <w:rFonts w:ascii="&amp;quot" w:hAnsi="&amp;quot"/>
          <w:i/>
          <w:iCs/>
          <w:color w:val="333333"/>
          <w:sz w:val="21"/>
          <w:szCs w:val="21"/>
        </w:rPr>
        <w:t>The Journal of Egyptian Archaeology</w:t>
      </w:r>
      <w:r>
        <w:rPr>
          <w:rFonts w:ascii="Arial" w:hAnsi="Arial" w:cs="Arial"/>
          <w:color w:val="333333"/>
          <w:sz w:val="21"/>
          <w:szCs w:val="21"/>
        </w:rPr>
        <w:t xml:space="preserve">, vol. 100, 2014, pp. 1–33., </w:t>
      </w:r>
      <w:hyperlink r:id="rId15" w:history="1">
        <w:r w:rsidRPr="0026792D">
          <w:rPr>
            <w:rStyle w:val="Hyperlink"/>
            <w:rFonts w:ascii="Arial" w:hAnsi="Arial" w:cs="Arial"/>
            <w:sz w:val="21"/>
            <w:szCs w:val="21"/>
          </w:rPr>
          <w:t>www.jstor.org/stable/24644961</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bookmarkStart w:id="0" w:name="_GoBack"/>
      <w:bookmarkEnd w:id="0"/>
      <w:r>
        <w:rPr>
          <w:rFonts w:ascii="Arial" w:hAnsi="Arial" w:cs="Arial"/>
          <w:color w:val="333333"/>
          <w:sz w:val="21"/>
          <w:szCs w:val="21"/>
        </w:rPr>
        <w:t xml:space="preserve">Redford, Donald B. “Studies on Akhenaten at Thebes, II : A Report on the Work of the Akhenaten Temple Project of the University Museum, The University of Pennsylvania, for the Year 1973-4.” </w:t>
      </w:r>
      <w:r>
        <w:rPr>
          <w:rFonts w:ascii="&amp;quot" w:hAnsi="&amp;quot"/>
          <w:i/>
          <w:iCs/>
          <w:color w:val="333333"/>
          <w:sz w:val="21"/>
          <w:szCs w:val="21"/>
        </w:rPr>
        <w:t xml:space="preserve">Journal of the American Research </w:t>
      </w:r>
      <w:proofErr w:type="spellStart"/>
      <w:r>
        <w:rPr>
          <w:rFonts w:ascii="&amp;quot" w:hAnsi="&amp;quot"/>
          <w:i/>
          <w:iCs/>
          <w:color w:val="333333"/>
          <w:sz w:val="21"/>
          <w:szCs w:val="21"/>
        </w:rPr>
        <w:t>Center</w:t>
      </w:r>
      <w:proofErr w:type="spellEnd"/>
      <w:r>
        <w:rPr>
          <w:rFonts w:ascii="&amp;quot" w:hAnsi="&amp;quot"/>
          <w:i/>
          <w:iCs/>
          <w:color w:val="333333"/>
          <w:sz w:val="21"/>
          <w:szCs w:val="21"/>
        </w:rPr>
        <w:t xml:space="preserve"> in Egypt</w:t>
      </w:r>
      <w:r>
        <w:rPr>
          <w:rFonts w:ascii="Arial" w:hAnsi="Arial" w:cs="Arial"/>
          <w:color w:val="333333"/>
          <w:sz w:val="21"/>
          <w:szCs w:val="21"/>
        </w:rPr>
        <w:t xml:space="preserve">, vol. 12, 1975, pp. 9–14. </w:t>
      </w:r>
      <w:r>
        <w:rPr>
          <w:rFonts w:ascii="&amp;quot" w:hAnsi="&amp;quot"/>
          <w:i/>
          <w:iCs/>
          <w:color w:val="333333"/>
          <w:sz w:val="21"/>
          <w:szCs w:val="21"/>
        </w:rPr>
        <w:t>JSTOR</w:t>
      </w:r>
      <w:r>
        <w:rPr>
          <w:rFonts w:ascii="Arial" w:hAnsi="Arial" w:cs="Arial"/>
          <w:color w:val="333333"/>
          <w:sz w:val="21"/>
          <w:szCs w:val="21"/>
        </w:rPr>
        <w:t xml:space="preserve">, </w:t>
      </w:r>
      <w:hyperlink r:id="rId16" w:history="1">
        <w:r w:rsidRPr="0026792D">
          <w:rPr>
            <w:rStyle w:val="Hyperlink"/>
            <w:rFonts w:ascii="Arial" w:hAnsi="Arial" w:cs="Arial"/>
            <w:sz w:val="21"/>
            <w:szCs w:val="21"/>
          </w:rPr>
          <w:t>www.jstor.org/stable/40000003</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Shaw, Ian. “Balustrades, Stairs and Altars in the Cult of the Aten at El-Amarna.” </w:t>
      </w:r>
      <w:r>
        <w:rPr>
          <w:rFonts w:ascii="&amp;quot" w:hAnsi="&amp;quot"/>
          <w:i/>
          <w:iCs/>
          <w:color w:val="333333"/>
          <w:sz w:val="21"/>
          <w:szCs w:val="21"/>
        </w:rPr>
        <w:t>The Journal of Egyptian Archaeology</w:t>
      </w:r>
      <w:r>
        <w:rPr>
          <w:rFonts w:ascii="Arial" w:hAnsi="Arial" w:cs="Arial"/>
          <w:color w:val="333333"/>
          <w:sz w:val="21"/>
          <w:szCs w:val="21"/>
        </w:rPr>
        <w:t xml:space="preserve">, vol. 80, 1994, pp. 109–127. </w:t>
      </w:r>
      <w:r>
        <w:rPr>
          <w:rFonts w:ascii="&amp;quot" w:hAnsi="&amp;quot"/>
          <w:i/>
          <w:iCs/>
          <w:color w:val="333333"/>
          <w:sz w:val="21"/>
          <w:szCs w:val="21"/>
        </w:rPr>
        <w:t>JSTOR</w:t>
      </w:r>
      <w:r>
        <w:rPr>
          <w:rFonts w:ascii="Arial" w:hAnsi="Arial" w:cs="Arial"/>
          <w:color w:val="333333"/>
          <w:sz w:val="21"/>
          <w:szCs w:val="21"/>
        </w:rPr>
        <w:t xml:space="preserve">, </w:t>
      </w:r>
      <w:hyperlink r:id="rId17" w:history="1">
        <w:r w:rsidRPr="0026792D">
          <w:rPr>
            <w:rStyle w:val="Hyperlink"/>
            <w:rFonts w:ascii="Arial" w:hAnsi="Arial" w:cs="Arial"/>
            <w:sz w:val="21"/>
            <w:szCs w:val="21"/>
          </w:rPr>
          <w:t>www.jstor.org/stable/3821854</w:t>
        </w:r>
      </w:hyperlink>
      <w:r>
        <w:rPr>
          <w:rFonts w:ascii="Arial" w:hAnsi="Arial" w:cs="Arial"/>
          <w:color w:val="333333"/>
          <w:sz w:val="21"/>
          <w:szCs w:val="21"/>
        </w:rPr>
        <w:t>.</w:t>
      </w:r>
    </w:p>
    <w:p w:rsidR="00AA7BE8" w:rsidRDefault="00AA7BE8" w:rsidP="009F0CC8">
      <w:pPr>
        <w:rPr>
          <w:rFonts w:ascii="Arial" w:hAnsi="Arial" w:cs="Arial"/>
          <w:color w:val="333333"/>
          <w:sz w:val="21"/>
          <w:szCs w:val="21"/>
        </w:rPr>
      </w:pPr>
      <w:r>
        <w:rPr>
          <w:rFonts w:ascii="Arial" w:hAnsi="Arial" w:cs="Arial"/>
          <w:color w:val="333333"/>
          <w:sz w:val="21"/>
          <w:szCs w:val="21"/>
        </w:rPr>
        <w:t xml:space="preserve">Stevens, Anna. “The Material Evidence for Domestic Religion at Amarna and Preliminary Remarks on Its Interpretation.” </w:t>
      </w:r>
      <w:r>
        <w:rPr>
          <w:rFonts w:ascii="&amp;quot" w:hAnsi="&amp;quot"/>
          <w:i/>
          <w:iCs/>
          <w:color w:val="333333"/>
          <w:sz w:val="21"/>
          <w:szCs w:val="21"/>
        </w:rPr>
        <w:t>The Journal of Egyptian Archaeology</w:t>
      </w:r>
      <w:r>
        <w:rPr>
          <w:rFonts w:ascii="Arial" w:hAnsi="Arial" w:cs="Arial"/>
          <w:color w:val="333333"/>
          <w:sz w:val="21"/>
          <w:szCs w:val="21"/>
        </w:rPr>
        <w:t xml:space="preserve">, vol. 89, 2003, pp. 143–168. </w:t>
      </w:r>
      <w:r>
        <w:rPr>
          <w:rFonts w:ascii="&amp;quot" w:hAnsi="&amp;quot"/>
          <w:i/>
          <w:iCs/>
          <w:color w:val="333333"/>
          <w:sz w:val="21"/>
          <w:szCs w:val="21"/>
        </w:rPr>
        <w:t>JSTOR</w:t>
      </w:r>
      <w:r>
        <w:rPr>
          <w:rFonts w:ascii="Arial" w:hAnsi="Arial" w:cs="Arial"/>
          <w:color w:val="333333"/>
          <w:sz w:val="21"/>
          <w:szCs w:val="21"/>
        </w:rPr>
        <w:t xml:space="preserve">, </w:t>
      </w:r>
      <w:hyperlink r:id="rId18" w:history="1">
        <w:r w:rsidRPr="0026792D">
          <w:rPr>
            <w:rStyle w:val="Hyperlink"/>
            <w:rFonts w:ascii="Arial" w:hAnsi="Arial" w:cs="Arial"/>
            <w:sz w:val="21"/>
            <w:szCs w:val="21"/>
          </w:rPr>
          <w:t>www.jstor.org/stable/3822495</w:t>
        </w:r>
      </w:hyperlink>
      <w:r>
        <w:rPr>
          <w:rFonts w:ascii="Arial" w:hAnsi="Arial" w:cs="Arial"/>
          <w:color w:val="333333"/>
          <w:sz w:val="21"/>
          <w:szCs w:val="21"/>
        </w:rPr>
        <w:t>.</w:t>
      </w:r>
    </w:p>
    <w:p w:rsidR="00AA7BE8" w:rsidRPr="009F0CC8" w:rsidRDefault="00AA7BE8" w:rsidP="009F0CC8">
      <w:pPr>
        <w:rPr>
          <w:rFonts w:ascii="Times New Roman" w:hAnsi="Times New Roman" w:cs="Times New Roman"/>
          <w:sz w:val="24"/>
        </w:rPr>
      </w:pPr>
    </w:p>
    <w:sectPr w:rsidR="00AA7BE8" w:rsidRPr="009F0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A291B"/>
    <w:rsid w:val="000A2C72"/>
    <w:rsid w:val="000E26DF"/>
    <w:rsid w:val="00117076"/>
    <w:rsid w:val="00176ECE"/>
    <w:rsid w:val="001C34DC"/>
    <w:rsid w:val="00224015"/>
    <w:rsid w:val="0046180A"/>
    <w:rsid w:val="004D6218"/>
    <w:rsid w:val="00501DDF"/>
    <w:rsid w:val="00597ECA"/>
    <w:rsid w:val="00652168"/>
    <w:rsid w:val="00652E24"/>
    <w:rsid w:val="00727666"/>
    <w:rsid w:val="007467F8"/>
    <w:rsid w:val="007D475A"/>
    <w:rsid w:val="00834B15"/>
    <w:rsid w:val="00893AC9"/>
    <w:rsid w:val="008A5A65"/>
    <w:rsid w:val="008C4FBF"/>
    <w:rsid w:val="008E2517"/>
    <w:rsid w:val="00951D07"/>
    <w:rsid w:val="00965CDF"/>
    <w:rsid w:val="00972880"/>
    <w:rsid w:val="009F0CC8"/>
    <w:rsid w:val="00AA7BE8"/>
    <w:rsid w:val="00B77807"/>
    <w:rsid w:val="00BC3557"/>
    <w:rsid w:val="00C511E4"/>
    <w:rsid w:val="00C57D6C"/>
    <w:rsid w:val="00C7314F"/>
    <w:rsid w:val="00DD16F7"/>
    <w:rsid w:val="00E26885"/>
    <w:rsid w:val="00E72EF8"/>
    <w:rsid w:val="00EA53E8"/>
    <w:rsid w:val="00EC7EB9"/>
    <w:rsid w:val="00EE472D"/>
    <w:rsid w:val="00F331D9"/>
    <w:rsid w:val="00F70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8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209193" TargetMode="External"/><Relationship Id="rId13" Type="http://schemas.openxmlformats.org/officeDocument/2006/relationships/hyperlink" Target="http://www.jstor.org/stable/23269764" TargetMode="External"/><Relationship Id="rId18" Type="http://schemas.openxmlformats.org/officeDocument/2006/relationships/hyperlink" Target="http://www.jstor.org/stable/3822495" TargetMode="External"/><Relationship Id="rId3" Type="http://schemas.openxmlformats.org/officeDocument/2006/relationships/webSettings" Target="webSettings.xml"/><Relationship Id="rId7" Type="http://schemas.openxmlformats.org/officeDocument/2006/relationships/hyperlink" Target="http://www.jstor.org/stable/3210517" TargetMode="External"/><Relationship Id="rId12" Type="http://schemas.openxmlformats.org/officeDocument/2006/relationships/hyperlink" Target="http://www.jstor.org/stable/41431576" TargetMode="External"/><Relationship Id="rId17" Type="http://schemas.openxmlformats.org/officeDocument/2006/relationships/hyperlink" Target="http://www.jstor.org/stable/3821854" TargetMode="External"/><Relationship Id="rId2" Type="http://schemas.openxmlformats.org/officeDocument/2006/relationships/settings" Target="settings.xml"/><Relationship Id="rId16" Type="http://schemas.openxmlformats.org/officeDocument/2006/relationships/hyperlink" Target="http://www.jstor.org/stable/4000000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jstor.org/stable/40000206" TargetMode="External"/><Relationship Id="rId11" Type="http://schemas.openxmlformats.org/officeDocument/2006/relationships/hyperlink" Target="http://www.jstor.org/stable/40001092" TargetMode="External"/><Relationship Id="rId5" Type="http://schemas.openxmlformats.org/officeDocument/2006/relationships/hyperlink" Target="http://www.jstor.org/stable/3855276" TargetMode="External"/><Relationship Id="rId15" Type="http://schemas.openxmlformats.org/officeDocument/2006/relationships/hyperlink" Target="http://www.jstor.org/stable/24644961" TargetMode="External"/><Relationship Id="rId10" Type="http://schemas.openxmlformats.org/officeDocument/2006/relationships/hyperlink" Target="http://www.jstor.org/stable/40001092" TargetMode="External"/><Relationship Id="rId19" Type="http://schemas.openxmlformats.org/officeDocument/2006/relationships/fontTable" Target="fontTable.xml"/><Relationship Id="rId4" Type="http://schemas.openxmlformats.org/officeDocument/2006/relationships/hyperlink" Target="http://www.jstor.org/stable/3855459" TargetMode="External"/><Relationship Id="rId9" Type="http://schemas.openxmlformats.org/officeDocument/2006/relationships/hyperlink" Target="http://www.jstor.org/stable/j.ctt1dfnt2b.7" TargetMode="External"/><Relationship Id="rId14" Type="http://schemas.openxmlformats.org/officeDocument/2006/relationships/hyperlink" Target="http://www.jstor.org/stable/262403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4</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33</cp:revision>
  <dcterms:created xsi:type="dcterms:W3CDTF">2019-06-07T17:38:00Z</dcterms:created>
  <dcterms:modified xsi:type="dcterms:W3CDTF">2019-06-07T20:31:00Z</dcterms:modified>
</cp:coreProperties>
</file>