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03CCB0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E1351">
              <w:rPr>
                <w:rFonts w:ascii="Times New Roman" w:hAnsi="Times New Roman" w:cs="Times New Roman"/>
                <w:b/>
                <w:color w:val="auto"/>
                <w:sz w:val="48"/>
              </w:rPr>
              <w:t>Jason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BECE3A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E1351">
              <w:rPr>
                <w:rFonts w:ascii="Times New Roman" w:hAnsi="Times New Roman" w:cs="Times New Roman"/>
                <w:b/>
                <w:color w:val="auto"/>
                <w:sz w:val="48"/>
              </w:rPr>
              <w:t xml:space="preserve"> Jason.evans@swansea.gov.uk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660524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E1351" w:rsidRPr="00CE1351">
              <w:rPr>
                <w:rFonts w:ascii="Times New Roman" w:hAnsi="Times New Roman" w:cs="Times New Roman"/>
                <w:b/>
                <w:color w:val="auto"/>
                <w:sz w:val="32"/>
                <w:szCs w:val="12"/>
              </w:rPr>
              <w:t xml:space="preserve"> 2417659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7E84FF0F" w14:textId="77777777" w:rsidR="002C2EE6" w:rsidRPr="0091251E" w:rsidRDefault="002C2EE6" w:rsidP="002C2EE6">
            <w:pPr>
              <w:spacing w:line="360" w:lineRule="auto"/>
              <w:rPr>
                <w:sz w:val="24"/>
                <w:szCs w:val="24"/>
              </w:rPr>
            </w:pPr>
            <w:r w:rsidRPr="0091251E">
              <w:rPr>
                <w:sz w:val="24"/>
                <w:szCs w:val="24"/>
              </w:rPr>
              <w:t xml:space="preserve">Since qualifying as a social worker, my professional experience has been within the child and family services. As a result, I have not yet gained the relevant experience within adult services. </w:t>
            </w:r>
            <w:r w:rsidRPr="0091251E">
              <w:t>Regardless</w:t>
            </w:r>
            <w:r w:rsidRPr="0091251E">
              <w:rPr>
                <w:sz w:val="24"/>
                <w:szCs w:val="24"/>
              </w:rPr>
              <w:t xml:space="preserve"> of their area of work, it is essential for all social work practitioners to understanding of safeguarding. The Wales Safeguarding Procedures were introduced to replace the All-Wales Child Protection Procedures (2008) and the Wales Interim Policy and Procedures for the Protection of Vulnerable Adults from Abuse (2010, updated 2013). Safeguarding is a universal responsibility, and social workers must be equipped to identify and respond to risks affecting both children and adults. Furthermore, having knowledge of how to access resources and support for vulnerable adults is vital in promoting their welfare and ensuring effective safeguarding (Davies, 2009).</w:t>
            </w:r>
          </w:p>
          <w:p w14:paraId="4F39D8FC" w14:textId="77777777" w:rsidR="002C2EE6" w:rsidRPr="0091251E" w:rsidRDefault="002C2EE6" w:rsidP="002C2EE6">
            <w:pPr>
              <w:spacing w:line="360" w:lineRule="auto"/>
              <w:rPr>
                <w:sz w:val="24"/>
                <w:szCs w:val="24"/>
              </w:rPr>
            </w:pPr>
          </w:p>
          <w:p w14:paraId="7946232B" w14:textId="77777777" w:rsidR="002C2EE6" w:rsidRPr="0091251E" w:rsidRDefault="002C2EE6" w:rsidP="002C2EE6">
            <w:pPr>
              <w:spacing w:line="360" w:lineRule="auto"/>
              <w:rPr>
                <w:sz w:val="24"/>
                <w:szCs w:val="24"/>
              </w:rPr>
            </w:pPr>
            <w:r w:rsidRPr="0091251E">
              <w:rPr>
                <w:sz w:val="24"/>
                <w:szCs w:val="24"/>
              </w:rPr>
              <w:t xml:space="preserve">A key aspect of safeguarding adults is understanding the definition of an </w:t>
            </w:r>
            <w:r w:rsidRPr="0091251E">
              <w:t>‘</w:t>
            </w:r>
            <w:r w:rsidRPr="0091251E">
              <w:rPr>
                <w:sz w:val="24"/>
                <w:szCs w:val="24"/>
              </w:rPr>
              <w:t>adult at risk</w:t>
            </w:r>
            <w:r w:rsidRPr="0091251E">
              <w:t>’.</w:t>
            </w:r>
            <w:r w:rsidRPr="0091251E">
              <w:rPr>
                <w:sz w:val="24"/>
                <w:szCs w:val="24"/>
              </w:rPr>
              <w:t xml:space="preserve"> Section 126 of the Social Services and Well-being (Wales) Act 2014 defines an adult at risk as a person aged 18 or over who is experiencing, or is at risk of abuse or neglect, and who has needs for care and support, regardless of whether those needs are being met by the local authority.</w:t>
            </w:r>
          </w:p>
          <w:p w14:paraId="12C030D8" w14:textId="77777777" w:rsidR="002C2EE6" w:rsidRPr="0091251E" w:rsidRDefault="002C2EE6" w:rsidP="002C2EE6">
            <w:pPr>
              <w:spacing w:line="360" w:lineRule="auto"/>
              <w:rPr>
                <w:sz w:val="24"/>
                <w:szCs w:val="24"/>
              </w:rPr>
            </w:pPr>
            <w:r w:rsidRPr="0091251E">
              <w:rPr>
                <w:sz w:val="24"/>
                <w:szCs w:val="24"/>
              </w:rPr>
              <w:t xml:space="preserve">The Social Services and Well-being (Wales) Act 2014 provides the statutory framework for social care in Wales, with a focus on enhancing the well-being of adults requiring care and </w:t>
            </w:r>
            <w:r w:rsidRPr="0091251E">
              <w:rPr>
                <w:sz w:val="24"/>
                <w:szCs w:val="24"/>
              </w:rPr>
              <w:lastRenderedPageBreak/>
              <w:t>support. The Act is underpinned by four main principles: voice and control, prevention and early intervention, well-being, and co-production. It places a duty on social services to make enquiries if there is reasonable cause to suspect that an adult in its area is at risk, regardless of their ordinary residence.</w:t>
            </w:r>
          </w:p>
          <w:p w14:paraId="721E8AA2" w14:textId="77777777" w:rsidR="002C2EE6" w:rsidRPr="0091251E" w:rsidRDefault="002C2EE6" w:rsidP="002C2EE6">
            <w:pPr>
              <w:spacing w:line="360" w:lineRule="auto"/>
              <w:rPr>
                <w:sz w:val="24"/>
                <w:szCs w:val="24"/>
              </w:rPr>
            </w:pPr>
          </w:p>
          <w:p w14:paraId="18B96396" w14:textId="77777777" w:rsidR="002C2EE6" w:rsidRPr="0091251E" w:rsidRDefault="002C2EE6" w:rsidP="002C2EE6">
            <w:pPr>
              <w:spacing w:line="360" w:lineRule="auto"/>
              <w:rPr>
                <w:sz w:val="24"/>
                <w:szCs w:val="24"/>
              </w:rPr>
            </w:pPr>
            <w:r w:rsidRPr="0091251E">
              <w:rPr>
                <w:sz w:val="24"/>
                <w:szCs w:val="24"/>
              </w:rPr>
              <w:t>Section 7 of the SSWB (Wales) Act 2014 strengthens safeguarding arrangements by requiring relevant partners to report concerns if they suspect an adult is at risk, whether in their own or another local authority area. Local authorities are also required to investigate when there is suspicion that an adult with care or support needs may be at risk of abuse or neglect.</w:t>
            </w:r>
          </w:p>
          <w:p w14:paraId="1B2E395A" w14:textId="77777777" w:rsidR="002C2EE6" w:rsidRPr="0091251E" w:rsidRDefault="002C2EE6" w:rsidP="002C2EE6">
            <w:pPr>
              <w:spacing w:line="360" w:lineRule="auto"/>
              <w:rPr>
                <w:sz w:val="24"/>
                <w:szCs w:val="24"/>
              </w:rPr>
            </w:pPr>
          </w:p>
          <w:p w14:paraId="575AEC96" w14:textId="77777777" w:rsidR="002C2EE6" w:rsidRPr="0091251E" w:rsidRDefault="002C2EE6" w:rsidP="002C2EE6">
            <w:pPr>
              <w:spacing w:line="360" w:lineRule="auto"/>
              <w:rPr>
                <w:sz w:val="24"/>
                <w:szCs w:val="24"/>
              </w:rPr>
            </w:pPr>
            <w:r w:rsidRPr="0091251E">
              <w:rPr>
                <w:sz w:val="24"/>
                <w:szCs w:val="24"/>
              </w:rPr>
              <w:t xml:space="preserve">Another significant piece of legislation is the Mental Capacity Act (MCA) 2005, which provides a legal framework for supporting individuals aged 16 and over who lack capacity to make certain decisions due to illness, disability, or impairment (SCIE, 2016). The MCA is guided by five core principles, including the presumption of capacity and the requirement to provide all practicable support to enable individuals to make their own decisions (Carr &amp; </w:t>
            </w:r>
            <w:proofErr w:type="spellStart"/>
            <w:r w:rsidRPr="0091251E">
              <w:rPr>
                <w:sz w:val="24"/>
                <w:szCs w:val="24"/>
              </w:rPr>
              <w:t>Goosey</w:t>
            </w:r>
            <w:proofErr w:type="spellEnd"/>
            <w:r w:rsidRPr="0091251E">
              <w:rPr>
                <w:sz w:val="24"/>
                <w:szCs w:val="24"/>
              </w:rPr>
              <w:t>, 2017).</w:t>
            </w:r>
          </w:p>
          <w:p w14:paraId="56332DDA" w14:textId="77777777" w:rsidR="002C2EE6" w:rsidRPr="0091251E" w:rsidRDefault="002C2EE6" w:rsidP="002C2EE6">
            <w:pPr>
              <w:spacing w:line="360" w:lineRule="auto"/>
              <w:rPr>
                <w:sz w:val="24"/>
                <w:szCs w:val="24"/>
              </w:rPr>
            </w:pPr>
          </w:p>
          <w:p w14:paraId="0472EB9A" w14:textId="77777777" w:rsidR="002C2EE6" w:rsidRPr="0091251E" w:rsidRDefault="002C2EE6" w:rsidP="002C2EE6">
            <w:pPr>
              <w:spacing w:line="360" w:lineRule="auto"/>
              <w:rPr>
                <w:sz w:val="24"/>
                <w:szCs w:val="24"/>
              </w:rPr>
            </w:pPr>
            <w:r w:rsidRPr="0091251E">
              <w:rPr>
                <w:sz w:val="24"/>
                <w:szCs w:val="24"/>
              </w:rPr>
              <w:t>The Deprivation of Liberty Safeguards (</w:t>
            </w:r>
            <w:proofErr w:type="spellStart"/>
            <w:r w:rsidRPr="0091251E">
              <w:rPr>
                <w:sz w:val="24"/>
                <w:szCs w:val="24"/>
              </w:rPr>
              <w:t>DoLS</w:t>
            </w:r>
            <w:proofErr w:type="spellEnd"/>
            <w:r w:rsidRPr="0091251E">
              <w:rPr>
                <w:sz w:val="24"/>
                <w:szCs w:val="24"/>
              </w:rPr>
              <w:t>), introduced in 2009 as an amendment to the MCA, offer legal protection for individuals who lack capacity and are deprived of their liberty in care settings, ensuring their rights are upheld (SCIE, 2025).</w:t>
            </w:r>
          </w:p>
          <w:p w14:paraId="47C51989" w14:textId="77777777" w:rsidR="002C2EE6" w:rsidRPr="0091251E" w:rsidRDefault="002C2EE6" w:rsidP="002C2EE6">
            <w:pPr>
              <w:spacing w:line="360" w:lineRule="auto"/>
              <w:rPr>
                <w:sz w:val="24"/>
                <w:szCs w:val="24"/>
              </w:rPr>
            </w:pPr>
          </w:p>
          <w:p w14:paraId="6F716526" w14:textId="77777777" w:rsidR="002C2EE6" w:rsidRPr="0091251E" w:rsidRDefault="002C2EE6" w:rsidP="002C2EE6">
            <w:pPr>
              <w:spacing w:line="360" w:lineRule="auto"/>
              <w:rPr>
                <w:sz w:val="24"/>
                <w:szCs w:val="24"/>
              </w:rPr>
            </w:pPr>
            <w:r w:rsidRPr="0091251E">
              <w:rPr>
                <w:sz w:val="24"/>
                <w:szCs w:val="24"/>
              </w:rPr>
              <w:t>The Equality Act 2010 is another safeguarding legal framework that protects adults from discrimination and promotes equal treatment across all areas of life, including health and social care. The Act ensures that services are tailored to individual needs, preferences, and identities. This is particularly important in adult safeguarding, where understanding the person’s background and values can influence risk assessment and intervention strategies.</w:t>
            </w:r>
          </w:p>
          <w:p w14:paraId="6C424E79" w14:textId="77777777" w:rsidR="002C2EE6" w:rsidRPr="0091251E" w:rsidRDefault="002C2EE6" w:rsidP="002C2EE6">
            <w:pPr>
              <w:spacing w:line="360" w:lineRule="auto"/>
            </w:pPr>
          </w:p>
          <w:p w14:paraId="206514B9" w14:textId="30B480F6" w:rsidR="00FC0334" w:rsidRDefault="00115857" w:rsidP="00816DD8">
            <w:pPr>
              <w:spacing w:line="360" w:lineRule="auto"/>
              <w:rPr>
                <w:sz w:val="24"/>
                <w:szCs w:val="24"/>
              </w:rPr>
            </w:pPr>
            <w:r>
              <w:rPr>
                <w:sz w:val="24"/>
                <w:szCs w:val="24"/>
              </w:rPr>
              <w:t>Word count: 51</w:t>
            </w:r>
            <w:r w:rsidR="002C2EE6">
              <w:rPr>
                <w:sz w:val="24"/>
                <w:szCs w:val="24"/>
              </w:rPr>
              <w:t>1</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113AF7E4" w14:textId="77777777" w:rsidR="00331FAC" w:rsidRPr="00852730" w:rsidRDefault="00331FAC" w:rsidP="00331FAC">
            <w:pPr>
              <w:rPr>
                <w:sz w:val="24"/>
                <w:szCs w:val="24"/>
              </w:rPr>
            </w:pPr>
            <w:r w:rsidRPr="00852730">
              <w:rPr>
                <w:sz w:val="24"/>
                <w:szCs w:val="24"/>
              </w:rPr>
              <w:t xml:space="preserve">While the principles of safeguarding apply across all age groups, the approach to safeguarding adults differs significantly from that of children due to legal, ethical, and practical considerations. </w:t>
            </w:r>
          </w:p>
          <w:p w14:paraId="31846025" w14:textId="77777777" w:rsidR="00816DD8" w:rsidRPr="00852730" w:rsidRDefault="00816DD8" w:rsidP="00331FAC">
            <w:pPr>
              <w:rPr>
                <w:sz w:val="24"/>
                <w:szCs w:val="24"/>
              </w:rPr>
            </w:pPr>
          </w:p>
          <w:p w14:paraId="62B60D83" w14:textId="77777777" w:rsidR="005C6707" w:rsidRPr="00071F90" w:rsidRDefault="005C6707" w:rsidP="005C6707">
            <w:pPr>
              <w:spacing w:line="360" w:lineRule="auto"/>
              <w:rPr>
                <w:sz w:val="24"/>
                <w:szCs w:val="24"/>
              </w:rPr>
            </w:pPr>
            <w:r w:rsidRPr="00071F90">
              <w:rPr>
                <w:sz w:val="24"/>
                <w:szCs w:val="24"/>
              </w:rPr>
              <w:t>A significant difference between adult and children’s safeguarding in the legal framework. Prior to the implementation of the Social Services and Well-being (Wales) Act 2014 adult safeguarding in Wales was based on non-statutory guidance, meaning no legal obligation for agencies to follow specific procedures. However, children’s safeguarding was governed by the Children Act 1989, a robust statutory framework that outlined the responsibilities of professionals in protecting children.</w:t>
            </w:r>
          </w:p>
          <w:p w14:paraId="7D314955" w14:textId="77777777" w:rsidR="005C6707" w:rsidRPr="00071F90" w:rsidRDefault="005C6707" w:rsidP="005C6707">
            <w:pPr>
              <w:spacing w:line="360" w:lineRule="auto"/>
              <w:rPr>
                <w:sz w:val="24"/>
                <w:szCs w:val="24"/>
              </w:rPr>
            </w:pPr>
          </w:p>
          <w:p w14:paraId="66D72D8C" w14:textId="77777777" w:rsidR="005C6707" w:rsidRPr="00071F90" w:rsidRDefault="005C6707" w:rsidP="005C6707">
            <w:pPr>
              <w:spacing w:line="360" w:lineRule="auto"/>
              <w:rPr>
                <w:sz w:val="24"/>
                <w:szCs w:val="24"/>
              </w:rPr>
            </w:pPr>
            <w:r w:rsidRPr="00071F90">
              <w:rPr>
                <w:sz w:val="24"/>
                <w:szCs w:val="24"/>
              </w:rPr>
              <w:t>One of the most profound differences between adult and children’s safeguarding is the issue of consent and capacity. Adults are presumed to have capacity under the Mental Capacity Act 2005, and they have the right to make decisions, even unwise ones if they are deemed capable. Their autonomy is protected under the Human Rights Act 1998, which stipulates that individuals with capacity must have their choices respected, including the right to refuse intervention.</w:t>
            </w:r>
          </w:p>
          <w:p w14:paraId="67FB54CF" w14:textId="77777777" w:rsidR="005C6707" w:rsidRPr="00071F90" w:rsidRDefault="005C6707" w:rsidP="005C6707">
            <w:pPr>
              <w:spacing w:line="360" w:lineRule="auto"/>
              <w:rPr>
                <w:sz w:val="24"/>
                <w:szCs w:val="24"/>
              </w:rPr>
            </w:pPr>
          </w:p>
          <w:p w14:paraId="2FF17A31" w14:textId="77777777" w:rsidR="005C6707" w:rsidRPr="00071F90" w:rsidRDefault="005C6707" w:rsidP="005C6707">
            <w:pPr>
              <w:spacing w:line="360" w:lineRule="auto"/>
              <w:rPr>
                <w:sz w:val="24"/>
                <w:szCs w:val="24"/>
              </w:rPr>
            </w:pPr>
            <w:r w:rsidRPr="00071F90">
              <w:rPr>
                <w:sz w:val="24"/>
                <w:szCs w:val="24"/>
              </w:rPr>
              <w:t xml:space="preserve">However, children are not presumed to have full </w:t>
            </w:r>
            <w:proofErr w:type="gramStart"/>
            <w:r w:rsidRPr="00071F90">
              <w:rPr>
                <w:sz w:val="24"/>
                <w:szCs w:val="24"/>
              </w:rPr>
              <w:t>capacity</w:t>
            </w:r>
            <w:proofErr w:type="gramEnd"/>
            <w:r w:rsidRPr="00071F90">
              <w:rPr>
                <w:sz w:val="24"/>
                <w:szCs w:val="24"/>
              </w:rPr>
              <w:t xml:space="preserve"> and safeguarding decisions are often made in their best interests, </w:t>
            </w:r>
            <w:r>
              <w:t xml:space="preserve">which </w:t>
            </w:r>
            <w:r w:rsidRPr="00071F90">
              <w:rPr>
                <w:sz w:val="24"/>
                <w:szCs w:val="24"/>
              </w:rPr>
              <w:t xml:space="preserve">sometimes overriding parental wishes. </w:t>
            </w:r>
            <w:r>
              <w:t>When a safeguarding referral is made, consent is not</w:t>
            </w:r>
            <w:r w:rsidRPr="00071F90">
              <w:rPr>
                <w:sz w:val="24"/>
                <w:szCs w:val="24"/>
              </w:rPr>
              <w:t xml:space="preserve"> required from the child</w:t>
            </w:r>
            <w:r>
              <w:t>. Although</w:t>
            </w:r>
            <w:r w:rsidRPr="00071F90">
              <w:rPr>
                <w:sz w:val="24"/>
                <w:szCs w:val="24"/>
              </w:rPr>
              <w:t xml:space="preserve">, under a Child in Need of Care and Support Plan, parental consent is necessary. However, if an adult with capacity refuses intervention, their decision must be upheld unless they are assessed to lack capacity and are at risk of harm (Carr &amp; </w:t>
            </w:r>
            <w:proofErr w:type="spellStart"/>
            <w:r w:rsidRPr="00071F90">
              <w:rPr>
                <w:sz w:val="24"/>
                <w:szCs w:val="24"/>
              </w:rPr>
              <w:t>Goosey</w:t>
            </w:r>
            <w:proofErr w:type="spellEnd"/>
            <w:r w:rsidRPr="00071F90">
              <w:rPr>
                <w:sz w:val="24"/>
                <w:szCs w:val="24"/>
              </w:rPr>
              <w:t>, 2017).</w:t>
            </w:r>
          </w:p>
          <w:p w14:paraId="5DE98057" w14:textId="77777777" w:rsidR="005C6707" w:rsidRPr="00071F90" w:rsidRDefault="005C6707" w:rsidP="005C6707">
            <w:pPr>
              <w:spacing w:line="360" w:lineRule="auto"/>
              <w:rPr>
                <w:sz w:val="24"/>
                <w:szCs w:val="24"/>
              </w:rPr>
            </w:pPr>
          </w:p>
          <w:p w14:paraId="61ED81F0" w14:textId="77777777" w:rsidR="005C6707" w:rsidRPr="00071F90" w:rsidRDefault="005C6707" w:rsidP="005C6707">
            <w:pPr>
              <w:spacing w:line="360" w:lineRule="auto"/>
              <w:rPr>
                <w:sz w:val="24"/>
                <w:szCs w:val="24"/>
              </w:rPr>
            </w:pPr>
            <w:r w:rsidRPr="00071F90">
              <w:rPr>
                <w:sz w:val="24"/>
                <w:szCs w:val="24"/>
              </w:rPr>
              <w:t xml:space="preserve">The referral process also differs between adults and children. In adult safeguarding, consent must be obtained from the individual before making a referral to social services, unless there </w:t>
            </w:r>
            <w:r w:rsidRPr="00071F90">
              <w:rPr>
                <w:sz w:val="24"/>
                <w:szCs w:val="24"/>
              </w:rPr>
              <w:lastRenderedPageBreak/>
              <w:t xml:space="preserve">is a serious risk or lack of capacity. This can create ethical dilemmas for practitioners who may be concerned about an individual’s safety but are bound to respect their wishes. However, in children's services, the responsibility to protect and safeguard often takes precedence over the child’s right to make independent choices. </w:t>
            </w:r>
          </w:p>
          <w:p w14:paraId="6F9EC973" w14:textId="77777777" w:rsidR="005C6707" w:rsidRPr="00071F90" w:rsidRDefault="005C6707" w:rsidP="005C6707">
            <w:pPr>
              <w:spacing w:line="360" w:lineRule="auto"/>
              <w:rPr>
                <w:sz w:val="24"/>
                <w:szCs w:val="24"/>
              </w:rPr>
            </w:pPr>
            <w:r w:rsidRPr="00071F90">
              <w:rPr>
                <w:sz w:val="24"/>
                <w:szCs w:val="24"/>
              </w:rPr>
              <w:t>In addition to this, the thresholds for intervention are clearer and more consistent. All concerns must be reported by professionals to children’s social services, in line with Section 47 of the Children Act 1989.</w:t>
            </w:r>
          </w:p>
          <w:p w14:paraId="39A324E2" w14:textId="77777777" w:rsidR="005C6707" w:rsidRPr="00071F90" w:rsidRDefault="005C6707" w:rsidP="005C6707">
            <w:pPr>
              <w:spacing w:line="360" w:lineRule="auto"/>
              <w:rPr>
                <w:sz w:val="24"/>
                <w:szCs w:val="24"/>
              </w:rPr>
            </w:pPr>
          </w:p>
          <w:p w14:paraId="42CABF5A" w14:textId="77777777" w:rsidR="005C6707" w:rsidRPr="00071F90" w:rsidRDefault="005C6707" w:rsidP="005C6707">
            <w:pPr>
              <w:spacing w:line="360" w:lineRule="auto"/>
              <w:rPr>
                <w:sz w:val="24"/>
                <w:szCs w:val="24"/>
              </w:rPr>
            </w:pPr>
            <w:r w:rsidRPr="00071F90">
              <w:rPr>
                <w:sz w:val="24"/>
                <w:szCs w:val="24"/>
              </w:rPr>
              <w:t>Multi-agency working is essential in both adult and children’s safeguarding, but the professionals involved often differ. In adult safeguarding, collaboration typically includes health services, housing, and care providers. In children’s safeguarding, the network is broader and often includes schools, youth services, and family courts, reflecting the wider social context in which children live and develop.</w:t>
            </w:r>
          </w:p>
          <w:p w14:paraId="771BC3F2" w14:textId="77777777" w:rsidR="005C6707" w:rsidRPr="00071F90" w:rsidRDefault="005C6707" w:rsidP="005C6707">
            <w:pPr>
              <w:spacing w:line="360" w:lineRule="auto"/>
              <w:jc w:val="both"/>
              <w:rPr>
                <w:sz w:val="24"/>
                <w:szCs w:val="24"/>
              </w:rPr>
            </w:pPr>
          </w:p>
          <w:p w14:paraId="7F391C76" w14:textId="77777777" w:rsidR="005C6707" w:rsidRPr="00071F90" w:rsidRDefault="005C6707" w:rsidP="005C6707">
            <w:pPr>
              <w:spacing w:line="360" w:lineRule="auto"/>
              <w:rPr>
                <w:sz w:val="24"/>
                <w:szCs w:val="24"/>
              </w:rPr>
            </w:pPr>
            <w:r w:rsidRPr="00071F90">
              <w:rPr>
                <w:sz w:val="24"/>
                <w:szCs w:val="24"/>
              </w:rPr>
              <w:t xml:space="preserve">Word count: </w:t>
            </w:r>
            <w:r>
              <w:t>390</w:t>
            </w:r>
          </w:p>
          <w:p w14:paraId="4B1751E9" w14:textId="77777777" w:rsidR="007A48C8" w:rsidRPr="00EA3FBF" w:rsidRDefault="007A48C8" w:rsidP="007A48C8"/>
          <w:p w14:paraId="58AE4184" w14:textId="77777777" w:rsidR="007A48C8" w:rsidRPr="00435D66" w:rsidRDefault="007A48C8" w:rsidP="007A48C8"/>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3326F8" w14:textId="77777777" w:rsidR="00306CFB" w:rsidRDefault="00306CFB">
      <w:r>
        <w:separator/>
      </w:r>
    </w:p>
  </w:endnote>
  <w:endnote w:type="continuationSeparator" w:id="0">
    <w:p w14:paraId="0EAAF10E" w14:textId="77777777" w:rsidR="00306CFB" w:rsidRDefault="00306C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397478" w14:textId="77777777" w:rsidR="00306CFB" w:rsidRDefault="00306CFB">
      <w:r>
        <w:separator/>
      </w:r>
    </w:p>
  </w:footnote>
  <w:footnote w:type="continuationSeparator" w:id="0">
    <w:p w14:paraId="494204EE" w14:textId="77777777" w:rsidR="00306CFB" w:rsidRDefault="00306C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5857"/>
    <w:rsid w:val="00130119"/>
    <w:rsid w:val="00132812"/>
    <w:rsid w:val="001347F8"/>
    <w:rsid w:val="001359EE"/>
    <w:rsid w:val="00137BB5"/>
    <w:rsid w:val="00137E05"/>
    <w:rsid w:val="001447F6"/>
    <w:rsid w:val="00147DE3"/>
    <w:rsid w:val="00150794"/>
    <w:rsid w:val="00151DA6"/>
    <w:rsid w:val="001608C4"/>
    <w:rsid w:val="00164832"/>
    <w:rsid w:val="00167A4F"/>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6727"/>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2EE6"/>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6CFB"/>
    <w:rsid w:val="003106DB"/>
    <w:rsid w:val="0031350A"/>
    <w:rsid w:val="00316815"/>
    <w:rsid w:val="003168CA"/>
    <w:rsid w:val="00321255"/>
    <w:rsid w:val="0032230D"/>
    <w:rsid w:val="00322A0B"/>
    <w:rsid w:val="00330881"/>
    <w:rsid w:val="00331CD2"/>
    <w:rsid w:val="00331FAC"/>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038C"/>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0AF0"/>
    <w:rsid w:val="00555869"/>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707"/>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66CFB"/>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1E81"/>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48C8"/>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6DD8"/>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2730"/>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1351"/>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36FC9"/>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42D6"/>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66656"/>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7</TotalTime>
  <Pages>5</Pages>
  <Words>1135</Words>
  <Characters>6267</Characters>
  <Application>Microsoft Office Word</Application>
  <DocSecurity>0</DocSecurity>
  <Lines>145</Lines>
  <Paragraphs>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Jason Evans</cp:lastModifiedBy>
  <cp:revision>12</cp:revision>
  <cp:lastPrinted>2020-02-11T19:20:00Z</cp:lastPrinted>
  <dcterms:created xsi:type="dcterms:W3CDTF">2025-09-29T14:34:00Z</dcterms:created>
  <dcterms:modified xsi:type="dcterms:W3CDTF">2025-10-07T13:26:00Z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