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C26676" w14:textId="1F50E3A5" w:rsidR="00762CF9" w:rsidRDefault="00762CF9">
      <w:pPr>
        <w:rPr>
          <w:sz w:val="72"/>
        </w:rPr>
      </w:pPr>
      <w:r>
        <w:rPr>
          <w:sz w:val="72"/>
        </w:rPr>
        <w:t>ECAD6004-C</w:t>
      </w:r>
    </w:p>
    <w:p w14:paraId="1D9AB72A" w14:textId="395ED156" w:rsidR="00047952" w:rsidRDefault="00762CF9">
      <w:pPr>
        <w:rPr>
          <w:sz w:val="72"/>
        </w:rPr>
      </w:pPr>
      <w:r>
        <w:rPr>
          <w:sz w:val="72"/>
        </w:rPr>
        <w:fldChar w:fldCharType="begin"/>
      </w:r>
      <w:r>
        <w:rPr>
          <w:sz w:val="72"/>
        </w:rPr>
        <w:instrText xml:space="preserve"> HYPERLINK "</w:instrText>
      </w:r>
      <w:r w:rsidRPr="00762CF9">
        <w:rPr>
          <w:sz w:val="72"/>
        </w:rPr>
        <w:instrText>https://youtu.be/YbqUi0JdzFI</w:instrText>
      </w:r>
      <w:r>
        <w:rPr>
          <w:sz w:val="72"/>
        </w:rPr>
        <w:instrText xml:space="preserve">" </w:instrText>
      </w:r>
      <w:r>
        <w:rPr>
          <w:sz w:val="72"/>
        </w:rPr>
        <w:fldChar w:fldCharType="separate"/>
      </w:r>
      <w:r w:rsidRPr="0083449B">
        <w:rPr>
          <w:rStyle w:val="Hyperlink"/>
          <w:sz w:val="72"/>
        </w:rPr>
        <w:t>https://youtu.be/YbqUi0JdzFI</w:t>
      </w:r>
      <w:r>
        <w:rPr>
          <w:sz w:val="72"/>
        </w:rPr>
        <w:fldChar w:fldCharType="end"/>
      </w:r>
    </w:p>
    <w:p w14:paraId="3B68B8BB" w14:textId="49C19F3C" w:rsidR="00410CE8" w:rsidRDefault="00410CE8">
      <w:pPr>
        <w:rPr>
          <w:sz w:val="72"/>
        </w:rPr>
      </w:pPr>
    </w:p>
    <w:p w14:paraId="09FD85BB" w14:textId="0991A644" w:rsidR="00410CE8" w:rsidRDefault="00FE7A4F" w:rsidP="00FE7A4F">
      <w:pPr>
        <w:spacing w:line="360" w:lineRule="auto"/>
        <w:rPr>
          <w:sz w:val="26"/>
          <w:szCs w:val="26"/>
          <w:u w:val="single"/>
        </w:rPr>
      </w:pPr>
      <w:r w:rsidRPr="00FE7A4F">
        <w:rPr>
          <w:sz w:val="26"/>
          <w:szCs w:val="26"/>
          <w:u w:val="single"/>
        </w:rPr>
        <w:t>Summary</w:t>
      </w:r>
      <w:r w:rsidR="00D1146C">
        <w:rPr>
          <w:sz w:val="26"/>
          <w:szCs w:val="26"/>
          <w:u w:val="single"/>
        </w:rPr>
        <w:t>/Supporting</w:t>
      </w:r>
      <w:r w:rsidRPr="00FE7A4F">
        <w:rPr>
          <w:sz w:val="26"/>
          <w:szCs w:val="26"/>
          <w:u w:val="single"/>
        </w:rPr>
        <w:t xml:space="preserve"> Essay</w:t>
      </w:r>
    </w:p>
    <w:p w14:paraId="31B32AA8" w14:textId="19151259" w:rsidR="00FE7A4F" w:rsidRDefault="00FE7A4F" w:rsidP="00FE7A4F">
      <w:pPr>
        <w:spacing w:line="360" w:lineRule="auto"/>
        <w:rPr>
          <w:sz w:val="26"/>
          <w:szCs w:val="26"/>
        </w:rPr>
      </w:pPr>
      <w:r>
        <w:rPr>
          <w:sz w:val="26"/>
          <w:szCs w:val="26"/>
        </w:rPr>
        <w:t xml:space="preserve">Creative and enterprising skills are becoming increasingly important qualities for our learners to possess in the wake of Donaldson’s ‘Successful Futures’ (2015) report, which places Creative and Expressive Arts as one of the six areas of learning and experiences in recommendation to teachers in Wales. This is in addition to the constantly developing world of work and technology, making it necessary for teachers to equip learners today for a world of work that is currently undetermined. With this in mind, it can be suggested the teaching of essential skills, such as those stemmed through creative and enterprising activities including collaboration, problem solving and organisation, are vital to our learners when it is so difficult to determine in the curriculum what our learners should be learning </w:t>
      </w:r>
      <w:r w:rsidR="0083354C">
        <w:rPr>
          <w:sz w:val="26"/>
          <w:szCs w:val="26"/>
        </w:rPr>
        <w:t xml:space="preserve">(Donaldson, 2015). This </w:t>
      </w:r>
      <w:r w:rsidR="00D1146C">
        <w:rPr>
          <w:sz w:val="26"/>
          <w:szCs w:val="26"/>
        </w:rPr>
        <w:t>belief in</w:t>
      </w:r>
      <w:r w:rsidR="0083354C">
        <w:rPr>
          <w:sz w:val="26"/>
          <w:szCs w:val="26"/>
        </w:rPr>
        <w:t xml:space="preserve"> favour of essential skills is also supported by research from The Sutton Trust (2017) wh</w:t>
      </w:r>
      <w:r w:rsidR="00D1146C">
        <w:rPr>
          <w:sz w:val="26"/>
          <w:szCs w:val="26"/>
        </w:rPr>
        <w:t>ich</w:t>
      </w:r>
      <w:r w:rsidR="0083354C">
        <w:rPr>
          <w:sz w:val="26"/>
          <w:szCs w:val="26"/>
        </w:rPr>
        <w:t xml:space="preserve"> found 97% of teachers believed them more important than academic qualifications and 72% of teachers wanting more committed time during sessions to support the development of these skills. </w:t>
      </w:r>
    </w:p>
    <w:p w14:paraId="30538B32" w14:textId="1C0E5707" w:rsidR="0083354C" w:rsidRDefault="0083354C" w:rsidP="00FE7A4F">
      <w:pPr>
        <w:spacing w:line="360" w:lineRule="auto"/>
        <w:rPr>
          <w:sz w:val="26"/>
          <w:szCs w:val="26"/>
        </w:rPr>
      </w:pPr>
      <w:r>
        <w:rPr>
          <w:sz w:val="26"/>
          <w:szCs w:val="26"/>
        </w:rPr>
        <w:t xml:space="preserve">There are many approaches, strategies and interventions teachers can implement to encourage and develop learners’ creative skills. </w:t>
      </w:r>
      <w:r w:rsidR="005E727D">
        <w:rPr>
          <w:sz w:val="26"/>
          <w:szCs w:val="26"/>
        </w:rPr>
        <w:t xml:space="preserve">Professor Dai Smith </w:t>
      </w:r>
      <w:r w:rsidR="00D1146C">
        <w:rPr>
          <w:sz w:val="26"/>
          <w:szCs w:val="26"/>
        </w:rPr>
        <w:t xml:space="preserve">(2013) also </w:t>
      </w:r>
      <w:r w:rsidR="005E727D">
        <w:rPr>
          <w:sz w:val="26"/>
          <w:szCs w:val="26"/>
        </w:rPr>
        <w:t xml:space="preserve">recognises the potential held by the creative arts over academic attainment and performance in his report ‘Arts in Education in the Schools of Wales’ with recommendations to develop an arts-rich approach to the curriculum and education in Wales. However, it can be argued that while creative skills support learners’ </w:t>
      </w:r>
      <w:r w:rsidR="005E727D">
        <w:rPr>
          <w:sz w:val="26"/>
          <w:szCs w:val="26"/>
        </w:rPr>
        <w:lastRenderedPageBreak/>
        <w:t xml:space="preserve">development of essential skills, an emphasis on the arts may not have any impact on the development of non-arts skills as explored in research completed by the OECD Centre for Education Research and Innovation (2013), although it is important to note this statement relates to the ‘arts’ rather than ‘creativity’ which may have an influence on the findings. Creativity is not limited solely to expressive and creative arts – as shown in Seelig’s ‘Innovation Engine’, creativity can relate to learners’ </w:t>
      </w:r>
      <w:r w:rsidR="00E25991">
        <w:rPr>
          <w:sz w:val="26"/>
          <w:szCs w:val="26"/>
        </w:rPr>
        <w:t xml:space="preserve">overall </w:t>
      </w:r>
      <w:r w:rsidR="005E727D">
        <w:rPr>
          <w:sz w:val="26"/>
          <w:szCs w:val="26"/>
        </w:rPr>
        <w:t xml:space="preserve">performance </w:t>
      </w:r>
      <w:r w:rsidR="00E25991">
        <w:rPr>
          <w:sz w:val="26"/>
          <w:szCs w:val="26"/>
        </w:rPr>
        <w:t>through</w:t>
      </w:r>
      <w:r w:rsidR="005E727D">
        <w:rPr>
          <w:sz w:val="26"/>
          <w:szCs w:val="26"/>
        </w:rPr>
        <w:t xml:space="preserve"> the factors of knowledge, imagination, attitude, culture, habitat and resources which are relevant to every subject or area of learning and experience. </w:t>
      </w:r>
      <w:r w:rsidR="00E25991">
        <w:rPr>
          <w:sz w:val="26"/>
          <w:szCs w:val="26"/>
        </w:rPr>
        <w:t>For example, creative approaches to attitude can be used across the curriculum through implementing thinking strategies such as DeBono’s thinking hats or applying different habits of mind to enhance children’s thinking and learning. Other teacher-led strategies to develop creativity can include implementing appropriate and inclusive pedagogies to support all learners such as scaffolding and differentiation (</w:t>
      </w:r>
      <w:proofErr w:type="spellStart"/>
      <w:r w:rsidR="00D1146C">
        <w:rPr>
          <w:sz w:val="26"/>
          <w:szCs w:val="26"/>
        </w:rPr>
        <w:t>Cremin</w:t>
      </w:r>
      <w:proofErr w:type="spellEnd"/>
      <w:r w:rsidR="00D1146C">
        <w:rPr>
          <w:sz w:val="26"/>
          <w:szCs w:val="26"/>
        </w:rPr>
        <w:t xml:space="preserve"> et al., 2013), in addition to promoting a safe, positive learning environment that encourages learners to take appropriate risks, display curiosity, not be afraid of being wrong and thinking more deeply and openly to allow creativity to flourish (Cordes, 2017) through a range of stimulating learning environments (</w:t>
      </w:r>
      <w:proofErr w:type="spellStart"/>
      <w:r w:rsidR="00D1146C">
        <w:rPr>
          <w:sz w:val="26"/>
          <w:szCs w:val="26"/>
        </w:rPr>
        <w:t>MacAdams</w:t>
      </w:r>
      <w:proofErr w:type="spellEnd"/>
      <w:r w:rsidR="00D1146C">
        <w:rPr>
          <w:sz w:val="26"/>
          <w:szCs w:val="26"/>
        </w:rPr>
        <w:t xml:space="preserve">, 2008). </w:t>
      </w:r>
    </w:p>
    <w:p w14:paraId="6D2D6C66" w14:textId="1332FDE8" w:rsidR="00D1146C" w:rsidRDefault="00D1146C" w:rsidP="00FE7A4F">
      <w:pPr>
        <w:spacing w:line="360" w:lineRule="auto"/>
        <w:rPr>
          <w:sz w:val="26"/>
          <w:szCs w:val="26"/>
        </w:rPr>
      </w:pPr>
      <w:r>
        <w:rPr>
          <w:sz w:val="26"/>
          <w:szCs w:val="26"/>
        </w:rPr>
        <w:t>As explored in the presentation</w:t>
      </w:r>
      <w:bookmarkStart w:id="0" w:name="_GoBack"/>
      <w:bookmarkEnd w:id="0"/>
      <w:r>
        <w:rPr>
          <w:sz w:val="26"/>
          <w:szCs w:val="26"/>
        </w:rPr>
        <w:t xml:space="preserve">, there are many approaches to develop creativity which are accompanied by personal benefits and challenges, with challenges such as extended planning and consideration for monitoring and assessment and benefits including the creation of a more supportive and open learning environment and culture in the classroom. With support from modern theorists such as </w:t>
      </w:r>
      <w:r w:rsidR="00762CF9">
        <w:rPr>
          <w:sz w:val="26"/>
          <w:szCs w:val="26"/>
        </w:rPr>
        <w:t>Robinson (1998)</w:t>
      </w:r>
      <w:r>
        <w:rPr>
          <w:sz w:val="26"/>
          <w:szCs w:val="26"/>
        </w:rPr>
        <w:t xml:space="preserve"> and </w:t>
      </w:r>
      <w:r w:rsidR="00762CF9">
        <w:rPr>
          <w:sz w:val="26"/>
          <w:szCs w:val="26"/>
        </w:rPr>
        <w:t xml:space="preserve">more traditional approaches such as Reggio Emilia (Malaguzzi, 1950), it is clear creativity requires and deserves a key position in our approach to education to ensure all learners are fully equipped for the world they will enter after education. </w:t>
      </w:r>
    </w:p>
    <w:p w14:paraId="0A9620A3" w14:textId="77777777" w:rsidR="00762CF9" w:rsidRDefault="00762CF9" w:rsidP="00FE7A4F">
      <w:pPr>
        <w:spacing w:line="360" w:lineRule="auto"/>
        <w:rPr>
          <w:sz w:val="26"/>
          <w:szCs w:val="26"/>
          <w:u w:val="single"/>
        </w:rPr>
      </w:pPr>
    </w:p>
    <w:p w14:paraId="7E22AC25" w14:textId="77777777" w:rsidR="00762CF9" w:rsidRDefault="00762CF9" w:rsidP="00FE7A4F">
      <w:pPr>
        <w:spacing w:line="360" w:lineRule="auto"/>
        <w:rPr>
          <w:sz w:val="26"/>
          <w:szCs w:val="26"/>
          <w:u w:val="single"/>
        </w:rPr>
      </w:pPr>
    </w:p>
    <w:p w14:paraId="7549F8AF" w14:textId="3C6EB501" w:rsidR="00762CF9" w:rsidRDefault="00762CF9" w:rsidP="00FE7A4F">
      <w:pPr>
        <w:spacing w:line="360" w:lineRule="auto"/>
        <w:rPr>
          <w:sz w:val="26"/>
          <w:szCs w:val="26"/>
          <w:u w:val="single"/>
        </w:rPr>
      </w:pPr>
      <w:r w:rsidRPr="00762CF9">
        <w:rPr>
          <w:sz w:val="26"/>
          <w:szCs w:val="26"/>
          <w:u w:val="single"/>
        </w:rPr>
        <w:lastRenderedPageBreak/>
        <w:t>Reference List</w:t>
      </w:r>
    </w:p>
    <w:p w14:paraId="5F9CAC7F" w14:textId="13EEF07C" w:rsidR="00762CF9" w:rsidRPr="00762CF9" w:rsidRDefault="00762CF9" w:rsidP="00762CF9">
      <w:pPr>
        <w:spacing w:line="360" w:lineRule="auto"/>
        <w:rPr>
          <w:sz w:val="26"/>
          <w:szCs w:val="26"/>
        </w:rPr>
      </w:pPr>
      <w:r w:rsidRPr="00762CF9">
        <w:rPr>
          <w:sz w:val="26"/>
          <w:szCs w:val="26"/>
        </w:rPr>
        <w:t xml:space="preserve">AASA School Superintendents Association. (2006). How the arts develop the brain. [Online]. Available at: http://aasa.org/SchoolAdministratorArticle.aspx?id=7378 [Accessed 2nd </w:t>
      </w:r>
      <w:r w:rsidRPr="00762CF9">
        <w:rPr>
          <w:sz w:val="26"/>
          <w:szCs w:val="26"/>
        </w:rPr>
        <w:t>March</w:t>
      </w:r>
      <w:r w:rsidRPr="00762CF9">
        <w:rPr>
          <w:sz w:val="26"/>
          <w:szCs w:val="26"/>
        </w:rPr>
        <w:t xml:space="preserve"> 2018]. </w:t>
      </w:r>
    </w:p>
    <w:p w14:paraId="18928098" w14:textId="508C858F" w:rsidR="00762CF9" w:rsidRPr="00762CF9" w:rsidRDefault="00762CF9" w:rsidP="00762CF9">
      <w:pPr>
        <w:spacing w:line="360" w:lineRule="auto"/>
        <w:rPr>
          <w:sz w:val="26"/>
          <w:szCs w:val="26"/>
        </w:rPr>
      </w:pPr>
      <w:r w:rsidRPr="00762CF9">
        <w:rPr>
          <w:sz w:val="26"/>
          <w:szCs w:val="26"/>
        </w:rPr>
        <w:t>Cordes, K. (2017). How to Build a Creative Classroom Culture. [Online]. Available at: http://neatoday.org/new-educators/build-creative-classroom-culture/ [Accessed 2nd March 2018].</w:t>
      </w:r>
    </w:p>
    <w:p w14:paraId="475C15BE" w14:textId="77777777" w:rsidR="00762CF9" w:rsidRPr="00762CF9" w:rsidRDefault="00762CF9" w:rsidP="00762CF9">
      <w:pPr>
        <w:spacing w:line="360" w:lineRule="auto"/>
        <w:rPr>
          <w:sz w:val="26"/>
          <w:szCs w:val="26"/>
        </w:rPr>
      </w:pPr>
      <w:r w:rsidRPr="00762CF9">
        <w:rPr>
          <w:sz w:val="26"/>
          <w:szCs w:val="26"/>
        </w:rPr>
        <w:t>Duffy, B. (2006), Supporting Creativity and Imagination in the Early Years. London: Oxford University Press</w:t>
      </w:r>
    </w:p>
    <w:p w14:paraId="32BB01A7" w14:textId="77777777" w:rsidR="00762CF9" w:rsidRPr="00762CF9" w:rsidRDefault="00762CF9" w:rsidP="00762CF9">
      <w:pPr>
        <w:spacing w:line="360" w:lineRule="auto"/>
        <w:rPr>
          <w:sz w:val="26"/>
          <w:szCs w:val="26"/>
        </w:rPr>
      </w:pPr>
      <w:proofErr w:type="spellStart"/>
      <w:r w:rsidRPr="00762CF9">
        <w:rPr>
          <w:sz w:val="26"/>
          <w:szCs w:val="26"/>
        </w:rPr>
        <w:t>MacAdam</w:t>
      </w:r>
      <w:proofErr w:type="spellEnd"/>
      <w:r w:rsidRPr="00762CF9">
        <w:rPr>
          <w:sz w:val="26"/>
          <w:szCs w:val="26"/>
        </w:rPr>
        <w:t>, C. (2008). Creativity thrives in the outdoor classroom. Teaching Times. [Online]. Available at: https://www.teachingtimes.com/articles/creativity-outdoor-classroom.htm [Accessed 2nd March 2018].</w:t>
      </w:r>
    </w:p>
    <w:p w14:paraId="4B3B1F29" w14:textId="4C93004D" w:rsidR="00762CF9" w:rsidRPr="00762CF9" w:rsidRDefault="00762CF9" w:rsidP="00762CF9">
      <w:pPr>
        <w:spacing w:line="360" w:lineRule="auto"/>
        <w:rPr>
          <w:sz w:val="26"/>
          <w:szCs w:val="26"/>
        </w:rPr>
      </w:pPr>
      <w:r w:rsidRPr="00762CF9">
        <w:rPr>
          <w:sz w:val="26"/>
          <w:szCs w:val="26"/>
        </w:rPr>
        <w:t xml:space="preserve">Montessori, M. (2013). The </w:t>
      </w:r>
      <w:r>
        <w:rPr>
          <w:sz w:val="26"/>
          <w:szCs w:val="26"/>
        </w:rPr>
        <w:t>M</w:t>
      </w:r>
      <w:r w:rsidRPr="00762CF9">
        <w:rPr>
          <w:sz w:val="26"/>
          <w:szCs w:val="26"/>
        </w:rPr>
        <w:t xml:space="preserve">ontessori </w:t>
      </w:r>
      <w:r>
        <w:rPr>
          <w:sz w:val="26"/>
          <w:szCs w:val="26"/>
        </w:rPr>
        <w:t>M</w:t>
      </w:r>
      <w:r w:rsidRPr="00762CF9">
        <w:rPr>
          <w:sz w:val="26"/>
          <w:szCs w:val="26"/>
        </w:rPr>
        <w:t>ethod. Piscataway, NJ: Transaction publishers.</w:t>
      </w:r>
    </w:p>
    <w:p w14:paraId="36274A47" w14:textId="77777777" w:rsidR="00762CF9" w:rsidRPr="00762CF9" w:rsidRDefault="00762CF9" w:rsidP="00762CF9">
      <w:pPr>
        <w:spacing w:line="360" w:lineRule="auto"/>
        <w:rPr>
          <w:sz w:val="26"/>
          <w:szCs w:val="26"/>
        </w:rPr>
      </w:pPr>
      <w:r w:rsidRPr="00762CF9">
        <w:rPr>
          <w:sz w:val="26"/>
          <w:szCs w:val="26"/>
        </w:rPr>
        <w:t>National Advisory Committee on Creative and Cultural Education (1999). All Our Futures: Creativity, Culture and Education. [Online]. Available at: http://sirkenrobinson.com/pd/allourfutures.pdf [Accessed 2nd March 2018].</w:t>
      </w:r>
    </w:p>
    <w:p w14:paraId="1C594C3A" w14:textId="77777777" w:rsidR="00762CF9" w:rsidRPr="00762CF9" w:rsidRDefault="00762CF9" w:rsidP="00762CF9">
      <w:pPr>
        <w:spacing w:line="360" w:lineRule="auto"/>
        <w:rPr>
          <w:sz w:val="26"/>
          <w:szCs w:val="26"/>
        </w:rPr>
      </w:pPr>
      <w:r w:rsidRPr="00762CF9">
        <w:rPr>
          <w:sz w:val="26"/>
          <w:szCs w:val="26"/>
        </w:rPr>
        <w:t xml:space="preserve">Ellen Winner, Thalia R. Goldstein, </w:t>
      </w:r>
      <w:proofErr w:type="spellStart"/>
      <w:r w:rsidRPr="00762CF9">
        <w:rPr>
          <w:sz w:val="26"/>
          <w:szCs w:val="26"/>
        </w:rPr>
        <w:t>Stéphan</w:t>
      </w:r>
      <w:proofErr w:type="spellEnd"/>
      <w:r w:rsidRPr="00762CF9">
        <w:rPr>
          <w:sz w:val="26"/>
          <w:szCs w:val="26"/>
        </w:rPr>
        <w:t xml:space="preserve"> Vincent-</w:t>
      </w:r>
      <w:proofErr w:type="spellStart"/>
      <w:r w:rsidRPr="00762CF9">
        <w:rPr>
          <w:sz w:val="26"/>
          <w:szCs w:val="26"/>
        </w:rPr>
        <w:t>Lancrin</w:t>
      </w:r>
      <w:proofErr w:type="spellEnd"/>
      <w:r w:rsidRPr="00762CF9">
        <w:rPr>
          <w:sz w:val="26"/>
          <w:szCs w:val="26"/>
        </w:rPr>
        <w:t xml:space="preserve">. (2013). Art for Art’s Sake: The Impact of Arts Education. OECD Centre for Education Research and Innovation. [Online]. Available at: http://www.oecd-ilibrary.org/education/art-for-art-s-sake_9789264180789-en. [Accessed 2nd March 2018]. </w:t>
      </w:r>
    </w:p>
    <w:p w14:paraId="28CE1D05" w14:textId="77777777" w:rsidR="00762CF9" w:rsidRPr="00762CF9" w:rsidRDefault="00762CF9" w:rsidP="00762CF9">
      <w:pPr>
        <w:spacing w:line="360" w:lineRule="auto"/>
        <w:rPr>
          <w:sz w:val="26"/>
          <w:szCs w:val="26"/>
        </w:rPr>
      </w:pPr>
      <w:r w:rsidRPr="00762CF9">
        <w:rPr>
          <w:sz w:val="26"/>
          <w:szCs w:val="26"/>
        </w:rPr>
        <w:t>Piaget, J. (1957). Construction of reality in the child. London: Routledge &amp; Kegan Paul.</w:t>
      </w:r>
    </w:p>
    <w:p w14:paraId="063C1B64" w14:textId="15F61BF6" w:rsidR="00762CF9" w:rsidRPr="00762CF9" w:rsidRDefault="00762CF9" w:rsidP="00762CF9">
      <w:pPr>
        <w:spacing w:line="360" w:lineRule="auto"/>
        <w:rPr>
          <w:sz w:val="26"/>
          <w:szCs w:val="26"/>
        </w:rPr>
      </w:pPr>
      <w:r w:rsidRPr="00762CF9">
        <w:rPr>
          <w:sz w:val="26"/>
          <w:szCs w:val="26"/>
        </w:rPr>
        <w:t>Smith, D. (2013). Arts in Education in the Schools of Wales. Cardiff: Arts Council of Wales. [Online]. Available at: http://gov.wales/docs/dcells/publications/130920-arts-in-education-en.pdf. [Accessed 2nd March 2018].</w:t>
      </w:r>
    </w:p>
    <w:p w14:paraId="4AF3853F" w14:textId="7678CABE" w:rsidR="00762CF9" w:rsidRPr="00762CF9" w:rsidRDefault="00762CF9" w:rsidP="00762CF9">
      <w:pPr>
        <w:spacing w:line="360" w:lineRule="auto"/>
        <w:rPr>
          <w:sz w:val="26"/>
          <w:szCs w:val="26"/>
        </w:rPr>
      </w:pPr>
      <w:r w:rsidRPr="00762CF9">
        <w:rPr>
          <w:sz w:val="26"/>
          <w:szCs w:val="26"/>
        </w:rPr>
        <w:lastRenderedPageBreak/>
        <w:t>Sternberg,</w:t>
      </w:r>
      <w:r>
        <w:rPr>
          <w:sz w:val="26"/>
          <w:szCs w:val="26"/>
        </w:rPr>
        <w:t xml:space="preserve"> </w:t>
      </w:r>
      <w:r w:rsidRPr="00762CF9">
        <w:rPr>
          <w:sz w:val="26"/>
          <w:szCs w:val="26"/>
        </w:rPr>
        <w:t>R.J.,</w:t>
      </w:r>
      <w:r>
        <w:rPr>
          <w:sz w:val="26"/>
          <w:szCs w:val="26"/>
        </w:rPr>
        <w:t xml:space="preserve"> </w:t>
      </w:r>
      <w:r w:rsidRPr="00762CF9">
        <w:rPr>
          <w:sz w:val="26"/>
          <w:szCs w:val="26"/>
        </w:rPr>
        <w:t>&amp;</w:t>
      </w:r>
      <w:r>
        <w:rPr>
          <w:sz w:val="26"/>
          <w:szCs w:val="26"/>
        </w:rPr>
        <w:t xml:space="preserve"> </w:t>
      </w:r>
      <w:proofErr w:type="spellStart"/>
      <w:proofErr w:type="gramStart"/>
      <w:r w:rsidRPr="00762CF9">
        <w:rPr>
          <w:sz w:val="26"/>
          <w:szCs w:val="26"/>
        </w:rPr>
        <w:t>Lubart,T.I</w:t>
      </w:r>
      <w:proofErr w:type="spellEnd"/>
      <w:r w:rsidRPr="00762CF9">
        <w:rPr>
          <w:sz w:val="26"/>
          <w:szCs w:val="26"/>
        </w:rPr>
        <w:t>.</w:t>
      </w:r>
      <w:proofErr w:type="gramEnd"/>
      <w:r>
        <w:rPr>
          <w:sz w:val="26"/>
          <w:szCs w:val="26"/>
        </w:rPr>
        <w:t xml:space="preserve"> </w:t>
      </w:r>
      <w:r w:rsidRPr="00762CF9">
        <w:rPr>
          <w:sz w:val="26"/>
          <w:szCs w:val="26"/>
        </w:rPr>
        <w:t>(1996).</w:t>
      </w:r>
      <w:proofErr w:type="spellStart"/>
      <w:r w:rsidRPr="00762CF9">
        <w:rPr>
          <w:sz w:val="26"/>
          <w:szCs w:val="26"/>
        </w:rPr>
        <w:t>Investingincreativity.American</w:t>
      </w:r>
      <w:proofErr w:type="spellEnd"/>
      <w:r w:rsidRPr="00762CF9">
        <w:rPr>
          <w:sz w:val="26"/>
          <w:szCs w:val="26"/>
        </w:rPr>
        <w:t xml:space="preserve"> Psychologist, 51(7), 677–688. [Online]. Available at: http://people.uncw.edu/caropresoe/GiftedFoundations/SocialEmotional/Creativity-articles/Sternberg_Nature-of-creativity.pdf [Accessed 2nd March].</w:t>
      </w:r>
    </w:p>
    <w:p w14:paraId="7B4BAB62" w14:textId="338458FF" w:rsidR="00762CF9" w:rsidRPr="00762CF9" w:rsidRDefault="00762CF9" w:rsidP="00762CF9">
      <w:pPr>
        <w:spacing w:line="360" w:lineRule="auto"/>
        <w:rPr>
          <w:sz w:val="26"/>
          <w:szCs w:val="26"/>
        </w:rPr>
      </w:pPr>
      <w:proofErr w:type="spellStart"/>
      <w:r w:rsidRPr="00762CF9">
        <w:rPr>
          <w:sz w:val="26"/>
          <w:szCs w:val="26"/>
        </w:rPr>
        <w:t>Zeedyk</w:t>
      </w:r>
      <w:proofErr w:type="spellEnd"/>
      <w:r w:rsidRPr="00762CF9">
        <w:rPr>
          <w:sz w:val="26"/>
          <w:szCs w:val="26"/>
        </w:rPr>
        <w:t xml:space="preserve">, S (2012), Babies brain development. [Online]. </w:t>
      </w:r>
      <w:proofErr w:type="spellStart"/>
      <w:r w:rsidRPr="00762CF9">
        <w:rPr>
          <w:sz w:val="26"/>
          <w:szCs w:val="26"/>
        </w:rPr>
        <w:t>Availble</w:t>
      </w:r>
      <w:proofErr w:type="spellEnd"/>
      <w:r w:rsidRPr="00762CF9">
        <w:rPr>
          <w:sz w:val="26"/>
          <w:szCs w:val="26"/>
        </w:rPr>
        <w:t xml:space="preserve"> at: http://www.suzannezeedyk.com/brain-development-suzanne-zeedyk/ [Accessed 2nd March</w:t>
      </w:r>
      <w:r>
        <w:rPr>
          <w:sz w:val="26"/>
          <w:szCs w:val="26"/>
        </w:rPr>
        <w:t xml:space="preserve"> </w:t>
      </w:r>
      <w:r w:rsidRPr="00762CF9">
        <w:rPr>
          <w:sz w:val="26"/>
          <w:szCs w:val="26"/>
        </w:rPr>
        <w:t xml:space="preserve">2018]. </w:t>
      </w:r>
    </w:p>
    <w:p w14:paraId="4695FD62" w14:textId="20FAC537" w:rsidR="00762CF9" w:rsidRPr="00762CF9" w:rsidRDefault="00762CF9" w:rsidP="00762CF9">
      <w:pPr>
        <w:spacing w:line="360" w:lineRule="auto"/>
        <w:rPr>
          <w:sz w:val="26"/>
          <w:szCs w:val="26"/>
        </w:rPr>
      </w:pPr>
      <w:r w:rsidRPr="00762CF9">
        <w:rPr>
          <w:sz w:val="26"/>
          <w:szCs w:val="26"/>
        </w:rPr>
        <w:t>Vygotsky, L.S. (1978). Mind in society: The development of higher psychological processes. Cambridge, MA: Harvard University Press</w:t>
      </w:r>
    </w:p>
    <w:sectPr w:rsidR="00762CF9" w:rsidRPr="00762CF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EB1C0" w14:textId="77777777" w:rsidR="000F420C" w:rsidRDefault="000F420C" w:rsidP="00762CF9">
      <w:pPr>
        <w:spacing w:after="0" w:line="240" w:lineRule="auto"/>
      </w:pPr>
      <w:r>
        <w:separator/>
      </w:r>
    </w:p>
  </w:endnote>
  <w:endnote w:type="continuationSeparator" w:id="0">
    <w:p w14:paraId="34D602E8" w14:textId="77777777" w:rsidR="000F420C" w:rsidRDefault="000F420C" w:rsidP="00762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BA59B" w14:textId="77777777" w:rsidR="000F420C" w:rsidRDefault="000F420C" w:rsidP="00762CF9">
      <w:pPr>
        <w:spacing w:after="0" w:line="240" w:lineRule="auto"/>
      </w:pPr>
      <w:r>
        <w:separator/>
      </w:r>
    </w:p>
  </w:footnote>
  <w:footnote w:type="continuationSeparator" w:id="0">
    <w:p w14:paraId="6B51C868" w14:textId="77777777" w:rsidR="000F420C" w:rsidRDefault="000F420C" w:rsidP="00762C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5A3B5" w14:textId="1B06213C" w:rsidR="00762CF9" w:rsidRPr="00762CF9" w:rsidRDefault="00762CF9">
    <w:pPr>
      <w:pStyle w:val="Header"/>
      <w:rPr>
        <w:sz w:val="26"/>
        <w:szCs w:val="26"/>
      </w:rPr>
    </w:pPr>
    <w:r w:rsidRPr="00762CF9">
      <w:rPr>
        <w:sz w:val="26"/>
        <w:szCs w:val="26"/>
      </w:rPr>
      <w:t>1501660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AC7"/>
    <w:rsid w:val="00006DFD"/>
    <w:rsid w:val="000F420C"/>
    <w:rsid w:val="00410CE8"/>
    <w:rsid w:val="004B11F0"/>
    <w:rsid w:val="005E727D"/>
    <w:rsid w:val="007267C6"/>
    <w:rsid w:val="00762CF9"/>
    <w:rsid w:val="0083354C"/>
    <w:rsid w:val="00D1146C"/>
    <w:rsid w:val="00E25991"/>
    <w:rsid w:val="00E44978"/>
    <w:rsid w:val="00F41AC7"/>
    <w:rsid w:val="00FE7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AE97"/>
  <w15:chartTrackingRefBased/>
  <w15:docId w15:val="{3C9BB095-56BE-43CD-9B1E-C9F545987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0CE8"/>
    <w:rPr>
      <w:color w:val="0563C1" w:themeColor="hyperlink"/>
      <w:u w:val="single"/>
    </w:rPr>
  </w:style>
  <w:style w:type="character" w:styleId="UnresolvedMention">
    <w:name w:val="Unresolved Mention"/>
    <w:basedOn w:val="DefaultParagraphFont"/>
    <w:uiPriority w:val="99"/>
    <w:semiHidden/>
    <w:unhideWhenUsed/>
    <w:rsid w:val="00410CE8"/>
    <w:rPr>
      <w:color w:val="808080"/>
      <w:shd w:val="clear" w:color="auto" w:fill="E6E6E6"/>
    </w:rPr>
  </w:style>
  <w:style w:type="character" w:styleId="FollowedHyperlink">
    <w:name w:val="FollowedHyperlink"/>
    <w:basedOn w:val="DefaultParagraphFont"/>
    <w:uiPriority w:val="99"/>
    <w:semiHidden/>
    <w:unhideWhenUsed/>
    <w:rsid w:val="00762CF9"/>
    <w:rPr>
      <w:color w:val="954F72" w:themeColor="followedHyperlink"/>
      <w:u w:val="single"/>
    </w:rPr>
  </w:style>
  <w:style w:type="paragraph" w:styleId="Header">
    <w:name w:val="header"/>
    <w:basedOn w:val="Normal"/>
    <w:link w:val="HeaderChar"/>
    <w:uiPriority w:val="99"/>
    <w:unhideWhenUsed/>
    <w:rsid w:val="00762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CF9"/>
  </w:style>
  <w:style w:type="paragraph" w:styleId="Footer">
    <w:name w:val="footer"/>
    <w:basedOn w:val="Normal"/>
    <w:link w:val="FooterChar"/>
    <w:uiPriority w:val="99"/>
    <w:unhideWhenUsed/>
    <w:rsid w:val="00762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8D75A-CF4B-47AA-B9A6-1BD3E6515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Pages>
  <Words>891</Words>
  <Characters>5083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Owen</dc:creator>
  <cp:keywords/>
  <dc:description/>
  <cp:lastModifiedBy>Elisabeth Owen</cp:lastModifiedBy>
  <cp:revision>2</cp:revision>
  <dcterms:created xsi:type="dcterms:W3CDTF">2018-03-09T18:10:00Z</dcterms:created>
  <dcterms:modified xsi:type="dcterms:W3CDTF">2018-03-12T21:05:00Z</dcterms:modified>
</cp:coreProperties>
</file>