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36DDF7" w14:textId="60EBE37C" w:rsidR="001A0FB1" w:rsidRDefault="003A77C9" w:rsidP="00635483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</w:t>
      </w:r>
    </w:p>
    <w:p w14:paraId="5B0481BA" w14:textId="77777777" w:rsidR="00635483" w:rsidRDefault="00635483" w:rsidP="00635483">
      <w:pPr>
        <w:jc w:val="center"/>
        <w:rPr>
          <w:rFonts w:ascii="Arial" w:hAnsi="Arial" w:cs="Arial"/>
          <w:sz w:val="56"/>
          <w:szCs w:val="56"/>
        </w:rPr>
      </w:pPr>
    </w:p>
    <w:p w14:paraId="10D5C145" w14:textId="77777777" w:rsidR="00635483" w:rsidRDefault="00635483" w:rsidP="00635483">
      <w:pPr>
        <w:jc w:val="center"/>
        <w:rPr>
          <w:rFonts w:ascii="Arial" w:hAnsi="Arial" w:cs="Arial"/>
          <w:sz w:val="56"/>
          <w:szCs w:val="56"/>
        </w:rPr>
      </w:pPr>
    </w:p>
    <w:p w14:paraId="35462C4D" w14:textId="77777777" w:rsidR="00635483" w:rsidRDefault="00635483" w:rsidP="00635483">
      <w:pPr>
        <w:rPr>
          <w:rFonts w:ascii="Arial" w:hAnsi="Arial" w:cs="Arial"/>
          <w:sz w:val="56"/>
          <w:szCs w:val="56"/>
        </w:rPr>
      </w:pPr>
    </w:p>
    <w:p w14:paraId="091D76ED" w14:textId="77777777" w:rsidR="00635483" w:rsidRDefault="00635483" w:rsidP="00635483">
      <w:pPr>
        <w:jc w:val="center"/>
        <w:rPr>
          <w:rFonts w:ascii="Arial" w:hAnsi="Arial" w:cs="Arial"/>
          <w:sz w:val="56"/>
          <w:szCs w:val="56"/>
        </w:rPr>
      </w:pPr>
    </w:p>
    <w:p w14:paraId="17862944" w14:textId="679366B3" w:rsidR="00635483" w:rsidRDefault="00635483" w:rsidP="00635483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>Smart Energy Management</w:t>
      </w:r>
    </w:p>
    <w:p w14:paraId="20F105B8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04EB9580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2462B6CC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26E06AA7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5C1D2602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16D9D531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1BC31504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6804BD98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69987DD3" w14:textId="77777777" w:rsidR="00635483" w:rsidRDefault="00635483" w:rsidP="00635483">
      <w:pPr>
        <w:rPr>
          <w:rFonts w:ascii="Arial" w:hAnsi="Arial" w:cs="Arial"/>
          <w:sz w:val="24"/>
          <w:szCs w:val="24"/>
        </w:rPr>
      </w:pPr>
    </w:p>
    <w:p w14:paraId="54DB07C8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60CA10A5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2AE2A142" w14:textId="6747CA19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Nicolae Adrian Puiu</w:t>
      </w:r>
    </w:p>
    <w:p w14:paraId="37661D74" w14:textId="14F2147C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</w:t>
      </w:r>
      <w:r w:rsidR="00C5290C">
        <w:rPr>
          <w:rFonts w:ascii="Arial" w:hAnsi="Arial" w:cs="Arial"/>
          <w:sz w:val="24"/>
          <w:szCs w:val="24"/>
        </w:rPr>
        <w:t xml:space="preserve"> 2025173</w:t>
      </w:r>
    </w:p>
    <w:p w14:paraId="66BA1318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Contemporary Themes BMIH6001</w:t>
      </w:r>
    </w:p>
    <w:p w14:paraId="7075E310" w14:textId="17DF60D6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Scott James</w:t>
      </w:r>
    </w:p>
    <w:p w14:paraId="347406FC" w14:textId="77777777" w:rsidR="00635483" w:rsidRDefault="00635483" w:rsidP="00635483">
      <w:pPr>
        <w:jc w:val="center"/>
        <w:rPr>
          <w:rFonts w:ascii="Arial" w:hAnsi="Arial" w:cs="Arial"/>
          <w:sz w:val="24"/>
          <w:szCs w:val="24"/>
        </w:rPr>
      </w:pPr>
    </w:p>
    <w:p w14:paraId="52A0D7A2" w14:textId="59E23A76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63548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6E9A917" wp14:editId="340BF651">
            <wp:extent cx="5731510" cy="3211195"/>
            <wp:effectExtent l="0" t="0" r="2540" b="8255"/>
            <wp:docPr id="12103835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38350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6A26A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07A5BF07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8259A56" w14:textId="1E969008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2832E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1203DE1" wp14:editId="5596439B">
            <wp:extent cx="5731510" cy="3230880"/>
            <wp:effectExtent l="0" t="0" r="2540" b="7620"/>
            <wp:docPr id="2042334694" name="Picture 1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334694" name="Picture 1" descr="A close-up of a websit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D0742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2B8B7761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751316CE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69A34257" w14:textId="34279B42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0827B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E7C0BB0" wp14:editId="623CA7AE">
            <wp:extent cx="5731510" cy="3246755"/>
            <wp:effectExtent l="0" t="0" r="2540" b="0"/>
            <wp:docPr id="1400606925" name="Picture 1" descr="A diagram of a mod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606925" name="Picture 1" descr="A diagram of a model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8ADB5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662B750D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3D247E23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133CD2EB" w14:textId="53F1844B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E315F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36D1F76" wp14:editId="2101DDCF">
            <wp:extent cx="5731510" cy="3208655"/>
            <wp:effectExtent l="0" t="0" r="2540" b="0"/>
            <wp:docPr id="16609678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967899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9B604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67C946C7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24A15909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4F69974C" w14:textId="6A91E041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EB4B24">
        <w:rPr>
          <w:rFonts w:ascii="Arial" w:hAnsi="Arial" w:cs="Arial"/>
          <w:b/>
          <w:bCs/>
          <w:noProof/>
          <w:color w:val="000000"/>
          <w:sz w:val="24"/>
          <w:szCs w:val="24"/>
        </w:rPr>
        <w:drawing>
          <wp:inline distT="0" distB="0" distL="0" distR="0" wp14:anchorId="795518CB" wp14:editId="5A9EC97E">
            <wp:extent cx="5731510" cy="3220720"/>
            <wp:effectExtent l="0" t="0" r="2540" b="0"/>
            <wp:docPr id="412788452" name="Picture 1" descr="A hand touching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788452" name="Picture 1" descr="A hand touching a scree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44EAE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5287891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CDE82F2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754AF54A" w14:textId="52B7DF29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2526C6">
        <w:rPr>
          <w:rFonts w:ascii="Arial" w:hAnsi="Arial" w:cs="Arial"/>
          <w:noProof/>
          <w:color w:val="000000"/>
        </w:rPr>
        <w:drawing>
          <wp:inline distT="0" distB="0" distL="0" distR="0" wp14:anchorId="72F918CF" wp14:editId="38E14E9D">
            <wp:extent cx="5731510" cy="3190875"/>
            <wp:effectExtent l="0" t="0" r="2540" b="9525"/>
            <wp:docPr id="1763226339" name="Picture 1" descr="A screenshot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226339" name="Picture 1" descr="A screenshot of a hote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1D1EB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7A6575B2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278E3661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B100FE0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6DF52DF2" w14:textId="01E93CAF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7171AD">
        <w:rPr>
          <w:rFonts w:ascii="Arial" w:hAnsi="Arial" w:cs="Arial"/>
          <w:b/>
          <w:bCs/>
          <w:noProof/>
          <w:color w:val="000000"/>
          <w:sz w:val="24"/>
          <w:szCs w:val="24"/>
        </w:rPr>
        <w:drawing>
          <wp:inline distT="0" distB="0" distL="0" distR="0" wp14:anchorId="6BC9C423" wp14:editId="2B4C8640">
            <wp:extent cx="5731510" cy="3263900"/>
            <wp:effectExtent l="0" t="0" r="2540" b="0"/>
            <wp:docPr id="1224128919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128919" name="Picture 1" descr="A close-up of a documen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3DF07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7F3C273F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313376F6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03672B60" w14:textId="74AF78F0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CF6BB0">
        <w:rPr>
          <w:rFonts w:ascii="Arial" w:hAnsi="Arial" w:cs="Arial"/>
          <w:b/>
          <w:bCs/>
          <w:noProof/>
          <w:color w:val="000000"/>
          <w:sz w:val="24"/>
          <w:szCs w:val="24"/>
        </w:rPr>
        <w:drawing>
          <wp:inline distT="0" distB="0" distL="0" distR="0" wp14:anchorId="0ABF8E32" wp14:editId="112E3562">
            <wp:extent cx="5731510" cy="3239135"/>
            <wp:effectExtent l="0" t="0" r="2540" b="0"/>
            <wp:docPr id="10336545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654500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029DB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1D52284A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00769D14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83623F8" w14:textId="37C165DE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  <w:r w:rsidRPr="00211380">
        <w:rPr>
          <w:rFonts w:ascii="Arial" w:hAnsi="Arial" w:cs="Arial"/>
          <w:b/>
          <w:bCs/>
          <w:noProof/>
          <w:color w:val="000000"/>
          <w:sz w:val="24"/>
          <w:szCs w:val="24"/>
        </w:rPr>
        <w:drawing>
          <wp:inline distT="0" distB="0" distL="0" distR="0" wp14:anchorId="116DC1DB" wp14:editId="393CE1BE">
            <wp:extent cx="5731510" cy="3198495"/>
            <wp:effectExtent l="0" t="0" r="2540" b="1905"/>
            <wp:docPr id="1321072393" name="Picture 1" descr="A hand touching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072393" name="Picture 1" descr="A hand touching a scree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8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1F2FE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0F291985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3280289C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73BC70E1" w14:textId="5E14C23A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35435B67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1450DB2D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D0DFD41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257F214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70578B18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6FE96416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212274F4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50748262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37C8F925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205EE294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3D3300A6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43688664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29D061D4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20366A1A" w14:textId="77777777" w:rsidR="00903E9E" w:rsidRDefault="00903E9E" w:rsidP="00635483">
      <w:pPr>
        <w:jc w:val="both"/>
        <w:rPr>
          <w:rFonts w:ascii="Arial" w:hAnsi="Arial" w:cs="Arial"/>
          <w:sz w:val="24"/>
          <w:szCs w:val="24"/>
        </w:rPr>
      </w:pPr>
    </w:p>
    <w:p w14:paraId="77BA832F" w14:textId="77777777" w:rsidR="00635483" w:rsidRDefault="00635483" w:rsidP="00635483">
      <w:pPr>
        <w:jc w:val="both"/>
        <w:rPr>
          <w:rFonts w:ascii="Arial" w:hAnsi="Arial" w:cs="Arial"/>
          <w:sz w:val="24"/>
          <w:szCs w:val="24"/>
        </w:rPr>
      </w:pPr>
    </w:p>
    <w:p w14:paraId="59DEE9EC" w14:textId="72BFBE95" w:rsidR="00635483" w:rsidRDefault="00635483" w:rsidP="0063548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</w:t>
      </w:r>
    </w:p>
    <w:p w14:paraId="365C98CB" w14:textId="77777777" w:rsidR="00051F8A" w:rsidRDefault="00051F8A" w:rsidP="00635483">
      <w:pPr>
        <w:rPr>
          <w:rFonts w:ascii="Arial" w:hAnsi="Arial" w:cs="Arial"/>
          <w:sz w:val="24"/>
          <w:szCs w:val="24"/>
          <w:lang w:val="en-IN"/>
        </w:rPr>
      </w:pPr>
    </w:p>
    <w:p w14:paraId="57A04533" w14:textId="695DB3CD" w:rsidR="00051F8A" w:rsidRPr="00051F8A" w:rsidRDefault="00051F8A" w:rsidP="00635483">
      <w:pPr>
        <w:rPr>
          <w:rFonts w:ascii="Arial" w:hAnsi="Arial" w:cs="Arial"/>
          <w:sz w:val="24"/>
          <w:szCs w:val="24"/>
          <w:lang w:val="nl-NL"/>
        </w:rPr>
      </w:pPr>
      <w:r w:rsidRPr="00051F8A">
        <w:rPr>
          <w:rFonts w:ascii="Arial" w:hAnsi="Arial" w:cs="Arial"/>
          <w:sz w:val="24"/>
          <w:szCs w:val="24"/>
          <w:lang w:val="nl-NL"/>
        </w:rPr>
        <w:t xml:space="preserve">Al-Emran, M. and Shaalan, K. (2021) </w:t>
      </w:r>
      <w:r w:rsidRPr="00051F8A">
        <w:rPr>
          <w:rFonts w:ascii="Arial" w:hAnsi="Arial" w:cs="Arial"/>
          <w:i/>
          <w:iCs/>
          <w:sz w:val="24"/>
          <w:szCs w:val="24"/>
          <w:lang w:val="nl-NL"/>
        </w:rPr>
        <w:t xml:space="preserve">Recent Advances in Technology Acceptance Models and Theories, </w:t>
      </w:r>
      <w:r w:rsidRPr="00051F8A">
        <w:rPr>
          <w:rFonts w:ascii="Arial" w:hAnsi="Arial" w:cs="Arial"/>
          <w:sz w:val="24"/>
          <w:szCs w:val="24"/>
          <w:lang w:val="nl-NL"/>
        </w:rPr>
        <w:t>1st edn. New York: Springer International Publishing</w:t>
      </w:r>
      <w:r>
        <w:rPr>
          <w:rFonts w:ascii="Arial" w:hAnsi="Arial" w:cs="Arial"/>
          <w:sz w:val="24"/>
          <w:szCs w:val="24"/>
          <w:lang w:val="nl-NL"/>
        </w:rPr>
        <w:t>.</w:t>
      </w:r>
    </w:p>
    <w:p w14:paraId="3DA454CF" w14:textId="195E744C" w:rsidR="00635483" w:rsidRPr="00635483" w:rsidRDefault="00635483" w:rsidP="00635483">
      <w:pPr>
        <w:rPr>
          <w:rFonts w:ascii="Arial" w:hAnsi="Arial" w:cs="Arial"/>
          <w:sz w:val="24"/>
          <w:szCs w:val="24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Chan, E.S., Okumus, F. and Chan, W. (2020) </w:t>
      </w:r>
      <w:r>
        <w:rPr>
          <w:rFonts w:ascii="Arial" w:hAnsi="Arial" w:cs="Arial"/>
          <w:sz w:val="24"/>
          <w:szCs w:val="24"/>
          <w:lang w:val="en-IN"/>
        </w:rPr>
        <w:t>‘</w:t>
      </w:r>
      <w:r w:rsidRPr="00635483">
        <w:rPr>
          <w:rFonts w:ascii="Arial" w:hAnsi="Arial" w:cs="Arial"/>
          <w:sz w:val="24"/>
          <w:szCs w:val="24"/>
          <w:lang w:val="en-IN"/>
        </w:rPr>
        <w:t>What hinders hotels’ adoption of environmental technologies: A quantitative study</w:t>
      </w:r>
      <w:r>
        <w:rPr>
          <w:rFonts w:ascii="Arial" w:hAnsi="Arial" w:cs="Arial"/>
          <w:sz w:val="24"/>
          <w:szCs w:val="24"/>
          <w:lang w:val="en-IN"/>
        </w:rPr>
        <w:t>’,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International Journal of Hospitality Management</w:t>
      </w:r>
      <w:r w:rsidRPr="00635483">
        <w:rPr>
          <w:rFonts w:ascii="Arial" w:hAnsi="Arial" w:cs="Arial"/>
          <w:sz w:val="24"/>
          <w:szCs w:val="24"/>
          <w:lang w:val="en-IN"/>
        </w:rPr>
        <w:t>, 84, p.102324.</w:t>
      </w:r>
    </w:p>
    <w:p w14:paraId="6F1F827C" w14:textId="77777777" w:rsidR="00635483" w:rsidRDefault="00635483" w:rsidP="00635483">
      <w:pPr>
        <w:rPr>
          <w:rFonts w:ascii="Arial" w:hAnsi="Arial" w:cs="Arial"/>
          <w:sz w:val="24"/>
          <w:szCs w:val="24"/>
          <w:lang w:val="en-IN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enablersofchange (2023)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What is the Technology Acceptance Model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? Available at: https://www.enablersofchange.com.au/what-is-the-technology-acceptance-model/ </w:t>
      </w:r>
      <w:r>
        <w:rPr>
          <w:rFonts w:ascii="Arial" w:hAnsi="Arial" w:cs="Arial"/>
          <w:sz w:val="24"/>
          <w:szCs w:val="24"/>
          <w:lang w:val="en-IN"/>
        </w:rPr>
        <w:t>(</w:t>
      </w:r>
      <w:r w:rsidRPr="00635483">
        <w:rPr>
          <w:rFonts w:ascii="Arial" w:hAnsi="Arial" w:cs="Arial"/>
          <w:sz w:val="24"/>
          <w:szCs w:val="24"/>
          <w:lang w:val="en-IN"/>
        </w:rPr>
        <w:t>Accessed</w:t>
      </w:r>
      <w:r>
        <w:rPr>
          <w:rFonts w:ascii="Arial" w:hAnsi="Arial" w:cs="Arial"/>
          <w:sz w:val="24"/>
          <w:szCs w:val="24"/>
          <w:lang w:val="en-IN"/>
        </w:rPr>
        <w:t>: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 24 January 2024</w:t>
      </w:r>
      <w:r>
        <w:rPr>
          <w:rFonts w:ascii="Arial" w:hAnsi="Arial" w:cs="Arial"/>
          <w:sz w:val="24"/>
          <w:szCs w:val="24"/>
          <w:lang w:val="en-IN"/>
        </w:rPr>
        <w:t>)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. </w:t>
      </w:r>
    </w:p>
    <w:p w14:paraId="645659F8" w14:textId="4F05CEFE" w:rsidR="00635483" w:rsidRPr="00635483" w:rsidRDefault="00635483" w:rsidP="00635483">
      <w:pPr>
        <w:rPr>
          <w:rFonts w:ascii="Arial" w:hAnsi="Arial" w:cs="Arial"/>
          <w:sz w:val="24"/>
          <w:szCs w:val="24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Gerhart, B. and Feng, J. (2021) </w:t>
      </w:r>
      <w:r>
        <w:rPr>
          <w:rFonts w:ascii="Arial" w:hAnsi="Arial" w:cs="Arial"/>
          <w:sz w:val="24"/>
          <w:szCs w:val="24"/>
          <w:lang w:val="en-IN"/>
        </w:rPr>
        <w:t>‘</w:t>
      </w:r>
      <w:r w:rsidRPr="00635483">
        <w:rPr>
          <w:rFonts w:ascii="Arial" w:hAnsi="Arial" w:cs="Arial"/>
          <w:sz w:val="24"/>
          <w:szCs w:val="24"/>
          <w:lang w:val="en-IN"/>
        </w:rPr>
        <w:t>The resource-based view of the firm, human resources, and human capital: Progress and prospects</w:t>
      </w:r>
      <w:r>
        <w:rPr>
          <w:rFonts w:ascii="Arial" w:hAnsi="Arial" w:cs="Arial"/>
          <w:sz w:val="24"/>
          <w:szCs w:val="24"/>
          <w:lang w:val="en-IN"/>
        </w:rPr>
        <w:t>’,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Journal of Management</w:t>
      </w:r>
      <w:r w:rsidRPr="00635483">
        <w:rPr>
          <w:rFonts w:ascii="Arial" w:hAnsi="Arial" w:cs="Arial"/>
          <w:sz w:val="24"/>
          <w:szCs w:val="24"/>
          <w:lang w:val="en-IN"/>
        </w:rPr>
        <w:t>, 47(7), pp.1796-1819.</w:t>
      </w:r>
    </w:p>
    <w:p w14:paraId="5FC677F4" w14:textId="77554AC4" w:rsidR="00635483" w:rsidRPr="00635483" w:rsidRDefault="00635483" w:rsidP="00635483">
      <w:pPr>
        <w:rPr>
          <w:rFonts w:ascii="Arial" w:hAnsi="Arial" w:cs="Arial"/>
          <w:sz w:val="24"/>
          <w:szCs w:val="24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Hua, N. </w:t>
      </w:r>
      <w:r w:rsidR="00D4437F">
        <w:rPr>
          <w:rFonts w:ascii="Arial" w:hAnsi="Arial" w:cs="Arial"/>
          <w:i/>
          <w:iCs/>
          <w:sz w:val="24"/>
          <w:szCs w:val="24"/>
          <w:lang w:val="en-IN"/>
        </w:rPr>
        <w:t xml:space="preserve">et al. 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(2020) </w:t>
      </w:r>
      <w:r w:rsidR="00D4437F">
        <w:rPr>
          <w:rFonts w:ascii="Arial" w:hAnsi="Arial" w:cs="Arial"/>
          <w:sz w:val="24"/>
          <w:szCs w:val="24"/>
          <w:lang w:val="en-IN"/>
        </w:rPr>
        <w:t>‘</w:t>
      </w:r>
      <w:r w:rsidRPr="00635483">
        <w:rPr>
          <w:rFonts w:ascii="Arial" w:hAnsi="Arial" w:cs="Arial"/>
          <w:sz w:val="24"/>
          <w:szCs w:val="24"/>
          <w:lang w:val="en-IN"/>
        </w:rPr>
        <w:t>The moderating effect of operator type: the impact of information technology (IT) expenditures on hotels’ operating performance</w:t>
      </w:r>
      <w:r w:rsidR="00D4437F">
        <w:rPr>
          <w:rFonts w:ascii="Arial" w:hAnsi="Arial" w:cs="Arial"/>
          <w:sz w:val="24"/>
          <w:szCs w:val="24"/>
          <w:lang w:val="en-IN"/>
        </w:rPr>
        <w:t>’,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International Journal of Contemporary Hospitality Management</w:t>
      </w:r>
      <w:r w:rsidRPr="00635483">
        <w:rPr>
          <w:rFonts w:ascii="Arial" w:hAnsi="Arial" w:cs="Arial"/>
          <w:sz w:val="24"/>
          <w:szCs w:val="24"/>
          <w:lang w:val="en-IN"/>
        </w:rPr>
        <w:t>, 32(8), pp.2519-2541.</w:t>
      </w:r>
    </w:p>
    <w:p w14:paraId="20D29FF3" w14:textId="0AC23E8F" w:rsidR="00D4437F" w:rsidRDefault="00635483" w:rsidP="00635483">
      <w:pPr>
        <w:rPr>
          <w:rFonts w:ascii="Arial" w:hAnsi="Arial" w:cs="Arial"/>
          <w:sz w:val="24"/>
          <w:szCs w:val="24"/>
          <w:lang w:val="en-IN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Jurevicius, O. (2023)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Resource-Based View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. Available at: https://strategicmanagementinsight.com/tools/resource-based-view/ </w:t>
      </w:r>
      <w:r w:rsidR="00D4437F">
        <w:rPr>
          <w:rFonts w:ascii="Arial" w:hAnsi="Arial" w:cs="Arial"/>
          <w:sz w:val="24"/>
          <w:szCs w:val="24"/>
          <w:lang w:val="en-IN"/>
        </w:rPr>
        <w:t>(</w:t>
      </w:r>
      <w:r w:rsidRPr="00635483">
        <w:rPr>
          <w:rFonts w:ascii="Arial" w:hAnsi="Arial" w:cs="Arial"/>
          <w:sz w:val="24"/>
          <w:szCs w:val="24"/>
          <w:lang w:val="en-IN"/>
        </w:rPr>
        <w:t>Accessed</w:t>
      </w:r>
      <w:r w:rsidR="00D4437F">
        <w:rPr>
          <w:rFonts w:ascii="Arial" w:hAnsi="Arial" w:cs="Arial"/>
          <w:sz w:val="24"/>
          <w:szCs w:val="24"/>
          <w:lang w:val="en-IN"/>
        </w:rPr>
        <w:t>: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 25 January 2024</w:t>
      </w:r>
      <w:r w:rsidR="00D4437F">
        <w:rPr>
          <w:rFonts w:ascii="Arial" w:hAnsi="Arial" w:cs="Arial"/>
          <w:sz w:val="24"/>
          <w:szCs w:val="24"/>
          <w:lang w:val="en-IN"/>
        </w:rPr>
        <w:t>)</w:t>
      </w:r>
      <w:r w:rsidRPr="00635483">
        <w:rPr>
          <w:rFonts w:ascii="Arial" w:hAnsi="Arial" w:cs="Arial"/>
          <w:sz w:val="24"/>
          <w:szCs w:val="24"/>
          <w:lang w:val="en-IN"/>
        </w:rPr>
        <w:t>.</w:t>
      </w:r>
    </w:p>
    <w:p w14:paraId="5BF4A4F4" w14:textId="2EFB4873" w:rsidR="00635483" w:rsidRPr="00635483" w:rsidRDefault="00635483" w:rsidP="00635483">
      <w:pPr>
        <w:rPr>
          <w:rFonts w:ascii="Arial" w:hAnsi="Arial" w:cs="Arial"/>
          <w:sz w:val="24"/>
          <w:szCs w:val="24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Kao, W.K. and Huang, Y.S.S. (2023) </w:t>
      </w:r>
      <w:r w:rsidR="00D4437F">
        <w:rPr>
          <w:rFonts w:ascii="Arial" w:hAnsi="Arial" w:cs="Arial"/>
          <w:sz w:val="24"/>
          <w:szCs w:val="24"/>
          <w:lang w:val="en-IN"/>
        </w:rPr>
        <w:t>‘</w:t>
      </w:r>
      <w:r w:rsidRPr="00635483">
        <w:rPr>
          <w:rFonts w:ascii="Arial" w:hAnsi="Arial" w:cs="Arial"/>
          <w:sz w:val="24"/>
          <w:szCs w:val="24"/>
          <w:lang w:val="en-IN"/>
        </w:rPr>
        <w:t>Service robots in full-and limited-service restaurants: Extending technology acceptance model</w:t>
      </w:r>
      <w:r w:rsidR="00D4437F">
        <w:rPr>
          <w:rFonts w:ascii="Arial" w:hAnsi="Arial" w:cs="Arial"/>
          <w:sz w:val="24"/>
          <w:szCs w:val="24"/>
          <w:lang w:val="en-IN"/>
        </w:rPr>
        <w:t>’,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Journal of Hospitality and Tourism Management</w:t>
      </w:r>
      <w:r w:rsidRPr="00635483">
        <w:rPr>
          <w:rFonts w:ascii="Arial" w:hAnsi="Arial" w:cs="Arial"/>
          <w:sz w:val="24"/>
          <w:szCs w:val="24"/>
          <w:lang w:val="en-IN"/>
        </w:rPr>
        <w:t>, 54, pp.10-21.</w:t>
      </w:r>
    </w:p>
    <w:p w14:paraId="53691243" w14:textId="08A70A7A" w:rsidR="00635483" w:rsidRDefault="00635483" w:rsidP="00635483">
      <w:pPr>
        <w:rPr>
          <w:rFonts w:ascii="Arial" w:hAnsi="Arial" w:cs="Arial"/>
          <w:sz w:val="24"/>
          <w:szCs w:val="24"/>
          <w:lang w:val="en-IN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Katsoni, V. and Dougali, E. (2020)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Smart Hospitality Strategies in a Smart City Context</w:t>
      </w:r>
      <w:r w:rsidRPr="00635483">
        <w:rPr>
          <w:rFonts w:ascii="Arial" w:hAnsi="Arial" w:cs="Arial"/>
          <w:sz w:val="24"/>
          <w:szCs w:val="24"/>
          <w:lang w:val="en-IN"/>
        </w:rPr>
        <w:t>. Int. J. Cult. Digit. Tour, 7, pp.2241-9705.</w:t>
      </w:r>
    </w:p>
    <w:p w14:paraId="5FAFA9FC" w14:textId="10B0B59F" w:rsidR="00051F8A" w:rsidRPr="00051F8A" w:rsidRDefault="00051F8A" w:rsidP="00635483">
      <w:pPr>
        <w:rPr>
          <w:rFonts w:ascii="Arial" w:hAnsi="Arial" w:cs="Arial"/>
          <w:sz w:val="24"/>
          <w:szCs w:val="24"/>
          <w:lang w:val="nl-NL"/>
        </w:rPr>
      </w:pPr>
      <w:r w:rsidRPr="00051F8A">
        <w:rPr>
          <w:rFonts w:ascii="Arial" w:hAnsi="Arial" w:cs="Arial"/>
          <w:sz w:val="24"/>
          <w:szCs w:val="24"/>
          <w:lang w:val="nl-NL"/>
        </w:rPr>
        <w:t xml:space="preserve">Kruesi, M.A. and Bazelmans, L. (2023) ‘Resources, capabilities and competencies: a review of empirical hospitality and tourism research founded on the resource-based view of the firm’, </w:t>
      </w:r>
      <w:r w:rsidRPr="00051F8A">
        <w:rPr>
          <w:rFonts w:ascii="Arial" w:hAnsi="Arial" w:cs="Arial"/>
          <w:i/>
          <w:iCs/>
          <w:sz w:val="24"/>
          <w:szCs w:val="24"/>
          <w:lang w:val="nl-NL"/>
        </w:rPr>
        <w:t>Journal of Hospitality and Tourism Insights</w:t>
      </w:r>
      <w:r w:rsidRPr="00051F8A">
        <w:rPr>
          <w:rFonts w:ascii="Arial" w:hAnsi="Arial" w:cs="Arial"/>
          <w:sz w:val="24"/>
          <w:szCs w:val="24"/>
          <w:lang w:val="nl-NL"/>
        </w:rPr>
        <w:t>, 6(2), pp.549-574.</w:t>
      </w:r>
    </w:p>
    <w:p w14:paraId="6BFA228D" w14:textId="6969F351" w:rsidR="00051F8A" w:rsidRPr="00051F8A" w:rsidRDefault="00051F8A" w:rsidP="00635483">
      <w:pPr>
        <w:rPr>
          <w:rFonts w:ascii="Arial" w:hAnsi="Arial" w:cs="Arial"/>
          <w:sz w:val="24"/>
          <w:szCs w:val="24"/>
          <w:lang w:val="nl-NL"/>
        </w:rPr>
      </w:pPr>
      <w:r w:rsidRPr="00051F8A">
        <w:rPr>
          <w:rFonts w:ascii="Arial" w:hAnsi="Arial" w:cs="Arial"/>
          <w:sz w:val="24"/>
          <w:szCs w:val="24"/>
          <w:lang w:val="nl-NL"/>
        </w:rPr>
        <w:t xml:space="preserve">Lefrid, M. </w:t>
      </w:r>
      <w:r w:rsidRPr="00051F8A">
        <w:rPr>
          <w:rFonts w:ascii="Arial" w:hAnsi="Arial" w:cs="Arial"/>
          <w:i/>
          <w:iCs/>
          <w:sz w:val="24"/>
          <w:szCs w:val="24"/>
          <w:lang w:val="nl-NL"/>
        </w:rPr>
        <w:t xml:space="preserve">Et al. </w:t>
      </w:r>
      <w:r w:rsidRPr="00051F8A">
        <w:rPr>
          <w:rFonts w:ascii="Arial" w:hAnsi="Arial" w:cs="Arial"/>
          <w:sz w:val="24"/>
          <w:szCs w:val="24"/>
          <w:lang w:val="nl-NL"/>
        </w:rPr>
        <w:t xml:space="preserve">(2023) ‘Simulation-Based Learning Acceptance Model (SBL-AM): Expanding the Technology Acceptance Model (TAM) into Hospitality Education’, </w:t>
      </w:r>
      <w:r w:rsidRPr="00051F8A">
        <w:rPr>
          <w:rFonts w:ascii="Arial" w:hAnsi="Arial" w:cs="Arial"/>
          <w:i/>
          <w:iCs/>
          <w:sz w:val="24"/>
          <w:szCs w:val="24"/>
          <w:lang w:val="nl-NL"/>
        </w:rPr>
        <w:t>Journal of Hospitality &amp; Tourism Education</w:t>
      </w:r>
      <w:r w:rsidRPr="00051F8A">
        <w:rPr>
          <w:rFonts w:ascii="Arial" w:hAnsi="Arial" w:cs="Arial"/>
          <w:sz w:val="24"/>
          <w:szCs w:val="24"/>
          <w:lang w:val="nl-NL"/>
        </w:rPr>
        <w:t>, pp.1-15.</w:t>
      </w:r>
    </w:p>
    <w:p w14:paraId="00EE6438" w14:textId="4AC7BF13" w:rsidR="00635483" w:rsidRPr="00635483" w:rsidRDefault="00635483" w:rsidP="00635483">
      <w:pPr>
        <w:rPr>
          <w:rFonts w:ascii="Arial" w:hAnsi="Arial" w:cs="Arial"/>
          <w:sz w:val="24"/>
          <w:szCs w:val="24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Legrand, W., Chen, J.S. and Laeis, G.C. (2022) 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>Sustainability in the hospitality industry: Principles of sustainable operations</w:t>
      </w:r>
      <w:r w:rsidRPr="00635483">
        <w:rPr>
          <w:rFonts w:ascii="Arial" w:hAnsi="Arial" w:cs="Arial"/>
          <w:sz w:val="24"/>
          <w:szCs w:val="24"/>
          <w:lang w:val="en-IN"/>
        </w:rPr>
        <w:t>. Taylor &amp; Francis.</w:t>
      </w:r>
    </w:p>
    <w:p w14:paraId="76CD82A4" w14:textId="49EDCB98" w:rsidR="00051F8A" w:rsidRDefault="00051F8A" w:rsidP="00635483">
      <w:pPr>
        <w:rPr>
          <w:rFonts w:ascii="Arial" w:hAnsi="Arial" w:cs="Arial"/>
          <w:sz w:val="24"/>
          <w:szCs w:val="24"/>
          <w:lang w:val="en-IN"/>
        </w:rPr>
      </w:pPr>
      <w:r w:rsidRPr="00051F8A">
        <w:rPr>
          <w:rFonts w:ascii="Arial" w:hAnsi="Arial" w:cs="Arial"/>
          <w:sz w:val="24"/>
          <w:szCs w:val="24"/>
          <w:lang w:val="nl-NL"/>
        </w:rPr>
        <w:t xml:space="preserve">Ruel, H. and Njoku, E. (2021) ‘AI redefining the hospitality industry’, </w:t>
      </w:r>
      <w:r w:rsidRPr="00051F8A">
        <w:rPr>
          <w:rFonts w:ascii="Arial" w:hAnsi="Arial" w:cs="Arial"/>
          <w:i/>
          <w:iCs/>
          <w:sz w:val="24"/>
          <w:szCs w:val="24"/>
          <w:lang w:val="nl-NL"/>
        </w:rPr>
        <w:t>Journal of Tourism Futures</w:t>
      </w:r>
      <w:r w:rsidRPr="00051F8A">
        <w:rPr>
          <w:rFonts w:ascii="Arial" w:hAnsi="Arial" w:cs="Arial"/>
          <w:sz w:val="24"/>
          <w:szCs w:val="24"/>
          <w:lang w:val="nl-NL"/>
        </w:rPr>
        <w:t>, 7(1), pp.53-66</w:t>
      </w:r>
    </w:p>
    <w:p w14:paraId="54875D95" w14:textId="20A8623D" w:rsidR="00635483" w:rsidRPr="00635483" w:rsidRDefault="00635483" w:rsidP="00635483">
      <w:pPr>
        <w:rPr>
          <w:rFonts w:ascii="Arial" w:hAnsi="Arial" w:cs="Arial"/>
          <w:sz w:val="24"/>
          <w:szCs w:val="24"/>
        </w:rPr>
      </w:pPr>
      <w:r w:rsidRPr="00635483">
        <w:rPr>
          <w:rFonts w:ascii="Arial" w:hAnsi="Arial" w:cs="Arial"/>
          <w:sz w:val="24"/>
          <w:szCs w:val="24"/>
          <w:lang w:val="en-IN"/>
        </w:rPr>
        <w:t>Sarigiannidis, C.</w:t>
      </w:r>
      <w:r w:rsidR="00D4437F">
        <w:rPr>
          <w:rFonts w:ascii="Arial" w:hAnsi="Arial" w:cs="Arial"/>
          <w:sz w:val="24"/>
          <w:szCs w:val="24"/>
          <w:lang w:val="en-IN"/>
        </w:rPr>
        <w:t xml:space="preserve"> </w:t>
      </w:r>
      <w:r w:rsidR="00D4437F">
        <w:rPr>
          <w:rFonts w:ascii="Arial" w:hAnsi="Arial" w:cs="Arial"/>
          <w:i/>
          <w:iCs/>
          <w:sz w:val="24"/>
          <w:szCs w:val="24"/>
          <w:lang w:val="en-IN"/>
        </w:rPr>
        <w:t xml:space="preserve">et al. </w:t>
      </w:r>
      <w:r w:rsidRPr="00635483">
        <w:rPr>
          <w:rFonts w:ascii="Arial" w:hAnsi="Arial" w:cs="Arial"/>
          <w:sz w:val="24"/>
          <w:szCs w:val="24"/>
          <w:lang w:val="en-IN"/>
        </w:rPr>
        <w:t>(2021), June. Do hotels care? A proposed smart framework for the effectiveness of an environmental management accounting system based on business intelligence technologies. In Culture and Tourism in a Smart, Globalized, and Sustainable World: 7th International Conference of IACuDiT, Hydra, Greece, 2020 (pp. 635-647). Cham: Springer International Publishing.</w:t>
      </w:r>
    </w:p>
    <w:p w14:paraId="681E0188" w14:textId="66C7DD04" w:rsidR="00635483" w:rsidRDefault="00635483" w:rsidP="00635483">
      <w:pPr>
        <w:rPr>
          <w:rFonts w:ascii="Arial" w:hAnsi="Arial" w:cs="Arial"/>
          <w:sz w:val="24"/>
          <w:szCs w:val="24"/>
          <w:lang w:val="en-IN"/>
        </w:rPr>
      </w:pPr>
      <w:r w:rsidRPr="00635483">
        <w:rPr>
          <w:rFonts w:ascii="Arial" w:hAnsi="Arial" w:cs="Arial"/>
          <w:sz w:val="24"/>
          <w:szCs w:val="24"/>
          <w:lang w:val="en-IN"/>
        </w:rPr>
        <w:t xml:space="preserve">Stylos, N. </w:t>
      </w:r>
      <w:r w:rsidR="00D4437F">
        <w:rPr>
          <w:rFonts w:ascii="Arial" w:hAnsi="Arial" w:cs="Arial"/>
          <w:i/>
          <w:iCs/>
          <w:sz w:val="24"/>
          <w:szCs w:val="24"/>
          <w:lang w:val="en-IN"/>
        </w:rPr>
        <w:t xml:space="preserve">et al. </w:t>
      </w:r>
      <w:r w:rsidRPr="00635483">
        <w:rPr>
          <w:rFonts w:ascii="Arial" w:hAnsi="Arial" w:cs="Arial"/>
          <w:sz w:val="24"/>
          <w:szCs w:val="24"/>
          <w:lang w:val="en-IN"/>
        </w:rPr>
        <w:t xml:space="preserve">(2021) </w:t>
      </w:r>
      <w:r w:rsidR="00D4437F">
        <w:rPr>
          <w:rFonts w:ascii="Arial" w:hAnsi="Arial" w:cs="Arial"/>
          <w:sz w:val="24"/>
          <w:szCs w:val="24"/>
          <w:lang w:val="en-IN"/>
        </w:rPr>
        <w:t>‘</w:t>
      </w:r>
      <w:r w:rsidRPr="00635483">
        <w:rPr>
          <w:rFonts w:ascii="Arial" w:hAnsi="Arial" w:cs="Arial"/>
          <w:sz w:val="24"/>
          <w:szCs w:val="24"/>
          <w:lang w:val="en-IN"/>
        </w:rPr>
        <w:t>Beyond smart systems adoption: Enabling diffusion and assimilation of smartness in hospitality</w:t>
      </w:r>
      <w:r w:rsidR="00D4437F">
        <w:rPr>
          <w:rFonts w:ascii="Arial" w:hAnsi="Arial" w:cs="Arial"/>
          <w:sz w:val="24"/>
          <w:szCs w:val="24"/>
          <w:lang w:val="en-IN"/>
        </w:rPr>
        <w:t>’</w:t>
      </w:r>
      <w:r w:rsidR="00D4437F" w:rsidRPr="00D4437F">
        <w:rPr>
          <w:rFonts w:ascii="Arial" w:hAnsi="Arial" w:cs="Arial"/>
          <w:i/>
          <w:iCs/>
          <w:sz w:val="24"/>
          <w:szCs w:val="24"/>
          <w:lang w:val="en-IN"/>
        </w:rPr>
        <w:t>,</w:t>
      </w:r>
      <w:r w:rsidRPr="00635483">
        <w:rPr>
          <w:rFonts w:ascii="Arial" w:hAnsi="Arial" w:cs="Arial"/>
          <w:i/>
          <w:iCs/>
          <w:sz w:val="24"/>
          <w:szCs w:val="24"/>
          <w:lang w:val="en-IN"/>
        </w:rPr>
        <w:t xml:space="preserve"> International Journal of Hospitality Management</w:t>
      </w:r>
      <w:r w:rsidRPr="00635483">
        <w:rPr>
          <w:rFonts w:ascii="Arial" w:hAnsi="Arial" w:cs="Arial"/>
          <w:sz w:val="24"/>
          <w:szCs w:val="24"/>
          <w:lang w:val="en-IN"/>
        </w:rPr>
        <w:t>, 98, p.103042.</w:t>
      </w:r>
    </w:p>
    <w:p w14:paraId="1E8BED99" w14:textId="77777777" w:rsidR="00051F8A" w:rsidRPr="00051F8A" w:rsidRDefault="00051F8A" w:rsidP="00051F8A">
      <w:pPr>
        <w:rPr>
          <w:rFonts w:ascii="Arial" w:hAnsi="Arial" w:cs="Arial"/>
          <w:sz w:val="24"/>
          <w:szCs w:val="24"/>
          <w:lang w:val="nl-NL"/>
        </w:rPr>
      </w:pPr>
      <w:r w:rsidRPr="00051F8A">
        <w:rPr>
          <w:rFonts w:ascii="Arial" w:hAnsi="Arial" w:cs="Arial"/>
          <w:sz w:val="24"/>
          <w:szCs w:val="24"/>
          <w:lang w:val="nl-NL"/>
        </w:rPr>
        <w:t xml:space="preserve">Vanickova, R. (2020) </w:t>
      </w:r>
      <w:r w:rsidRPr="00051F8A">
        <w:rPr>
          <w:rFonts w:ascii="Arial" w:hAnsi="Arial" w:cs="Arial"/>
          <w:i/>
          <w:iCs/>
          <w:sz w:val="24"/>
          <w:szCs w:val="24"/>
          <w:lang w:val="nl-NL"/>
        </w:rPr>
        <w:t>Innovation Corporate Energy Management: Efficiency Of Green Investment</w:t>
      </w:r>
      <w:r w:rsidRPr="00051F8A">
        <w:rPr>
          <w:rFonts w:ascii="Arial" w:hAnsi="Arial" w:cs="Arial"/>
          <w:sz w:val="24"/>
          <w:szCs w:val="24"/>
          <w:lang w:val="nl-NL"/>
        </w:rPr>
        <w:t>. Marketing &amp; Management of Innovations, 1(2), pp. 56-67. DOI:10.21272/mmi.2020.2-04</w:t>
      </w:r>
      <w:r w:rsidRPr="00051F8A">
        <w:rPr>
          <w:rFonts w:ascii="Arial" w:hAnsi="Arial" w:cs="Arial"/>
          <w:sz w:val="24"/>
          <w:szCs w:val="24"/>
        </w:rPr>
        <w:t xml:space="preserve"> . </w:t>
      </w:r>
    </w:p>
    <w:p w14:paraId="3D4B43A3" w14:textId="77777777" w:rsidR="00051F8A" w:rsidRPr="00635483" w:rsidRDefault="00051F8A" w:rsidP="00635483">
      <w:pPr>
        <w:rPr>
          <w:rFonts w:ascii="Arial" w:hAnsi="Arial" w:cs="Arial"/>
          <w:sz w:val="24"/>
          <w:szCs w:val="24"/>
        </w:rPr>
      </w:pPr>
    </w:p>
    <w:p w14:paraId="1ED1C549" w14:textId="77777777" w:rsidR="00635483" w:rsidRPr="00635483" w:rsidRDefault="00635483" w:rsidP="00635483">
      <w:pPr>
        <w:rPr>
          <w:rFonts w:ascii="Arial" w:hAnsi="Arial" w:cs="Arial"/>
          <w:sz w:val="24"/>
          <w:szCs w:val="24"/>
        </w:rPr>
      </w:pPr>
    </w:p>
    <w:sectPr w:rsidR="00635483" w:rsidRPr="00635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66B9"/>
    <w:rsid w:val="00051F8A"/>
    <w:rsid w:val="001A0FB1"/>
    <w:rsid w:val="003A77C9"/>
    <w:rsid w:val="003C0AF0"/>
    <w:rsid w:val="00635483"/>
    <w:rsid w:val="006F2A9E"/>
    <w:rsid w:val="00903E9E"/>
    <w:rsid w:val="00C5290C"/>
    <w:rsid w:val="00C7563A"/>
    <w:rsid w:val="00D4437F"/>
    <w:rsid w:val="00ED6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F2695"/>
  <w15:chartTrackingRefBased/>
  <w15:docId w15:val="{8355F657-481B-4946-8DFF-F668931442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57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78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4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465</Words>
  <Characters>2655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Nicolae Adrian Puiu (2025173)</dc:creator>
  <cp:keywords/>
  <dc:description/>
  <cp:lastModifiedBy>Nicolae Puiu (2025173)</cp:lastModifiedBy>
  <cp:revision>7</cp:revision>
  <dcterms:created xsi:type="dcterms:W3CDTF">2024-02-24T13:46:00Z</dcterms:created>
  <dcterms:modified xsi:type="dcterms:W3CDTF">2024-02-25T20:35:00Z</dcterms:modified>
</cp:coreProperties>
</file>