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F81FF4" w14:textId="77777777" w:rsidR="00C83330" w:rsidRDefault="00C83330" w:rsidP="00C83330">
      <w:pPr>
        <w:rPr>
          <w:rFonts w:ascii="Arial" w:hAnsi="Arial" w:cs="Arial"/>
        </w:rPr>
      </w:pPr>
      <w:r>
        <w:rPr>
          <w:rFonts w:ascii="Arial" w:hAnsi="Arial" w:cs="Arial"/>
        </w:rPr>
        <w:t xml:space="preserve">Name; Nageen Khan </w:t>
      </w:r>
    </w:p>
    <w:p w14:paraId="5AEEB892" w14:textId="77777777" w:rsidR="00C83330" w:rsidRDefault="00C83330" w:rsidP="00C83330">
      <w:pPr>
        <w:rPr>
          <w:rFonts w:ascii="Arial" w:hAnsi="Arial" w:cs="Arial"/>
        </w:rPr>
      </w:pPr>
      <w:r>
        <w:rPr>
          <w:rFonts w:ascii="Arial" w:hAnsi="Arial" w:cs="Arial"/>
        </w:rPr>
        <w:t xml:space="preserve">Student Number; 2424667. </w:t>
      </w:r>
    </w:p>
    <w:p w14:paraId="132B9D39" w14:textId="77777777" w:rsidR="00C83330" w:rsidRDefault="00C83330" w:rsidP="00C83330">
      <w:pPr>
        <w:rPr>
          <w:rFonts w:ascii="Arial" w:hAnsi="Arial" w:cs="Arial"/>
        </w:rPr>
      </w:pPr>
      <w:r>
        <w:rPr>
          <w:rFonts w:ascii="Arial" w:hAnsi="Arial" w:cs="Arial"/>
        </w:rPr>
        <w:t xml:space="preserve">Programme; BSc Health and Social Care. </w:t>
      </w:r>
    </w:p>
    <w:p w14:paraId="0B3B4191" w14:textId="77777777" w:rsidR="00C83330" w:rsidRDefault="00C83330" w:rsidP="00C83330">
      <w:pPr>
        <w:rPr>
          <w:rFonts w:ascii="Arial" w:hAnsi="Arial" w:cs="Arial"/>
        </w:rPr>
      </w:pPr>
      <w:r>
        <w:rPr>
          <w:rFonts w:ascii="Arial" w:hAnsi="Arial" w:cs="Arial"/>
        </w:rPr>
        <w:t xml:space="preserve">Module; Introduction to Physiology. </w:t>
      </w:r>
    </w:p>
    <w:p w14:paraId="7B4F1171" w14:textId="77777777" w:rsidR="00C83330" w:rsidRDefault="00C83330" w:rsidP="00C83330">
      <w:pPr>
        <w:rPr>
          <w:rFonts w:ascii="Arial" w:hAnsi="Arial" w:cs="Arial"/>
        </w:rPr>
      </w:pPr>
      <w:r>
        <w:rPr>
          <w:rFonts w:ascii="Arial" w:hAnsi="Arial" w:cs="Arial"/>
        </w:rPr>
        <w:t xml:space="preserve">Module code; BMHP5023. </w:t>
      </w:r>
    </w:p>
    <w:p w14:paraId="235D1DFB" w14:textId="77777777" w:rsidR="00C83330" w:rsidRDefault="00C83330" w:rsidP="00C83330">
      <w:pPr>
        <w:rPr>
          <w:rFonts w:ascii="Arial" w:hAnsi="Arial" w:cs="Arial"/>
        </w:rPr>
      </w:pPr>
      <w:r>
        <w:rPr>
          <w:rFonts w:ascii="Arial" w:hAnsi="Arial" w:cs="Arial"/>
        </w:rPr>
        <w:t xml:space="preserve">Lecturer. Robert Nartowski. </w:t>
      </w:r>
    </w:p>
    <w:p w14:paraId="4653D876" w14:textId="77777777" w:rsidR="00C83330" w:rsidRDefault="00C83330" w:rsidP="00C83330">
      <w:pPr>
        <w:rPr>
          <w:rFonts w:ascii="Arial" w:hAnsi="Arial" w:cs="Arial"/>
        </w:rPr>
      </w:pPr>
      <w:r>
        <w:rPr>
          <w:rFonts w:ascii="Arial" w:hAnsi="Arial" w:cs="Arial"/>
        </w:rPr>
        <w:t xml:space="preserve">Internal Verifier; Chole Harries. </w:t>
      </w:r>
    </w:p>
    <w:p w14:paraId="19A3FC23" w14:textId="04A6B9DF" w:rsidR="00C83330" w:rsidRDefault="00C83330" w:rsidP="00C83330">
      <w:pPr>
        <w:rPr>
          <w:rFonts w:ascii="Arial" w:hAnsi="Arial" w:cs="Arial"/>
        </w:rPr>
      </w:pPr>
      <w:r>
        <w:rPr>
          <w:rFonts w:ascii="Arial" w:hAnsi="Arial" w:cs="Arial"/>
        </w:rPr>
        <w:t xml:space="preserve">Assignment Title; Component 1; Written Assignment (Case Study Report).  </w:t>
      </w:r>
    </w:p>
    <w:p w14:paraId="430C9951" w14:textId="77777777" w:rsidR="00C83330" w:rsidRDefault="00C83330" w:rsidP="00C83330">
      <w:pPr>
        <w:rPr>
          <w:rFonts w:ascii="Arial" w:hAnsi="Arial" w:cs="Arial"/>
        </w:rPr>
      </w:pPr>
    </w:p>
    <w:p w14:paraId="556280A8" w14:textId="77777777" w:rsidR="00C83330" w:rsidRDefault="00C83330" w:rsidP="00C83330">
      <w:pPr>
        <w:rPr>
          <w:rFonts w:ascii="Arial" w:hAnsi="Arial" w:cs="Arial"/>
        </w:rPr>
      </w:pPr>
    </w:p>
    <w:p w14:paraId="3EEE8AC4" w14:textId="77777777" w:rsidR="00C83330" w:rsidRDefault="00C83330" w:rsidP="00C83330">
      <w:pPr>
        <w:rPr>
          <w:rFonts w:ascii="Arial" w:hAnsi="Arial" w:cs="Arial"/>
        </w:rPr>
      </w:pPr>
    </w:p>
    <w:p w14:paraId="604E63F5" w14:textId="77777777" w:rsidR="00C83330" w:rsidRDefault="00C83330" w:rsidP="00C83330">
      <w:pPr>
        <w:rPr>
          <w:rFonts w:ascii="Arial" w:hAnsi="Arial" w:cs="Arial"/>
        </w:rPr>
      </w:pPr>
    </w:p>
    <w:p w14:paraId="3A5D9747" w14:textId="77777777" w:rsidR="00C83330" w:rsidRDefault="00C83330" w:rsidP="00C83330">
      <w:pPr>
        <w:rPr>
          <w:rFonts w:ascii="Arial" w:hAnsi="Arial" w:cs="Arial"/>
        </w:rPr>
      </w:pPr>
    </w:p>
    <w:p w14:paraId="33816080" w14:textId="77777777" w:rsidR="00C83330" w:rsidRDefault="00C83330" w:rsidP="00C83330">
      <w:pPr>
        <w:rPr>
          <w:rFonts w:ascii="Arial" w:hAnsi="Arial" w:cs="Arial"/>
        </w:rPr>
      </w:pPr>
    </w:p>
    <w:p w14:paraId="055FE2F3" w14:textId="77777777" w:rsidR="00C83330" w:rsidRDefault="00C83330" w:rsidP="00C83330">
      <w:pPr>
        <w:rPr>
          <w:rFonts w:ascii="Arial" w:hAnsi="Arial" w:cs="Arial"/>
        </w:rPr>
      </w:pPr>
    </w:p>
    <w:p w14:paraId="4A922C97" w14:textId="77777777" w:rsidR="00C83330" w:rsidRDefault="00C83330" w:rsidP="00C83330">
      <w:pPr>
        <w:rPr>
          <w:rFonts w:ascii="Arial" w:hAnsi="Arial" w:cs="Arial"/>
        </w:rPr>
      </w:pPr>
    </w:p>
    <w:p w14:paraId="64C56C0E" w14:textId="77777777" w:rsidR="00C83330" w:rsidRDefault="00C83330" w:rsidP="00C83330">
      <w:pPr>
        <w:rPr>
          <w:rFonts w:ascii="Arial" w:hAnsi="Arial" w:cs="Arial"/>
        </w:rPr>
      </w:pPr>
    </w:p>
    <w:p w14:paraId="04CF2EB4" w14:textId="77777777" w:rsidR="00C83330" w:rsidRDefault="00C83330" w:rsidP="00C83330">
      <w:pPr>
        <w:rPr>
          <w:rFonts w:ascii="Arial" w:hAnsi="Arial" w:cs="Arial"/>
        </w:rPr>
      </w:pPr>
    </w:p>
    <w:p w14:paraId="1B3F6C29" w14:textId="77777777" w:rsidR="00C83330" w:rsidRDefault="00C83330" w:rsidP="00C83330">
      <w:pPr>
        <w:rPr>
          <w:rFonts w:ascii="Arial" w:hAnsi="Arial" w:cs="Arial"/>
        </w:rPr>
      </w:pPr>
    </w:p>
    <w:p w14:paraId="6B252048" w14:textId="77777777" w:rsidR="00C83330" w:rsidRDefault="00C83330" w:rsidP="00C83330">
      <w:pPr>
        <w:rPr>
          <w:rFonts w:ascii="Arial" w:hAnsi="Arial" w:cs="Arial"/>
        </w:rPr>
      </w:pPr>
    </w:p>
    <w:p w14:paraId="0A545DA0" w14:textId="77777777" w:rsidR="00C83330" w:rsidRDefault="00C83330" w:rsidP="00C83330">
      <w:pPr>
        <w:rPr>
          <w:rFonts w:ascii="Arial" w:hAnsi="Arial" w:cs="Arial"/>
        </w:rPr>
      </w:pPr>
    </w:p>
    <w:p w14:paraId="61987327" w14:textId="77777777" w:rsidR="00C83330" w:rsidRDefault="00C83330" w:rsidP="00C83330">
      <w:pPr>
        <w:rPr>
          <w:rFonts w:ascii="Arial" w:hAnsi="Arial" w:cs="Arial"/>
        </w:rPr>
      </w:pPr>
    </w:p>
    <w:p w14:paraId="30868991" w14:textId="77777777" w:rsidR="00C83330" w:rsidRDefault="00C83330" w:rsidP="00C83330">
      <w:pPr>
        <w:rPr>
          <w:rFonts w:ascii="Arial" w:hAnsi="Arial" w:cs="Arial"/>
        </w:rPr>
      </w:pPr>
    </w:p>
    <w:p w14:paraId="345856D2" w14:textId="77777777" w:rsidR="00C83330" w:rsidRDefault="00C83330" w:rsidP="00C83330">
      <w:pPr>
        <w:rPr>
          <w:rFonts w:ascii="Arial" w:hAnsi="Arial" w:cs="Arial"/>
        </w:rPr>
      </w:pPr>
    </w:p>
    <w:p w14:paraId="3C077348" w14:textId="77777777" w:rsidR="00C83330" w:rsidRDefault="00C83330" w:rsidP="00C83330">
      <w:pPr>
        <w:rPr>
          <w:rFonts w:ascii="Arial" w:hAnsi="Arial" w:cs="Arial"/>
        </w:rPr>
      </w:pPr>
    </w:p>
    <w:p w14:paraId="04DE6574" w14:textId="77777777" w:rsidR="00C83330" w:rsidRDefault="00C83330" w:rsidP="00C83330">
      <w:pPr>
        <w:rPr>
          <w:rFonts w:ascii="Arial" w:hAnsi="Arial" w:cs="Arial"/>
        </w:rPr>
      </w:pPr>
    </w:p>
    <w:p w14:paraId="62E6D3E0" w14:textId="77777777" w:rsidR="00C83330" w:rsidRDefault="00C83330" w:rsidP="00C83330">
      <w:pPr>
        <w:rPr>
          <w:rFonts w:ascii="Arial" w:hAnsi="Arial" w:cs="Arial"/>
        </w:rPr>
      </w:pPr>
    </w:p>
    <w:p w14:paraId="4C5B362E" w14:textId="77777777" w:rsidR="00C83330" w:rsidRDefault="00C83330" w:rsidP="00C83330">
      <w:pPr>
        <w:rPr>
          <w:rFonts w:ascii="Arial" w:hAnsi="Arial" w:cs="Arial"/>
        </w:rPr>
      </w:pPr>
    </w:p>
    <w:p w14:paraId="623A5B93" w14:textId="77777777" w:rsidR="00C83330" w:rsidRDefault="00C83330" w:rsidP="00C83330">
      <w:pPr>
        <w:rPr>
          <w:rFonts w:ascii="Arial" w:hAnsi="Arial" w:cs="Arial"/>
        </w:rPr>
      </w:pPr>
    </w:p>
    <w:p w14:paraId="73D80093" w14:textId="77777777" w:rsidR="00C83330" w:rsidRDefault="00C83330" w:rsidP="00C83330">
      <w:pPr>
        <w:rPr>
          <w:rFonts w:ascii="Arial" w:hAnsi="Arial" w:cs="Arial"/>
        </w:rPr>
      </w:pPr>
    </w:p>
    <w:p w14:paraId="409AF001" w14:textId="77777777" w:rsidR="00C83330" w:rsidRDefault="00C83330" w:rsidP="00C83330">
      <w:pPr>
        <w:rPr>
          <w:rFonts w:ascii="Arial" w:hAnsi="Arial" w:cs="Arial"/>
        </w:rPr>
      </w:pPr>
    </w:p>
    <w:p w14:paraId="12F61FB9" w14:textId="77777777" w:rsidR="00C83330" w:rsidRDefault="00C83330" w:rsidP="00C83330">
      <w:pPr>
        <w:rPr>
          <w:rFonts w:ascii="Arial" w:hAnsi="Arial" w:cs="Arial"/>
        </w:rPr>
      </w:pPr>
    </w:p>
    <w:p w14:paraId="072BA905" w14:textId="77777777" w:rsidR="00C83330" w:rsidRDefault="00C83330" w:rsidP="00C83330">
      <w:pPr>
        <w:rPr>
          <w:rFonts w:ascii="Arial" w:hAnsi="Arial" w:cs="Arial"/>
        </w:rPr>
      </w:pPr>
    </w:p>
    <w:p w14:paraId="30FFC9C2" w14:textId="77777777" w:rsidR="00C83330" w:rsidRDefault="00C83330" w:rsidP="00C83330">
      <w:pPr>
        <w:rPr>
          <w:rFonts w:ascii="Arial" w:hAnsi="Arial" w:cs="Arial"/>
        </w:rPr>
      </w:pPr>
    </w:p>
    <w:p w14:paraId="5FEBE001" w14:textId="77777777" w:rsidR="00C83330" w:rsidRDefault="00C83330" w:rsidP="00C83330">
      <w:pPr>
        <w:rPr>
          <w:rFonts w:ascii="Arial" w:hAnsi="Arial" w:cs="Arial"/>
        </w:rPr>
      </w:pPr>
      <w:r>
        <w:rPr>
          <w:rFonts w:ascii="Arial" w:hAnsi="Arial" w:cs="Arial"/>
        </w:rPr>
        <w:lastRenderedPageBreak/>
        <w:t xml:space="preserve">Table of Contents. </w:t>
      </w:r>
    </w:p>
    <w:p w14:paraId="76FD7FF8" w14:textId="77777777" w:rsidR="00C83330" w:rsidRDefault="00C83330" w:rsidP="00C83330">
      <w:pPr>
        <w:rPr>
          <w:rFonts w:ascii="Arial" w:hAnsi="Arial" w:cs="Arial"/>
        </w:rPr>
      </w:pPr>
    </w:p>
    <w:p w14:paraId="762345BA" w14:textId="77777777" w:rsidR="00C83330" w:rsidRDefault="00C83330" w:rsidP="00C83330">
      <w:pPr>
        <w:rPr>
          <w:rFonts w:ascii="Arial" w:hAnsi="Arial" w:cs="Arial"/>
        </w:rPr>
      </w:pPr>
      <w:r>
        <w:rPr>
          <w:rFonts w:ascii="Arial" w:hAnsi="Arial" w:cs="Arial"/>
        </w:rPr>
        <w:t xml:space="preserve">Introduction. </w:t>
      </w:r>
    </w:p>
    <w:p w14:paraId="4236DB7E" w14:textId="77777777" w:rsidR="00C83330" w:rsidRDefault="00C83330" w:rsidP="00C83330">
      <w:pPr>
        <w:rPr>
          <w:rFonts w:ascii="Arial" w:hAnsi="Arial" w:cs="Arial"/>
        </w:rPr>
      </w:pPr>
      <w:r>
        <w:rPr>
          <w:rFonts w:ascii="Arial" w:hAnsi="Arial" w:cs="Arial"/>
        </w:rPr>
        <w:t xml:space="preserve">Type 2 diabetes, what is </w:t>
      </w:r>
      <w:proofErr w:type="gramStart"/>
      <w:r>
        <w:rPr>
          <w:rFonts w:ascii="Arial" w:hAnsi="Arial" w:cs="Arial"/>
        </w:rPr>
        <w:t>it?.</w:t>
      </w:r>
      <w:proofErr w:type="gramEnd"/>
      <w:r>
        <w:rPr>
          <w:rFonts w:ascii="Arial" w:hAnsi="Arial" w:cs="Arial"/>
        </w:rPr>
        <w:t xml:space="preserve"> And how do I manage </w:t>
      </w:r>
      <w:proofErr w:type="gramStart"/>
      <w:r>
        <w:rPr>
          <w:rFonts w:ascii="Arial" w:hAnsi="Arial" w:cs="Arial"/>
        </w:rPr>
        <w:t>it?.</w:t>
      </w:r>
      <w:proofErr w:type="gramEnd"/>
      <w:r>
        <w:rPr>
          <w:rFonts w:ascii="Arial" w:hAnsi="Arial" w:cs="Arial"/>
        </w:rPr>
        <w:t xml:space="preserve"> </w:t>
      </w:r>
    </w:p>
    <w:p w14:paraId="4D8F5268" w14:textId="77777777" w:rsidR="00C83330" w:rsidRDefault="00C83330" w:rsidP="00C83330">
      <w:pPr>
        <w:rPr>
          <w:rFonts w:ascii="Arial" w:hAnsi="Arial" w:cs="Arial"/>
        </w:rPr>
      </w:pPr>
      <w:r>
        <w:rPr>
          <w:rFonts w:ascii="Arial" w:hAnsi="Arial" w:cs="Arial"/>
        </w:rPr>
        <w:t xml:space="preserve">Glucose homeostasis in health and disease. </w:t>
      </w:r>
    </w:p>
    <w:p w14:paraId="0E592D43" w14:textId="77777777" w:rsidR="00C83330" w:rsidRDefault="00C83330" w:rsidP="00C83330">
      <w:pPr>
        <w:rPr>
          <w:rFonts w:ascii="Arial" w:hAnsi="Arial" w:cs="Arial"/>
        </w:rPr>
      </w:pPr>
      <w:r>
        <w:rPr>
          <w:rFonts w:ascii="Arial" w:hAnsi="Arial" w:cs="Arial"/>
        </w:rPr>
        <w:t xml:space="preserve">Cellular energetics. The glucose oxygen relationship. </w:t>
      </w:r>
    </w:p>
    <w:p w14:paraId="0E2A0FC7" w14:textId="77777777" w:rsidR="00C83330" w:rsidRDefault="00C83330" w:rsidP="00C83330">
      <w:pPr>
        <w:rPr>
          <w:rFonts w:ascii="Arial" w:hAnsi="Arial" w:cs="Arial"/>
        </w:rPr>
      </w:pPr>
      <w:r>
        <w:rPr>
          <w:rFonts w:ascii="Arial" w:hAnsi="Arial" w:cs="Arial"/>
        </w:rPr>
        <w:t>The significance of blood glucose monitoring type 2 diabetes control.</w:t>
      </w:r>
    </w:p>
    <w:p w14:paraId="7EABEDC0" w14:textId="77777777" w:rsidR="00C83330" w:rsidRDefault="00C83330" w:rsidP="00C83330">
      <w:pPr>
        <w:rPr>
          <w:rFonts w:ascii="Arial" w:hAnsi="Arial" w:cs="Arial"/>
        </w:rPr>
      </w:pPr>
      <w:r>
        <w:rPr>
          <w:rFonts w:ascii="Arial" w:hAnsi="Arial" w:cs="Arial"/>
        </w:rPr>
        <w:t xml:space="preserve">Evidence based lifestyle changes and recommendations for the management of diabetes. </w:t>
      </w:r>
    </w:p>
    <w:p w14:paraId="24CCE240" w14:textId="77777777" w:rsidR="00C83330" w:rsidRDefault="00C83330" w:rsidP="00C83330">
      <w:pPr>
        <w:rPr>
          <w:rFonts w:ascii="Arial" w:hAnsi="Arial" w:cs="Arial"/>
        </w:rPr>
      </w:pPr>
      <w:r>
        <w:rPr>
          <w:rFonts w:ascii="Arial" w:hAnsi="Arial" w:cs="Arial"/>
        </w:rPr>
        <w:t>Dietary modifications.</w:t>
      </w:r>
    </w:p>
    <w:p w14:paraId="631082B2" w14:textId="77777777" w:rsidR="00C83330" w:rsidRDefault="00C83330" w:rsidP="00C83330">
      <w:pPr>
        <w:rPr>
          <w:rFonts w:ascii="Arial" w:hAnsi="Arial" w:cs="Arial"/>
        </w:rPr>
      </w:pPr>
      <w:r>
        <w:rPr>
          <w:rFonts w:ascii="Arial" w:hAnsi="Arial" w:cs="Arial"/>
        </w:rPr>
        <w:t xml:space="preserve">Physical activity and exercise. </w:t>
      </w:r>
    </w:p>
    <w:p w14:paraId="0B72D184" w14:textId="77777777" w:rsidR="00C83330" w:rsidRDefault="00C83330" w:rsidP="00C83330">
      <w:pPr>
        <w:rPr>
          <w:rFonts w:ascii="Arial" w:hAnsi="Arial" w:cs="Arial"/>
        </w:rPr>
      </w:pPr>
      <w:r>
        <w:rPr>
          <w:rFonts w:ascii="Arial" w:hAnsi="Arial" w:cs="Arial"/>
        </w:rPr>
        <w:t xml:space="preserve">Smoking cessation. </w:t>
      </w:r>
    </w:p>
    <w:p w14:paraId="4EDC692D" w14:textId="77777777" w:rsidR="00C83330" w:rsidRDefault="00C83330" w:rsidP="00C83330">
      <w:pPr>
        <w:rPr>
          <w:rFonts w:ascii="Arial" w:hAnsi="Arial" w:cs="Arial"/>
        </w:rPr>
      </w:pPr>
      <w:r>
        <w:rPr>
          <w:rFonts w:ascii="Arial" w:hAnsi="Arial" w:cs="Arial"/>
        </w:rPr>
        <w:t xml:space="preserve">Sleep and stress management. </w:t>
      </w:r>
    </w:p>
    <w:p w14:paraId="78BBD456" w14:textId="77777777" w:rsidR="00C83330" w:rsidRDefault="00C83330" w:rsidP="00C83330">
      <w:pPr>
        <w:rPr>
          <w:rFonts w:ascii="Arial" w:hAnsi="Arial" w:cs="Arial"/>
        </w:rPr>
      </w:pPr>
      <w:r>
        <w:rPr>
          <w:rFonts w:ascii="Arial" w:hAnsi="Arial" w:cs="Arial"/>
        </w:rPr>
        <w:t xml:space="preserve">Conclusion. </w:t>
      </w:r>
    </w:p>
    <w:p w14:paraId="58CDE425" w14:textId="77777777" w:rsidR="00C83330" w:rsidRDefault="00C83330" w:rsidP="00C83330">
      <w:pPr>
        <w:rPr>
          <w:rFonts w:ascii="Arial" w:hAnsi="Arial" w:cs="Arial"/>
        </w:rPr>
      </w:pPr>
      <w:r>
        <w:rPr>
          <w:rFonts w:ascii="Arial" w:hAnsi="Arial" w:cs="Arial"/>
        </w:rPr>
        <w:t xml:space="preserve">Reference List. </w:t>
      </w:r>
    </w:p>
    <w:p w14:paraId="6DB657D9" w14:textId="77777777" w:rsidR="00C83330" w:rsidRDefault="00C83330" w:rsidP="00C83330">
      <w:pPr>
        <w:rPr>
          <w:rFonts w:ascii="Arial" w:hAnsi="Arial" w:cs="Arial"/>
        </w:rPr>
      </w:pPr>
    </w:p>
    <w:p w14:paraId="07551C11" w14:textId="77777777" w:rsidR="00C83330" w:rsidRDefault="00C83330" w:rsidP="00C83330">
      <w:pPr>
        <w:rPr>
          <w:rFonts w:ascii="Arial" w:hAnsi="Arial" w:cs="Arial"/>
        </w:rPr>
      </w:pPr>
    </w:p>
    <w:p w14:paraId="672271F2" w14:textId="77777777" w:rsidR="00C83330" w:rsidRDefault="00C83330" w:rsidP="00C83330">
      <w:pPr>
        <w:rPr>
          <w:rFonts w:ascii="Arial" w:hAnsi="Arial" w:cs="Arial"/>
        </w:rPr>
      </w:pPr>
    </w:p>
    <w:p w14:paraId="2F7A2C7A" w14:textId="77777777" w:rsidR="00C83330" w:rsidRDefault="00C83330" w:rsidP="00C83330">
      <w:pPr>
        <w:rPr>
          <w:rFonts w:ascii="Arial" w:hAnsi="Arial" w:cs="Arial"/>
        </w:rPr>
      </w:pPr>
    </w:p>
    <w:p w14:paraId="7D091CCF" w14:textId="77777777" w:rsidR="00C83330" w:rsidRDefault="00C83330" w:rsidP="00C83330">
      <w:pPr>
        <w:rPr>
          <w:rFonts w:ascii="Arial" w:hAnsi="Arial" w:cs="Arial"/>
        </w:rPr>
      </w:pPr>
    </w:p>
    <w:p w14:paraId="61A31EE4" w14:textId="77777777" w:rsidR="00C83330" w:rsidRDefault="00C83330" w:rsidP="00C83330">
      <w:pPr>
        <w:rPr>
          <w:rFonts w:ascii="Arial" w:hAnsi="Arial" w:cs="Arial"/>
        </w:rPr>
      </w:pPr>
    </w:p>
    <w:p w14:paraId="49E50E08" w14:textId="77777777" w:rsidR="00C83330" w:rsidRDefault="00C83330" w:rsidP="00C83330">
      <w:pPr>
        <w:rPr>
          <w:rFonts w:ascii="Arial" w:hAnsi="Arial" w:cs="Arial"/>
        </w:rPr>
      </w:pPr>
    </w:p>
    <w:p w14:paraId="735836C0" w14:textId="77777777" w:rsidR="00C83330" w:rsidRDefault="00C83330" w:rsidP="00C83330">
      <w:pPr>
        <w:rPr>
          <w:rFonts w:ascii="Arial" w:hAnsi="Arial" w:cs="Arial"/>
        </w:rPr>
      </w:pPr>
    </w:p>
    <w:p w14:paraId="1A394888" w14:textId="77777777" w:rsidR="00C83330" w:rsidRDefault="00C83330" w:rsidP="00C83330">
      <w:pPr>
        <w:rPr>
          <w:rFonts w:ascii="Arial" w:hAnsi="Arial" w:cs="Arial"/>
        </w:rPr>
      </w:pPr>
    </w:p>
    <w:p w14:paraId="22A048B9" w14:textId="77777777" w:rsidR="00C83330" w:rsidRDefault="00C83330" w:rsidP="00C83330">
      <w:pPr>
        <w:rPr>
          <w:rFonts w:ascii="Arial" w:hAnsi="Arial" w:cs="Arial"/>
        </w:rPr>
      </w:pPr>
    </w:p>
    <w:p w14:paraId="7A12A756" w14:textId="77777777" w:rsidR="00C83330" w:rsidRDefault="00C83330" w:rsidP="00C83330">
      <w:pPr>
        <w:rPr>
          <w:rFonts w:ascii="Arial" w:hAnsi="Arial" w:cs="Arial"/>
        </w:rPr>
      </w:pPr>
    </w:p>
    <w:p w14:paraId="38AA8F0B" w14:textId="77777777" w:rsidR="00C83330" w:rsidRDefault="00C83330" w:rsidP="00C83330">
      <w:pPr>
        <w:rPr>
          <w:rFonts w:ascii="Arial" w:hAnsi="Arial" w:cs="Arial"/>
        </w:rPr>
      </w:pPr>
    </w:p>
    <w:p w14:paraId="023E7C21" w14:textId="77777777" w:rsidR="00C83330" w:rsidRDefault="00C83330" w:rsidP="00C83330">
      <w:pPr>
        <w:rPr>
          <w:rFonts w:ascii="Arial" w:hAnsi="Arial" w:cs="Arial"/>
        </w:rPr>
      </w:pPr>
    </w:p>
    <w:p w14:paraId="322CBD61" w14:textId="77777777" w:rsidR="00C83330" w:rsidRDefault="00C83330" w:rsidP="00C83330">
      <w:pPr>
        <w:rPr>
          <w:rFonts w:ascii="Arial" w:hAnsi="Arial" w:cs="Arial"/>
        </w:rPr>
      </w:pPr>
    </w:p>
    <w:p w14:paraId="7969FF57" w14:textId="77777777" w:rsidR="00C83330" w:rsidRDefault="00C83330" w:rsidP="00C83330">
      <w:pPr>
        <w:rPr>
          <w:rFonts w:ascii="Arial" w:hAnsi="Arial" w:cs="Arial"/>
        </w:rPr>
      </w:pPr>
    </w:p>
    <w:p w14:paraId="727599EC" w14:textId="77777777" w:rsidR="00C83330" w:rsidRDefault="00C83330" w:rsidP="00C83330">
      <w:pPr>
        <w:rPr>
          <w:rFonts w:ascii="Arial" w:hAnsi="Arial" w:cs="Arial"/>
        </w:rPr>
      </w:pPr>
    </w:p>
    <w:p w14:paraId="249EF38A" w14:textId="77777777" w:rsidR="00C83330" w:rsidRDefault="00C83330" w:rsidP="00C83330">
      <w:pPr>
        <w:rPr>
          <w:rFonts w:ascii="Arial" w:hAnsi="Arial" w:cs="Arial"/>
        </w:rPr>
      </w:pPr>
    </w:p>
    <w:p w14:paraId="00F1B1E7" w14:textId="77777777" w:rsidR="00C83330" w:rsidRDefault="00C83330" w:rsidP="00C83330">
      <w:pPr>
        <w:rPr>
          <w:rFonts w:ascii="Arial" w:hAnsi="Arial" w:cs="Arial"/>
        </w:rPr>
      </w:pPr>
    </w:p>
    <w:p w14:paraId="5342AA4E" w14:textId="77777777" w:rsidR="00C83330" w:rsidRDefault="00C83330" w:rsidP="00C83330">
      <w:pPr>
        <w:rPr>
          <w:rFonts w:ascii="Arial" w:hAnsi="Arial" w:cs="Arial"/>
        </w:rPr>
      </w:pPr>
    </w:p>
    <w:p w14:paraId="3F8C65CD" w14:textId="77777777" w:rsidR="00C83330" w:rsidRDefault="00C83330" w:rsidP="00C83330">
      <w:pPr>
        <w:rPr>
          <w:rFonts w:ascii="Arial" w:hAnsi="Arial" w:cs="Arial"/>
        </w:rPr>
      </w:pPr>
    </w:p>
    <w:p w14:paraId="082A4B42" w14:textId="77777777" w:rsidR="00C83330" w:rsidRDefault="00C83330" w:rsidP="00C83330">
      <w:pPr>
        <w:rPr>
          <w:rFonts w:ascii="Arial" w:hAnsi="Arial" w:cs="Arial"/>
        </w:rPr>
      </w:pPr>
      <w:r>
        <w:rPr>
          <w:rFonts w:ascii="Arial" w:hAnsi="Arial" w:cs="Arial"/>
        </w:rPr>
        <w:lastRenderedPageBreak/>
        <w:t xml:space="preserve">Introduction. </w:t>
      </w:r>
    </w:p>
    <w:p w14:paraId="5995D806" w14:textId="77777777" w:rsidR="00C83330" w:rsidRDefault="00C83330" w:rsidP="00C83330">
      <w:pPr>
        <w:rPr>
          <w:rFonts w:ascii="Arial" w:hAnsi="Arial" w:cs="Arial"/>
        </w:rPr>
      </w:pPr>
    </w:p>
    <w:p w14:paraId="648D4F18" w14:textId="77777777" w:rsidR="00C83330" w:rsidRDefault="00C83330" w:rsidP="00C83330">
      <w:pPr>
        <w:rPr>
          <w:rFonts w:ascii="Arial" w:hAnsi="Arial" w:cs="Arial"/>
        </w:rPr>
      </w:pPr>
      <w:r>
        <w:rPr>
          <w:rFonts w:ascii="Arial" w:hAnsi="Arial" w:cs="Arial"/>
        </w:rPr>
        <w:t xml:space="preserve">Type 2 diabetes: what is it? And how do I manage it? </w:t>
      </w:r>
    </w:p>
    <w:p w14:paraId="1C2041A9" w14:textId="77777777" w:rsidR="00C83330" w:rsidRDefault="00C83330" w:rsidP="00C83330">
      <w:pPr>
        <w:rPr>
          <w:rFonts w:ascii="Arial" w:hAnsi="Arial" w:cs="Arial"/>
        </w:rPr>
      </w:pPr>
    </w:p>
    <w:p w14:paraId="1C83A020" w14:textId="77777777" w:rsidR="00C83330" w:rsidRDefault="00C83330" w:rsidP="00C83330">
      <w:pPr>
        <w:rPr>
          <w:rFonts w:ascii="Arial" w:hAnsi="Arial" w:cs="Arial"/>
        </w:rPr>
      </w:pPr>
      <w:r>
        <w:rPr>
          <w:rFonts w:ascii="Arial" w:hAnsi="Arial" w:cs="Arial"/>
        </w:rPr>
        <w:t>Diabetes mellitus is one of the major public health threats of the twenty-first century: up to 537 million adults globally are currently estimated to be living with diabetes and this is anticipated to increase to 783 million by 2045 (International Diabetes Federation, 2021). Diabetes is a complex chronic metabolic disorder resulting from the dysfunction of various organs that leads to abnormal blood glucose due to defective insulin action and/or secretion. T2DM affects about 90-95% of those with diabetes.</w:t>
      </w:r>
    </w:p>
    <w:p w14:paraId="00A2BA27" w14:textId="77777777" w:rsidR="00C83330" w:rsidRDefault="00C83330" w:rsidP="00C83330">
      <w:pPr>
        <w:rPr>
          <w:rFonts w:ascii="Arial" w:hAnsi="Arial" w:cs="Arial"/>
        </w:rPr>
      </w:pPr>
    </w:p>
    <w:p w14:paraId="7DCC2B6D" w14:textId="77777777" w:rsidR="00C83330" w:rsidRDefault="00C83330" w:rsidP="00C83330">
      <w:pPr>
        <w:rPr>
          <w:rFonts w:ascii="Arial" w:hAnsi="Arial" w:cs="Arial"/>
        </w:rPr>
      </w:pPr>
      <w:r>
        <w:rPr>
          <w:rFonts w:ascii="Arial" w:hAnsi="Arial" w:cs="Arial"/>
        </w:rPr>
        <w:t>Type 2 diabetes occurs when the body is unable to use insulin properly or the pancreas does not produce enough insulin to keep blood sugar at normal level (Galicia-Garcia et al., 2020). Whereas in Type 1 diabetes, an autoimmune disease with lifelong insulin requirement, much of the burden resulting from Type 2 diabetes is attributable to potentially modifiable lifestyle factors and the condition can frequently be prevented or managed through behavioural change. It is important for patients to understand the pathophysiology of diabetes, as well as factors that affect blood glucose control, in order to actively participate in their care plan and attain optimum health.</w:t>
      </w:r>
    </w:p>
    <w:p w14:paraId="1CAAFCD2" w14:textId="77777777" w:rsidR="00C83330" w:rsidRDefault="00C83330" w:rsidP="00C83330">
      <w:pPr>
        <w:rPr>
          <w:rFonts w:ascii="Arial" w:hAnsi="Arial" w:cs="Arial"/>
        </w:rPr>
      </w:pPr>
    </w:p>
    <w:p w14:paraId="66B1CBD8" w14:textId="77777777" w:rsidR="00C83330" w:rsidRDefault="00C83330" w:rsidP="00C83330">
      <w:pPr>
        <w:rPr>
          <w:rFonts w:ascii="Arial" w:hAnsi="Arial" w:cs="Arial"/>
        </w:rPr>
      </w:pPr>
      <w:r>
        <w:rPr>
          <w:rFonts w:ascii="Arial" w:hAnsi="Arial" w:cs="Arial"/>
        </w:rPr>
        <w:t xml:space="preserve">There are </w:t>
      </w:r>
      <w:proofErr w:type="gramStart"/>
      <w:r>
        <w:rPr>
          <w:rFonts w:ascii="Arial" w:hAnsi="Arial" w:cs="Arial"/>
        </w:rPr>
        <w:t>a number of</w:t>
      </w:r>
      <w:proofErr w:type="gramEnd"/>
      <w:r>
        <w:rPr>
          <w:rFonts w:ascii="Arial" w:hAnsi="Arial" w:cs="Arial"/>
        </w:rPr>
        <w:t xml:space="preserve"> risk factors (some modifiable, some not) for developing Type 2 diabetes. Age over 45 years, family history of diabetes and ethnic group are non-modifiable risk factors, with those of South Asian/African-Caribbean/Hispanic-origin particularly at augmented risk (</w:t>
      </w:r>
      <w:proofErr w:type="spellStart"/>
      <w:r>
        <w:rPr>
          <w:rFonts w:ascii="Arial" w:hAnsi="Arial" w:cs="Arial"/>
        </w:rPr>
        <w:t>Bellou</w:t>
      </w:r>
      <w:proofErr w:type="spellEnd"/>
      <w:r>
        <w:rPr>
          <w:rFonts w:ascii="Arial" w:hAnsi="Arial" w:cs="Arial"/>
        </w:rPr>
        <w:t xml:space="preserve"> et al., 2018). Changeable risk factors are overweight, physical inactivity, unhealthy diet pattern, smoking habit and hypertension (</w:t>
      </w:r>
      <w:proofErr w:type="spellStart"/>
      <w:r>
        <w:rPr>
          <w:rFonts w:ascii="Arial" w:hAnsi="Arial" w:cs="Arial"/>
        </w:rPr>
        <w:t>Bellou</w:t>
      </w:r>
      <w:proofErr w:type="spellEnd"/>
      <w:r>
        <w:rPr>
          <w:rFonts w:ascii="Arial" w:hAnsi="Arial" w:cs="Arial"/>
        </w:rPr>
        <w:t xml:space="preserve"> et al., 2018). Furthermore, disorders such as polycystic ovary syndrome, history of gestational diabetes and metabolic syndrome confer substantial risk for diabetes (National Institute for Health and Care Excellence, 2022). </w:t>
      </w:r>
    </w:p>
    <w:p w14:paraId="4DE60937" w14:textId="77777777" w:rsidR="00C83330" w:rsidRDefault="00C83330" w:rsidP="00C83330">
      <w:pPr>
        <w:rPr>
          <w:rFonts w:ascii="Arial" w:hAnsi="Arial" w:cs="Arial"/>
        </w:rPr>
      </w:pPr>
    </w:p>
    <w:p w14:paraId="0CFC6477" w14:textId="77777777" w:rsidR="00C83330" w:rsidRDefault="00C83330" w:rsidP="00C83330">
      <w:pPr>
        <w:rPr>
          <w:rFonts w:ascii="Arial" w:hAnsi="Arial" w:cs="Arial"/>
        </w:rPr>
      </w:pPr>
      <w:r>
        <w:rPr>
          <w:rFonts w:ascii="Arial" w:hAnsi="Arial" w:cs="Arial"/>
        </w:rPr>
        <w:t>Glucose Homeostasis in Health and Disease</w:t>
      </w:r>
    </w:p>
    <w:p w14:paraId="49A6E8C5" w14:textId="77777777" w:rsidR="00C83330" w:rsidRDefault="00C83330" w:rsidP="00C83330">
      <w:pPr>
        <w:rPr>
          <w:rFonts w:ascii="Arial" w:hAnsi="Arial" w:cs="Arial"/>
        </w:rPr>
      </w:pPr>
    </w:p>
    <w:p w14:paraId="233CA89B" w14:textId="77777777" w:rsidR="00C83330" w:rsidRDefault="00C83330" w:rsidP="00C83330">
      <w:pPr>
        <w:rPr>
          <w:rFonts w:ascii="Arial" w:hAnsi="Arial" w:cs="Arial"/>
        </w:rPr>
      </w:pPr>
      <w:r>
        <w:rPr>
          <w:rFonts w:ascii="Arial" w:hAnsi="Arial" w:cs="Arial"/>
        </w:rPr>
        <w:t>The regulation of blood glucose concentration in the fasting state to about 4.0-5.9 mmol/L is a key homeostatic response that ensures optimal cellular function (Hall and Hall, 2021). This regulatory mechanism is acted upon by two hormones, insulin and glucagon, secreted from the beta- and alpha-cells of clusters of cells on the pancreas known as the islets of Langerhans.</w:t>
      </w:r>
    </w:p>
    <w:p w14:paraId="691D1062" w14:textId="77777777" w:rsidR="00C83330" w:rsidRDefault="00C83330" w:rsidP="00C83330">
      <w:pPr>
        <w:rPr>
          <w:rFonts w:ascii="Arial" w:hAnsi="Arial" w:cs="Arial"/>
        </w:rPr>
      </w:pPr>
    </w:p>
    <w:p w14:paraId="1B0A63C9" w14:textId="77777777" w:rsidR="00C83330" w:rsidRDefault="00C83330" w:rsidP="00C83330">
      <w:pPr>
        <w:rPr>
          <w:rFonts w:ascii="Arial" w:hAnsi="Arial" w:cs="Arial"/>
        </w:rPr>
      </w:pPr>
      <w:r>
        <w:rPr>
          <w:rFonts w:ascii="Arial" w:hAnsi="Arial" w:cs="Arial"/>
        </w:rPr>
        <w:t xml:space="preserve">When blood sugar increases after a meal, beta cells in the pancreatic islets release insulin into the bloodstream (Galicia-Garcia et al., 2020). Insulin augments cellular glucose consumption by binding to insulin receptors on cellular membranes, mainly in muscle, adipose tissue and hepatocytes, leading intracellularly to increased signalling and translocation of the glucose transporter protein (GLUT4) from its vesicular compartment toward cell surface (Petersen and Shulman, 2018). </w:t>
      </w:r>
      <w:proofErr w:type="gramStart"/>
      <w:r>
        <w:rPr>
          <w:rFonts w:ascii="Arial" w:hAnsi="Arial" w:cs="Arial"/>
        </w:rPr>
        <w:t>This transporters</w:t>
      </w:r>
      <w:proofErr w:type="gramEnd"/>
      <w:r>
        <w:rPr>
          <w:rFonts w:ascii="Arial" w:hAnsi="Arial" w:cs="Arial"/>
        </w:rPr>
        <w:t xml:space="preserve"> allow glucose to enter cells to be used as energy or stored as glycogen. Concurrently, the liver glucose production is inhibited by insulin (DeFronzo et al., 2015).</w:t>
      </w:r>
    </w:p>
    <w:p w14:paraId="78A2C3DF" w14:textId="77777777" w:rsidR="00C83330" w:rsidRDefault="00C83330" w:rsidP="00C83330">
      <w:pPr>
        <w:rPr>
          <w:rFonts w:ascii="Arial" w:hAnsi="Arial" w:cs="Arial"/>
        </w:rPr>
      </w:pPr>
    </w:p>
    <w:p w14:paraId="17414883" w14:textId="77777777" w:rsidR="00C83330" w:rsidRDefault="00C83330" w:rsidP="00C83330">
      <w:pPr>
        <w:rPr>
          <w:rFonts w:ascii="Arial" w:hAnsi="Arial" w:cs="Arial"/>
        </w:rPr>
      </w:pPr>
      <w:r>
        <w:rPr>
          <w:rFonts w:ascii="Arial" w:hAnsi="Arial" w:cs="Arial"/>
        </w:rPr>
        <w:t>By contrast, when blood glucose drops during fasting or between meals, alpha cells release glucagon, a hormone with counterregulatory actions to that of insulin (Hall and Hall, 2021). Glucagon activates hepatic glycogenolysis and gluconeogenesis from non-carbohydrate precursors to increase plasma glucose concentration and sustain delivery of sufficient fuels to tissues with high metabolic demands for glucose (Petersen &amp; Shulman, 2018).</w:t>
      </w:r>
    </w:p>
    <w:p w14:paraId="3E877EDD" w14:textId="77777777" w:rsidR="00C83330" w:rsidRDefault="00C83330" w:rsidP="00C83330">
      <w:pPr>
        <w:rPr>
          <w:rFonts w:ascii="Arial" w:hAnsi="Arial" w:cs="Arial"/>
        </w:rPr>
      </w:pPr>
    </w:p>
    <w:p w14:paraId="6F1AC3BE" w14:textId="77777777" w:rsidR="00C83330" w:rsidRDefault="00C83330" w:rsidP="00C83330">
      <w:pPr>
        <w:rPr>
          <w:rFonts w:ascii="Arial" w:hAnsi="Arial" w:cs="Arial"/>
        </w:rPr>
      </w:pPr>
      <w:r>
        <w:rPr>
          <w:rFonts w:ascii="Arial" w:hAnsi="Arial" w:cs="Arial"/>
        </w:rPr>
        <w:t xml:space="preserve">In Type 2 diabetes, this control system breaks down via insulin resistance and declining beta-cell function (Taylor, 2020). Insulin resistance is when the target tissues that are regulated by insulin become less responsive to its actions, thereby demanding higher concentrations of insulin to promote glucose uptake (Petersen and Shulman, 2018). At first, pancreatic beta cells compensate by producing more insulin; subsequently, they fail to do </w:t>
      </w:r>
      <w:proofErr w:type="gramStart"/>
      <w:r>
        <w:rPr>
          <w:rFonts w:ascii="Arial" w:hAnsi="Arial" w:cs="Arial"/>
        </w:rPr>
        <w:t>so</w:t>
      </w:r>
      <w:proofErr w:type="gramEnd"/>
      <w:r>
        <w:rPr>
          <w:rFonts w:ascii="Arial" w:hAnsi="Arial" w:cs="Arial"/>
        </w:rPr>
        <w:t xml:space="preserve"> and exhaustion sets in causing a chronically elevated BG level (DeFronzo et al., 2015). Such persistent high glucose levels are implicated in severe complications associated with the cardiovascular, renal, ocular and peripheral nerve systems (Davies et al., 2018) </w:t>
      </w:r>
    </w:p>
    <w:p w14:paraId="70D43998" w14:textId="77777777" w:rsidR="00C83330" w:rsidRDefault="00C83330" w:rsidP="00C83330">
      <w:pPr>
        <w:rPr>
          <w:rFonts w:ascii="Arial" w:hAnsi="Arial" w:cs="Arial"/>
        </w:rPr>
      </w:pPr>
    </w:p>
    <w:p w14:paraId="18B279E0" w14:textId="77777777" w:rsidR="00C83330" w:rsidRDefault="00C83330" w:rsidP="00C83330">
      <w:pPr>
        <w:rPr>
          <w:rFonts w:ascii="Arial" w:hAnsi="Arial" w:cs="Arial"/>
        </w:rPr>
      </w:pPr>
      <w:r>
        <w:rPr>
          <w:rFonts w:ascii="Arial" w:hAnsi="Arial" w:cs="Arial"/>
        </w:rPr>
        <w:t>Cellular Energetics: The Glucose-Oxygen Relationship</w:t>
      </w:r>
    </w:p>
    <w:p w14:paraId="11FA5162" w14:textId="77777777" w:rsidR="00C83330" w:rsidRDefault="00C83330" w:rsidP="00C83330">
      <w:pPr>
        <w:rPr>
          <w:rFonts w:ascii="Arial" w:hAnsi="Arial" w:cs="Arial"/>
        </w:rPr>
      </w:pPr>
    </w:p>
    <w:p w14:paraId="4B10C942" w14:textId="77777777" w:rsidR="00C83330" w:rsidRDefault="00C83330" w:rsidP="00C83330">
      <w:pPr>
        <w:rPr>
          <w:rFonts w:ascii="Arial" w:hAnsi="Arial" w:cs="Arial"/>
        </w:rPr>
      </w:pPr>
      <w:r>
        <w:rPr>
          <w:rFonts w:ascii="Arial" w:hAnsi="Arial" w:cs="Arial"/>
        </w:rPr>
        <w:t>The generation of adenosine triphosphate (ATP) as cellular energy by glucose and oxygen metabolism is a basic biochemical mechanism. This pathway, referred to as cellular respiration, is mostly confined to mitochondria and consists of three stages: glycolysis, the citric acid cycle and oxidative phosphorylation (Hall and Hall, 2021).</w:t>
      </w:r>
    </w:p>
    <w:p w14:paraId="5E05CCB4" w14:textId="77777777" w:rsidR="00C83330" w:rsidRDefault="00C83330" w:rsidP="00C83330">
      <w:pPr>
        <w:rPr>
          <w:rFonts w:ascii="Arial" w:hAnsi="Arial" w:cs="Arial"/>
        </w:rPr>
      </w:pPr>
    </w:p>
    <w:p w14:paraId="1F8B0C87" w14:textId="77777777" w:rsidR="00C83330" w:rsidRDefault="00C83330" w:rsidP="00C83330">
      <w:pPr>
        <w:rPr>
          <w:rFonts w:ascii="Arial" w:hAnsi="Arial" w:cs="Arial"/>
        </w:rPr>
      </w:pPr>
      <w:r>
        <w:rPr>
          <w:rFonts w:ascii="Arial" w:hAnsi="Arial" w:cs="Arial"/>
        </w:rPr>
        <w:t xml:space="preserve">Glycolysis takes place in the cytoplasm and does not need oxygen. A single glucose is converted to two </w:t>
      </w:r>
      <w:proofErr w:type="gramStart"/>
      <w:r>
        <w:rPr>
          <w:rFonts w:ascii="Arial" w:hAnsi="Arial" w:cs="Arial"/>
        </w:rPr>
        <w:t>pyruvate</w:t>
      </w:r>
      <w:proofErr w:type="gramEnd"/>
      <w:r>
        <w:rPr>
          <w:rFonts w:ascii="Arial" w:hAnsi="Arial" w:cs="Arial"/>
        </w:rPr>
        <w:t>, generating two ATP and two NADH (Hall and Hall, 2021). Although this is relatively low energy output, it offers a rapid source of energy for cellular activities.</w:t>
      </w:r>
    </w:p>
    <w:p w14:paraId="346C698A" w14:textId="77777777" w:rsidR="00C83330" w:rsidRDefault="00C83330" w:rsidP="00C83330">
      <w:pPr>
        <w:rPr>
          <w:rFonts w:ascii="Arial" w:hAnsi="Arial" w:cs="Arial"/>
        </w:rPr>
      </w:pPr>
    </w:p>
    <w:p w14:paraId="3E19AC73" w14:textId="77777777" w:rsidR="00C83330" w:rsidRDefault="00C83330" w:rsidP="00C83330">
      <w:pPr>
        <w:rPr>
          <w:rFonts w:ascii="Arial" w:hAnsi="Arial" w:cs="Arial"/>
        </w:rPr>
      </w:pPr>
      <w:r>
        <w:rPr>
          <w:rFonts w:ascii="Arial" w:hAnsi="Arial" w:cs="Arial"/>
        </w:rPr>
        <w:t>Under aerobic conditions pyruvate moves inside mitochondria and with formation of acetyl-CoA through entry in the TCA cycle (Hall and Hall, 2021). This also occurs in the remaining two turns of the cycle and will oxidise the acetyl-CoA to carbon dioxide plus electron carriers (NADH and FADH2) but generates one ATP.</w:t>
      </w:r>
    </w:p>
    <w:p w14:paraId="79F97F08" w14:textId="77777777" w:rsidR="00C83330" w:rsidRDefault="00C83330" w:rsidP="00C83330">
      <w:pPr>
        <w:rPr>
          <w:rFonts w:ascii="Arial" w:hAnsi="Arial" w:cs="Arial"/>
        </w:rPr>
      </w:pPr>
    </w:p>
    <w:p w14:paraId="738B4C24" w14:textId="77777777" w:rsidR="00C83330" w:rsidRDefault="00C83330" w:rsidP="00C83330">
      <w:pPr>
        <w:rPr>
          <w:rFonts w:ascii="Arial" w:hAnsi="Arial" w:cs="Arial"/>
        </w:rPr>
      </w:pPr>
      <w:r>
        <w:rPr>
          <w:rFonts w:ascii="Arial" w:hAnsi="Arial" w:cs="Arial"/>
        </w:rPr>
        <w:t>The electron carriers give up their high-energy electrons to the electron transport chain, protein complexes located in the inner mitochondrial membrane (Hall and Hall, 2021). As it passes through, electrons are emitted to give up energy, pushing protons out of the membrane and into an electrochemical gradient. The ATP synthesis in oxidative phosphorylation is catalysed by the enzyme ATP synthase". Oxygen, the last element in electron transport system takes up electrons at low energy level and unite with protons to form water.</w:t>
      </w:r>
    </w:p>
    <w:p w14:paraId="41F4F332" w14:textId="77777777" w:rsidR="00C83330" w:rsidRDefault="00C83330" w:rsidP="00C83330">
      <w:pPr>
        <w:rPr>
          <w:rFonts w:ascii="Arial" w:hAnsi="Arial" w:cs="Arial"/>
        </w:rPr>
      </w:pPr>
    </w:p>
    <w:p w14:paraId="6D229137" w14:textId="77777777" w:rsidR="00C83330" w:rsidRDefault="00C83330" w:rsidP="00C83330">
      <w:pPr>
        <w:rPr>
          <w:rFonts w:ascii="Arial" w:hAnsi="Arial" w:cs="Arial"/>
        </w:rPr>
      </w:pPr>
      <w:r>
        <w:rPr>
          <w:rFonts w:ascii="Arial" w:hAnsi="Arial" w:cs="Arial"/>
        </w:rPr>
        <w:t xml:space="preserve">According to Hall and Hall (2021), about 30-32 ATPs are produced by the complete aerobic respiration of a single glucose molecule. Such energy generation is necessary for muscle action, nerve stimulus, protein synthesis and active transport. Poorly controlled diabetes </w:t>
      </w:r>
      <w:r>
        <w:rPr>
          <w:rFonts w:ascii="Arial" w:hAnsi="Arial" w:cs="Arial"/>
        </w:rPr>
        <w:lastRenderedPageBreak/>
        <w:t xml:space="preserve">slows down this pathway when cellular glucose uptake is inefficient, possibly causing fatigue (Galicia-Garcia et al., 2020). </w:t>
      </w:r>
    </w:p>
    <w:p w14:paraId="6229D2D4" w14:textId="77777777" w:rsidR="00C83330" w:rsidRDefault="00C83330" w:rsidP="00C83330">
      <w:pPr>
        <w:rPr>
          <w:rFonts w:ascii="Arial" w:hAnsi="Arial" w:cs="Arial"/>
        </w:rPr>
      </w:pPr>
    </w:p>
    <w:p w14:paraId="798A05EC" w14:textId="77777777" w:rsidR="00C83330" w:rsidRDefault="00C83330" w:rsidP="00C83330">
      <w:pPr>
        <w:rPr>
          <w:rFonts w:ascii="Arial" w:hAnsi="Arial" w:cs="Arial"/>
        </w:rPr>
      </w:pPr>
      <w:r>
        <w:rPr>
          <w:rFonts w:ascii="Arial" w:hAnsi="Arial" w:cs="Arial"/>
        </w:rPr>
        <w:t xml:space="preserve"> The Significance of Blood Glucose Monitoring in Type 2 Diabetes Control</w:t>
      </w:r>
    </w:p>
    <w:p w14:paraId="3F12390D" w14:textId="77777777" w:rsidR="00C83330" w:rsidRDefault="00C83330" w:rsidP="00C83330">
      <w:pPr>
        <w:rPr>
          <w:rFonts w:ascii="Arial" w:hAnsi="Arial" w:cs="Arial"/>
        </w:rPr>
      </w:pPr>
    </w:p>
    <w:p w14:paraId="39238D8D" w14:textId="77777777" w:rsidR="00C83330" w:rsidRDefault="00C83330" w:rsidP="00C83330">
      <w:pPr>
        <w:rPr>
          <w:rFonts w:ascii="Arial" w:hAnsi="Arial" w:cs="Arial"/>
        </w:rPr>
      </w:pPr>
      <w:r>
        <w:rPr>
          <w:rFonts w:ascii="Arial" w:hAnsi="Arial" w:cs="Arial"/>
        </w:rPr>
        <w:t>Self-monitoring of blood glucose (SMBG) is a crucial aspect of successful diabetes self-care, as it allows individuals with diabetes to receive real-time information about their glycaemic control and make informed choices about their diet, physical activity and medication (Young et al., 2017). For people with Type 2 diabetes, especially for those taking insulin or other hypoglycaemia-inducing drugs, the monitoring has several advantages.</w:t>
      </w:r>
    </w:p>
    <w:p w14:paraId="23FA2E4B" w14:textId="77777777" w:rsidR="00C83330" w:rsidRDefault="00C83330" w:rsidP="00C83330">
      <w:pPr>
        <w:rPr>
          <w:rFonts w:ascii="Arial" w:hAnsi="Arial" w:cs="Arial"/>
        </w:rPr>
      </w:pPr>
    </w:p>
    <w:p w14:paraId="4FCEC571" w14:textId="77777777" w:rsidR="00C83330" w:rsidRDefault="00C83330" w:rsidP="00C83330">
      <w:pPr>
        <w:rPr>
          <w:rFonts w:ascii="Arial" w:hAnsi="Arial" w:cs="Arial"/>
        </w:rPr>
      </w:pPr>
      <w:r>
        <w:rPr>
          <w:rFonts w:ascii="Arial" w:hAnsi="Arial" w:cs="Arial"/>
        </w:rPr>
        <w:t>Systematic monitoring of blood glucose permits the patient to recognise patterns for seeing how food, activity, stress, illness and medications impact senescence of blood sugar levels (Young et al., 2017). This individualized information can help people make specific life-style adjustments and work together with healthcare providers to customise their treatment. Patients, for instance could learn that some foods result in too much glucose and be motivated to change their diet.</w:t>
      </w:r>
    </w:p>
    <w:p w14:paraId="4A7963DB" w14:textId="77777777" w:rsidR="00C83330" w:rsidRDefault="00C83330" w:rsidP="00C83330">
      <w:pPr>
        <w:rPr>
          <w:rFonts w:ascii="Arial" w:hAnsi="Arial" w:cs="Arial"/>
        </w:rPr>
      </w:pPr>
    </w:p>
    <w:p w14:paraId="2DF8A04D" w14:textId="77777777" w:rsidR="00C83330" w:rsidRDefault="00C83330" w:rsidP="00C83330">
      <w:pPr>
        <w:rPr>
          <w:rFonts w:ascii="Arial" w:hAnsi="Arial" w:cs="Arial"/>
        </w:rPr>
      </w:pPr>
      <w:r>
        <w:rPr>
          <w:rFonts w:ascii="Arial" w:hAnsi="Arial" w:cs="Arial"/>
        </w:rPr>
        <w:t>Frequent monitoring enables early identification of both hyperglycaemia and hypoglycaemia, enabling rapid intervention to avoid acute complications (National Institute for Health and Care Excellence, 2022). Episodes of hypoglycaemia (defined as plasma glucose below 4.0 mmol/L) can lead to symptoms ranging from trembling to confusion, while sustained hyperglycaemia is the cause of long-term complications (Davies et al., 2018). The early identifications are the basis for counteractions.</w:t>
      </w:r>
    </w:p>
    <w:p w14:paraId="362A7859" w14:textId="77777777" w:rsidR="00C83330" w:rsidRDefault="00C83330" w:rsidP="00C83330">
      <w:pPr>
        <w:rPr>
          <w:rFonts w:ascii="Arial" w:hAnsi="Arial" w:cs="Arial"/>
        </w:rPr>
      </w:pPr>
    </w:p>
    <w:p w14:paraId="1657C806" w14:textId="77777777" w:rsidR="00C83330" w:rsidRDefault="00C83330" w:rsidP="00C83330">
      <w:pPr>
        <w:rPr>
          <w:rFonts w:ascii="Arial" w:hAnsi="Arial" w:cs="Arial"/>
        </w:rPr>
      </w:pPr>
      <w:r>
        <w:rPr>
          <w:rFonts w:ascii="Arial" w:hAnsi="Arial" w:cs="Arial"/>
        </w:rPr>
        <w:t>BGMS) facilitates patient activation and self-efficacy, two essential prerequisites of successful chronic disease management (Rooth &amp; Dunstan, 2014; Young et al., 2017). Patients may feel more motivated and confident in handling their disease when they see how their actions impact blood glucose.</w:t>
      </w:r>
    </w:p>
    <w:p w14:paraId="40A151EA" w14:textId="77777777" w:rsidR="00C83330" w:rsidRDefault="00C83330" w:rsidP="00C83330">
      <w:pPr>
        <w:rPr>
          <w:rFonts w:ascii="Arial" w:hAnsi="Arial" w:cs="Arial"/>
        </w:rPr>
      </w:pPr>
    </w:p>
    <w:p w14:paraId="07D05FA5" w14:textId="77777777" w:rsidR="00C83330" w:rsidRDefault="00C83330" w:rsidP="00C83330">
      <w:pPr>
        <w:rPr>
          <w:rFonts w:ascii="Arial" w:hAnsi="Arial" w:cs="Arial"/>
        </w:rPr>
      </w:pPr>
      <w:r>
        <w:rPr>
          <w:rFonts w:ascii="Arial" w:hAnsi="Arial" w:cs="Arial"/>
        </w:rPr>
        <w:t xml:space="preserve">Patients are advised by healthcare professionals to keep a record of their blood glucose values highlighting date, timings of the day including before and after meals as well as additional information on context (e.g. food intake, physical activities) (National Institute for Health and Care Excellence, 2022). These records allow clinicians to evaluate glycaemic control, measure therapeutic success and modify treatment </w:t>
      </w:r>
      <w:proofErr w:type="gramStart"/>
      <w:r>
        <w:rPr>
          <w:rFonts w:ascii="Arial" w:hAnsi="Arial" w:cs="Arial"/>
        </w:rPr>
        <w:t>evidence-based</w:t>
      </w:r>
      <w:proofErr w:type="gramEnd"/>
      <w:r>
        <w:rPr>
          <w:rFonts w:ascii="Arial" w:hAnsi="Arial" w:cs="Arial"/>
        </w:rPr>
        <w:t>. By the close monitoring over time, easily average glucose levels and variability can be estimated that are known to predict complications (Davies et al., 2018).</w:t>
      </w:r>
    </w:p>
    <w:p w14:paraId="5FF1E40D" w14:textId="77777777" w:rsidR="00C83330" w:rsidRDefault="00C83330" w:rsidP="00C83330">
      <w:pPr>
        <w:rPr>
          <w:rFonts w:ascii="Arial" w:hAnsi="Arial" w:cs="Arial"/>
        </w:rPr>
      </w:pPr>
    </w:p>
    <w:p w14:paraId="5DC6BFE1" w14:textId="77777777" w:rsidR="00C83330" w:rsidRDefault="00C83330" w:rsidP="00C83330">
      <w:pPr>
        <w:rPr>
          <w:rFonts w:ascii="Arial" w:hAnsi="Arial" w:cs="Arial"/>
        </w:rPr>
      </w:pPr>
      <w:r>
        <w:rPr>
          <w:rFonts w:ascii="Arial" w:hAnsi="Arial" w:cs="Arial"/>
        </w:rPr>
        <w:t>Evidence-Based Lifestyle Changes and Recommendations for the Management of Type 2 Diabetes</w:t>
      </w:r>
    </w:p>
    <w:p w14:paraId="2CBC0FED" w14:textId="77777777" w:rsidR="00C83330" w:rsidRDefault="00C83330" w:rsidP="00C83330">
      <w:pPr>
        <w:rPr>
          <w:rFonts w:ascii="Arial" w:hAnsi="Arial" w:cs="Arial"/>
        </w:rPr>
      </w:pPr>
    </w:p>
    <w:p w14:paraId="45BBD43C" w14:textId="77777777" w:rsidR="00C83330" w:rsidRDefault="00C83330" w:rsidP="00C83330">
      <w:pPr>
        <w:rPr>
          <w:rFonts w:ascii="Arial" w:hAnsi="Arial" w:cs="Arial"/>
        </w:rPr>
      </w:pPr>
      <w:r>
        <w:rPr>
          <w:rFonts w:ascii="Arial" w:hAnsi="Arial" w:cs="Arial"/>
        </w:rPr>
        <w:t xml:space="preserve">The management of Type 2 diabetes is based on lifestyle interventions in which there is consistent evidence of benefit from behavioural treatments focusing on diet, physical activity, body weight control and smoking abstinence with substantial impact to glycaemic control, cardiovascular risk and quality of life (Davies et al., 2018). </w:t>
      </w:r>
    </w:p>
    <w:p w14:paraId="51C9D32B" w14:textId="77777777" w:rsidR="00C83330" w:rsidRDefault="00C83330" w:rsidP="00C83330">
      <w:pPr>
        <w:rPr>
          <w:rFonts w:ascii="Arial" w:hAnsi="Arial" w:cs="Arial"/>
        </w:rPr>
      </w:pPr>
    </w:p>
    <w:p w14:paraId="46B6FC80" w14:textId="77777777" w:rsidR="00C83330" w:rsidRDefault="00C83330" w:rsidP="00C83330">
      <w:pPr>
        <w:rPr>
          <w:rFonts w:ascii="Arial" w:hAnsi="Arial" w:cs="Arial"/>
        </w:rPr>
      </w:pPr>
      <w:r>
        <w:rPr>
          <w:rFonts w:ascii="Arial" w:hAnsi="Arial" w:cs="Arial"/>
        </w:rPr>
        <w:t>Dietary Modifications</w:t>
      </w:r>
    </w:p>
    <w:p w14:paraId="75019935" w14:textId="77777777" w:rsidR="00C83330" w:rsidRDefault="00C83330" w:rsidP="00C83330">
      <w:pPr>
        <w:rPr>
          <w:rFonts w:ascii="Arial" w:hAnsi="Arial" w:cs="Arial"/>
        </w:rPr>
      </w:pPr>
    </w:p>
    <w:p w14:paraId="595F76DF" w14:textId="77777777" w:rsidR="00C83330" w:rsidRDefault="00C83330" w:rsidP="00C83330">
      <w:pPr>
        <w:rPr>
          <w:rFonts w:ascii="Arial" w:hAnsi="Arial" w:cs="Arial"/>
        </w:rPr>
      </w:pPr>
      <w:r>
        <w:rPr>
          <w:rFonts w:ascii="Arial" w:hAnsi="Arial" w:cs="Arial"/>
        </w:rPr>
        <w:t xml:space="preserve">Diet therapy represents a cornerstone in the management of diabetes, and healthy eating patterns can result in HbA1c reductions of 0.3-2.0%, </w:t>
      </w:r>
      <w:proofErr w:type="gramStart"/>
      <w:r>
        <w:rPr>
          <w:rFonts w:ascii="Arial" w:hAnsi="Arial" w:cs="Arial"/>
        </w:rPr>
        <w:t>similar to</w:t>
      </w:r>
      <w:proofErr w:type="gramEnd"/>
      <w:r>
        <w:rPr>
          <w:rFonts w:ascii="Arial" w:hAnsi="Arial" w:cs="Arial"/>
        </w:rPr>
        <w:t xml:space="preserve"> for many blood glucose-lowering medications (Evert et al., 2019). Food and eating goals focus on reaching a healthy body weight, obtaining individualised glycaemic targets the prevention of complications.</w:t>
      </w:r>
    </w:p>
    <w:p w14:paraId="3E602327" w14:textId="77777777" w:rsidR="00C83330" w:rsidRDefault="00C83330" w:rsidP="00C83330">
      <w:pPr>
        <w:rPr>
          <w:rFonts w:ascii="Arial" w:hAnsi="Arial" w:cs="Arial"/>
        </w:rPr>
      </w:pPr>
    </w:p>
    <w:p w14:paraId="0931565B" w14:textId="77777777" w:rsidR="00C83330" w:rsidRDefault="00C83330" w:rsidP="00C83330">
      <w:pPr>
        <w:rPr>
          <w:rFonts w:ascii="Arial" w:hAnsi="Arial" w:cs="Arial"/>
        </w:rPr>
      </w:pPr>
      <w:r>
        <w:rPr>
          <w:rFonts w:ascii="Arial" w:hAnsi="Arial" w:cs="Arial"/>
        </w:rPr>
        <w:t>There is evidence for diets in the style of the Mediterranean pattern which are high in vegetables, fruit, whole grains, legumes, nuts and olive oil with moderate amounts of fish and low red meat consumption (Evert et al., 2019). Investigations show that such a diet can be effective in achieving better glycaemic control and cardiovascular risk factors. The DASH diet which promotes high levels of fruits, vegetables, low-fat dairy and sodium reduction is associated with beneficial effects on blood pressure and lipids (Evert et al., 2019).</w:t>
      </w:r>
    </w:p>
    <w:p w14:paraId="44CA839A" w14:textId="77777777" w:rsidR="00C83330" w:rsidRDefault="00C83330" w:rsidP="00C83330">
      <w:pPr>
        <w:rPr>
          <w:rFonts w:ascii="Arial" w:hAnsi="Arial" w:cs="Arial"/>
        </w:rPr>
      </w:pPr>
    </w:p>
    <w:p w14:paraId="28277AAC" w14:textId="77777777" w:rsidR="00C83330" w:rsidRDefault="00C83330" w:rsidP="00C83330">
      <w:pPr>
        <w:rPr>
          <w:rFonts w:ascii="Arial" w:hAnsi="Arial" w:cs="Arial"/>
        </w:rPr>
      </w:pPr>
      <w:r>
        <w:rPr>
          <w:rFonts w:ascii="Arial" w:hAnsi="Arial" w:cs="Arial"/>
        </w:rPr>
        <w:t xml:space="preserve">Carbohydrates deserve special attention, as they are those that influence the most on postprandial glucose. The patients should be consuming carbohydrates with lower glycaemic index (GI) namely whole grains and legumes, rather than refined carbohydrate and added sugar (Evert et al., 2019). Portion size and carbohydrate distribution over the day can prevent excessive glucose fluctuations. Raising daily consumption of dietary fibre to at least 25-30 grams enhances glycaemic control and decreases the risk of cardiovascular disease (Evert et al., 2019). </w:t>
      </w:r>
    </w:p>
    <w:p w14:paraId="0D99D627" w14:textId="77777777" w:rsidR="00C83330" w:rsidRDefault="00C83330" w:rsidP="00C83330">
      <w:pPr>
        <w:rPr>
          <w:rFonts w:ascii="Arial" w:hAnsi="Arial" w:cs="Arial"/>
        </w:rPr>
      </w:pPr>
    </w:p>
    <w:p w14:paraId="61B95C73" w14:textId="77777777" w:rsidR="00C83330" w:rsidRDefault="00C83330" w:rsidP="00C83330">
      <w:pPr>
        <w:rPr>
          <w:rFonts w:ascii="Arial" w:hAnsi="Arial" w:cs="Arial"/>
        </w:rPr>
      </w:pPr>
      <w:r>
        <w:rPr>
          <w:rFonts w:ascii="Arial" w:hAnsi="Arial" w:cs="Arial"/>
        </w:rPr>
        <w:t>Physical Activity and Exercise</w:t>
      </w:r>
    </w:p>
    <w:p w14:paraId="1F1C9028" w14:textId="77777777" w:rsidR="00C83330" w:rsidRDefault="00C83330" w:rsidP="00C83330">
      <w:pPr>
        <w:rPr>
          <w:rFonts w:ascii="Arial" w:hAnsi="Arial" w:cs="Arial"/>
        </w:rPr>
      </w:pPr>
    </w:p>
    <w:p w14:paraId="25D302FC" w14:textId="77777777" w:rsidR="00C83330" w:rsidRDefault="00C83330" w:rsidP="00C83330">
      <w:pPr>
        <w:rPr>
          <w:rFonts w:ascii="Arial" w:hAnsi="Arial" w:cs="Arial"/>
        </w:rPr>
      </w:pPr>
      <w:r>
        <w:rPr>
          <w:rFonts w:ascii="Arial" w:hAnsi="Arial" w:cs="Arial"/>
        </w:rPr>
        <w:t>Exercise remains one of the most powerful interventions for optimizing glycaemic control, insulin sensitivity, and cardiovascular health (Colberg et al., 2016). The role of exercise-derived hormones in muscle insulin sensitivity is by insulin-dependent and -independent mechanisms, and the effects can last for 24-72 h after completion of a single bout of physical exercise (Colberg et al.</w:t>
      </w:r>
    </w:p>
    <w:p w14:paraId="2B2636B8" w14:textId="77777777" w:rsidR="00C83330" w:rsidRDefault="00C83330" w:rsidP="00C83330">
      <w:pPr>
        <w:rPr>
          <w:rFonts w:ascii="Arial" w:hAnsi="Arial" w:cs="Arial"/>
        </w:rPr>
      </w:pPr>
    </w:p>
    <w:p w14:paraId="740DFB05" w14:textId="77777777" w:rsidR="00C83330" w:rsidRDefault="00C83330" w:rsidP="00C83330">
      <w:pPr>
        <w:rPr>
          <w:rFonts w:ascii="Arial" w:hAnsi="Arial" w:cs="Arial"/>
        </w:rPr>
      </w:pPr>
      <w:r>
        <w:rPr>
          <w:rFonts w:ascii="Arial" w:hAnsi="Arial" w:cs="Arial"/>
        </w:rPr>
        <w:t>It is recommended that adult patients with type 2 diabetes should perform at least 150 minutes/week of moderate-intensity aerobic exercise, spread over at least three days (Colberg et al., 2016). For example, aerobic exercise (walks, cycling, swimming and dancing) shows improvements in cardiovascular fitness and glycaemic control.</w:t>
      </w:r>
    </w:p>
    <w:p w14:paraId="5763E846" w14:textId="77777777" w:rsidR="00C83330" w:rsidRDefault="00C83330" w:rsidP="00C83330">
      <w:pPr>
        <w:rPr>
          <w:rFonts w:ascii="Arial" w:hAnsi="Arial" w:cs="Arial"/>
        </w:rPr>
      </w:pPr>
    </w:p>
    <w:p w14:paraId="2ED2B034" w14:textId="77777777" w:rsidR="00C83330" w:rsidRDefault="00C83330" w:rsidP="00C83330">
      <w:pPr>
        <w:rPr>
          <w:rFonts w:ascii="Arial" w:hAnsi="Arial" w:cs="Arial"/>
        </w:rPr>
      </w:pPr>
      <w:r>
        <w:rPr>
          <w:rFonts w:ascii="Arial" w:hAnsi="Arial" w:cs="Arial"/>
        </w:rPr>
        <w:t xml:space="preserve">Strength training is recommended at least two to three times a week (Colberg et al., 2016). Studies, including this one, have shown that combined aerobic and resistance training leads to greater baseline HbA1c modifications than either exercise modality alone do; </w:t>
      </w:r>
      <w:proofErr w:type="gramStart"/>
      <w:r>
        <w:rPr>
          <w:rFonts w:ascii="Arial" w:hAnsi="Arial" w:cs="Arial"/>
        </w:rPr>
        <w:t>therefore</w:t>
      </w:r>
      <w:proofErr w:type="gramEnd"/>
      <w:r>
        <w:rPr>
          <w:rFonts w:ascii="Arial" w:hAnsi="Arial" w:cs="Arial"/>
        </w:rPr>
        <w:t xml:space="preserve"> an eclectic programme might be the most effective (Colberg et al., 2016).</w:t>
      </w:r>
    </w:p>
    <w:p w14:paraId="63BE8E82" w14:textId="77777777" w:rsidR="00C83330" w:rsidRDefault="00C83330" w:rsidP="00C83330">
      <w:pPr>
        <w:rPr>
          <w:rFonts w:ascii="Arial" w:hAnsi="Arial" w:cs="Arial"/>
        </w:rPr>
      </w:pPr>
    </w:p>
    <w:p w14:paraId="206E0657" w14:textId="77777777" w:rsidR="00C83330" w:rsidRDefault="00C83330" w:rsidP="00C83330">
      <w:pPr>
        <w:rPr>
          <w:rFonts w:ascii="Arial" w:hAnsi="Arial" w:cs="Arial"/>
        </w:rPr>
      </w:pPr>
      <w:r>
        <w:rPr>
          <w:rFonts w:ascii="Arial" w:hAnsi="Arial" w:cs="Arial"/>
        </w:rPr>
        <w:t xml:space="preserve">Individuals with diabetic complications (e.g., retinopathy or neuropathy) the exercise regimen should be customised to reduce the risk of injury while developmental metabolic benefits are maximized (Colberg et al., 2016). </w:t>
      </w:r>
    </w:p>
    <w:p w14:paraId="37F60DC6" w14:textId="77777777" w:rsidR="00C83330" w:rsidRDefault="00C83330" w:rsidP="00C83330">
      <w:pPr>
        <w:rPr>
          <w:rFonts w:ascii="Arial" w:hAnsi="Arial" w:cs="Arial"/>
        </w:rPr>
      </w:pPr>
    </w:p>
    <w:p w14:paraId="757B3A6C" w14:textId="77777777" w:rsidR="00C83330" w:rsidRDefault="00C83330" w:rsidP="00C83330">
      <w:pPr>
        <w:rPr>
          <w:rFonts w:ascii="Arial" w:hAnsi="Arial" w:cs="Arial"/>
        </w:rPr>
      </w:pPr>
      <w:r>
        <w:rPr>
          <w:rFonts w:ascii="Arial" w:hAnsi="Arial" w:cs="Arial"/>
        </w:rPr>
        <w:t>Smoking Cessation</w:t>
      </w:r>
    </w:p>
    <w:p w14:paraId="137D24BE" w14:textId="77777777" w:rsidR="00C83330" w:rsidRDefault="00C83330" w:rsidP="00C83330">
      <w:pPr>
        <w:rPr>
          <w:rFonts w:ascii="Arial" w:hAnsi="Arial" w:cs="Arial"/>
        </w:rPr>
      </w:pPr>
    </w:p>
    <w:p w14:paraId="42F748E4" w14:textId="77777777" w:rsidR="00C83330" w:rsidRDefault="00C83330" w:rsidP="00C83330">
      <w:pPr>
        <w:rPr>
          <w:rFonts w:ascii="Arial" w:hAnsi="Arial" w:cs="Arial"/>
        </w:rPr>
      </w:pPr>
      <w:r>
        <w:rPr>
          <w:rFonts w:ascii="Arial" w:hAnsi="Arial" w:cs="Arial"/>
        </w:rPr>
        <w:t>Smoking is a significant modifiable risk factor, and it aggravates insulin resistance, raises the chances of cardiovascular events, and contribute for quick development of complications (Pan et al., 2015). Diabetic smokers are at much higher risks for CVD, PVD, nephropathy, retinopathy and neuropathy compared to diabetic nonsmokers (Pan et al., 2015).</w:t>
      </w:r>
    </w:p>
    <w:p w14:paraId="23B431B0" w14:textId="77777777" w:rsidR="00C83330" w:rsidRDefault="00C83330" w:rsidP="00C83330">
      <w:pPr>
        <w:rPr>
          <w:rFonts w:ascii="Arial" w:hAnsi="Arial" w:cs="Arial"/>
        </w:rPr>
      </w:pPr>
    </w:p>
    <w:p w14:paraId="52E30521" w14:textId="77777777" w:rsidR="00C83330" w:rsidRDefault="00C83330" w:rsidP="00C83330">
      <w:pPr>
        <w:rPr>
          <w:rFonts w:ascii="Arial" w:hAnsi="Arial" w:cs="Arial"/>
        </w:rPr>
      </w:pPr>
      <w:r>
        <w:rPr>
          <w:rFonts w:ascii="Arial" w:hAnsi="Arial" w:cs="Arial"/>
        </w:rPr>
        <w:t xml:space="preserve">In the meta-analysis of the impact of smoking on health in diabetes, smoking was found to significantly increase mortality risk, cardiovascular events, stroke and MI (Pan et al., 2015). There is evidence to show that cessation benefits health regardless of the time point at which it occurs. An offer of full support to quit should be offered, comprising behavioural support using counselling and other interventions such as nicotine replacement therapy (NRT), varenicline or bupropion (National Institute for Health and Care Excellence, 2022). </w:t>
      </w:r>
    </w:p>
    <w:p w14:paraId="6A4894CF" w14:textId="77777777" w:rsidR="00C83330" w:rsidRDefault="00C83330" w:rsidP="00C83330">
      <w:pPr>
        <w:rPr>
          <w:rFonts w:ascii="Arial" w:hAnsi="Arial" w:cs="Arial"/>
        </w:rPr>
      </w:pPr>
    </w:p>
    <w:p w14:paraId="7D81B086" w14:textId="77777777" w:rsidR="00C83330" w:rsidRDefault="00C83330" w:rsidP="00C83330">
      <w:pPr>
        <w:rPr>
          <w:rFonts w:ascii="Arial" w:hAnsi="Arial" w:cs="Arial"/>
        </w:rPr>
      </w:pPr>
      <w:r>
        <w:rPr>
          <w:rFonts w:ascii="Arial" w:hAnsi="Arial" w:cs="Arial"/>
        </w:rPr>
        <w:t>Sleep and Stress Management</w:t>
      </w:r>
    </w:p>
    <w:p w14:paraId="735DF106" w14:textId="77777777" w:rsidR="00C83330" w:rsidRDefault="00C83330" w:rsidP="00C83330">
      <w:pPr>
        <w:rPr>
          <w:rFonts w:ascii="Arial" w:hAnsi="Arial" w:cs="Arial"/>
        </w:rPr>
      </w:pPr>
    </w:p>
    <w:p w14:paraId="75F46631" w14:textId="77777777" w:rsidR="00C83330" w:rsidRDefault="00C83330" w:rsidP="00C83330">
      <w:pPr>
        <w:rPr>
          <w:rFonts w:ascii="Arial" w:hAnsi="Arial" w:cs="Arial"/>
        </w:rPr>
      </w:pPr>
      <w:r>
        <w:rPr>
          <w:rFonts w:ascii="Arial" w:hAnsi="Arial" w:cs="Arial"/>
        </w:rPr>
        <w:t>There is growing evidence that adequate sleep duration and quality can impact diabetes management, whilst a lack of or poor-quality sleep has been associated with poorer glycaemic control and increased insulin resistance (Davies et al., 2018). Adults with Type 2 diabetes should strive for seven to nine hours of good-quality sleep every night and treat sleep problems, including obstructive sleep apnoea.</w:t>
      </w:r>
    </w:p>
    <w:p w14:paraId="3C015F1C" w14:textId="77777777" w:rsidR="00C83330" w:rsidRDefault="00C83330" w:rsidP="00C83330">
      <w:pPr>
        <w:rPr>
          <w:rFonts w:ascii="Arial" w:hAnsi="Arial" w:cs="Arial"/>
        </w:rPr>
      </w:pPr>
    </w:p>
    <w:p w14:paraId="1BAA9203" w14:textId="77777777" w:rsidR="00C83330" w:rsidRDefault="00C83330" w:rsidP="00C83330">
      <w:pPr>
        <w:rPr>
          <w:rFonts w:ascii="Arial" w:hAnsi="Arial" w:cs="Arial"/>
        </w:rPr>
      </w:pPr>
      <w:r>
        <w:rPr>
          <w:rFonts w:ascii="Arial" w:hAnsi="Arial" w:cs="Arial"/>
        </w:rPr>
        <w:t xml:space="preserve">Long-term psychological stress negatively affects the treatment of diabetes, inducing physiological impacts on glucose metabolism and indirect effects on health </w:t>
      </w:r>
      <w:proofErr w:type="spellStart"/>
      <w:r>
        <w:rPr>
          <w:rFonts w:ascii="Arial" w:hAnsi="Arial" w:cs="Arial"/>
        </w:rPr>
        <w:t>behavior</w:t>
      </w:r>
      <w:proofErr w:type="spellEnd"/>
      <w:r>
        <w:rPr>
          <w:rFonts w:ascii="Arial" w:hAnsi="Arial" w:cs="Arial"/>
        </w:rPr>
        <w:t xml:space="preserve"> (Davies et al., 2018). Mindfulness-based interventions, cognitive behavioural therapy, and relaxation exercises are promising techniques for enhancing psychological wellbeing and glycaemic control. </w:t>
      </w:r>
    </w:p>
    <w:p w14:paraId="79B03296" w14:textId="77777777" w:rsidR="00C83330" w:rsidRDefault="00C83330" w:rsidP="00C83330">
      <w:pPr>
        <w:rPr>
          <w:rFonts w:ascii="Arial" w:hAnsi="Arial" w:cs="Arial"/>
        </w:rPr>
      </w:pPr>
    </w:p>
    <w:p w14:paraId="779198DA" w14:textId="77777777" w:rsidR="00C83330" w:rsidRDefault="00C83330" w:rsidP="00C83330">
      <w:pPr>
        <w:rPr>
          <w:rFonts w:ascii="Arial" w:hAnsi="Arial" w:cs="Arial"/>
        </w:rPr>
      </w:pPr>
      <w:r>
        <w:rPr>
          <w:rFonts w:ascii="Arial" w:hAnsi="Arial" w:cs="Arial"/>
        </w:rPr>
        <w:t>Conclusion</w:t>
      </w:r>
    </w:p>
    <w:p w14:paraId="27A1E6D9" w14:textId="77777777" w:rsidR="00C83330" w:rsidRDefault="00C83330" w:rsidP="00C83330">
      <w:pPr>
        <w:rPr>
          <w:rFonts w:ascii="Arial" w:hAnsi="Arial" w:cs="Arial"/>
        </w:rPr>
      </w:pPr>
    </w:p>
    <w:p w14:paraId="0921CBDB" w14:textId="77777777" w:rsidR="00C83330" w:rsidRDefault="00C83330" w:rsidP="00C83330">
      <w:pPr>
        <w:rPr>
          <w:rFonts w:ascii="Arial" w:hAnsi="Arial" w:cs="Arial"/>
        </w:rPr>
      </w:pPr>
      <w:r>
        <w:rPr>
          <w:rFonts w:ascii="Arial" w:hAnsi="Arial" w:cs="Arial"/>
        </w:rPr>
        <w:t>Type 2 diabetes is a complex chronic condition that heterogeneous and requires treatment beyond anti diabetic therapy. Understanding the physiology of glucose regulation and cellular energy metabolism also empowers patients in understanding their own daily choices that affect the progression of disease and health. The focus is largely on regulation of blood glucose, how cells utilize in respiration the substrates glucose and oxygen to generate energy, and deviations observed in the progression of Type 2 disease.</w:t>
      </w:r>
    </w:p>
    <w:p w14:paraId="70964CCC" w14:textId="77777777" w:rsidR="00C83330" w:rsidRDefault="00C83330" w:rsidP="00C83330">
      <w:pPr>
        <w:rPr>
          <w:rFonts w:ascii="Arial" w:hAnsi="Arial" w:cs="Arial"/>
        </w:rPr>
      </w:pPr>
    </w:p>
    <w:p w14:paraId="510D2FCF" w14:textId="77777777" w:rsidR="00C83330" w:rsidRDefault="00C83330" w:rsidP="00C83330">
      <w:pPr>
        <w:rPr>
          <w:rFonts w:ascii="Arial" w:hAnsi="Arial" w:cs="Arial"/>
        </w:rPr>
      </w:pPr>
      <w:r>
        <w:rPr>
          <w:rFonts w:ascii="Arial" w:hAnsi="Arial" w:cs="Arial"/>
        </w:rPr>
        <w:t xml:space="preserve">Measurement of blood glucose is the "vital sign" to allow persons with diabetes to recognize patterns, prevent complications and support effective partnership in care plans. But if behaviour is not changing, the </w:t>
      </w:r>
      <w:proofErr w:type="gramStart"/>
      <w:r>
        <w:rPr>
          <w:rFonts w:ascii="Arial" w:hAnsi="Arial" w:cs="Arial"/>
        </w:rPr>
        <w:t>one of</w:t>
      </w:r>
      <w:proofErr w:type="gramEnd"/>
      <w:r>
        <w:rPr>
          <w:rFonts w:ascii="Arial" w:hAnsi="Arial" w:cs="Arial"/>
        </w:rPr>
        <w:t xml:space="preserve"> being watched is not sufficient. There is evidence that lifestyle interventions to modify diet quality, increase physical activity and manage body weight; quit smoking; have sufficient sleep; relax more and cut down binge drinking are </w:t>
      </w:r>
      <w:r>
        <w:rPr>
          <w:rFonts w:ascii="Arial" w:hAnsi="Arial" w:cs="Arial"/>
        </w:rPr>
        <w:lastRenderedPageBreak/>
        <w:t>efficacious in producing clinically meaningful reductions in glycaemic parameters as well as reducing the likelihood of catastrophic complications.</w:t>
      </w:r>
    </w:p>
    <w:p w14:paraId="01F0023A" w14:textId="77777777" w:rsidR="00C83330" w:rsidRDefault="00C83330" w:rsidP="00C83330">
      <w:pPr>
        <w:rPr>
          <w:rFonts w:ascii="Arial" w:hAnsi="Arial" w:cs="Arial"/>
        </w:rPr>
      </w:pPr>
    </w:p>
    <w:p w14:paraId="6F921F5E" w14:textId="77777777" w:rsidR="00C83330" w:rsidRDefault="00C83330" w:rsidP="00C83330">
      <w:pPr>
        <w:rPr>
          <w:rFonts w:ascii="Arial" w:hAnsi="Arial" w:cs="Arial"/>
        </w:rPr>
      </w:pPr>
      <w:r>
        <w:rPr>
          <w:rFonts w:ascii="Arial" w:hAnsi="Arial" w:cs="Arial"/>
        </w:rPr>
        <w:t xml:space="preserve">Health care professionals have a significant role to play in aiding patient education, behaviour change and collaboratively working with patients on bespoke management plans that may be informed of each patient's possible background, preference and goal. Through comprehensive, evidence-based education and ongoing support, we can empower patients to play a consistent and active role in diabetes management with the end aim of positively impacting quality of life and long-term health outcomes. Living with diabetes is a lifelong </w:t>
      </w:r>
      <w:proofErr w:type="gramStart"/>
      <w:r>
        <w:rPr>
          <w:rFonts w:ascii="Arial" w:hAnsi="Arial" w:cs="Arial"/>
        </w:rPr>
        <w:t>challenge, yet</w:t>
      </w:r>
      <w:proofErr w:type="gramEnd"/>
      <w:r>
        <w:rPr>
          <w:rFonts w:ascii="Arial" w:hAnsi="Arial" w:cs="Arial"/>
        </w:rPr>
        <w:t xml:space="preserve"> Type 2 sufferers can lead productive lives if they are well-informed and well-supported. </w:t>
      </w:r>
    </w:p>
    <w:p w14:paraId="53CA511C" w14:textId="77777777" w:rsidR="00C83330" w:rsidRDefault="00C83330" w:rsidP="00C83330">
      <w:pPr>
        <w:rPr>
          <w:rFonts w:ascii="Arial" w:hAnsi="Arial" w:cs="Arial"/>
        </w:rPr>
      </w:pPr>
    </w:p>
    <w:p w14:paraId="13968899" w14:textId="77777777" w:rsidR="00C83330" w:rsidRDefault="00C83330" w:rsidP="00C83330">
      <w:pPr>
        <w:rPr>
          <w:rFonts w:ascii="Arial" w:hAnsi="Arial" w:cs="Arial"/>
        </w:rPr>
      </w:pPr>
      <w:r>
        <w:rPr>
          <w:rFonts w:ascii="Arial" w:hAnsi="Arial" w:cs="Arial"/>
        </w:rPr>
        <w:t>References</w:t>
      </w:r>
    </w:p>
    <w:p w14:paraId="11031EDD" w14:textId="77777777" w:rsidR="00C83330" w:rsidRDefault="00C83330" w:rsidP="00C83330">
      <w:r>
        <w:rPr>
          <w:rFonts w:ascii="Arial" w:hAnsi="Arial" w:cs="Arial"/>
        </w:rPr>
        <w:t xml:space="preserve">Bellou, V., </w:t>
      </w:r>
      <w:proofErr w:type="spellStart"/>
      <w:r>
        <w:rPr>
          <w:rFonts w:ascii="Arial" w:hAnsi="Arial" w:cs="Arial"/>
        </w:rPr>
        <w:t>Belbasis</w:t>
      </w:r>
      <w:proofErr w:type="spellEnd"/>
      <w:r>
        <w:rPr>
          <w:rFonts w:ascii="Arial" w:hAnsi="Arial" w:cs="Arial"/>
        </w:rPr>
        <w:t xml:space="preserve">, L., </w:t>
      </w:r>
      <w:proofErr w:type="spellStart"/>
      <w:r>
        <w:rPr>
          <w:rFonts w:ascii="Arial" w:hAnsi="Arial" w:cs="Arial"/>
        </w:rPr>
        <w:t>Tzoulaki</w:t>
      </w:r>
      <w:proofErr w:type="spellEnd"/>
      <w:r>
        <w:rPr>
          <w:rFonts w:ascii="Arial" w:hAnsi="Arial" w:cs="Arial"/>
        </w:rPr>
        <w:t xml:space="preserve">, I. and Evangelou, E. (2018) 'Risk factors for type 2 diabetes mellitus: an exposure-wide umbrella review of meta-analyses', </w:t>
      </w:r>
      <w:proofErr w:type="spellStart"/>
      <w:r>
        <w:rPr>
          <w:rFonts w:ascii="Arial" w:hAnsi="Arial" w:cs="Arial"/>
          <w:i/>
          <w:iCs/>
        </w:rPr>
        <w:t>PloS</w:t>
      </w:r>
      <w:proofErr w:type="spellEnd"/>
      <w:r>
        <w:rPr>
          <w:rFonts w:ascii="Arial" w:hAnsi="Arial" w:cs="Arial"/>
          <w:i/>
          <w:iCs/>
        </w:rPr>
        <w:t xml:space="preserve"> One,</w:t>
      </w:r>
      <w:r>
        <w:rPr>
          <w:rFonts w:ascii="Arial" w:hAnsi="Arial" w:cs="Arial"/>
        </w:rPr>
        <w:t xml:space="preserve"> 13(3), e0194127.</w:t>
      </w:r>
    </w:p>
    <w:p w14:paraId="3FC3D07D" w14:textId="77777777" w:rsidR="00C83330" w:rsidRDefault="00C83330" w:rsidP="00C83330">
      <w:r>
        <w:rPr>
          <w:rFonts w:ascii="Arial" w:hAnsi="Arial" w:cs="Arial"/>
        </w:rPr>
        <w:t xml:space="preserve">Colberg, S.R., Sigal, R.J., Yardley, J.E., Riddell, M.C., Dunstan, D.W., Dempsey, P.C., Horton, E.S., Castorino, K. and Tate, D.F. (2016) 'Physical activity/exercise and diabetes: a position statement of the American Diabetes Association', </w:t>
      </w:r>
      <w:r>
        <w:rPr>
          <w:rFonts w:ascii="Arial" w:hAnsi="Arial" w:cs="Arial"/>
          <w:i/>
          <w:iCs/>
        </w:rPr>
        <w:t>Diabetes Care,</w:t>
      </w:r>
      <w:r>
        <w:rPr>
          <w:rFonts w:ascii="Arial" w:hAnsi="Arial" w:cs="Arial"/>
        </w:rPr>
        <w:t xml:space="preserve"> 39(11), pp. 2065-2079.</w:t>
      </w:r>
    </w:p>
    <w:p w14:paraId="56221AD5" w14:textId="77777777" w:rsidR="00C83330" w:rsidRDefault="00C83330" w:rsidP="00C83330">
      <w:r>
        <w:rPr>
          <w:rFonts w:ascii="Arial" w:hAnsi="Arial" w:cs="Arial"/>
        </w:rPr>
        <w:t xml:space="preserve">Davies, M.J., D'Alessio, D.A., Fradkin, J., Kernan, W.N., Mathieu, C., Mingrone, G., Rossing, P., </w:t>
      </w:r>
      <w:proofErr w:type="spellStart"/>
      <w:r>
        <w:rPr>
          <w:rFonts w:ascii="Arial" w:hAnsi="Arial" w:cs="Arial"/>
        </w:rPr>
        <w:t>Tsapas</w:t>
      </w:r>
      <w:proofErr w:type="spellEnd"/>
      <w:r>
        <w:rPr>
          <w:rFonts w:ascii="Arial" w:hAnsi="Arial" w:cs="Arial"/>
        </w:rPr>
        <w:t xml:space="preserve">, A., Wexler, D.J. and Buse, J.B. (2018) 'Management of </w:t>
      </w:r>
      <w:proofErr w:type="spellStart"/>
      <w:r>
        <w:rPr>
          <w:rFonts w:ascii="Arial" w:hAnsi="Arial" w:cs="Arial"/>
        </w:rPr>
        <w:t>hyperglycemia</w:t>
      </w:r>
      <w:proofErr w:type="spellEnd"/>
      <w:r>
        <w:rPr>
          <w:rFonts w:ascii="Arial" w:hAnsi="Arial" w:cs="Arial"/>
        </w:rPr>
        <w:t xml:space="preserve"> in type 2 diabetes, 2018: a consensus report by the American Diabetes Association (ADA) and the European Association for the Study of Diabetes (EASD)', </w:t>
      </w:r>
      <w:r>
        <w:rPr>
          <w:rFonts w:ascii="Arial" w:hAnsi="Arial" w:cs="Arial"/>
          <w:i/>
          <w:iCs/>
        </w:rPr>
        <w:t>Diabetes Care,</w:t>
      </w:r>
      <w:r>
        <w:rPr>
          <w:rFonts w:ascii="Arial" w:hAnsi="Arial" w:cs="Arial"/>
        </w:rPr>
        <w:t xml:space="preserve"> 41(12), pp. 2669-2701.</w:t>
      </w:r>
    </w:p>
    <w:p w14:paraId="756C4BE5" w14:textId="77777777" w:rsidR="00C83330" w:rsidRDefault="00C83330" w:rsidP="00C83330">
      <w:r>
        <w:rPr>
          <w:rFonts w:ascii="Arial" w:hAnsi="Arial" w:cs="Arial"/>
        </w:rPr>
        <w:t xml:space="preserve">DeFronzo, R.A., </w:t>
      </w:r>
      <w:proofErr w:type="spellStart"/>
      <w:r>
        <w:rPr>
          <w:rFonts w:ascii="Arial" w:hAnsi="Arial" w:cs="Arial"/>
        </w:rPr>
        <w:t>Ferrannini</w:t>
      </w:r>
      <w:proofErr w:type="spellEnd"/>
      <w:r>
        <w:rPr>
          <w:rFonts w:ascii="Arial" w:hAnsi="Arial" w:cs="Arial"/>
        </w:rPr>
        <w:t xml:space="preserve">, E., Groop, L., Henry, R.R., Herman, W.H., Holst, J.J., Hu, F.B., Kahn, C.R., Raz, I., Shulman, G.I. and Simonson, D.C. (2015) 'Type 2 diabetes mellitus', </w:t>
      </w:r>
      <w:r>
        <w:rPr>
          <w:rFonts w:ascii="Arial" w:hAnsi="Arial" w:cs="Arial"/>
          <w:i/>
          <w:iCs/>
        </w:rPr>
        <w:t>Nature Reviews Disease Primers</w:t>
      </w:r>
      <w:r>
        <w:rPr>
          <w:rFonts w:ascii="Arial" w:hAnsi="Arial" w:cs="Arial"/>
        </w:rPr>
        <w:t>, 1(1), pp. 1-22.</w:t>
      </w:r>
    </w:p>
    <w:p w14:paraId="56A88D52" w14:textId="77777777" w:rsidR="00C83330" w:rsidRDefault="00C83330" w:rsidP="00C83330">
      <w:r>
        <w:rPr>
          <w:rFonts w:ascii="Arial" w:hAnsi="Arial" w:cs="Arial"/>
        </w:rPr>
        <w:t xml:space="preserve">Evert, A.B., Dennison, M., Gardner, C.D., Garvey, W.T., Lau, K.H.K., MacLeod, J., Mitri, J., Pereira, R.F., Rawlings, K., Robinson, S. and Saslow, L. (2019) 'Nutrition therapy for adults with diabetes or prediabetes: a consensus report', </w:t>
      </w:r>
      <w:r>
        <w:rPr>
          <w:rFonts w:ascii="Arial" w:hAnsi="Arial" w:cs="Arial"/>
          <w:i/>
          <w:iCs/>
        </w:rPr>
        <w:t>Diabetes Care,</w:t>
      </w:r>
      <w:r>
        <w:rPr>
          <w:rFonts w:ascii="Arial" w:hAnsi="Arial" w:cs="Arial"/>
        </w:rPr>
        <w:t xml:space="preserve"> 42(5), pp. 731-754.</w:t>
      </w:r>
    </w:p>
    <w:p w14:paraId="1B4269D1" w14:textId="77777777" w:rsidR="00C83330" w:rsidRDefault="00C83330" w:rsidP="00C83330">
      <w:r>
        <w:rPr>
          <w:rFonts w:ascii="Arial" w:hAnsi="Arial" w:cs="Arial"/>
        </w:rPr>
        <w:t xml:space="preserve">Galicia-Garcia, U., Benito-Vicente, A., </w:t>
      </w:r>
      <w:proofErr w:type="spellStart"/>
      <w:r>
        <w:rPr>
          <w:rFonts w:ascii="Arial" w:hAnsi="Arial" w:cs="Arial"/>
        </w:rPr>
        <w:t>Jebari</w:t>
      </w:r>
      <w:proofErr w:type="spellEnd"/>
      <w:r>
        <w:rPr>
          <w:rFonts w:ascii="Arial" w:hAnsi="Arial" w:cs="Arial"/>
        </w:rPr>
        <w:t>, S., Larrea-</w:t>
      </w:r>
      <w:proofErr w:type="spellStart"/>
      <w:r>
        <w:rPr>
          <w:rFonts w:ascii="Arial" w:hAnsi="Arial" w:cs="Arial"/>
        </w:rPr>
        <w:t>Sebal</w:t>
      </w:r>
      <w:proofErr w:type="spellEnd"/>
      <w:r>
        <w:rPr>
          <w:rFonts w:ascii="Arial" w:hAnsi="Arial" w:cs="Arial"/>
        </w:rPr>
        <w:t xml:space="preserve">, A., Siddiqi, H., Uribe, K.B., Ostolaza, H. and Martín, C. (2020) 'Pathophysiology of type 2 diabetes mellitus', </w:t>
      </w:r>
      <w:r>
        <w:rPr>
          <w:rFonts w:ascii="Arial" w:hAnsi="Arial" w:cs="Arial"/>
          <w:i/>
          <w:iCs/>
        </w:rPr>
        <w:t>International Journal of Molecular Sciences</w:t>
      </w:r>
      <w:r>
        <w:rPr>
          <w:rFonts w:ascii="Arial" w:hAnsi="Arial" w:cs="Arial"/>
        </w:rPr>
        <w:t>, 21(17), 6275.</w:t>
      </w:r>
    </w:p>
    <w:p w14:paraId="5DE24766" w14:textId="77777777" w:rsidR="00C83330" w:rsidRDefault="00C83330" w:rsidP="00C83330">
      <w:r>
        <w:rPr>
          <w:rFonts w:ascii="Arial" w:hAnsi="Arial" w:cs="Arial"/>
        </w:rPr>
        <w:t xml:space="preserve">Hall, J.E. and Hall, M.E. (2021) </w:t>
      </w:r>
      <w:r>
        <w:rPr>
          <w:rFonts w:ascii="Arial" w:hAnsi="Arial" w:cs="Arial"/>
          <w:i/>
          <w:iCs/>
        </w:rPr>
        <w:t>Guyton and Hall textbook of medical physiology</w:t>
      </w:r>
      <w:r>
        <w:rPr>
          <w:rFonts w:ascii="Arial" w:hAnsi="Arial" w:cs="Arial"/>
        </w:rPr>
        <w:t xml:space="preserve">. 14th </w:t>
      </w:r>
      <w:proofErr w:type="spellStart"/>
      <w:r>
        <w:rPr>
          <w:rFonts w:ascii="Arial" w:hAnsi="Arial" w:cs="Arial"/>
        </w:rPr>
        <w:t>edn</w:t>
      </w:r>
      <w:proofErr w:type="spellEnd"/>
      <w:r>
        <w:rPr>
          <w:rFonts w:ascii="Arial" w:hAnsi="Arial" w:cs="Arial"/>
        </w:rPr>
        <w:t>. Philadelphia: Elsevier.</w:t>
      </w:r>
    </w:p>
    <w:p w14:paraId="4CD9F10A" w14:textId="77777777" w:rsidR="00C83330" w:rsidRDefault="00C83330" w:rsidP="00C83330">
      <w:pPr>
        <w:rPr>
          <w:rFonts w:ascii="Arial" w:hAnsi="Arial" w:cs="Arial"/>
        </w:rPr>
      </w:pPr>
      <w:r>
        <w:rPr>
          <w:rFonts w:ascii="Arial" w:hAnsi="Arial" w:cs="Arial"/>
        </w:rPr>
        <w:t xml:space="preserve">International Diabetes Federation (2021) IDF diabetes atlas. 10th </w:t>
      </w:r>
      <w:proofErr w:type="spellStart"/>
      <w:r>
        <w:rPr>
          <w:rFonts w:ascii="Arial" w:hAnsi="Arial" w:cs="Arial"/>
        </w:rPr>
        <w:t>edn</w:t>
      </w:r>
      <w:proofErr w:type="spellEnd"/>
      <w:r>
        <w:rPr>
          <w:rFonts w:ascii="Arial" w:hAnsi="Arial" w:cs="Arial"/>
        </w:rPr>
        <w:t>. Brussels: International Diabetes Federation.</w:t>
      </w:r>
    </w:p>
    <w:p w14:paraId="6000F66E" w14:textId="77777777" w:rsidR="00C83330" w:rsidRDefault="00C83330" w:rsidP="00C83330">
      <w:r>
        <w:rPr>
          <w:rFonts w:ascii="Arial" w:hAnsi="Arial" w:cs="Arial"/>
        </w:rPr>
        <w:t xml:space="preserve">Lean, M.E., Leslie, W.S., Barnes, A.C., Brosnahan, N., Thom, G., McCombie, L., Peters, C., </w:t>
      </w:r>
      <w:proofErr w:type="spellStart"/>
      <w:r>
        <w:rPr>
          <w:rFonts w:ascii="Arial" w:hAnsi="Arial" w:cs="Arial"/>
        </w:rPr>
        <w:t>Zhyzhneuskaya</w:t>
      </w:r>
      <w:proofErr w:type="spellEnd"/>
      <w:r>
        <w:rPr>
          <w:rFonts w:ascii="Arial" w:hAnsi="Arial" w:cs="Arial"/>
        </w:rPr>
        <w:t>, S., Al-</w:t>
      </w:r>
      <w:proofErr w:type="spellStart"/>
      <w:r>
        <w:rPr>
          <w:rFonts w:ascii="Arial" w:hAnsi="Arial" w:cs="Arial"/>
        </w:rPr>
        <w:t>Mrabeh</w:t>
      </w:r>
      <w:proofErr w:type="spellEnd"/>
      <w:r>
        <w:rPr>
          <w:rFonts w:ascii="Arial" w:hAnsi="Arial" w:cs="Arial"/>
        </w:rPr>
        <w:t>, A., Hollingsworth, K.G. and Rodrigues, A.M. (2018) 'Primary care-led weight management for remission of type 2 diabetes (</w:t>
      </w:r>
      <w:proofErr w:type="spellStart"/>
      <w:r>
        <w:rPr>
          <w:rFonts w:ascii="Arial" w:hAnsi="Arial" w:cs="Arial"/>
        </w:rPr>
        <w:t>DiRECT</w:t>
      </w:r>
      <w:proofErr w:type="spellEnd"/>
      <w:r>
        <w:rPr>
          <w:rFonts w:ascii="Arial" w:hAnsi="Arial" w:cs="Arial"/>
        </w:rPr>
        <w:t xml:space="preserve">): an open-label, cluster-randomised trial', </w:t>
      </w:r>
      <w:r>
        <w:rPr>
          <w:rFonts w:ascii="Arial" w:hAnsi="Arial" w:cs="Arial"/>
          <w:i/>
          <w:iCs/>
        </w:rPr>
        <w:t>The Lancet,</w:t>
      </w:r>
      <w:r>
        <w:rPr>
          <w:rFonts w:ascii="Arial" w:hAnsi="Arial" w:cs="Arial"/>
        </w:rPr>
        <w:t xml:space="preserve"> 391(10120), pp. 541-551.</w:t>
      </w:r>
    </w:p>
    <w:p w14:paraId="1FFAC616" w14:textId="77777777" w:rsidR="00C83330" w:rsidRDefault="00C83330" w:rsidP="00C83330">
      <w:r>
        <w:rPr>
          <w:rFonts w:ascii="Arial" w:hAnsi="Arial" w:cs="Arial"/>
        </w:rPr>
        <w:t xml:space="preserve">National Institute for Health and Care Excellence (2022) </w:t>
      </w:r>
      <w:r>
        <w:rPr>
          <w:rFonts w:ascii="Arial" w:hAnsi="Arial" w:cs="Arial"/>
          <w:i/>
          <w:iCs/>
        </w:rPr>
        <w:t>Type 2 diabetes in adults: management.</w:t>
      </w:r>
      <w:r>
        <w:rPr>
          <w:rFonts w:ascii="Arial" w:hAnsi="Arial" w:cs="Arial"/>
        </w:rPr>
        <w:t xml:space="preserve"> NICE guideline [NG28]. London: NICE. </w:t>
      </w:r>
    </w:p>
    <w:p w14:paraId="728DF196" w14:textId="77777777" w:rsidR="00C83330" w:rsidRDefault="00C83330" w:rsidP="00C83330">
      <w:r>
        <w:rPr>
          <w:rFonts w:ascii="Arial" w:hAnsi="Arial" w:cs="Arial"/>
        </w:rPr>
        <w:lastRenderedPageBreak/>
        <w:t xml:space="preserve">Pan, A., Wang, Y., Talaei, M. and Hu, F.B. (2015) 'Relation of smoking with total mortality and cardiovascular events among patients with diabetes mellitus: a meta-analysis and systematic review', </w:t>
      </w:r>
      <w:r>
        <w:rPr>
          <w:rFonts w:ascii="Arial" w:hAnsi="Arial" w:cs="Arial"/>
          <w:i/>
          <w:iCs/>
        </w:rPr>
        <w:t>Circulation,</w:t>
      </w:r>
      <w:r>
        <w:rPr>
          <w:rFonts w:ascii="Arial" w:hAnsi="Arial" w:cs="Arial"/>
        </w:rPr>
        <w:t xml:space="preserve"> 132(19), pp. 1795-1804.</w:t>
      </w:r>
    </w:p>
    <w:p w14:paraId="4A79FF27" w14:textId="77777777" w:rsidR="00C83330" w:rsidRDefault="00C83330" w:rsidP="00C83330">
      <w:r>
        <w:rPr>
          <w:rFonts w:ascii="Arial" w:hAnsi="Arial" w:cs="Arial"/>
        </w:rPr>
        <w:t xml:space="preserve">Petersen, M.C. and Shulman, G.I. (2018) 'Mechanisms of insulin action and insulin resistance', </w:t>
      </w:r>
      <w:r>
        <w:rPr>
          <w:rFonts w:ascii="Arial" w:hAnsi="Arial" w:cs="Arial"/>
          <w:i/>
          <w:iCs/>
        </w:rPr>
        <w:t>Physiological Reviews</w:t>
      </w:r>
      <w:r>
        <w:rPr>
          <w:rFonts w:ascii="Arial" w:hAnsi="Arial" w:cs="Arial"/>
        </w:rPr>
        <w:t>, 98(4), pp. 2133-2223.</w:t>
      </w:r>
    </w:p>
    <w:p w14:paraId="453E5827" w14:textId="77777777" w:rsidR="00C83330" w:rsidRDefault="00C83330" w:rsidP="00C83330">
      <w:r>
        <w:rPr>
          <w:rFonts w:ascii="Arial" w:hAnsi="Arial" w:cs="Arial"/>
        </w:rPr>
        <w:t xml:space="preserve">Taylor, R. (2020) 'Calorie restriction for long-term remission of type 2 diabetes', </w:t>
      </w:r>
      <w:r>
        <w:rPr>
          <w:rFonts w:ascii="Arial" w:hAnsi="Arial" w:cs="Arial"/>
          <w:i/>
          <w:iCs/>
        </w:rPr>
        <w:t>Clinical Medicine</w:t>
      </w:r>
      <w:r>
        <w:rPr>
          <w:rFonts w:ascii="Arial" w:hAnsi="Arial" w:cs="Arial"/>
        </w:rPr>
        <w:t>, 19(1), pp. 37-42.</w:t>
      </w:r>
    </w:p>
    <w:p w14:paraId="03C8B9F9" w14:textId="40C0EA61" w:rsidR="00C83330" w:rsidRDefault="00C83330" w:rsidP="00C83330">
      <w:pPr>
        <w:rPr>
          <w:rFonts w:ascii="Arial" w:hAnsi="Arial" w:cs="Arial"/>
        </w:rPr>
      </w:pPr>
      <w:r>
        <w:rPr>
          <w:rFonts w:ascii="Arial" w:hAnsi="Arial" w:cs="Arial"/>
        </w:rPr>
        <w:t>Young, L.A., Buse, J.B., Weaver, M.A., Vu, M.B., Mitchell, C.M., Blakeney, T., Grimm, K., Oshea, K., Donahue, K.E. and Rodgers, J.E. (2017) 'Glucose self-monitoring in non-insulin-treated patients with type 2 diabetes in primary care settings: a randomized trial', JAMA Internal Medicine, 177(7), pp. 920-</w:t>
      </w:r>
      <w:r w:rsidR="00E72A4E">
        <w:rPr>
          <w:rFonts w:ascii="Arial" w:hAnsi="Arial" w:cs="Arial"/>
        </w:rPr>
        <w:t xml:space="preserve">929. </w:t>
      </w:r>
    </w:p>
    <w:p w14:paraId="607B3017" w14:textId="77777777" w:rsidR="00E72A4E" w:rsidRDefault="00E72A4E" w:rsidP="00C83330">
      <w:pPr>
        <w:rPr>
          <w:rFonts w:ascii="Arial" w:hAnsi="Arial" w:cs="Arial"/>
        </w:rPr>
      </w:pPr>
    </w:p>
    <w:p w14:paraId="72EF4A7E" w14:textId="77777777" w:rsidR="00680827" w:rsidRDefault="00680827" w:rsidP="00C83330">
      <w:pPr>
        <w:rPr>
          <w:rFonts w:ascii="Arial" w:hAnsi="Arial" w:cs="Arial"/>
        </w:rPr>
      </w:pPr>
    </w:p>
    <w:p w14:paraId="469324DA" w14:textId="77777777" w:rsidR="00C83330" w:rsidRDefault="00C83330" w:rsidP="00C83330">
      <w:pPr>
        <w:rPr>
          <w:rFonts w:ascii="Arial" w:hAnsi="Arial" w:cs="Arial"/>
        </w:rPr>
      </w:pPr>
    </w:p>
    <w:p w14:paraId="15F99D29" w14:textId="77777777" w:rsidR="00C83330" w:rsidRDefault="00C83330" w:rsidP="00C83330">
      <w:pPr>
        <w:rPr>
          <w:rFonts w:ascii="Arial" w:hAnsi="Arial" w:cs="Arial"/>
        </w:rPr>
      </w:pPr>
    </w:p>
    <w:p w14:paraId="240ED8D5" w14:textId="77777777" w:rsidR="00C83330" w:rsidRDefault="00C83330" w:rsidP="00C83330">
      <w:pPr>
        <w:rPr>
          <w:rFonts w:ascii="Arial" w:hAnsi="Arial" w:cs="Arial"/>
        </w:rPr>
      </w:pPr>
    </w:p>
    <w:p w14:paraId="68A119ED" w14:textId="77777777" w:rsidR="00C83330" w:rsidRDefault="00C83330" w:rsidP="00C83330">
      <w:pPr>
        <w:rPr>
          <w:rFonts w:ascii="Arial" w:hAnsi="Arial" w:cs="Arial"/>
        </w:rPr>
      </w:pPr>
    </w:p>
    <w:p w14:paraId="076C7BEF" w14:textId="77777777" w:rsidR="00C83330" w:rsidRDefault="00C83330" w:rsidP="00C83330">
      <w:pPr>
        <w:rPr>
          <w:rFonts w:ascii="Arial" w:hAnsi="Arial" w:cs="Arial"/>
        </w:rPr>
      </w:pPr>
    </w:p>
    <w:p w14:paraId="67DB2357" w14:textId="77777777" w:rsidR="00C83330" w:rsidRDefault="00C83330" w:rsidP="00C83330">
      <w:pPr>
        <w:rPr>
          <w:rFonts w:ascii="Arial" w:hAnsi="Arial" w:cs="Arial"/>
        </w:rPr>
      </w:pPr>
    </w:p>
    <w:p w14:paraId="5CE79E31" w14:textId="77777777" w:rsidR="00C83330" w:rsidRDefault="00C83330" w:rsidP="00C83330">
      <w:pPr>
        <w:rPr>
          <w:rFonts w:ascii="Arial" w:hAnsi="Arial" w:cs="Arial"/>
        </w:rPr>
      </w:pPr>
    </w:p>
    <w:p w14:paraId="430DEF84" w14:textId="77777777" w:rsidR="00753216" w:rsidRPr="00C83330" w:rsidRDefault="00753216">
      <w:pPr>
        <w:rPr>
          <w:rFonts w:ascii="Arial" w:hAnsi="Arial" w:cs="Arial"/>
        </w:rPr>
      </w:pPr>
    </w:p>
    <w:sectPr w:rsidR="00753216" w:rsidRPr="00C8333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E84BD2" w14:textId="77777777" w:rsidR="003D31F4" w:rsidRDefault="003D31F4" w:rsidP="00C83330">
      <w:pPr>
        <w:spacing w:after="0"/>
      </w:pPr>
      <w:r>
        <w:separator/>
      </w:r>
    </w:p>
  </w:endnote>
  <w:endnote w:type="continuationSeparator" w:id="0">
    <w:p w14:paraId="201A1EB4" w14:textId="77777777" w:rsidR="003D31F4" w:rsidRDefault="003D31F4" w:rsidP="00C8333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F36D1" w14:textId="77777777" w:rsidR="003D31F4" w:rsidRDefault="003D31F4" w:rsidP="00C83330">
      <w:pPr>
        <w:spacing w:after="0"/>
      </w:pPr>
      <w:r>
        <w:separator/>
      </w:r>
    </w:p>
  </w:footnote>
  <w:footnote w:type="continuationSeparator" w:id="0">
    <w:p w14:paraId="3C7A57F6" w14:textId="77777777" w:rsidR="003D31F4" w:rsidRDefault="003D31F4" w:rsidP="00C8333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170736"/>
      <w:docPartObj>
        <w:docPartGallery w:val="Page Numbers (Top of Page)"/>
        <w:docPartUnique/>
      </w:docPartObj>
    </w:sdtPr>
    <w:sdtEndPr>
      <w:rPr>
        <w:noProof/>
      </w:rPr>
    </w:sdtEndPr>
    <w:sdtContent>
      <w:p w14:paraId="70B38850" w14:textId="2A082897" w:rsidR="00C83330" w:rsidRDefault="00C83330">
        <w:pPr>
          <w:pStyle w:val="Header"/>
          <w:jc w:val="right"/>
        </w:pPr>
        <w:r w:rsidRPr="00C83330">
          <w:rPr>
            <w:rFonts w:ascii="Arial" w:hAnsi="Arial" w:cs="Arial"/>
            <w:sz w:val="22"/>
            <w:szCs w:val="22"/>
          </w:rPr>
          <w:fldChar w:fldCharType="begin"/>
        </w:r>
        <w:r w:rsidRPr="00C83330">
          <w:rPr>
            <w:rFonts w:ascii="Arial" w:hAnsi="Arial" w:cs="Arial"/>
            <w:sz w:val="22"/>
            <w:szCs w:val="22"/>
          </w:rPr>
          <w:instrText xml:space="preserve"> PAGE   \* MERGEFORMAT </w:instrText>
        </w:r>
        <w:r w:rsidRPr="00C83330">
          <w:rPr>
            <w:rFonts w:ascii="Arial" w:hAnsi="Arial" w:cs="Arial"/>
            <w:sz w:val="22"/>
            <w:szCs w:val="22"/>
          </w:rPr>
          <w:fldChar w:fldCharType="separate"/>
        </w:r>
        <w:r w:rsidRPr="00C83330">
          <w:rPr>
            <w:rFonts w:ascii="Arial" w:hAnsi="Arial" w:cs="Arial"/>
            <w:noProof/>
            <w:sz w:val="22"/>
            <w:szCs w:val="22"/>
          </w:rPr>
          <w:t>2</w:t>
        </w:r>
        <w:r w:rsidRPr="00C83330">
          <w:rPr>
            <w:rFonts w:ascii="Arial" w:hAnsi="Arial" w:cs="Arial"/>
            <w:noProof/>
            <w:sz w:val="22"/>
            <w:szCs w:val="22"/>
          </w:rPr>
          <w:fldChar w:fldCharType="end"/>
        </w:r>
      </w:p>
    </w:sdtContent>
  </w:sdt>
  <w:p w14:paraId="253B1154" w14:textId="745BCD80" w:rsidR="00C83330" w:rsidRDefault="00C833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330"/>
    <w:rsid w:val="00052C42"/>
    <w:rsid w:val="00054CCE"/>
    <w:rsid w:val="00320508"/>
    <w:rsid w:val="003D31F4"/>
    <w:rsid w:val="003E31D1"/>
    <w:rsid w:val="004834B3"/>
    <w:rsid w:val="00680827"/>
    <w:rsid w:val="0071796B"/>
    <w:rsid w:val="00753216"/>
    <w:rsid w:val="00760121"/>
    <w:rsid w:val="007B7B78"/>
    <w:rsid w:val="009C7332"/>
    <w:rsid w:val="00B81870"/>
    <w:rsid w:val="00C83330"/>
    <w:rsid w:val="00E72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AEA25"/>
  <w15:chartTrackingRefBased/>
  <w15:docId w15:val="{F64D78C0-05F3-4300-91F0-E76EAD93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330"/>
    <w:pPr>
      <w:suppressAutoHyphens/>
      <w:autoSpaceDN w:val="0"/>
      <w:spacing w:line="240" w:lineRule="auto"/>
    </w:pPr>
    <w:rPr>
      <w:rFonts w:ascii="Aptos" w:eastAsia="Aptos" w:hAnsi="Aptos" w:cs="Times New Roman"/>
      <w:kern w:val="3"/>
      <w:sz w:val="22"/>
      <w:szCs w:val="22"/>
      <w14:ligatures w14:val="none"/>
    </w:rPr>
  </w:style>
  <w:style w:type="paragraph" w:styleId="Heading1">
    <w:name w:val="heading 1"/>
    <w:basedOn w:val="Normal"/>
    <w:next w:val="Normal"/>
    <w:link w:val="Heading1Char"/>
    <w:uiPriority w:val="9"/>
    <w:qFormat/>
    <w:rsid w:val="00C83330"/>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83330"/>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83330"/>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83330"/>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C83330"/>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C83330"/>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C83330"/>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C83330"/>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C83330"/>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3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33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33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33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3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3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3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3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330"/>
    <w:rPr>
      <w:rFonts w:eastAsiaTheme="majorEastAsia" w:cstheme="majorBidi"/>
      <w:color w:val="272727" w:themeColor="text1" w:themeTint="D8"/>
    </w:rPr>
  </w:style>
  <w:style w:type="paragraph" w:styleId="Title">
    <w:name w:val="Title"/>
    <w:basedOn w:val="Normal"/>
    <w:next w:val="Normal"/>
    <w:link w:val="TitleChar"/>
    <w:uiPriority w:val="10"/>
    <w:qFormat/>
    <w:rsid w:val="00C83330"/>
    <w:pPr>
      <w:suppressAutoHyphens w:val="0"/>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833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330"/>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833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330"/>
    <w:pPr>
      <w:suppressAutoHyphens w:val="0"/>
      <w:autoSpaceDN/>
      <w:spacing w:before="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C83330"/>
    <w:rPr>
      <w:i/>
      <w:iCs/>
      <w:color w:val="404040" w:themeColor="text1" w:themeTint="BF"/>
    </w:rPr>
  </w:style>
  <w:style w:type="paragraph" w:styleId="ListParagraph">
    <w:name w:val="List Paragraph"/>
    <w:basedOn w:val="Normal"/>
    <w:uiPriority w:val="34"/>
    <w:qFormat/>
    <w:rsid w:val="00C83330"/>
    <w:pPr>
      <w:suppressAutoHyphens w:val="0"/>
      <w:autoSpaceDN/>
      <w:spacing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C83330"/>
    <w:rPr>
      <w:i/>
      <w:iCs/>
      <w:color w:val="0F4761" w:themeColor="accent1" w:themeShade="BF"/>
    </w:rPr>
  </w:style>
  <w:style w:type="paragraph" w:styleId="IntenseQuote">
    <w:name w:val="Intense Quote"/>
    <w:basedOn w:val="Normal"/>
    <w:next w:val="Normal"/>
    <w:link w:val="IntenseQuoteChar"/>
    <w:uiPriority w:val="30"/>
    <w:qFormat/>
    <w:rsid w:val="00C83330"/>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C83330"/>
    <w:rPr>
      <w:i/>
      <w:iCs/>
      <w:color w:val="0F4761" w:themeColor="accent1" w:themeShade="BF"/>
    </w:rPr>
  </w:style>
  <w:style w:type="character" w:styleId="IntenseReference">
    <w:name w:val="Intense Reference"/>
    <w:basedOn w:val="DefaultParagraphFont"/>
    <w:uiPriority w:val="32"/>
    <w:qFormat/>
    <w:rsid w:val="00C83330"/>
    <w:rPr>
      <w:b/>
      <w:bCs/>
      <w:smallCaps/>
      <w:color w:val="0F4761" w:themeColor="accent1" w:themeShade="BF"/>
      <w:spacing w:val="5"/>
    </w:rPr>
  </w:style>
  <w:style w:type="paragraph" w:styleId="Header">
    <w:name w:val="header"/>
    <w:basedOn w:val="Normal"/>
    <w:link w:val="HeaderChar"/>
    <w:uiPriority w:val="99"/>
    <w:unhideWhenUsed/>
    <w:rsid w:val="00C83330"/>
    <w:pPr>
      <w:tabs>
        <w:tab w:val="center" w:pos="4513"/>
        <w:tab w:val="right" w:pos="9026"/>
      </w:tabs>
      <w:suppressAutoHyphens w:val="0"/>
      <w:autoSpaceDN/>
      <w:spacing w:after="0"/>
    </w:pPr>
    <w:rPr>
      <w:rFonts w:asciiTheme="minorHAnsi" w:eastAsiaTheme="minorHAnsi" w:hAnsiTheme="minorHAnsi" w:cstheme="minorBidi"/>
      <w:kern w:val="2"/>
      <w:sz w:val="24"/>
      <w:szCs w:val="24"/>
      <w14:ligatures w14:val="standardContextual"/>
    </w:rPr>
  </w:style>
  <w:style w:type="character" w:customStyle="1" w:styleId="HeaderChar">
    <w:name w:val="Header Char"/>
    <w:basedOn w:val="DefaultParagraphFont"/>
    <w:link w:val="Header"/>
    <w:uiPriority w:val="99"/>
    <w:rsid w:val="00C83330"/>
  </w:style>
  <w:style w:type="paragraph" w:styleId="Footer">
    <w:name w:val="footer"/>
    <w:basedOn w:val="Normal"/>
    <w:link w:val="FooterChar"/>
    <w:uiPriority w:val="99"/>
    <w:unhideWhenUsed/>
    <w:rsid w:val="00C83330"/>
    <w:pPr>
      <w:tabs>
        <w:tab w:val="center" w:pos="4513"/>
        <w:tab w:val="right" w:pos="9026"/>
      </w:tabs>
      <w:suppressAutoHyphens w:val="0"/>
      <w:autoSpaceDN/>
      <w:spacing w:after="0"/>
    </w:pPr>
    <w:rPr>
      <w:rFonts w:asciiTheme="minorHAnsi" w:eastAsiaTheme="minorHAnsi" w:hAnsiTheme="minorHAnsi" w:cstheme="minorBidi"/>
      <w:kern w:val="2"/>
      <w:sz w:val="24"/>
      <w:szCs w:val="24"/>
      <w14:ligatures w14:val="standardContextual"/>
    </w:rPr>
  </w:style>
  <w:style w:type="character" w:customStyle="1" w:styleId="FooterChar">
    <w:name w:val="Footer Char"/>
    <w:basedOn w:val="DefaultParagraphFont"/>
    <w:link w:val="Footer"/>
    <w:uiPriority w:val="99"/>
    <w:rsid w:val="00C83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1d2892f15b40d7eeb84b2ad146cbcd">
  <xsd:schema xmlns:xsd="http://www.w3.org/2001/XMLSchema" xmlns:xs="http://www.w3.org/2001/XMLSchema" xmlns:p="http://schemas.microsoft.com/office/2006/metadata/properties" xmlns:ns3="ccfc14db-0f45-423b-b2f5-752f8f8a0ada" targetNamespace="http://schemas.microsoft.com/office/2006/metadata/properties" ma:root="true" ma:fieldsID="2ad51a59005074aa92aa2d973473421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C58211-2708-40F7-997F-2B663806AFB5}">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11E0EEB3-EE5D-4FF5-8E59-54AFDBEA47B9}">
  <ds:schemaRefs>
    <ds:schemaRef ds:uri="http://schemas.microsoft.com/sharepoint/v3/contenttype/forms"/>
  </ds:schemaRefs>
</ds:datastoreItem>
</file>

<file path=customXml/itemProps3.xml><?xml version="1.0" encoding="utf-8"?>
<ds:datastoreItem xmlns:ds="http://schemas.openxmlformats.org/officeDocument/2006/customXml" ds:itemID="{745B2FBC-7538-44CD-9356-7599175ACE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2643</Words>
  <Characters>16329</Characters>
  <Application>Microsoft Office Word</Application>
  <DocSecurity>0</DocSecurity>
  <Lines>353</Lines>
  <Paragraphs>79</Paragraphs>
  <ScaleCrop>false</ScaleCrop>
  <Company/>
  <LinksUpToDate>false</LinksUpToDate>
  <CharactersWithSpaces>18927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4</cp:revision>
  <dcterms:created xsi:type="dcterms:W3CDTF">2026-02-14T14:59:00Z</dcterms:created>
  <dcterms:modified xsi:type="dcterms:W3CDTF">2026-02-14T19:17:00Z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