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43FD3" w14:textId="77777777" w:rsidR="00722347" w:rsidRPr="00722347" w:rsidRDefault="00722347" w:rsidP="00722347">
      <w:pPr>
        <w:jc w:val="center"/>
        <w:rPr>
          <w:b/>
          <w:bCs/>
          <w:sz w:val="32"/>
          <w:szCs w:val="28"/>
          <w:shd w:val="clear" w:color="auto" w:fill="FFFFFF"/>
        </w:rPr>
      </w:pPr>
      <w:r w:rsidRPr="00722347">
        <w:rPr>
          <w:b/>
          <w:bCs/>
          <w:sz w:val="32"/>
          <w:szCs w:val="28"/>
          <w:shd w:val="clear" w:color="auto" w:fill="FFFFFF"/>
        </w:rPr>
        <w:t>BMIH5005</w:t>
      </w:r>
    </w:p>
    <w:p w14:paraId="2503F46F" w14:textId="1B3CA4EA" w:rsidR="00722347" w:rsidRPr="00722347" w:rsidRDefault="00722347" w:rsidP="00722347">
      <w:pPr>
        <w:jc w:val="center"/>
        <w:rPr>
          <w:b/>
          <w:bCs/>
          <w:sz w:val="32"/>
          <w:szCs w:val="28"/>
          <w:shd w:val="clear" w:color="auto" w:fill="FFFFFF"/>
        </w:rPr>
      </w:pPr>
      <w:r w:rsidRPr="00722347">
        <w:rPr>
          <w:b/>
          <w:bCs/>
          <w:sz w:val="32"/>
          <w:szCs w:val="28"/>
          <w:shd w:val="clear" w:color="auto" w:fill="FFFFFF"/>
        </w:rPr>
        <w:t>Personnel Resourcing and Development</w:t>
      </w:r>
    </w:p>
    <w:p w14:paraId="57315953" w14:textId="008F5DBC" w:rsidR="00722347" w:rsidRPr="00722347" w:rsidRDefault="00722347" w:rsidP="00722347">
      <w:pPr>
        <w:jc w:val="center"/>
        <w:rPr>
          <w:b/>
          <w:bCs/>
          <w:sz w:val="32"/>
          <w:szCs w:val="28"/>
          <w:shd w:val="clear" w:color="auto" w:fill="FFFFFF"/>
        </w:rPr>
      </w:pPr>
      <w:r w:rsidRPr="00722347">
        <w:rPr>
          <w:b/>
          <w:bCs/>
          <w:sz w:val="32"/>
          <w:szCs w:val="28"/>
          <w:shd w:val="clear" w:color="auto" w:fill="FFFFFF"/>
        </w:rPr>
        <w:t>A1</w:t>
      </w:r>
    </w:p>
    <w:p w14:paraId="7E78DB85" w14:textId="170B95AB" w:rsidR="00722347" w:rsidRPr="00722347" w:rsidRDefault="00722347" w:rsidP="00722347">
      <w:pPr>
        <w:jc w:val="center"/>
        <w:rPr>
          <w:b/>
          <w:bCs/>
          <w:sz w:val="32"/>
          <w:szCs w:val="28"/>
        </w:rPr>
      </w:pPr>
      <w:r w:rsidRPr="00722347">
        <w:rPr>
          <w:b/>
          <w:bCs/>
          <w:sz w:val="32"/>
          <w:szCs w:val="28"/>
          <w:shd w:val="clear" w:color="auto" w:fill="FFFFFF"/>
        </w:rPr>
        <w:t>Essay</w:t>
      </w:r>
    </w:p>
    <w:p w14:paraId="376884FC" w14:textId="43A7C33D" w:rsidR="0016624A" w:rsidRDefault="0016624A" w:rsidP="001E50EE">
      <w:r w:rsidRPr="003700FA">
        <w:rPr>
          <w:b/>
        </w:rPr>
        <w:t>Student Name:</w:t>
      </w:r>
      <w:r>
        <w:t xml:space="preserve"> </w:t>
      </w:r>
      <w:r w:rsidR="008B7604">
        <w:t xml:space="preserve">Laura </w:t>
      </w:r>
      <w:proofErr w:type="spellStart"/>
      <w:r w:rsidR="008B7604">
        <w:t>Ciubotariu</w:t>
      </w:r>
      <w:proofErr w:type="spellEnd"/>
      <w:r w:rsidR="008B7604">
        <w:t xml:space="preserve"> </w:t>
      </w:r>
    </w:p>
    <w:p w14:paraId="3282B995" w14:textId="5F7594A2" w:rsidR="00722347" w:rsidRPr="00722347" w:rsidRDefault="00722347" w:rsidP="001E50EE">
      <w:pPr>
        <w:rPr>
          <w:b/>
          <w:bCs/>
        </w:rPr>
      </w:pPr>
      <w:r w:rsidRPr="00722347">
        <w:rPr>
          <w:b/>
          <w:bCs/>
        </w:rPr>
        <w:t>Student ID:</w:t>
      </w:r>
      <w:r w:rsidR="008B7604">
        <w:rPr>
          <w:b/>
          <w:bCs/>
        </w:rPr>
        <w:t xml:space="preserve"> </w:t>
      </w:r>
      <w:r w:rsidR="00FA6D82">
        <w:rPr>
          <w:b/>
          <w:bCs/>
        </w:rPr>
        <w:t>2117512</w:t>
      </w:r>
    </w:p>
    <w:p w14:paraId="3FC27A75" w14:textId="689A68D7" w:rsidR="0016624A" w:rsidRPr="00FA6D82" w:rsidRDefault="0016624A" w:rsidP="001E50EE">
      <w:pPr>
        <w:rPr>
          <w:bCs/>
        </w:rPr>
      </w:pPr>
      <w:r w:rsidRPr="003700FA">
        <w:rPr>
          <w:b/>
        </w:rPr>
        <w:t>Lecturer’s Name:</w:t>
      </w:r>
      <w:r w:rsidR="00FA6D82">
        <w:rPr>
          <w:b/>
        </w:rPr>
        <w:t xml:space="preserve"> </w:t>
      </w:r>
      <w:r w:rsidR="00FA6D82">
        <w:rPr>
          <w:bCs/>
        </w:rPr>
        <w:t xml:space="preserve">Charlotte </w:t>
      </w:r>
      <w:r w:rsidR="00987728">
        <w:rPr>
          <w:bCs/>
        </w:rPr>
        <w:t xml:space="preserve">Joyner </w:t>
      </w:r>
    </w:p>
    <w:p w14:paraId="22E0BC36" w14:textId="77777777" w:rsidR="001771D9" w:rsidRDefault="001771D9" w:rsidP="001E50EE"/>
    <w:p w14:paraId="22A13810" w14:textId="77777777" w:rsidR="001771D9" w:rsidRDefault="001771D9" w:rsidP="001E50EE"/>
    <w:p w14:paraId="1DF08C7D" w14:textId="77777777" w:rsidR="001771D9" w:rsidRDefault="001771D9" w:rsidP="001E50EE"/>
    <w:p w14:paraId="304A669C" w14:textId="77777777" w:rsidR="001771D9" w:rsidRDefault="001771D9" w:rsidP="001E50EE"/>
    <w:p w14:paraId="314F484A" w14:textId="77777777" w:rsidR="001771D9" w:rsidRDefault="001771D9" w:rsidP="001E50EE"/>
    <w:p w14:paraId="4994FBA6" w14:textId="77777777" w:rsidR="001771D9" w:rsidRDefault="001771D9" w:rsidP="001E50EE"/>
    <w:p w14:paraId="7386F50E" w14:textId="77777777" w:rsidR="001771D9" w:rsidRDefault="001771D9" w:rsidP="001E50EE"/>
    <w:p w14:paraId="1B740D8E" w14:textId="77777777" w:rsidR="001771D9" w:rsidRDefault="001771D9" w:rsidP="001E50EE"/>
    <w:p w14:paraId="10323AE3" w14:textId="7209C00C" w:rsidR="001771D9" w:rsidRDefault="00722347" w:rsidP="00722347">
      <w:pPr>
        <w:spacing w:line="276" w:lineRule="auto"/>
        <w:jc w:val="left"/>
      </w:pPr>
      <w:r>
        <w:br w:type="page"/>
      </w:r>
    </w:p>
    <w:p w14:paraId="5CAD3C91" w14:textId="5BD9C801" w:rsidR="001771D9" w:rsidRPr="00157E98" w:rsidRDefault="00262C3F" w:rsidP="00262C3F">
      <w:pPr>
        <w:jc w:val="center"/>
        <w:rPr>
          <w:b/>
          <w:bCs/>
          <w:i/>
          <w:iCs/>
          <w:sz w:val="32"/>
          <w:szCs w:val="28"/>
        </w:rPr>
      </w:pPr>
      <w:r w:rsidRPr="00157E98">
        <w:rPr>
          <w:b/>
          <w:bCs/>
          <w:i/>
          <w:iCs/>
          <w:sz w:val="32"/>
          <w:szCs w:val="28"/>
        </w:rPr>
        <w:t xml:space="preserve">How </w:t>
      </w:r>
      <w:r w:rsidR="00157E98" w:rsidRPr="00157E98">
        <w:rPr>
          <w:b/>
          <w:bCs/>
          <w:i/>
          <w:iCs/>
          <w:sz w:val="32"/>
          <w:szCs w:val="28"/>
        </w:rPr>
        <w:t>To Engage Employees Throughout the Employee Lifecycle</w:t>
      </w:r>
    </w:p>
    <w:p w14:paraId="6137FE78" w14:textId="5D3146DB" w:rsidR="001E50EE" w:rsidRDefault="001E50EE" w:rsidP="001E50EE">
      <w:r w:rsidRPr="001E50EE">
        <w:t>At every step of employee engagement, human resources are critical. The problem affects the job of all HR professionals, even if different HR experts may be given the responsibility of organising employee engagement initiatives or performing related tasks. Given that it involves so many HR practises, understanding employee engagement is trickier than it first seems. In order for employees to accomplish the goals of the organisation, human resources must guarantee that they have access to the right training, tools, and working circumstances. Additionally, HR has a duty to continuously train and develop workers to maintain high morale and productivity</w:t>
      </w:r>
      <w:r w:rsidR="00A950C3">
        <w:t xml:space="preserve"> (</w:t>
      </w:r>
      <w:r w:rsidR="00A950C3">
        <w:rPr>
          <w:shd w:val="clear" w:color="auto" w:fill="FFFFFF"/>
        </w:rPr>
        <w:t>King, 2016)</w:t>
      </w:r>
      <w:r w:rsidRPr="001E50EE">
        <w:t>. Make sure that individuals can locate chances for career progression. Employees that are actively involved in their work are aware of their duties and the expected results. They are working for both their own and group objectives. The employee lifetime and how HR may help boost overall business engagement are the main topics of this essay</w:t>
      </w:r>
      <w:r w:rsidR="00262C3F">
        <w:t>.</w:t>
      </w:r>
    </w:p>
    <w:p w14:paraId="3C2A271F" w14:textId="77777777" w:rsidR="001E50EE" w:rsidRDefault="00BE25EA" w:rsidP="001E50EE">
      <w:r w:rsidRPr="00BE25EA">
        <w:t>Because they have a strong feeling of belonging to their colleagues and the firm, engaged employees demonstrate a great dedication to and pleasure of their job. Employees that are highly engaged at work are happier, more productive, and more inclined to go above and beyond. The formula is the most secure wager on a successful company future. It goes without saying that human resources experts will always find themselves in the heart of the discussion whenever the subject of the experiences of an organization's workers is brought up. The only department that regularly informs all workers on business developments is human resources. Human resources specialists are more aware of the general demands of their workers and have a wider understanding of the benefits and drawbacks of their organisation</w:t>
      </w:r>
      <w:r w:rsidR="00A950C3">
        <w:t xml:space="preserve"> (</w:t>
      </w:r>
      <w:proofErr w:type="spellStart"/>
      <w:r w:rsidR="00A950C3">
        <w:rPr>
          <w:shd w:val="clear" w:color="auto" w:fill="FFFFFF"/>
        </w:rPr>
        <w:t>Arulrajah</w:t>
      </w:r>
      <w:proofErr w:type="spellEnd"/>
      <w:r w:rsidR="00A950C3">
        <w:rPr>
          <w:shd w:val="clear" w:color="auto" w:fill="FFFFFF"/>
        </w:rPr>
        <w:t xml:space="preserve"> et al., 2015)</w:t>
      </w:r>
      <w:r w:rsidRPr="00BE25EA">
        <w:t>. This is a crucial advantage. Human resources specialists are thus essential to the success of any strategy aimed at increasing employee engagement.</w:t>
      </w:r>
    </w:p>
    <w:p w14:paraId="7EDE90F7" w14:textId="56BBD0C4" w:rsidR="001E50EE" w:rsidRDefault="001771D9" w:rsidP="001E50EE">
      <w:r w:rsidRPr="001771D9">
        <w:t>Engagement of employees is crucial for the success of any company. Leaders who appreciate their employees' enthusiasm for their job have an edge over rivals. Employee engagement is easy and effective. Human resource managers build relationships with staff members by learning about their backgrounds, families, and goals. Ask about their family and interests after making an introduction. This little action might show employees that their management values them. Human resource managers are responsible for managing a variety of company units and making sure that workers are aware of their roles</w:t>
      </w:r>
      <w:r w:rsidR="00A950C3">
        <w:t xml:space="preserve"> (</w:t>
      </w:r>
      <w:proofErr w:type="spellStart"/>
      <w:r w:rsidR="00A950C3">
        <w:rPr>
          <w:shd w:val="clear" w:color="auto" w:fill="FFFFFF"/>
        </w:rPr>
        <w:t>Popli</w:t>
      </w:r>
      <w:proofErr w:type="spellEnd"/>
      <w:r w:rsidR="00A950C3">
        <w:rPr>
          <w:shd w:val="clear" w:color="auto" w:fill="FFFFFF"/>
        </w:rPr>
        <w:t xml:space="preserve"> and Rizvi, 2017)</w:t>
      </w:r>
      <w:r w:rsidRPr="001771D9">
        <w:t>. Their confidence may rise with job-specific training. Work may be put on hold while they figure out how to handle a crisis if one of his team members is unsure. If it becomes too big, a little issue could get worse. Inform workers about the organization's successes and setbacks. The team may come up with fresh ideas for weaker areas and have an aggressive attitude in areas of strength when they are aware of what works and what doesn't. Give department managers permission to inform your teams about the results of the employee engagement survey. Employee engagement may boost annual profitability. The whole business benefits from engaged personnel. Employees that are proud and motivated provide greater service to customers. Sales are boosted by customer pleasure. As a result, investors made more money. An encouraging, team-focused work atmosphere is advantageous to the firm. Employee involvement lowers the number of sick days. Employees who are engaged miss four fewer days of work a year</w:t>
      </w:r>
      <w:r w:rsidR="00A950C3">
        <w:t xml:space="preserve"> (</w:t>
      </w:r>
      <w:r w:rsidR="00A950C3">
        <w:rPr>
          <w:shd w:val="clear" w:color="auto" w:fill="FFFFFF"/>
        </w:rPr>
        <w:t>Albrecht et al., 2015)</w:t>
      </w:r>
      <w:r w:rsidRPr="001771D9">
        <w:t>.</w:t>
      </w:r>
    </w:p>
    <w:p w14:paraId="3B6C5C66" w14:textId="77777777" w:rsidR="001E50EE" w:rsidRDefault="001771D9" w:rsidP="001E50EE">
      <w:r w:rsidRPr="001771D9">
        <w:t>The employee's journey through the organisation may be described and understood as a number of discrete phases when the employee life cycle model is used. The goal of the employee life cycle model is to create a framework for employee engagement at each stage of an employee's employment with a firm. It is not by chance that the employee life cycle model and the consumer journey are identical. The idea that employee experience is equally important as customer experience serves as the foundation for developing an employee life cycle strategy. Large companies often place a higher priority on customer happiness than employee satisfaction and see employee engagement initiatives as one-offs rather than the foundation of the business culture</w:t>
      </w:r>
      <w:r w:rsidR="00B22E3E">
        <w:t xml:space="preserve"> (</w:t>
      </w:r>
      <w:r w:rsidR="00B22E3E">
        <w:rPr>
          <w:shd w:val="clear" w:color="auto" w:fill="FFFFFF"/>
        </w:rPr>
        <w:t>Cattermole, 2019)</w:t>
      </w:r>
      <w:r w:rsidRPr="001771D9">
        <w:t xml:space="preserve">. Attraction, </w:t>
      </w:r>
      <w:proofErr w:type="spellStart"/>
      <w:r w:rsidRPr="001771D9">
        <w:t>enrollment</w:t>
      </w:r>
      <w:proofErr w:type="spellEnd"/>
      <w:r w:rsidRPr="001771D9">
        <w:t>, growth, maturity, commitment, and departure are the six phases that are at work. Attraction begins the moment a prospective employee learns about the organisation. There is simply the attraction stage before a firm really has an employment opportunity. The employer brand of a business is comprised of its standing as a desirable place to work among its present workforce, the broader public, and other important stakeholders. Additionally, it indicates that his clients, customers, and potential stakeholders favourably view working with him and his company. To get hired means going through the hiring process and getting used to being a new employee. Human resources aggressively seeks for and employs potential new employees during the second stage of the employee life cycle. Recruitment efforts or the creation of a new position may be prompted by an open position. The best recruiting strategies optimise the applicant experience, foster teamwork in the selection process based on defined standards, and provide actionable information to boost hiring performance. The process of introducing new hires to your company and assisting with their integration into the team is known as onboarding. The onboarding process is the next step after HR has been successful in attracting top talent, and it is essential for helping new hires rapidly settle in and start producing</w:t>
      </w:r>
      <w:r w:rsidR="00B22E3E">
        <w:t xml:space="preserve"> (</w:t>
      </w:r>
      <w:r w:rsidR="00B22E3E">
        <w:rPr>
          <w:shd w:val="clear" w:color="auto" w:fill="FFFFFF"/>
        </w:rPr>
        <w:t>Singh, 2019)</w:t>
      </w:r>
      <w:r w:rsidRPr="001771D9">
        <w:t>. A new hire gains a greater grasp of their role and the company as they go through the onboarding process. They also learn how to develop the mindset, abilities, and habits necessary for success. Progress is shown We are improving our workers' job performance by implementing a range of programmes. Employees actively support the professional growth of their team during this period, which not only benefits their own professional growth but also provides opportunities for future advancement within the company. Retention is the practise of using incentives and rewards to keep current staff on board. The main goal of human resources in this area is to keep their best workers by making sure they feel challenged and content in their jobs</w:t>
      </w:r>
      <w:r w:rsidR="00B22E3E">
        <w:t xml:space="preserve"> (</w:t>
      </w:r>
      <w:r w:rsidR="00B22E3E">
        <w:rPr>
          <w:shd w:val="clear" w:color="auto" w:fill="FFFFFF"/>
        </w:rPr>
        <w:t>Lipson, 2021)</w:t>
      </w:r>
      <w:r w:rsidRPr="001771D9">
        <w:t>. The impact of organisational culture right now might be substantial. Human resources will always have to deal with replacement expenses if the business culture is bad, as it would be if there is a high turnover rate. By emphasising retention, one may reduce this risk while also boosting employee longevity and job satisfaction. Segregation is the term used to describe the process of a person leaving an organisation. The majority of workers eventually reach the end of their professional lifetime, whether via retirement, a change to a different position, or a decision to leave the workforce for personal reasons. The separation process requires the same amount of intelligence from human resources as the recruitment stage does. The other workers are impacted when a team member departs</w:t>
      </w:r>
      <w:r w:rsidR="00B22E3E">
        <w:t xml:space="preserve"> (</w:t>
      </w:r>
      <w:r w:rsidR="00B22E3E">
        <w:rPr>
          <w:shd w:val="clear" w:color="auto" w:fill="FFFFFF"/>
        </w:rPr>
        <w:t>Kwon and Park, 2019)</w:t>
      </w:r>
      <w:r w:rsidRPr="001771D9">
        <w:t>. Management and the HR department are in charge of making sure that the firm doesn't suffer undue hardship as a result of the departing employee's leave.</w:t>
      </w:r>
    </w:p>
    <w:p w14:paraId="7789FE2D" w14:textId="467830DA" w:rsidR="00B22E3E" w:rsidRDefault="000B20DF" w:rsidP="001E50EE">
      <w:r w:rsidRPr="000B20DF">
        <w:t>In many sectors, but notably in the hospitality sector, engaging staff is crucial. The only public faces of the company are its workers since the hotel industry places a strong emphasis on providing excellent customer service. A single mistake might be the difference between a happy client and an irate one. Running a profitable business and making sure that customers always have a positive experience require attracting and maintaining long-term, well-trained workers. Top talent must be hired, developed, and retained if a service business is to succeed. A new employee needs training and experience before they can function at that level. For instance, a top-notch front-desk personnel will go above and beyond to please clients and entice them to come back (the traditional upsell), which will improve conversions and promote recurring business</w:t>
      </w:r>
      <w:r w:rsidR="00B22E3E">
        <w:t xml:space="preserve"> (</w:t>
      </w:r>
      <w:r w:rsidR="00B22E3E">
        <w:rPr>
          <w:shd w:val="clear" w:color="auto" w:fill="FFFFFF"/>
        </w:rPr>
        <w:t>Wheeler, 2017)</w:t>
      </w:r>
      <w:r w:rsidRPr="000B20DF">
        <w:t>. Employees who interact directly with customers may give their company identity and, if they are successful, distinguish them from rivals. The happiness of a hotel's staff is crucial to maintaining a positive reputation. Employees, not consumers, are an organization's first focus, according to Bob Kelleher. Employers that are dedicated to employee development will find that their staff members are as dedicated to contributing to the success of the business.</w:t>
      </w:r>
    </w:p>
    <w:p w14:paraId="6C6A9485" w14:textId="05006779" w:rsidR="00B22E3E" w:rsidRDefault="00B12045" w:rsidP="001E50EE">
      <w:r w:rsidRPr="00B12045">
        <w:t xml:space="preserve">Employees who are willing to put out their "best effort" on the job are those who are engaged, in accordance with William Kahn's theory of employee engagement. Although Kahn's work was published in 1990, the idea can be found in the early history of team building, when researcher Elton Mayo found that elements like upper management's worry, more comfortable physical conditions, and social connections with </w:t>
      </w:r>
      <w:r w:rsidR="00262C3F" w:rsidRPr="00B12045">
        <w:t>co-workers</w:t>
      </w:r>
      <w:r w:rsidRPr="00B12045">
        <w:t xml:space="preserve"> affected a worker's mood and motivations, thereby boosting productivity and employee retention. Kahn's strategy focuses on creating an environment where workers feel at ease contributing their "whole selves" to the workplace. According to William Kahn's thesis, three behavioural conditions—meaningfulness, safety, and availability—are necessary for an employee to feel a connection to the organization's goal, corporate culture, and daily tasks of the position</w:t>
      </w:r>
      <w:r w:rsidR="00B22E3E" w:rsidRPr="00B22E3E">
        <w:t xml:space="preserve"> (William Kahn, 2018)</w:t>
      </w:r>
      <w:r w:rsidRPr="00B12045">
        <w:t>. The term purposefulness also refers to meaningfulness. Employees are more invested in the company's success when they believe they are contributing to the goal of the business, which is to improve society via its product or service. Employees are more likely to participate and take pleasure in their job if they do not worry about being judged or reprimanded by their peers or superiors. The capacity of an individual to do their duties, both physically and mentally, is referred to as availability. Any human's potential is constantly constrained. A worker's confidence in their ability to do the fundamental tasks is crucial to their sense of fulfilment and growth, but a challenge can only be beneficial if it is seen as realistic and doable. The capacity to strike a good work-life balance is a factor when determining availability. William Kahn advocated for a more comprehensive knowledge of employee motivation and a greater focus on their needs in his research</w:t>
      </w:r>
      <w:r w:rsidR="00B22E3E">
        <w:t xml:space="preserve"> (</w:t>
      </w:r>
      <w:r w:rsidR="00B22E3E">
        <w:rPr>
          <w:shd w:val="clear" w:color="auto" w:fill="FFFFFF"/>
        </w:rPr>
        <w:t>Al-Amin, 2017)</w:t>
      </w:r>
      <w:r w:rsidRPr="00B12045">
        <w:t>. Organizations shifted from appreciating transient methods of reward to more comprehensive strategies that tried to fulfil the needs of their staff in all areas of company.</w:t>
      </w:r>
    </w:p>
    <w:p w14:paraId="4FD0A15C" w14:textId="77777777" w:rsidR="00B12045" w:rsidRDefault="00290585" w:rsidP="001E50EE">
      <w:r w:rsidRPr="00290585">
        <w:t>Premier Inn has more than 72,000 rooms and 800 locations, making it the biggest hotel chain in the UK. In opposition to Travelodge and Ibis, it runs hotels in a variety of places, including city centres, suburbs, and airports. Engaged employees that consistently go above and above for Premier Inn tend</w:t>
      </w:r>
      <w:r w:rsidR="00A950C3">
        <w:t>s</w:t>
      </w:r>
      <w:r w:rsidRPr="00290585">
        <w:t xml:space="preserve"> to prosper in their roles</w:t>
      </w:r>
      <w:r w:rsidR="00B22E3E">
        <w:t xml:space="preserve"> (</w:t>
      </w:r>
      <w:proofErr w:type="spellStart"/>
      <w:r w:rsidR="00B22E3E">
        <w:rPr>
          <w:shd w:val="clear" w:color="auto" w:fill="FFFFFF"/>
        </w:rPr>
        <w:t>Ghandour</w:t>
      </w:r>
      <w:proofErr w:type="spellEnd"/>
      <w:r w:rsidR="00B22E3E">
        <w:rPr>
          <w:shd w:val="clear" w:color="auto" w:fill="FFFFFF"/>
        </w:rPr>
        <w:t xml:space="preserve"> et al., 2015)</w:t>
      </w:r>
      <w:r w:rsidRPr="00290585">
        <w:t>. Both their supervisors and their clients have admired their initiative and willingness to take the lead. People that share these values are in great demand in the hospitality sector. An engaged workforce is crucial in the hospitality sector. The quality of a hotel's service determines its success, making its personnel its most noticeable representation. The hotel sector depends on giving customers outstanding service. For Premier Inn to continue offering top-notch customer service, it must invest in the present and future training of its employees. The concepts of employee engagement and job happiness are often mixed together. It is possible for a worker to be content with their job yet uninterested in it. Employee satisfaction and retention are both included in the broader concept of employee engagement. Employee engagement shows that workers are aware of and committed to the organization's mission. All Premier Inn staff members need to believe they have a say in how the company is perceived. As a result, you should expect nothing less than extraordinary service from them</w:t>
      </w:r>
      <w:r w:rsidR="00B22E3E">
        <w:t xml:space="preserve"> (</w:t>
      </w:r>
      <w:r w:rsidR="00B22E3E">
        <w:rPr>
          <w:shd w:val="clear" w:color="auto" w:fill="FFFFFF"/>
        </w:rPr>
        <w:t>Williams, 2020)</w:t>
      </w:r>
      <w:r w:rsidRPr="00290585">
        <w:t>. Customers are then more likely to leave favourable reviews, come back, and recommend the business to others.</w:t>
      </w:r>
    </w:p>
    <w:p w14:paraId="11CB27C2" w14:textId="77777777" w:rsidR="00B22E3E" w:rsidRDefault="00B22E3E" w:rsidP="001E50EE"/>
    <w:p w14:paraId="39C0EF14" w14:textId="77777777" w:rsidR="00B22E3E" w:rsidRDefault="00B22E3E" w:rsidP="001E50EE"/>
    <w:p w14:paraId="39A0B58C" w14:textId="77777777" w:rsidR="00B22E3E" w:rsidRDefault="00B22E3E" w:rsidP="001E50EE"/>
    <w:p w14:paraId="6561892F" w14:textId="77777777" w:rsidR="00B22E3E" w:rsidRDefault="00B22E3E" w:rsidP="001E50EE"/>
    <w:p w14:paraId="69D8BB4B" w14:textId="77777777" w:rsidR="00B22E3E" w:rsidRDefault="00B22E3E" w:rsidP="001E50EE"/>
    <w:p w14:paraId="3A9629AD" w14:textId="77777777" w:rsidR="00B22E3E" w:rsidRDefault="00B22E3E" w:rsidP="001E50EE"/>
    <w:p w14:paraId="2DC9AE3C" w14:textId="77777777" w:rsidR="00B22E3E" w:rsidRDefault="00B22E3E" w:rsidP="001E50EE"/>
    <w:p w14:paraId="2D2E0C37" w14:textId="77777777" w:rsidR="00B22E3E" w:rsidRDefault="00B22E3E" w:rsidP="001E50EE"/>
    <w:p w14:paraId="5A975A58" w14:textId="77777777" w:rsidR="00B22E3E" w:rsidRDefault="00B22E3E" w:rsidP="001E50EE"/>
    <w:p w14:paraId="7B71BCEE" w14:textId="77777777" w:rsidR="00290585" w:rsidRDefault="00290585" w:rsidP="001E50EE">
      <w:r w:rsidRPr="00290585">
        <w:t>An easy way to boost engagement is to give workers the impression that the company's leadership values their work. A useful tool for predicting and organising future interactions at each stage of an employee's employment with an organisation is the employee life cycle model. A person's emotional, mental, and physical commitment to their work as a way of improving their performance in their assigned function is referred to as job engagement. Managers may often speak with workers and exchange information and perspectives in order to have a more thorough grasp of employee engagement</w:t>
      </w:r>
      <w:r w:rsidR="00B22E3E">
        <w:t xml:space="preserve"> (</w:t>
      </w:r>
      <w:r w:rsidR="00B22E3E">
        <w:rPr>
          <w:shd w:val="clear" w:color="auto" w:fill="FFFFFF"/>
        </w:rPr>
        <w:t>Bowie et al., 2016)</w:t>
      </w:r>
      <w:r w:rsidRPr="00290585">
        <w:t>.</w:t>
      </w:r>
    </w:p>
    <w:p w14:paraId="5569E3EE" w14:textId="77777777" w:rsidR="00290585" w:rsidRDefault="00290585" w:rsidP="001E50EE"/>
    <w:p w14:paraId="5A5A09D6" w14:textId="77777777" w:rsidR="00290585" w:rsidRDefault="00290585" w:rsidP="001E50EE"/>
    <w:p w14:paraId="4B38318E" w14:textId="77777777" w:rsidR="00290585" w:rsidRDefault="00290585" w:rsidP="001E50EE"/>
    <w:p w14:paraId="45D1F41F" w14:textId="77777777" w:rsidR="00290585" w:rsidRDefault="00290585" w:rsidP="001E50EE"/>
    <w:p w14:paraId="228F1371" w14:textId="77777777" w:rsidR="00290585" w:rsidRDefault="00290585" w:rsidP="001E50EE"/>
    <w:p w14:paraId="65E9A925" w14:textId="77777777" w:rsidR="00290585" w:rsidRDefault="00290585" w:rsidP="001E50EE"/>
    <w:p w14:paraId="500ADB23" w14:textId="77777777" w:rsidR="00290585" w:rsidRDefault="00290585" w:rsidP="001E50EE"/>
    <w:p w14:paraId="4B85C0BB" w14:textId="77777777" w:rsidR="00290585" w:rsidRDefault="00290585" w:rsidP="001E50EE"/>
    <w:p w14:paraId="653F98CD" w14:textId="77777777" w:rsidR="00290585" w:rsidRDefault="00290585" w:rsidP="001E50EE"/>
    <w:p w14:paraId="53D5ECA1" w14:textId="77777777" w:rsidR="00290585" w:rsidRDefault="00290585" w:rsidP="001E50EE"/>
    <w:p w14:paraId="50E3B581" w14:textId="77777777" w:rsidR="00290585" w:rsidRDefault="00290585" w:rsidP="001E50EE"/>
    <w:p w14:paraId="4AB6E79C" w14:textId="77777777" w:rsidR="00290585" w:rsidRDefault="00290585" w:rsidP="001E50EE"/>
    <w:p w14:paraId="65E02C07" w14:textId="77777777" w:rsidR="00290585" w:rsidRDefault="00290585" w:rsidP="001E50EE"/>
    <w:p w14:paraId="6405F902" w14:textId="77777777" w:rsidR="00290585" w:rsidRDefault="00290585" w:rsidP="001E50EE"/>
    <w:p w14:paraId="542EB437" w14:textId="77777777" w:rsidR="00290585" w:rsidRDefault="00290585" w:rsidP="00290585">
      <w:pPr>
        <w:pStyle w:val="Heading1"/>
      </w:pPr>
      <w:r>
        <w:t>References</w:t>
      </w:r>
    </w:p>
    <w:p w14:paraId="1EC490CD" w14:textId="77777777" w:rsidR="00B22E3E" w:rsidRDefault="00B22E3E" w:rsidP="00B22E3E">
      <w:pPr>
        <w:ind w:left="720" w:hanging="720"/>
        <w:rPr>
          <w:shd w:val="clear" w:color="auto" w:fill="FFFFFF"/>
        </w:rPr>
      </w:pPr>
      <w:r>
        <w:rPr>
          <w:shd w:val="clear" w:color="auto" w:fill="FFFFFF"/>
        </w:rPr>
        <w:t>Al-Amin, M., 2017. Transformational leadership and employee performance mediating effect of employee engagement. </w:t>
      </w:r>
      <w:r>
        <w:rPr>
          <w:i/>
          <w:iCs/>
          <w:shd w:val="clear" w:color="auto" w:fill="FFFFFF"/>
        </w:rPr>
        <w:t>North South Business Review</w:t>
      </w:r>
      <w:r>
        <w:rPr>
          <w:shd w:val="clear" w:color="auto" w:fill="FFFFFF"/>
        </w:rPr>
        <w:t>, </w:t>
      </w:r>
      <w:r>
        <w:rPr>
          <w:i/>
          <w:iCs/>
          <w:shd w:val="clear" w:color="auto" w:fill="FFFFFF"/>
        </w:rPr>
        <w:t>7</w:t>
      </w:r>
      <w:r>
        <w:rPr>
          <w:shd w:val="clear" w:color="auto" w:fill="FFFFFF"/>
        </w:rPr>
        <w:t>(2), pp.28-40.</w:t>
      </w:r>
    </w:p>
    <w:p w14:paraId="75F3D4BF" w14:textId="77777777" w:rsidR="00B22E3E" w:rsidRDefault="00B22E3E" w:rsidP="00B22E3E">
      <w:pPr>
        <w:ind w:left="720" w:hanging="720"/>
        <w:rPr>
          <w:shd w:val="clear" w:color="auto" w:fill="FFFFFF"/>
        </w:rPr>
      </w:pPr>
      <w:r>
        <w:rPr>
          <w:shd w:val="clear" w:color="auto" w:fill="FFFFFF"/>
        </w:rPr>
        <w:t xml:space="preserve">Albrecht, S.L., Bakker, A.B., </w:t>
      </w:r>
      <w:proofErr w:type="spellStart"/>
      <w:r>
        <w:rPr>
          <w:shd w:val="clear" w:color="auto" w:fill="FFFFFF"/>
        </w:rPr>
        <w:t>Gruman</w:t>
      </w:r>
      <w:proofErr w:type="spellEnd"/>
      <w:r>
        <w:rPr>
          <w:shd w:val="clear" w:color="auto" w:fill="FFFFFF"/>
        </w:rPr>
        <w:t>, J.A., Macey, W.H. and Saks, A.M., 2015. Employee engagement, human resource management practices and competitive advantage: An integrated approach. </w:t>
      </w:r>
      <w:r>
        <w:rPr>
          <w:i/>
          <w:iCs/>
          <w:shd w:val="clear" w:color="auto" w:fill="FFFFFF"/>
        </w:rPr>
        <w:t>Journal of Organizational Effectiveness: People and Performance</w:t>
      </w:r>
      <w:r>
        <w:rPr>
          <w:shd w:val="clear" w:color="auto" w:fill="FFFFFF"/>
        </w:rPr>
        <w:t>.</w:t>
      </w:r>
    </w:p>
    <w:p w14:paraId="2635A025" w14:textId="77777777" w:rsidR="00B22E3E" w:rsidRDefault="00B22E3E" w:rsidP="00B22E3E">
      <w:pPr>
        <w:ind w:left="720" w:hanging="720"/>
        <w:rPr>
          <w:shd w:val="clear" w:color="auto" w:fill="FFFFFF"/>
        </w:rPr>
      </w:pPr>
      <w:proofErr w:type="spellStart"/>
      <w:r>
        <w:rPr>
          <w:shd w:val="clear" w:color="auto" w:fill="FFFFFF"/>
        </w:rPr>
        <w:t>Arulrajah</w:t>
      </w:r>
      <w:proofErr w:type="spellEnd"/>
      <w:r>
        <w:rPr>
          <w:shd w:val="clear" w:color="auto" w:fill="FFFFFF"/>
        </w:rPr>
        <w:t xml:space="preserve">, A.A., </w:t>
      </w:r>
      <w:proofErr w:type="spellStart"/>
      <w:r>
        <w:rPr>
          <w:shd w:val="clear" w:color="auto" w:fill="FFFFFF"/>
        </w:rPr>
        <w:t>Opatha</w:t>
      </w:r>
      <w:proofErr w:type="spellEnd"/>
      <w:r>
        <w:rPr>
          <w:shd w:val="clear" w:color="auto" w:fill="FFFFFF"/>
        </w:rPr>
        <w:t xml:space="preserve">, H.H.D.N.P. and </w:t>
      </w:r>
      <w:proofErr w:type="spellStart"/>
      <w:r>
        <w:rPr>
          <w:shd w:val="clear" w:color="auto" w:fill="FFFFFF"/>
        </w:rPr>
        <w:t>Nawaratne</w:t>
      </w:r>
      <w:proofErr w:type="spellEnd"/>
      <w:r>
        <w:rPr>
          <w:shd w:val="clear" w:color="auto" w:fill="FFFFFF"/>
        </w:rPr>
        <w:t>, N.N.J., 2015. Green human resource management practices: A review.</w:t>
      </w:r>
    </w:p>
    <w:p w14:paraId="724D6F8C" w14:textId="77777777" w:rsidR="00B22E3E" w:rsidRDefault="00B22E3E" w:rsidP="00B22E3E">
      <w:pPr>
        <w:ind w:left="720" w:hanging="720"/>
        <w:rPr>
          <w:shd w:val="clear" w:color="auto" w:fill="FFFFFF"/>
        </w:rPr>
      </w:pPr>
      <w:r>
        <w:rPr>
          <w:shd w:val="clear" w:color="auto" w:fill="FFFFFF"/>
        </w:rPr>
        <w:t xml:space="preserve">Bowie, D., Buttle, F., Brookes, M. and </w:t>
      </w:r>
      <w:proofErr w:type="spellStart"/>
      <w:r>
        <w:rPr>
          <w:shd w:val="clear" w:color="auto" w:fill="FFFFFF"/>
        </w:rPr>
        <w:t>Mariussen</w:t>
      </w:r>
      <w:proofErr w:type="spellEnd"/>
      <w:r>
        <w:rPr>
          <w:shd w:val="clear" w:color="auto" w:fill="FFFFFF"/>
        </w:rPr>
        <w:t>, A., 2016. </w:t>
      </w:r>
      <w:r>
        <w:rPr>
          <w:i/>
          <w:iCs/>
          <w:shd w:val="clear" w:color="auto" w:fill="FFFFFF"/>
        </w:rPr>
        <w:t>Hospitality marketing</w:t>
      </w:r>
      <w:r>
        <w:rPr>
          <w:shd w:val="clear" w:color="auto" w:fill="FFFFFF"/>
        </w:rPr>
        <w:t>. Routledge.</w:t>
      </w:r>
    </w:p>
    <w:p w14:paraId="1FBD5256" w14:textId="77777777" w:rsidR="00B22E3E" w:rsidRDefault="00B22E3E" w:rsidP="00B22E3E">
      <w:pPr>
        <w:ind w:left="720" w:hanging="720"/>
        <w:rPr>
          <w:shd w:val="clear" w:color="auto" w:fill="FFFFFF"/>
        </w:rPr>
      </w:pPr>
      <w:r>
        <w:rPr>
          <w:shd w:val="clear" w:color="auto" w:fill="FFFFFF"/>
        </w:rPr>
        <w:t>Cattermole, G., 2019. Developing the employee lifecycle to keep top talent. </w:t>
      </w:r>
      <w:r>
        <w:rPr>
          <w:i/>
          <w:iCs/>
          <w:shd w:val="clear" w:color="auto" w:fill="FFFFFF"/>
        </w:rPr>
        <w:t>Strategic HR review</w:t>
      </w:r>
      <w:r>
        <w:rPr>
          <w:shd w:val="clear" w:color="auto" w:fill="FFFFFF"/>
        </w:rPr>
        <w:t>, </w:t>
      </w:r>
      <w:r>
        <w:rPr>
          <w:i/>
          <w:iCs/>
          <w:shd w:val="clear" w:color="auto" w:fill="FFFFFF"/>
        </w:rPr>
        <w:t>18</w:t>
      </w:r>
      <w:r>
        <w:rPr>
          <w:shd w:val="clear" w:color="auto" w:fill="FFFFFF"/>
        </w:rPr>
        <w:t>(6), pp.258-262.</w:t>
      </w:r>
    </w:p>
    <w:p w14:paraId="3D0C661D" w14:textId="77777777" w:rsidR="00B22E3E" w:rsidRDefault="00B22E3E" w:rsidP="00B22E3E">
      <w:pPr>
        <w:ind w:left="720" w:hanging="720"/>
        <w:rPr>
          <w:shd w:val="clear" w:color="auto" w:fill="FFFFFF"/>
        </w:rPr>
      </w:pPr>
      <w:proofErr w:type="spellStart"/>
      <w:r>
        <w:rPr>
          <w:shd w:val="clear" w:color="auto" w:fill="FFFFFF"/>
        </w:rPr>
        <w:t>Ghandour</w:t>
      </w:r>
      <w:proofErr w:type="spellEnd"/>
      <w:r>
        <w:rPr>
          <w:shd w:val="clear" w:color="auto" w:fill="FFFFFF"/>
        </w:rPr>
        <w:t>, R., Bilal, J. and Mudassar, H., 2015. Relationship between Service Quality, Customer Retention and the role of Social Media-Case study Premier Inn Hotel (UK). </w:t>
      </w:r>
      <w:r>
        <w:rPr>
          <w:i/>
          <w:iCs/>
          <w:shd w:val="clear" w:color="auto" w:fill="FFFFFF"/>
        </w:rPr>
        <w:t>Journal of Organizational Studies and Innovation</w:t>
      </w:r>
      <w:r>
        <w:rPr>
          <w:shd w:val="clear" w:color="auto" w:fill="FFFFFF"/>
        </w:rPr>
        <w:t>, </w:t>
      </w:r>
      <w:r>
        <w:rPr>
          <w:i/>
          <w:iCs/>
          <w:shd w:val="clear" w:color="auto" w:fill="FFFFFF"/>
        </w:rPr>
        <w:t>2</w:t>
      </w:r>
      <w:r>
        <w:rPr>
          <w:shd w:val="clear" w:color="auto" w:fill="FFFFFF"/>
        </w:rPr>
        <w:t>(4), pp.1-12.</w:t>
      </w:r>
    </w:p>
    <w:p w14:paraId="1FB63B35" w14:textId="77777777" w:rsidR="00B22E3E" w:rsidRDefault="00B22E3E" w:rsidP="00B22E3E">
      <w:pPr>
        <w:ind w:left="720" w:hanging="720"/>
        <w:rPr>
          <w:shd w:val="clear" w:color="auto" w:fill="FFFFFF"/>
        </w:rPr>
      </w:pPr>
      <w:r>
        <w:rPr>
          <w:shd w:val="clear" w:color="auto" w:fill="FFFFFF"/>
        </w:rPr>
        <w:t>King, K.A., 2016. The talent deal and journey: Understanding how employees respond to talent identification over time. </w:t>
      </w:r>
      <w:r>
        <w:rPr>
          <w:i/>
          <w:iCs/>
          <w:shd w:val="clear" w:color="auto" w:fill="FFFFFF"/>
        </w:rPr>
        <w:t>Employee Relations</w:t>
      </w:r>
      <w:r>
        <w:rPr>
          <w:shd w:val="clear" w:color="auto" w:fill="FFFFFF"/>
        </w:rPr>
        <w:t>.</w:t>
      </w:r>
    </w:p>
    <w:p w14:paraId="2D0A1D79" w14:textId="77777777" w:rsidR="00B22E3E" w:rsidRDefault="00B22E3E" w:rsidP="00B22E3E">
      <w:pPr>
        <w:ind w:left="720" w:hanging="720"/>
        <w:rPr>
          <w:shd w:val="clear" w:color="auto" w:fill="FFFFFF"/>
        </w:rPr>
      </w:pPr>
      <w:r>
        <w:rPr>
          <w:shd w:val="clear" w:color="auto" w:fill="FFFFFF"/>
        </w:rPr>
        <w:t>Kwon, K. and Park, J., 2019. The life cycle of employee engagement theory in HRD research. </w:t>
      </w:r>
      <w:r>
        <w:rPr>
          <w:i/>
          <w:iCs/>
          <w:shd w:val="clear" w:color="auto" w:fill="FFFFFF"/>
        </w:rPr>
        <w:t>Advances in Developing Human Resources</w:t>
      </w:r>
      <w:r>
        <w:rPr>
          <w:shd w:val="clear" w:color="auto" w:fill="FFFFFF"/>
        </w:rPr>
        <w:t>, </w:t>
      </w:r>
      <w:r>
        <w:rPr>
          <w:i/>
          <w:iCs/>
          <w:shd w:val="clear" w:color="auto" w:fill="FFFFFF"/>
        </w:rPr>
        <w:t>21</w:t>
      </w:r>
      <w:r>
        <w:rPr>
          <w:shd w:val="clear" w:color="auto" w:fill="FFFFFF"/>
        </w:rPr>
        <w:t>(3), pp.352-370.</w:t>
      </w:r>
    </w:p>
    <w:p w14:paraId="78196DCA" w14:textId="77777777" w:rsidR="00B22E3E" w:rsidRDefault="00B22E3E" w:rsidP="00B22E3E">
      <w:pPr>
        <w:ind w:left="720" w:hanging="720"/>
        <w:rPr>
          <w:shd w:val="clear" w:color="auto" w:fill="FFFFFF"/>
        </w:rPr>
      </w:pPr>
      <w:r>
        <w:rPr>
          <w:shd w:val="clear" w:color="auto" w:fill="FFFFFF"/>
        </w:rPr>
        <w:t>Lipson, S.D., 2021. Platforming gamification as a means of engagement in employee recruitment and onboarding.</w:t>
      </w:r>
    </w:p>
    <w:p w14:paraId="0295DF7D" w14:textId="77777777" w:rsidR="00B22E3E" w:rsidRDefault="00B22E3E" w:rsidP="00B22E3E">
      <w:pPr>
        <w:ind w:left="720" w:hanging="720"/>
        <w:rPr>
          <w:shd w:val="clear" w:color="auto" w:fill="FFFFFF"/>
        </w:rPr>
      </w:pPr>
      <w:proofErr w:type="spellStart"/>
      <w:r>
        <w:rPr>
          <w:shd w:val="clear" w:color="auto" w:fill="FFFFFF"/>
        </w:rPr>
        <w:t>Popli</w:t>
      </w:r>
      <w:proofErr w:type="spellEnd"/>
      <w:r>
        <w:rPr>
          <w:shd w:val="clear" w:color="auto" w:fill="FFFFFF"/>
        </w:rPr>
        <w:t>, S. and Rizvi, I.A., 2017. Leadership style and service orientation: The catalytic role of employee engagement. </w:t>
      </w:r>
      <w:r>
        <w:rPr>
          <w:i/>
          <w:iCs/>
          <w:shd w:val="clear" w:color="auto" w:fill="FFFFFF"/>
        </w:rPr>
        <w:t>Journal of Service Theory and Practice</w:t>
      </w:r>
      <w:r>
        <w:rPr>
          <w:shd w:val="clear" w:color="auto" w:fill="FFFFFF"/>
        </w:rPr>
        <w:t>, </w:t>
      </w:r>
      <w:r>
        <w:rPr>
          <w:i/>
          <w:iCs/>
          <w:shd w:val="clear" w:color="auto" w:fill="FFFFFF"/>
        </w:rPr>
        <w:t>27</w:t>
      </w:r>
      <w:r>
        <w:rPr>
          <w:shd w:val="clear" w:color="auto" w:fill="FFFFFF"/>
        </w:rPr>
        <w:t>(1), pp.292-310.</w:t>
      </w:r>
    </w:p>
    <w:p w14:paraId="4AAB70B0" w14:textId="77777777" w:rsidR="00B22E3E" w:rsidRDefault="00B22E3E" w:rsidP="00B22E3E">
      <w:pPr>
        <w:ind w:left="720" w:hanging="720"/>
        <w:rPr>
          <w:shd w:val="clear" w:color="auto" w:fill="FFFFFF"/>
        </w:rPr>
      </w:pPr>
      <w:r>
        <w:rPr>
          <w:shd w:val="clear" w:color="auto" w:fill="FFFFFF"/>
        </w:rPr>
        <w:t>Singh, D., 2019. A literature review on employee retention with focus on recent trends. </w:t>
      </w:r>
      <w:r>
        <w:rPr>
          <w:i/>
          <w:iCs/>
          <w:shd w:val="clear" w:color="auto" w:fill="FFFFFF"/>
        </w:rPr>
        <w:t>International Journal of Scientific Research in Science and Technology</w:t>
      </w:r>
      <w:r>
        <w:rPr>
          <w:shd w:val="clear" w:color="auto" w:fill="FFFFFF"/>
        </w:rPr>
        <w:t>, </w:t>
      </w:r>
      <w:r>
        <w:rPr>
          <w:i/>
          <w:iCs/>
          <w:shd w:val="clear" w:color="auto" w:fill="FFFFFF"/>
        </w:rPr>
        <w:t>6</w:t>
      </w:r>
      <w:r>
        <w:rPr>
          <w:shd w:val="clear" w:color="auto" w:fill="FFFFFF"/>
        </w:rPr>
        <w:t>(1), pp.425-431.</w:t>
      </w:r>
    </w:p>
    <w:p w14:paraId="2E0EE536" w14:textId="77777777" w:rsidR="00B22E3E" w:rsidRDefault="00B22E3E" w:rsidP="00B22E3E">
      <w:pPr>
        <w:ind w:left="720" w:hanging="720"/>
        <w:rPr>
          <w:shd w:val="clear" w:color="auto" w:fill="FFFFFF"/>
        </w:rPr>
      </w:pPr>
      <w:r>
        <w:rPr>
          <w:shd w:val="clear" w:color="auto" w:fill="FFFFFF"/>
        </w:rPr>
        <w:t>Wheeler, A., 2017. </w:t>
      </w:r>
      <w:r>
        <w:rPr>
          <w:i/>
          <w:iCs/>
          <w:shd w:val="clear" w:color="auto" w:fill="FFFFFF"/>
        </w:rPr>
        <w:t>Designing brand identity: an essential guide for the whole branding team</w:t>
      </w:r>
      <w:r>
        <w:rPr>
          <w:shd w:val="clear" w:color="auto" w:fill="FFFFFF"/>
        </w:rPr>
        <w:t>. John Wiley &amp; Sons.</w:t>
      </w:r>
    </w:p>
    <w:p w14:paraId="0C7C07DC" w14:textId="77777777" w:rsidR="00B22E3E" w:rsidRPr="00A950C3" w:rsidRDefault="00B22E3E" w:rsidP="00B22E3E">
      <w:pPr>
        <w:ind w:left="720" w:hanging="720"/>
        <w:rPr>
          <w:rFonts w:cs="Times New Roman"/>
          <w:color w:val="auto"/>
          <w:szCs w:val="24"/>
        </w:rPr>
      </w:pPr>
      <w:r>
        <w:t xml:space="preserve">William Kahn (2018). </w:t>
      </w:r>
      <w:r>
        <w:rPr>
          <w:i/>
          <w:iCs/>
        </w:rPr>
        <w:t>How William Kahn Revolutionized Employee Engagement at Work</w:t>
      </w:r>
      <w:r>
        <w:t>. [online] Workday Blog. Available at: https://blog.workday.com/en-us/2018/how-william-kahn-revolutionized-employee-engagement-work.html.</w:t>
      </w:r>
    </w:p>
    <w:p w14:paraId="0D464217" w14:textId="77777777" w:rsidR="00B22E3E" w:rsidRDefault="00B22E3E" w:rsidP="00B22E3E">
      <w:pPr>
        <w:ind w:left="720" w:hanging="720"/>
        <w:rPr>
          <w:shd w:val="clear" w:color="auto" w:fill="FFFFFF"/>
        </w:rPr>
      </w:pPr>
      <w:r>
        <w:rPr>
          <w:shd w:val="clear" w:color="auto" w:fill="FFFFFF"/>
        </w:rPr>
        <w:t>Williams, S., 2020. </w:t>
      </w:r>
      <w:r>
        <w:rPr>
          <w:i/>
          <w:iCs/>
          <w:shd w:val="clear" w:color="auto" w:fill="FFFFFF"/>
        </w:rPr>
        <w:t>Introducing employment relations: A critical approach</w:t>
      </w:r>
      <w:r>
        <w:rPr>
          <w:shd w:val="clear" w:color="auto" w:fill="FFFFFF"/>
        </w:rPr>
        <w:t>. Oxford University Press.</w:t>
      </w:r>
    </w:p>
    <w:p w14:paraId="5B62248D" w14:textId="77777777" w:rsidR="00A950C3" w:rsidRDefault="00B22E3E" w:rsidP="00B22E3E">
      <w:pPr>
        <w:tabs>
          <w:tab w:val="left" w:pos="2444"/>
        </w:tabs>
        <w:rPr>
          <w:rFonts w:ascii="Arial" w:hAnsi="Arial" w:cs="Arial"/>
          <w:color w:val="222222"/>
          <w:sz w:val="16"/>
          <w:szCs w:val="16"/>
          <w:shd w:val="clear" w:color="auto" w:fill="FFFFFF"/>
        </w:rPr>
      </w:pPr>
      <w:r>
        <w:rPr>
          <w:rFonts w:ascii="Arial" w:hAnsi="Arial" w:cs="Arial"/>
          <w:color w:val="222222"/>
          <w:sz w:val="16"/>
          <w:szCs w:val="16"/>
          <w:shd w:val="clear" w:color="auto" w:fill="FFFFFF"/>
        </w:rPr>
        <w:tab/>
      </w:r>
    </w:p>
    <w:p w14:paraId="5F2117E7" w14:textId="77777777" w:rsidR="00290585" w:rsidRDefault="00290585" w:rsidP="00290585">
      <w:pPr>
        <w:rPr>
          <w:rFonts w:ascii="Arial" w:hAnsi="Arial" w:cs="Arial"/>
          <w:color w:val="222222"/>
          <w:sz w:val="16"/>
          <w:szCs w:val="16"/>
          <w:shd w:val="clear" w:color="auto" w:fill="FFFFFF"/>
        </w:rPr>
      </w:pPr>
    </w:p>
    <w:p w14:paraId="139EDB3A" w14:textId="77777777" w:rsidR="00290585" w:rsidRDefault="00290585" w:rsidP="00290585">
      <w:pPr>
        <w:rPr>
          <w:rFonts w:ascii="Arial" w:hAnsi="Arial" w:cs="Arial"/>
          <w:color w:val="222222"/>
          <w:sz w:val="16"/>
          <w:szCs w:val="16"/>
          <w:shd w:val="clear" w:color="auto" w:fill="FFFFFF"/>
        </w:rPr>
      </w:pPr>
    </w:p>
    <w:p w14:paraId="504CFF89" w14:textId="77777777" w:rsidR="00290585" w:rsidRDefault="00290585" w:rsidP="00290585">
      <w:pPr>
        <w:rPr>
          <w:rFonts w:ascii="Arial" w:hAnsi="Arial" w:cs="Arial"/>
          <w:color w:val="222222"/>
          <w:sz w:val="16"/>
          <w:szCs w:val="16"/>
          <w:shd w:val="clear" w:color="auto" w:fill="FFFFFF"/>
        </w:rPr>
      </w:pPr>
    </w:p>
    <w:p w14:paraId="34F3FED7" w14:textId="77777777" w:rsidR="00290585" w:rsidRPr="00290585" w:rsidRDefault="00290585" w:rsidP="00290585"/>
    <w:p w14:paraId="0F84504E" w14:textId="77777777" w:rsidR="00290585" w:rsidRDefault="00290585" w:rsidP="001E50EE"/>
    <w:p w14:paraId="62097DC6" w14:textId="77777777" w:rsidR="00290585" w:rsidRDefault="00290585" w:rsidP="001E50EE"/>
    <w:p w14:paraId="212B1309" w14:textId="77777777" w:rsidR="00290585" w:rsidRDefault="00290585" w:rsidP="001E50EE"/>
    <w:sectPr w:rsidR="00290585" w:rsidSect="00E3673B">
      <w:foot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749A7" w14:textId="77777777" w:rsidR="003142B8" w:rsidRDefault="003142B8" w:rsidP="00262C3F">
      <w:pPr>
        <w:spacing w:after="0" w:line="240" w:lineRule="auto"/>
      </w:pPr>
      <w:r>
        <w:separator/>
      </w:r>
    </w:p>
  </w:endnote>
  <w:endnote w:type="continuationSeparator" w:id="0">
    <w:p w14:paraId="494136F9" w14:textId="77777777" w:rsidR="003142B8" w:rsidRDefault="003142B8" w:rsidP="00262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9546295"/>
      <w:docPartObj>
        <w:docPartGallery w:val="Page Numbers (Bottom of Page)"/>
        <w:docPartUnique/>
      </w:docPartObj>
    </w:sdtPr>
    <w:sdtEndPr>
      <w:rPr>
        <w:noProof/>
      </w:rPr>
    </w:sdtEndPr>
    <w:sdtContent>
      <w:p w14:paraId="3685FF13" w14:textId="40D8562C" w:rsidR="00262C3F" w:rsidRDefault="00262C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8FF4AF" w14:textId="77777777" w:rsidR="00262C3F" w:rsidRDefault="00262C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B62C5" w14:textId="77777777" w:rsidR="003142B8" w:rsidRDefault="003142B8" w:rsidP="00262C3F">
      <w:pPr>
        <w:spacing w:after="0" w:line="240" w:lineRule="auto"/>
      </w:pPr>
      <w:r>
        <w:separator/>
      </w:r>
    </w:p>
  </w:footnote>
  <w:footnote w:type="continuationSeparator" w:id="0">
    <w:p w14:paraId="2DACA8AB" w14:textId="77777777" w:rsidR="003142B8" w:rsidRDefault="003142B8" w:rsidP="00262C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0EE"/>
    <w:rsid w:val="000B20DF"/>
    <w:rsid w:val="00157E98"/>
    <w:rsid w:val="0016624A"/>
    <w:rsid w:val="001771D9"/>
    <w:rsid w:val="001A7BC3"/>
    <w:rsid w:val="001E50EE"/>
    <w:rsid w:val="0025235E"/>
    <w:rsid w:val="00262C3F"/>
    <w:rsid w:val="0027706C"/>
    <w:rsid w:val="00290585"/>
    <w:rsid w:val="003142B8"/>
    <w:rsid w:val="003700FA"/>
    <w:rsid w:val="00486615"/>
    <w:rsid w:val="006A0C3C"/>
    <w:rsid w:val="00722347"/>
    <w:rsid w:val="00764873"/>
    <w:rsid w:val="008B7604"/>
    <w:rsid w:val="00987728"/>
    <w:rsid w:val="009A6D6A"/>
    <w:rsid w:val="00A64D18"/>
    <w:rsid w:val="00A950C3"/>
    <w:rsid w:val="00B12045"/>
    <w:rsid w:val="00B22E3E"/>
    <w:rsid w:val="00BE25EA"/>
    <w:rsid w:val="00C24E7F"/>
    <w:rsid w:val="00E3673B"/>
    <w:rsid w:val="00FA6D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ECA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615"/>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86615"/>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semiHidden/>
    <w:unhideWhenUsed/>
    <w:qFormat/>
    <w:rsid w:val="00486615"/>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6615"/>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semiHidden/>
    <w:rsid w:val="00486615"/>
    <w:rPr>
      <w:rFonts w:ascii="Times New Roman" w:eastAsiaTheme="majorEastAsia" w:hAnsi="Times New Roman" w:cstheme="majorBidi"/>
      <w:b/>
      <w:bCs/>
      <w:color w:val="000000" w:themeColor="text1"/>
      <w:sz w:val="28"/>
      <w:szCs w:val="26"/>
    </w:rPr>
  </w:style>
  <w:style w:type="paragraph" w:styleId="NormalWeb">
    <w:name w:val="Normal (Web)"/>
    <w:basedOn w:val="Normal"/>
    <w:uiPriority w:val="99"/>
    <w:unhideWhenUsed/>
    <w:rsid w:val="00A950C3"/>
    <w:pPr>
      <w:spacing w:before="100" w:beforeAutospacing="1" w:after="100" w:afterAutospacing="1" w:line="240" w:lineRule="auto"/>
      <w:jc w:val="left"/>
    </w:pPr>
    <w:rPr>
      <w:rFonts w:eastAsia="Times New Roman" w:cs="Times New Roman"/>
      <w:color w:val="auto"/>
      <w:szCs w:val="24"/>
      <w:lang w:val="en-US"/>
    </w:rPr>
  </w:style>
  <w:style w:type="paragraph" w:styleId="Header">
    <w:name w:val="header"/>
    <w:basedOn w:val="Normal"/>
    <w:link w:val="HeaderChar"/>
    <w:uiPriority w:val="99"/>
    <w:unhideWhenUsed/>
    <w:rsid w:val="00262C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2C3F"/>
    <w:rPr>
      <w:rFonts w:ascii="Times New Roman" w:hAnsi="Times New Roman"/>
      <w:color w:val="000000" w:themeColor="text1"/>
      <w:sz w:val="24"/>
      <w:lang w:val="en-GB"/>
    </w:rPr>
  </w:style>
  <w:style w:type="paragraph" w:styleId="Footer">
    <w:name w:val="footer"/>
    <w:basedOn w:val="Normal"/>
    <w:link w:val="FooterChar"/>
    <w:uiPriority w:val="99"/>
    <w:unhideWhenUsed/>
    <w:rsid w:val="00262C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2C3F"/>
    <w:rPr>
      <w:rFonts w:ascii="Times New Roman" w:hAnsi="Times New Roman"/>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41244">
      <w:bodyDiv w:val="1"/>
      <w:marLeft w:val="0"/>
      <w:marRight w:val="0"/>
      <w:marTop w:val="0"/>
      <w:marBottom w:val="0"/>
      <w:divBdr>
        <w:top w:val="none" w:sz="0" w:space="0" w:color="auto"/>
        <w:left w:val="none" w:sz="0" w:space="0" w:color="auto"/>
        <w:bottom w:val="none" w:sz="0" w:space="0" w:color="auto"/>
        <w:right w:val="none" w:sz="0" w:space="0" w:color="auto"/>
      </w:divBdr>
      <w:divsChild>
        <w:div w:id="5894617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2316</Words>
  <Characters>13207</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2023-02-10T08:29:00Z</dcterms:created>
  <dcterms:modified xsi:type="dcterms:W3CDTF">2023-02-10T08:29:00Z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953943a548cbe722a5f65976857905af4f98a8c2d2f9c3ee1aff6cd7f76330c5</vt:lpwstr>
  </property>
</Properties>
</file>