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C3F76E" w14:textId="77777777" w:rsidR="00A84D55" w:rsidRDefault="00A84D55" w:rsidP="00A84D55">
      <w:pPr>
        <w:pStyle w:val="Title"/>
        <w:jc w:val="center"/>
      </w:pPr>
      <w:r>
        <w:t>Hannibal: Rome’s Worst Nightmare</w:t>
      </w:r>
    </w:p>
    <w:p w14:paraId="0AF80D22" w14:textId="77777777" w:rsidR="00A84D55" w:rsidRPr="00C801EA" w:rsidRDefault="00A84D55" w:rsidP="00A84D55">
      <w:pPr>
        <w:shd w:val="clear" w:color="auto" w:fill="FFFFFF"/>
        <w:spacing w:before="100" w:beforeAutospacing="1" w:after="100" w:afterAutospacing="1" w:line="240" w:lineRule="auto"/>
        <w:jc w:val="center"/>
        <w:rPr>
          <w:rFonts w:ascii="Segoe UI" w:eastAsia="Times New Roman" w:hAnsi="Segoe UI" w:cs="Segoe UI"/>
          <w:color w:val="373A3C"/>
          <w:sz w:val="23"/>
          <w:szCs w:val="23"/>
        </w:rPr>
      </w:pPr>
      <w:r w:rsidRPr="00C801EA">
        <w:rPr>
          <w:rFonts w:ascii="Segoe UI" w:eastAsia="Times New Roman" w:hAnsi="Segoe UI" w:cs="Segoe UI"/>
          <w:color w:val="373A3C"/>
          <w:sz w:val="23"/>
          <w:szCs w:val="23"/>
        </w:rPr>
        <w:t>Critical analysis of a film using specialist film terminology 1500–2000 words (20%)</w:t>
      </w:r>
    </w:p>
    <w:p w14:paraId="23562486" w14:textId="77777777" w:rsidR="00A84D55" w:rsidRDefault="00A84D55" w:rsidP="0008435E">
      <w:pPr>
        <w:rPr>
          <w:sz w:val="24"/>
          <w:szCs w:val="24"/>
        </w:rPr>
      </w:pPr>
    </w:p>
    <w:p w14:paraId="6208A001" w14:textId="3908D813" w:rsidR="0008435E" w:rsidRDefault="0008435E" w:rsidP="0008435E">
      <w:pPr>
        <w:rPr>
          <w:sz w:val="24"/>
          <w:szCs w:val="24"/>
        </w:rPr>
      </w:pPr>
      <w:r w:rsidRPr="001E20E1">
        <w:rPr>
          <w:sz w:val="24"/>
          <w:szCs w:val="24"/>
        </w:rPr>
        <w:t xml:space="preserve">Hannibal Barca is most notably known as one of the greatest military tacticians of all time. It is through his achievements in the Second Punic War, a war fought between Carthage and Rome between 218BC and 202BC, that Hannibal received the honour of the title. The BBC’S </w:t>
      </w:r>
      <w:r>
        <w:rPr>
          <w:sz w:val="24"/>
          <w:szCs w:val="24"/>
        </w:rPr>
        <w:t>2006 dramatised and biographical documentary</w:t>
      </w:r>
      <w:r w:rsidRPr="001E20E1">
        <w:rPr>
          <w:sz w:val="24"/>
          <w:szCs w:val="24"/>
        </w:rPr>
        <w:t xml:space="preserve"> </w:t>
      </w:r>
      <w:r>
        <w:rPr>
          <w:sz w:val="24"/>
          <w:szCs w:val="24"/>
        </w:rPr>
        <w:t xml:space="preserve">TV </w:t>
      </w:r>
      <w:r w:rsidRPr="001E20E1">
        <w:rPr>
          <w:sz w:val="24"/>
          <w:szCs w:val="24"/>
        </w:rPr>
        <w:t>film, aptly named ‘Hannibal: Rome’s Worst Nightmare’</w:t>
      </w:r>
      <w:r>
        <w:rPr>
          <w:sz w:val="24"/>
          <w:szCs w:val="24"/>
        </w:rPr>
        <w:t>,</w:t>
      </w:r>
      <w:r w:rsidRPr="001E20E1">
        <w:rPr>
          <w:sz w:val="24"/>
          <w:szCs w:val="24"/>
        </w:rPr>
        <w:t xml:space="preserve"> showcases Hannibal’s military might and tactics</w:t>
      </w:r>
      <w:r>
        <w:rPr>
          <w:sz w:val="24"/>
          <w:szCs w:val="24"/>
        </w:rPr>
        <w:t>. These tactics included ambushes, the perfect use of the surrounding terrain and military strategies like the double envelopment used to massacre the Romans at Cannae. The tactics were</w:t>
      </w:r>
      <w:r w:rsidRPr="001E20E1">
        <w:rPr>
          <w:sz w:val="24"/>
          <w:szCs w:val="24"/>
        </w:rPr>
        <w:t xml:space="preserve"> used impeccably against the Romans until Publius Cornelius Scipio the Younger (later named Scipio Africanus</w:t>
      </w:r>
      <w:r>
        <w:rPr>
          <w:sz w:val="24"/>
          <w:szCs w:val="24"/>
        </w:rPr>
        <w:t xml:space="preserve"> </w:t>
      </w:r>
      <w:r w:rsidRPr="001E20E1">
        <w:rPr>
          <w:sz w:val="24"/>
          <w:szCs w:val="24"/>
        </w:rPr>
        <w:t>due to his victories against Hannibal and in Africa)</w:t>
      </w:r>
      <w:r>
        <w:rPr>
          <w:sz w:val="24"/>
          <w:szCs w:val="24"/>
        </w:rPr>
        <w:t>, who learned from Hannibal’s tactics and even used them against him, defeating Hannibal at Zama in 202BC.</w:t>
      </w:r>
    </w:p>
    <w:p w14:paraId="7FEF2F7C" w14:textId="470543E5" w:rsidR="0008435E" w:rsidRDefault="0008435E" w:rsidP="0008435E">
      <w:pPr>
        <w:rPr>
          <w:sz w:val="24"/>
          <w:szCs w:val="24"/>
        </w:rPr>
      </w:pPr>
      <w:r>
        <w:rPr>
          <w:sz w:val="24"/>
          <w:szCs w:val="24"/>
        </w:rPr>
        <w:tab/>
        <w:t>The film’s genre according to IMDB is a dramatised biographical TV film, while Amazon Prime Video classifies it as a documentary.</w:t>
      </w:r>
      <w:r>
        <w:rPr>
          <w:rStyle w:val="FootnoteReference"/>
          <w:sz w:val="24"/>
          <w:szCs w:val="24"/>
        </w:rPr>
        <w:footnoteReference w:id="1"/>
      </w:r>
      <w:r>
        <w:rPr>
          <w:sz w:val="24"/>
          <w:szCs w:val="24"/>
        </w:rPr>
        <w:t xml:space="preserve"> From the name of the film and its genres, one </w:t>
      </w:r>
      <w:r w:rsidR="00D77906">
        <w:rPr>
          <w:sz w:val="24"/>
          <w:szCs w:val="24"/>
        </w:rPr>
        <w:t>would</w:t>
      </w:r>
      <w:r>
        <w:rPr>
          <w:sz w:val="24"/>
          <w:szCs w:val="24"/>
        </w:rPr>
        <w:t xml:space="preserve"> assume that the film is a faithful portrayal of Hannibal’s war against Rome. Therefore, not only would one expect all scenes, settings, and costumes to be created with as much realism as possible, but that they generally would similarly be historically accurate too.</w:t>
      </w:r>
      <w:r w:rsidRPr="00F56EA1">
        <w:rPr>
          <w:sz w:val="24"/>
          <w:szCs w:val="24"/>
        </w:rPr>
        <w:t xml:space="preserve"> </w:t>
      </w:r>
      <w:r>
        <w:rPr>
          <w:sz w:val="24"/>
          <w:szCs w:val="24"/>
        </w:rPr>
        <w:t xml:space="preserve">One potential costume error is Varro’s shorts that appear beneath his skirt when meeting Hannibal about </w:t>
      </w:r>
      <w:proofErr w:type="spellStart"/>
      <w:r>
        <w:rPr>
          <w:sz w:val="24"/>
          <w:szCs w:val="24"/>
        </w:rPr>
        <w:t>Saguntum</w:t>
      </w:r>
      <w:proofErr w:type="spellEnd"/>
      <w:r>
        <w:rPr>
          <w:sz w:val="24"/>
          <w:szCs w:val="24"/>
        </w:rPr>
        <w:t xml:space="preserve">. Romans saw trousers, and assumingly by extension shorts, as barbaric, although Mackintosh </w:t>
      </w:r>
      <w:r w:rsidR="00D77906">
        <w:rPr>
          <w:sz w:val="24"/>
          <w:szCs w:val="24"/>
        </w:rPr>
        <w:t>relays the suggestion that</w:t>
      </w:r>
      <w:r>
        <w:rPr>
          <w:sz w:val="24"/>
          <w:szCs w:val="24"/>
        </w:rPr>
        <w:t xml:space="preserve"> “Romans did wear knee or calf length trousers as part of regular military dress,”</w:t>
      </w:r>
      <w:r>
        <w:rPr>
          <w:rStyle w:val="FootnoteReference"/>
          <w:sz w:val="24"/>
          <w:szCs w:val="24"/>
        </w:rPr>
        <w:footnoteReference w:id="2"/>
      </w:r>
      <w:r>
        <w:rPr>
          <w:sz w:val="24"/>
          <w:szCs w:val="24"/>
        </w:rPr>
        <w:t xml:space="preserve"> and as such, Varro’s shorts could be deemed as part of an accurate and realistic costume. Nonetheless, the shorts in question are hard to make out due to the poor 240-360p resolution of a 2006 film on YouTube, and on screen for a combined amount of roughly 10 seconds.</w:t>
      </w:r>
      <w:r>
        <w:rPr>
          <w:rStyle w:val="FootnoteReference"/>
          <w:sz w:val="24"/>
          <w:szCs w:val="24"/>
        </w:rPr>
        <w:footnoteReference w:id="3"/>
      </w:r>
      <w:r>
        <w:rPr>
          <w:sz w:val="24"/>
          <w:szCs w:val="24"/>
        </w:rPr>
        <w:t xml:space="preserve">  The scenes are as accurate to the source material (which</w:t>
      </w:r>
      <w:r w:rsidR="00352490">
        <w:rPr>
          <w:sz w:val="24"/>
          <w:szCs w:val="24"/>
        </w:rPr>
        <w:t xml:space="preserve"> </w:t>
      </w:r>
      <w:r>
        <w:rPr>
          <w:sz w:val="24"/>
          <w:szCs w:val="24"/>
        </w:rPr>
        <w:t xml:space="preserve">appears to be Livy’s </w:t>
      </w:r>
      <w:r>
        <w:rPr>
          <w:i/>
          <w:iCs/>
          <w:sz w:val="24"/>
          <w:szCs w:val="24"/>
        </w:rPr>
        <w:t>The History of Rome</w:t>
      </w:r>
      <w:r>
        <w:rPr>
          <w:rStyle w:val="FootnoteReference"/>
          <w:i/>
          <w:iCs/>
          <w:sz w:val="24"/>
          <w:szCs w:val="24"/>
        </w:rPr>
        <w:footnoteReference w:id="4"/>
      </w:r>
      <w:r>
        <w:rPr>
          <w:sz w:val="24"/>
          <w:szCs w:val="24"/>
        </w:rPr>
        <w:t>) which itself may not be wholly accurate. Nevertheless, the consistency of following the source material (and easily being able to identify the material from</w:t>
      </w:r>
      <w:r w:rsidR="00E61683">
        <w:rPr>
          <w:sz w:val="24"/>
          <w:szCs w:val="24"/>
        </w:rPr>
        <w:t xml:space="preserve"> a</w:t>
      </w:r>
      <w:r>
        <w:rPr>
          <w:sz w:val="24"/>
          <w:szCs w:val="24"/>
        </w:rPr>
        <w:t xml:space="preserve"> previous reading, without a</w:t>
      </w:r>
      <w:r w:rsidR="00352490">
        <w:rPr>
          <w:sz w:val="24"/>
          <w:szCs w:val="24"/>
        </w:rPr>
        <w:t>n official mention</w:t>
      </w:r>
      <w:r w:rsidR="00E61683">
        <w:rPr>
          <w:sz w:val="24"/>
          <w:szCs w:val="24"/>
        </w:rPr>
        <w:t xml:space="preserve"> in the film</w:t>
      </w:r>
      <w:r>
        <w:rPr>
          <w:sz w:val="24"/>
          <w:szCs w:val="24"/>
        </w:rPr>
        <w:t>) is a benefit that some other historical films</w:t>
      </w:r>
      <w:r w:rsidR="00AB0BD3">
        <w:rPr>
          <w:sz w:val="24"/>
          <w:szCs w:val="24"/>
        </w:rPr>
        <w:t xml:space="preserve"> (Alexander 2004)</w:t>
      </w:r>
      <w:r>
        <w:rPr>
          <w:sz w:val="24"/>
          <w:szCs w:val="24"/>
        </w:rPr>
        <w:t xml:space="preserve"> can only hope to achieve. This then creates a film that is not only more historically </w:t>
      </w:r>
      <w:r w:rsidR="00E61683">
        <w:rPr>
          <w:sz w:val="24"/>
          <w:szCs w:val="24"/>
        </w:rPr>
        <w:t>accurate but</w:t>
      </w:r>
      <w:r>
        <w:rPr>
          <w:sz w:val="24"/>
          <w:szCs w:val="24"/>
        </w:rPr>
        <w:t xml:space="preserve"> is also </w:t>
      </w:r>
      <w:r w:rsidR="00E61683">
        <w:rPr>
          <w:sz w:val="24"/>
          <w:szCs w:val="24"/>
        </w:rPr>
        <w:t xml:space="preserve">more </w:t>
      </w:r>
      <w:r>
        <w:rPr>
          <w:sz w:val="24"/>
          <w:szCs w:val="24"/>
        </w:rPr>
        <w:t>enjoyable to watch than if the costumes and settings were less realistic.</w:t>
      </w:r>
    </w:p>
    <w:p w14:paraId="15FDA22F" w14:textId="334CF641" w:rsidR="0008435E" w:rsidRDefault="0008435E" w:rsidP="0008435E">
      <w:pPr>
        <w:rPr>
          <w:sz w:val="24"/>
          <w:szCs w:val="24"/>
        </w:rPr>
      </w:pPr>
      <w:r>
        <w:rPr>
          <w:sz w:val="24"/>
          <w:szCs w:val="24"/>
        </w:rPr>
        <w:tab/>
        <w:t>According to Corrigan, the theme of a film is “what the film is ‘about’</w:t>
      </w:r>
      <w:r w:rsidR="00E61683">
        <w:rPr>
          <w:sz w:val="24"/>
          <w:szCs w:val="24"/>
        </w:rPr>
        <w:t>.</w:t>
      </w:r>
      <w:r>
        <w:rPr>
          <w:sz w:val="24"/>
          <w:szCs w:val="24"/>
        </w:rPr>
        <w:t>”</w:t>
      </w:r>
      <w:r>
        <w:rPr>
          <w:rStyle w:val="FootnoteReference"/>
          <w:sz w:val="24"/>
          <w:szCs w:val="24"/>
        </w:rPr>
        <w:footnoteReference w:id="5"/>
      </w:r>
      <w:r>
        <w:rPr>
          <w:sz w:val="24"/>
          <w:szCs w:val="24"/>
        </w:rPr>
        <w:t xml:space="preserve"> Thematically, the film follows three key points, each covering a third of the film, under the overarching theme of ‘revenge on Rome. The first key aspect being Hamilcar’s revenge for the result of the First Punic War and his hypothetical manipulation of Hannibal into carrying </w:t>
      </w:r>
      <w:r>
        <w:rPr>
          <w:sz w:val="24"/>
          <w:szCs w:val="24"/>
        </w:rPr>
        <w:lastRenderedPageBreak/>
        <w:t>it on. The second, Hannibal’s military strategies and tactics to carry out the revenge on Rome with the third and final key theme being Hannibal’s mistake and eventual defeat to Scipio Africanus. These three key themes create the narrative of the film, which is focused on Hannibal’s war against Rome. This is further evidenced by ignoring Hasdrubal’s battles in Spain and Scipio Africanus’ trips to Spain and Carthage before Hannibal’s return to Carthage, ensuring the focus of the film is on Hannibal. However, the film mostly ignores three key victories of Hannibal’s, the battles at</w:t>
      </w:r>
      <w:r w:rsidR="0091461C">
        <w:rPr>
          <w:sz w:val="24"/>
          <w:szCs w:val="24"/>
        </w:rPr>
        <w:t xml:space="preserve"> the river</w:t>
      </w:r>
      <w:r>
        <w:rPr>
          <w:sz w:val="24"/>
          <w:szCs w:val="24"/>
        </w:rPr>
        <w:t xml:space="preserve"> Ticinus, </w:t>
      </w:r>
      <w:r w:rsidR="0091461C">
        <w:rPr>
          <w:sz w:val="24"/>
          <w:szCs w:val="24"/>
        </w:rPr>
        <w:t xml:space="preserve">river </w:t>
      </w:r>
      <w:proofErr w:type="spellStart"/>
      <w:r>
        <w:rPr>
          <w:sz w:val="24"/>
          <w:szCs w:val="24"/>
        </w:rPr>
        <w:t>Trebia</w:t>
      </w:r>
      <w:proofErr w:type="spellEnd"/>
      <w:r>
        <w:rPr>
          <w:sz w:val="24"/>
          <w:szCs w:val="24"/>
        </w:rPr>
        <w:t xml:space="preserve"> and Lake </w:t>
      </w:r>
      <w:proofErr w:type="spellStart"/>
      <w:r>
        <w:rPr>
          <w:sz w:val="24"/>
          <w:szCs w:val="24"/>
        </w:rPr>
        <w:t>Trasimene</w:t>
      </w:r>
      <w:proofErr w:type="spellEnd"/>
      <w:r>
        <w:rPr>
          <w:sz w:val="24"/>
          <w:szCs w:val="24"/>
        </w:rPr>
        <w:t>, all of which were fought within the first year of Hannibal’s arrival and campaigning in Italy.</w:t>
      </w:r>
      <w:r>
        <w:rPr>
          <w:rStyle w:val="FootnoteReference"/>
          <w:sz w:val="24"/>
          <w:szCs w:val="24"/>
        </w:rPr>
        <w:footnoteReference w:id="6"/>
      </w:r>
      <w:r>
        <w:rPr>
          <w:sz w:val="24"/>
          <w:szCs w:val="24"/>
        </w:rPr>
        <w:t xml:space="preserve"> It additionally does not name Hannibal’s first battle shown in Rome, simply stating Scipio the Elder’s Advance Guard is in Northern Italy.</w:t>
      </w:r>
      <w:r>
        <w:rPr>
          <w:rStyle w:val="FootnoteReference"/>
          <w:sz w:val="24"/>
          <w:szCs w:val="24"/>
        </w:rPr>
        <w:footnoteReference w:id="7"/>
      </w:r>
      <w:r>
        <w:rPr>
          <w:sz w:val="24"/>
          <w:szCs w:val="24"/>
        </w:rPr>
        <w:t xml:space="preserve"> A film classed as a biography or a documentary, both of which are visual representations and re-enactions of real </w:t>
      </w:r>
      <w:r w:rsidR="0091461C">
        <w:rPr>
          <w:sz w:val="24"/>
          <w:szCs w:val="24"/>
        </w:rPr>
        <w:t>events</w:t>
      </w:r>
      <w:r>
        <w:rPr>
          <w:sz w:val="24"/>
          <w:szCs w:val="24"/>
        </w:rPr>
        <w:t xml:space="preserve">, glossing over three of four key battles on Roman soil (of which all were victories) is rather disappointing and disingenuous regarding the </w:t>
      </w:r>
      <w:r w:rsidR="0091461C">
        <w:rPr>
          <w:sz w:val="24"/>
          <w:szCs w:val="24"/>
        </w:rPr>
        <w:t>significance</w:t>
      </w:r>
      <w:r>
        <w:rPr>
          <w:sz w:val="24"/>
          <w:szCs w:val="24"/>
        </w:rPr>
        <w:t xml:space="preserve"> of the victories. It gives details of Scipio the Elder’s escape of the battle at the river Ticinus by his son’s intervention, foreshadowing Scipio Africanus’ win at Zama, but places the battle in a forest. Also omitted is Hannibal’s tour of Italy after the battle at Cannae and taking over prominent cities, and the years of Hannibal’s voluntary exile until his death. The latter two disregarded aspects of Hannibal’s war against Rome are less applicable to the phrase ‘war against Rome’, as neither are true aspects of battle against the city of Rome and her allies. However, both are still relevant to the phrase, as Hannibal takes over the Italian cities in an effort to decrease Rome’s allies and supplies, while Hannibal’s voluntary exile ensures his personal war against Rome is not over, even if the war between Carthage and Rome is.</w:t>
      </w:r>
    </w:p>
    <w:p w14:paraId="3E439B8C" w14:textId="4FC11E21" w:rsidR="0008435E" w:rsidRDefault="0008435E" w:rsidP="0008435E">
      <w:pPr>
        <w:rPr>
          <w:sz w:val="24"/>
          <w:szCs w:val="24"/>
        </w:rPr>
      </w:pPr>
      <w:r>
        <w:rPr>
          <w:sz w:val="24"/>
          <w:szCs w:val="24"/>
        </w:rPr>
        <w:tab/>
        <w:t xml:space="preserve">The film features five key sequences during its course, each declaring the start of a new story arc, a new section of the narrative. This naturally follows the original route Hannibal took to become the legendary commander he is now known to be, giving the film a firm structure within the narrative. The first notable sequence is the opening, where Hannibal’s father Hamilcar is shown to have sacrificed a sheep or a goat and using its blood in a ritual oath that he made Hannibal partake in to declare his status against Rome. This, along with Hannibal’s narration later describing the result of the First Punic War, explains part of the reasoning behind the start of the Second Punic War although not in full detail; only by reading into the First Punic War would one understand how slighted Hamilcar was by the result of the war, as Livy says </w:t>
      </w:r>
    </w:p>
    <w:p w14:paraId="42B325B9" w14:textId="77777777" w:rsidR="0008435E" w:rsidRPr="00E94E53" w:rsidRDefault="0008435E" w:rsidP="0008435E">
      <w:pPr>
        <w:ind w:left="720"/>
        <w:rPr>
          <w:rFonts w:cstheme="minorHAnsi"/>
          <w:sz w:val="24"/>
          <w:szCs w:val="24"/>
        </w:rPr>
      </w:pPr>
      <w:r>
        <w:rPr>
          <w:rFonts w:cstheme="minorHAnsi"/>
          <w:sz w:val="24"/>
          <w:szCs w:val="24"/>
        </w:rPr>
        <w:t>“</w:t>
      </w:r>
      <w:r w:rsidRPr="00E94E53">
        <w:rPr>
          <w:rFonts w:cstheme="minorHAnsi"/>
          <w:sz w:val="24"/>
          <w:szCs w:val="24"/>
        </w:rPr>
        <w:t>The</w:t>
      </w:r>
      <w:r w:rsidRPr="00E94E53">
        <w:rPr>
          <w:rFonts w:cstheme="minorHAnsi"/>
          <w:color w:val="000000"/>
          <w:sz w:val="24"/>
          <w:szCs w:val="24"/>
        </w:rPr>
        <w:t xml:space="preserve"> loss of Sicily and Sardinia was a continual torture to the proud spirit of Hamilcar. For he maintained that they had surrendered Sicily in premature despair, and that the Romans had wrongfully appropriated Sardinia</w:t>
      </w:r>
      <w:r w:rsidRPr="00E94E53">
        <w:rPr>
          <w:rFonts w:cstheme="minorHAnsi"/>
          <w:sz w:val="24"/>
          <w:szCs w:val="24"/>
        </w:rPr>
        <w:t>.</w:t>
      </w:r>
      <w:r>
        <w:rPr>
          <w:rFonts w:cstheme="minorHAnsi"/>
          <w:sz w:val="24"/>
          <w:szCs w:val="24"/>
        </w:rPr>
        <w:t>”</w:t>
      </w:r>
      <w:r>
        <w:rPr>
          <w:rStyle w:val="FootnoteReference"/>
          <w:rFonts w:cstheme="minorHAnsi"/>
          <w:sz w:val="24"/>
          <w:szCs w:val="24"/>
        </w:rPr>
        <w:footnoteReference w:id="8"/>
      </w:r>
      <w:r w:rsidRPr="00E94E53">
        <w:rPr>
          <w:rFonts w:cstheme="minorHAnsi"/>
          <w:sz w:val="24"/>
          <w:szCs w:val="24"/>
        </w:rPr>
        <w:t xml:space="preserve"> </w:t>
      </w:r>
    </w:p>
    <w:p w14:paraId="6DBAF834" w14:textId="43E16556" w:rsidR="0008435E" w:rsidRDefault="0008435E" w:rsidP="0008435E">
      <w:pPr>
        <w:rPr>
          <w:sz w:val="24"/>
          <w:szCs w:val="24"/>
        </w:rPr>
      </w:pPr>
      <w:r>
        <w:rPr>
          <w:sz w:val="24"/>
          <w:szCs w:val="24"/>
        </w:rPr>
        <w:t xml:space="preserve">When the First Punic War is presented with the Second, it is easy to see how history repeats itself with Carthage refusing to back Hannibal’s war on Rome like Carthage refused to back Hamilcar’s continuation of the war during the First Punic War. In both cases if Carthage had backed the Barca’s, there would have been a greater chance at Carthaginian victory but not </w:t>
      </w:r>
      <w:r>
        <w:rPr>
          <w:sz w:val="24"/>
          <w:szCs w:val="24"/>
        </w:rPr>
        <w:lastRenderedPageBreak/>
        <w:t>a 100% chance. Hamilcar’s understanding of this for the First Punic War led to his manipulation of a nine-year-old Hannibal (as claimed by Livy</w:t>
      </w:r>
      <w:r w:rsidR="008A4B08">
        <w:rPr>
          <w:sz w:val="24"/>
          <w:szCs w:val="24"/>
        </w:rPr>
        <w:t xml:space="preserve"> and Polybius</w:t>
      </w:r>
      <w:r>
        <w:rPr>
          <w:sz w:val="24"/>
          <w:szCs w:val="24"/>
        </w:rPr>
        <w:t>) to shape him into a weapon to strike down Rome.</w:t>
      </w:r>
      <w:r>
        <w:rPr>
          <w:rStyle w:val="FootnoteReference"/>
          <w:sz w:val="24"/>
          <w:szCs w:val="24"/>
        </w:rPr>
        <w:footnoteReference w:id="9"/>
      </w:r>
      <w:r>
        <w:rPr>
          <w:sz w:val="24"/>
          <w:szCs w:val="24"/>
        </w:rPr>
        <w:t xml:space="preserve"> The use of the close-up shot/reverse shot on Hamilcar and Hannibal during this scene emphasises Hamilcar’s seriousness and the importance he places on revenge against Rome, especially when the shot features Hamilcar face-on whereas Hannibal is shown at an angle. The style of shot also accentuates Hannibal’s childish facial features compared to his father’s time-worn bearded face, further establishing the difference in age and Hamilcar’s ability to mould his son due to Hannibal’s </w:t>
      </w:r>
      <w:r w:rsidRPr="005F60F5">
        <w:rPr>
          <w:sz w:val="24"/>
          <w:szCs w:val="24"/>
        </w:rPr>
        <w:t>juvenility</w:t>
      </w:r>
      <w:r>
        <w:rPr>
          <w:sz w:val="24"/>
          <w:szCs w:val="24"/>
        </w:rPr>
        <w:t>. It is fitting that this scene starts the film, as it is the backstory of the narrative and the start of Hannibal’s war and hatred of Rome. Similarly, the film ending on Hannibal’s death emphasises the end of his war on Rome.</w:t>
      </w:r>
    </w:p>
    <w:p w14:paraId="38D0E677" w14:textId="1FDC9E84" w:rsidR="0008435E" w:rsidRDefault="0008435E" w:rsidP="0008435E">
      <w:pPr>
        <w:rPr>
          <w:sz w:val="24"/>
          <w:szCs w:val="24"/>
        </w:rPr>
      </w:pPr>
      <w:r>
        <w:rPr>
          <w:sz w:val="24"/>
          <w:szCs w:val="24"/>
        </w:rPr>
        <w:tab/>
        <w:t xml:space="preserve">A second key sequence, chosen more for its accuracy to Livy and visual impressiveness rather than importance to the narrative, is the scene of Fabius Maximus in Carthage. The </w:t>
      </w:r>
      <w:r w:rsidR="005A05A7">
        <w:rPr>
          <w:sz w:val="24"/>
          <w:szCs w:val="24"/>
        </w:rPr>
        <w:t>close-up</w:t>
      </w:r>
      <w:r>
        <w:rPr>
          <w:sz w:val="24"/>
          <w:szCs w:val="24"/>
        </w:rPr>
        <w:t xml:space="preserve"> of Fabius’ toga as he gives the choices of war and no war to the Carthaginian politicians and the dropping of the bunches of toga Fabius held as choices gives a sense of drama and flair to an otherwise </w:t>
      </w:r>
      <w:r w:rsidR="00E61683">
        <w:rPr>
          <w:sz w:val="24"/>
          <w:szCs w:val="24"/>
        </w:rPr>
        <w:t>uninspiring</w:t>
      </w:r>
      <w:r>
        <w:rPr>
          <w:sz w:val="24"/>
          <w:szCs w:val="24"/>
        </w:rPr>
        <w:t xml:space="preserve"> politics session. What makes the scene more </w:t>
      </w:r>
      <w:r w:rsidR="005A05A7">
        <w:rPr>
          <w:sz w:val="24"/>
          <w:szCs w:val="24"/>
        </w:rPr>
        <w:t>remarkable</w:t>
      </w:r>
      <w:r>
        <w:rPr>
          <w:sz w:val="24"/>
          <w:szCs w:val="24"/>
        </w:rPr>
        <w:t xml:space="preserve"> is that Livy claims these actions of the character of Fabius truly happene</w:t>
      </w:r>
      <w:r w:rsidR="00E61683">
        <w:rPr>
          <w:sz w:val="24"/>
          <w:szCs w:val="24"/>
        </w:rPr>
        <w:t>d</w:t>
      </w:r>
      <w:r>
        <w:rPr>
          <w:sz w:val="24"/>
          <w:szCs w:val="24"/>
        </w:rPr>
        <w:t xml:space="preserve">. The film makes Fabius shout “Here, within the folds of my toga, hang peace or war. Which shall you choose, Carthage? Peace, or war?” while giving a </w:t>
      </w:r>
      <w:r w:rsidR="005A05A7">
        <w:rPr>
          <w:sz w:val="24"/>
          <w:szCs w:val="24"/>
        </w:rPr>
        <w:t>close-up</w:t>
      </w:r>
      <w:r>
        <w:rPr>
          <w:sz w:val="24"/>
          <w:szCs w:val="24"/>
        </w:rPr>
        <w:t xml:space="preserve"> shot of his toga.</w:t>
      </w:r>
      <w:r>
        <w:rPr>
          <w:rStyle w:val="FootnoteReference"/>
          <w:sz w:val="24"/>
          <w:szCs w:val="24"/>
        </w:rPr>
        <w:footnoteReference w:id="10"/>
      </w:r>
      <w:r>
        <w:rPr>
          <w:sz w:val="24"/>
          <w:szCs w:val="24"/>
        </w:rPr>
        <w:t xml:space="preserve"> The use of the </w:t>
      </w:r>
      <w:r w:rsidR="005A05A7">
        <w:rPr>
          <w:sz w:val="24"/>
          <w:szCs w:val="24"/>
        </w:rPr>
        <w:t>close-up</w:t>
      </w:r>
      <w:r>
        <w:rPr>
          <w:sz w:val="24"/>
          <w:szCs w:val="24"/>
        </w:rPr>
        <w:t xml:space="preserve"> shot on Fabius’ hands and toga appears to highlight not only his words, but simultaneously the two choices being given to Carthage. The film always places peace before war, as if that is the choice Rome wants Carthage to take; this adds to the meeting Varro has with Hannibal before the attack on </w:t>
      </w:r>
      <w:proofErr w:type="spellStart"/>
      <w:r>
        <w:rPr>
          <w:sz w:val="24"/>
          <w:szCs w:val="24"/>
        </w:rPr>
        <w:t>Saguntum</w:t>
      </w:r>
      <w:proofErr w:type="spellEnd"/>
      <w:r>
        <w:rPr>
          <w:sz w:val="24"/>
          <w:szCs w:val="24"/>
        </w:rPr>
        <w:t xml:space="preserve">, where he appears to cajole Hannibal into not attacking </w:t>
      </w:r>
      <w:proofErr w:type="spellStart"/>
      <w:r>
        <w:rPr>
          <w:sz w:val="24"/>
          <w:szCs w:val="24"/>
        </w:rPr>
        <w:t>Saguntum</w:t>
      </w:r>
      <w:proofErr w:type="spellEnd"/>
      <w:r>
        <w:rPr>
          <w:sz w:val="24"/>
          <w:szCs w:val="24"/>
        </w:rPr>
        <w:t xml:space="preserve"> through a threat of a Roman retaliation.</w:t>
      </w:r>
      <w:r w:rsidR="00D84903">
        <w:rPr>
          <w:rStyle w:val="FootnoteReference"/>
          <w:sz w:val="24"/>
          <w:szCs w:val="24"/>
        </w:rPr>
        <w:footnoteReference w:id="11"/>
      </w:r>
      <w:r>
        <w:rPr>
          <w:sz w:val="24"/>
          <w:szCs w:val="24"/>
        </w:rPr>
        <w:t xml:space="preserve"> If Rome truly did wish for war, why would they give two chances for their opponents to back out? This goes against Livy’s version of Fabius’ speech, where he claims Fabius stated “Here we bring you war and peace, take which you please.”</w:t>
      </w:r>
      <w:r>
        <w:rPr>
          <w:rStyle w:val="FootnoteReference"/>
          <w:sz w:val="24"/>
          <w:szCs w:val="24"/>
        </w:rPr>
        <w:footnoteReference w:id="12"/>
      </w:r>
      <w:r>
        <w:rPr>
          <w:sz w:val="24"/>
          <w:szCs w:val="24"/>
        </w:rPr>
        <w:t xml:space="preserve"> Livy’s version of events brings the typical Roman manliness into speech, for Romans saw fighting in wars as a sign of courage and manliness. It was atypical for Roman men to not fight in wars, and why Fabius Maximus’ tactics of not fighting Hannibal were contested</w:t>
      </w:r>
      <w:r w:rsidR="002F61E8">
        <w:rPr>
          <w:sz w:val="24"/>
          <w:szCs w:val="24"/>
        </w:rPr>
        <w:t xml:space="preserve"> and detested.</w:t>
      </w:r>
    </w:p>
    <w:p w14:paraId="41263B92" w14:textId="5875E83E" w:rsidR="0008435E" w:rsidRDefault="0008435E" w:rsidP="0008435E">
      <w:pPr>
        <w:rPr>
          <w:sz w:val="24"/>
          <w:szCs w:val="24"/>
        </w:rPr>
      </w:pPr>
      <w:r>
        <w:rPr>
          <w:sz w:val="24"/>
          <w:szCs w:val="24"/>
        </w:rPr>
        <w:tab/>
        <w:t xml:space="preserve">The penultimate key sequence within the film is the scene where Hannibal and Scipio Africanus meet the day before the battle at Zama. It was shown that Scipio Africanus was at Hannibal’s first attack in Rome, which the film has not named, where Scipio Africanus (then called Scipio the Younger) saved his father Scipio the Elder. This, although is following Livy’s claims, can be seen to effectively set Scipio Africanus up to be Rome’s hero; he has already saved his father from Hannibal, the next step is saving Rome. Thus, for the two generals to be reunited now in the last battle of the war, when they met in the first, it gives a felicitous feeling to the scene. This is also the scene where the war starts overtly turning from a Carthaginian victory to a Roman one; Rome is no longer facilitating the idea of war, </w:t>
      </w:r>
      <w:r>
        <w:rPr>
          <w:sz w:val="24"/>
          <w:szCs w:val="24"/>
        </w:rPr>
        <w:lastRenderedPageBreak/>
        <w:t xml:space="preserve">whereas Hannibal is shown to entertain the idea of peace. He expresses that “this </w:t>
      </w:r>
      <w:r w:rsidR="00D84903">
        <w:rPr>
          <w:sz w:val="24"/>
          <w:szCs w:val="24"/>
        </w:rPr>
        <w:t>battle</w:t>
      </w:r>
      <w:r>
        <w:rPr>
          <w:sz w:val="24"/>
          <w:szCs w:val="24"/>
        </w:rPr>
        <w:t xml:space="preserve"> can serve no purpose Scipio,” making the war-and-revenge-hungry Hannibal evaporate and morph into a man who wants the war to be over.</w:t>
      </w:r>
      <w:r>
        <w:rPr>
          <w:rStyle w:val="FootnoteReference"/>
          <w:sz w:val="24"/>
          <w:szCs w:val="24"/>
        </w:rPr>
        <w:footnoteReference w:id="13"/>
      </w:r>
      <w:r>
        <w:rPr>
          <w:sz w:val="24"/>
          <w:szCs w:val="24"/>
        </w:rPr>
        <w:t xml:space="preserve"> To this, Scipio declares that he has always sought to understand Hannibal, and to hear “Hannibal Barca running from a fight” is quite a surprise not only for Scipio, but likewise for the viewer.</w:t>
      </w:r>
      <w:r>
        <w:rPr>
          <w:rStyle w:val="FootnoteReference"/>
          <w:sz w:val="24"/>
          <w:szCs w:val="24"/>
        </w:rPr>
        <w:footnoteReference w:id="14"/>
      </w:r>
      <w:r>
        <w:rPr>
          <w:sz w:val="24"/>
          <w:szCs w:val="24"/>
        </w:rPr>
        <w:t xml:space="preserve"> This interpretation is contrary to how Hannibal has been portrayed for the majority of the film, with the other exception being when Hannibal and his officers were discussing sieging the city of Rome. It also stresses the change of circumstances of Rome and Carthage; their roles in the war are now reversed. Scipio’s line of “you didn’t finish it then, so I finish it now” regarding the war establishes the fact that Hannibal is no longer winning the </w:t>
      </w:r>
      <w:r w:rsidR="003C38E7">
        <w:rPr>
          <w:sz w:val="24"/>
          <w:szCs w:val="24"/>
        </w:rPr>
        <w:t>war,</w:t>
      </w:r>
      <w:r>
        <w:rPr>
          <w:sz w:val="24"/>
          <w:szCs w:val="24"/>
        </w:rPr>
        <w:t xml:space="preserve"> and everything is going via Scipio’s tempo now.</w:t>
      </w:r>
      <w:r w:rsidR="003C38E7">
        <w:rPr>
          <w:rStyle w:val="FootnoteReference"/>
          <w:sz w:val="24"/>
          <w:szCs w:val="24"/>
        </w:rPr>
        <w:footnoteReference w:id="15"/>
      </w:r>
    </w:p>
    <w:p w14:paraId="72C82FCB" w14:textId="0631FB1B" w:rsidR="0008435E" w:rsidRPr="00B87281" w:rsidRDefault="0008435E" w:rsidP="0008435E">
      <w:pPr>
        <w:rPr>
          <w:sz w:val="24"/>
          <w:szCs w:val="24"/>
        </w:rPr>
      </w:pPr>
      <w:r>
        <w:rPr>
          <w:sz w:val="24"/>
          <w:szCs w:val="24"/>
        </w:rPr>
        <w:tab/>
        <w:t xml:space="preserve">The final sequence to be mentioned is Hannibal’s death scene ending the film, with the deaths of other notable characters added on as a kind of ‘credits’ scene. This is important as it shows that although Hannibal did not win the war </w:t>
      </w:r>
      <w:r>
        <w:rPr>
          <w:i/>
          <w:iCs/>
          <w:sz w:val="24"/>
          <w:szCs w:val="24"/>
        </w:rPr>
        <w:t>in</w:t>
      </w:r>
      <w:r>
        <w:rPr>
          <w:sz w:val="24"/>
          <w:szCs w:val="24"/>
        </w:rPr>
        <w:t xml:space="preserve"> Rome, his war on Rome did not end until his death. The final scene shows Hannibal poisoning himself, killing himself to ensure the Romans did not have the pleasure of finally killing their ‘worst nightmare’. Hannibal’s choice emphasises his hatred of Rome and how seriously he took the oath he made to his father to “always be an enemy of Rome</w:t>
      </w:r>
      <w:r w:rsidR="006D65B7">
        <w:rPr>
          <w:sz w:val="24"/>
          <w:szCs w:val="24"/>
        </w:rPr>
        <w:t>.</w:t>
      </w:r>
      <w:r>
        <w:rPr>
          <w:sz w:val="24"/>
          <w:szCs w:val="24"/>
        </w:rPr>
        <w:t>”</w:t>
      </w:r>
      <w:r>
        <w:rPr>
          <w:rStyle w:val="FootnoteReference"/>
          <w:sz w:val="24"/>
          <w:szCs w:val="24"/>
        </w:rPr>
        <w:footnoteReference w:id="16"/>
      </w:r>
      <w:r>
        <w:rPr>
          <w:sz w:val="24"/>
          <w:szCs w:val="24"/>
        </w:rPr>
        <w:t xml:space="preserve"> It is also poetic how the film begins with Hannibal’s oath of being an enemy of Rome, and ends with his own suicide as a final ‘win’ against Rome, as it prevents Rome </w:t>
      </w:r>
      <w:r w:rsidR="00F43191">
        <w:rPr>
          <w:sz w:val="24"/>
          <w:szCs w:val="24"/>
        </w:rPr>
        <w:t>from parading</w:t>
      </w:r>
      <w:r>
        <w:rPr>
          <w:sz w:val="24"/>
          <w:szCs w:val="24"/>
        </w:rPr>
        <w:t xml:space="preserve"> Hannibal as a captured war enemy and execute him as their final win against Hannibal and Carthage. The beginning and ending scenes similarly reveal the start and end of the narrative, as Hannibal’s war on Rome started with his oath and ended with his suicide. In addition, the post-death scenes show the fates of Mago, Fabius Maximus and Scipio Africanus, two of whom disappeared from the film part-way through. The post-death scenes appear like a tribute to each character, with a visual clip and a description of what happened to the character. Mago and Fabius both died before the end of the war, with Mago never reaching Hannibal in Carthage.</w:t>
      </w:r>
      <w:r>
        <w:rPr>
          <w:rStyle w:val="FootnoteReference"/>
          <w:sz w:val="24"/>
          <w:szCs w:val="24"/>
        </w:rPr>
        <w:footnoteReference w:id="17"/>
      </w:r>
      <w:r>
        <w:rPr>
          <w:sz w:val="24"/>
          <w:szCs w:val="24"/>
        </w:rPr>
        <w:t xml:space="preserve"> Scipio Africanus, on the other hand, lived on for a few more years after the war but never recovered the same support he received during the war. Hannibal’s comment of “You have me to thank for everything you have become, Scipio. I made you,” to Scipio Africanus before the battle of Zama seems to hold true, as without Hannibal to fight, Scipio Africanus’ political career “failed to match his military triumphs.”</w:t>
      </w:r>
      <w:r>
        <w:rPr>
          <w:rStyle w:val="FootnoteReference"/>
          <w:sz w:val="24"/>
          <w:szCs w:val="24"/>
        </w:rPr>
        <w:footnoteReference w:id="18"/>
      </w:r>
      <w:r>
        <w:rPr>
          <w:sz w:val="24"/>
          <w:szCs w:val="24"/>
        </w:rPr>
        <w:t xml:space="preserve"> This is even more prominent when Hannibal ponders “</w:t>
      </w:r>
      <w:r w:rsidR="00D84903">
        <w:rPr>
          <w:sz w:val="24"/>
          <w:szCs w:val="24"/>
        </w:rPr>
        <w:t>For</w:t>
      </w:r>
      <w:r>
        <w:rPr>
          <w:sz w:val="24"/>
          <w:szCs w:val="24"/>
        </w:rPr>
        <w:t xml:space="preserve"> were </w:t>
      </w:r>
      <w:r w:rsidR="00D84903">
        <w:rPr>
          <w:sz w:val="24"/>
          <w:szCs w:val="24"/>
        </w:rPr>
        <w:t xml:space="preserve">it </w:t>
      </w:r>
      <w:r>
        <w:rPr>
          <w:sz w:val="24"/>
          <w:szCs w:val="24"/>
        </w:rPr>
        <w:t>not for me, I wonder if you would even command an army at all.”</w:t>
      </w:r>
      <w:r>
        <w:rPr>
          <w:rStyle w:val="FootnoteReference"/>
          <w:sz w:val="24"/>
          <w:szCs w:val="24"/>
        </w:rPr>
        <w:footnoteReference w:id="19"/>
      </w:r>
    </w:p>
    <w:p w14:paraId="04DE8433" w14:textId="77777777" w:rsidR="00F034B7" w:rsidRPr="00CC6B5E" w:rsidRDefault="0008435E" w:rsidP="0008435E">
      <w:pPr>
        <w:rPr>
          <w:sz w:val="24"/>
          <w:szCs w:val="24"/>
        </w:rPr>
      </w:pPr>
      <w:r>
        <w:rPr>
          <w:sz w:val="24"/>
          <w:szCs w:val="24"/>
        </w:rPr>
        <w:tab/>
        <w:t xml:space="preserve">Hannibal: Rome’s Worst Nightmare can therefore be classed as a visual re-enactment through the settings and costumes, the portrayal of characters and the overall </w:t>
      </w:r>
      <w:r>
        <w:rPr>
          <w:sz w:val="24"/>
          <w:szCs w:val="24"/>
        </w:rPr>
        <w:lastRenderedPageBreak/>
        <w:t>narrative of the film: all of which contribute to the realism of the film. However, that realism, along with the film’s genre, can misguide viewers into believing that the re-enactment is completely historically accurate.</w:t>
      </w:r>
    </w:p>
    <w:p w14:paraId="3981F10E" w14:textId="4E4D9DB3" w:rsidR="0008435E" w:rsidRDefault="0008435E"/>
    <w:p w14:paraId="12A7BEB6" w14:textId="484C080F" w:rsidR="00A84D55" w:rsidRDefault="00A84D55"/>
    <w:p w14:paraId="0CB030DE" w14:textId="77777777" w:rsidR="00A84D55" w:rsidRDefault="00A84D55" w:rsidP="00A84D55">
      <w:pPr>
        <w:pStyle w:val="Title"/>
      </w:pPr>
      <w:r>
        <w:t>Bibliography</w:t>
      </w:r>
    </w:p>
    <w:p w14:paraId="5E4F607B" w14:textId="77777777" w:rsidR="00A84D55" w:rsidRDefault="00A84D55" w:rsidP="00A84D55">
      <w:pPr>
        <w:pStyle w:val="Heading1"/>
      </w:pPr>
      <w:r>
        <w:t>Classical</w:t>
      </w:r>
    </w:p>
    <w:p w14:paraId="2635327D" w14:textId="77777777" w:rsidR="00A84D55" w:rsidRDefault="00A84D55" w:rsidP="00A84D55">
      <w:pPr>
        <w:pStyle w:val="ListParagraph"/>
        <w:numPr>
          <w:ilvl w:val="0"/>
          <w:numId w:val="1"/>
        </w:numPr>
      </w:pPr>
      <w:r>
        <w:t xml:space="preserve">Livy, </w:t>
      </w:r>
      <w:r>
        <w:rPr>
          <w:i/>
          <w:iCs/>
        </w:rPr>
        <w:t>The History of Rome</w:t>
      </w:r>
      <w:r>
        <w:t>, Benjamin Oliver Foster, Ph.D., (trans), 1929, Cambridge, M.A.: Harvard University Press</w:t>
      </w:r>
    </w:p>
    <w:p w14:paraId="61DEBD26" w14:textId="77777777" w:rsidR="00A84D55" w:rsidRDefault="00A84D55" w:rsidP="00A84D55">
      <w:pPr>
        <w:pStyle w:val="ListParagraph"/>
        <w:numPr>
          <w:ilvl w:val="0"/>
          <w:numId w:val="1"/>
        </w:numPr>
      </w:pPr>
      <w:r>
        <w:t xml:space="preserve">Livy, </w:t>
      </w:r>
      <w:r>
        <w:rPr>
          <w:i/>
          <w:iCs/>
        </w:rPr>
        <w:t>The History of Rome</w:t>
      </w:r>
      <w:r>
        <w:t>, Rev. Canon Roberts, (trans) 1912, New York, New York: E. P. Dutton and Co.</w:t>
      </w:r>
    </w:p>
    <w:p w14:paraId="390B4F8B" w14:textId="77777777" w:rsidR="00A84D55" w:rsidRDefault="00A84D55" w:rsidP="00A84D55">
      <w:pPr>
        <w:pStyle w:val="ListParagraph"/>
        <w:numPr>
          <w:ilvl w:val="0"/>
          <w:numId w:val="1"/>
        </w:numPr>
      </w:pPr>
      <w:r>
        <w:t xml:space="preserve">Polybius, </w:t>
      </w:r>
      <w:r>
        <w:rPr>
          <w:i/>
          <w:iCs/>
        </w:rPr>
        <w:t>Histories</w:t>
      </w:r>
      <w:r>
        <w:t>, Evelyn S. Shuckburgh, (trans) 1889, New York: Macmillan</w:t>
      </w:r>
    </w:p>
    <w:p w14:paraId="01F76130" w14:textId="77777777" w:rsidR="00A84D55" w:rsidRDefault="00A84D55" w:rsidP="00A84D55">
      <w:pPr>
        <w:pStyle w:val="Heading1"/>
      </w:pPr>
      <w:r>
        <w:t>Modern</w:t>
      </w:r>
    </w:p>
    <w:p w14:paraId="0A58322D" w14:textId="77777777" w:rsidR="00A84D55" w:rsidRDefault="00A84D55" w:rsidP="00A84D55">
      <w:pPr>
        <w:pStyle w:val="ListParagraph"/>
        <w:numPr>
          <w:ilvl w:val="0"/>
          <w:numId w:val="1"/>
        </w:numPr>
      </w:pPr>
      <w:r>
        <w:t xml:space="preserve">Corrigan, T., (2012), </w:t>
      </w:r>
      <w:r>
        <w:rPr>
          <w:i/>
          <w:iCs/>
        </w:rPr>
        <w:t>A Short Guide to Writing about Film</w:t>
      </w:r>
      <w:r>
        <w:t xml:space="preserve"> (8</w:t>
      </w:r>
      <w:r w:rsidRPr="00B053A8">
        <w:rPr>
          <w:vertAlign w:val="superscript"/>
        </w:rPr>
        <w:t>th</w:t>
      </w:r>
      <w:r>
        <w:t xml:space="preserve"> ed), Pearson Education, Inc.</w:t>
      </w:r>
    </w:p>
    <w:p w14:paraId="7489A39E" w14:textId="77777777" w:rsidR="00A84D55" w:rsidRDefault="00A84D55" w:rsidP="00A84D55">
      <w:pPr>
        <w:pStyle w:val="ListParagraph"/>
        <w:numPr>
          <w:ilvl w:val="0"/>
          <w:numId w:val="1"/>
        </w:numPr>
      </w:pPr>
      <w:proofErr w:type="spellStart"/>
      <w:r>
        <w:t>Dr.</w:t>
      </w:r>
      <w:proofErr w:type="spellEnd"/>
      <w:r>
        <w:t xml:space="preserve"> Aksoy, M., and </w:t>
      </w:r>
      <w:proofErr w:type="spellStart"/>
      <w:r>
        <w:t>Biancat</w:t>
      </w:r>
      <w:proofErr w:type="spellEnd"/>
      <w:r>
        <w:t xml:space="preserve">, G.Y., (2018), ‘The </w:t>
      </w:r>
      <w:proofErr w:type="spellStart"/>
      <w:r>
        <w:t>Tamga</w:t>
      </w:r>
      <w:proofErr w:type="spellEnd"/>
      <w:r>
        <w:t xml:space="preserve"> which Comes to Turkey from the Oldest Known Trousers of the History’ in </w:t>
      </w:r>
      <w:r>
        <w:rPr>
          <w:i/>
          <w:iCs/>
        </w:rPr>
        <w:t>International Journal of Art and Art History</w:t>
      </w:r>
      <w:r>
        <w:t>, Vol 6, issue 1, pp96-106</w:t>
      </w:r>
    </w:p>
    <w:p w14:paraId="5F56C8DE" w14:textId="77777777" w:rsidR="00A84D55" w:rsidRDefault="00A84D55" w:rsidP="00A84D55">
      <w:pPr>
        <w:pStyle w:val="ListParagraph"/>
        <w:numPr>
          <w:ilvl w:val="0"/>
          <w:numId w:val="1"/>
        </w:numPr>
      </w:pPr>
      <w:r>
        <w:t xml:space="preserve">Mackintosh, M.C., (1973), ‘Roman Influences on the Victory Reliefs of </w:t>
      </w:r>
      <w:proofErr w:type="spellStart"/>
      <w:r>
        <w:t>Shapur</w:t>
      </w:r>
      <w:proofErr w:type="spellEnd"/>
      <w:r>
        <w:t xml:space="preserve"> I of Persia’, in </w:t>
      </w:r>
      <w:r>
        <w:rPr>
          <w:i/>
          <w:iCs/>
        </w:rPr>
        <w:t>California Studies in Classical Antiquity</w:t>
      </w:r>
      <w:r>
        <w:t>, vol 6 pp181-203</w:t>
      </w:r>
    </w:p>
    <w:p w14:paraId="1F64CD88" w14:textId="77777777" w:rsidR="00A84D55" w:rsidRDefault="00A84D55" w:rsidP="00A84D55">
      <w:pPr>
        <w:pStyle w:val="Heading1"/>
      </w:pPr>
      <w:r>
        <w:t>Internet</w:t>
      </w:r>
    </w:p>
    <w:p w14:paraId="792DAEEC" w14:textId="77777777" w:rsidR="00A84D55" w:rsidRDefault="00A84D55" w:rsidP="00A84D55">
      <w:pPr>
        <w:pStyle w:val="ListParagraph"/>
        <w:numPr>
          <w:ilvl w:val="0"/>
          <w:numId w:val="1"/>
        </w:numPr>
      </w:pPr>
      <w:r>
        <w:t xml:space="preserve">Amazon Prime, (2021), </w:t>
      </w:r>
      <w:r>
        <w:rPr>
          <w:i/>
          <w:iCs/>
        </w:rPr>
        <w:t>Hannibal: Rome’s Worst Nightmare</w:t>
      </w:r>
      <w:r>
        <w:t xml:space="preserve">, available at: </w:t>
      </w:r>
      <w:hyperlink r:id="rId7" w:history="1">
        <w:r w:rsidRPr="008340B2">
          <w:rPr>
            <w:rStyle w:val="Hyperlink"/>
          </w:rPr>
          <w:t>https://www.amazon.co.uk/Hannibal-Romes-Nightmare-Alexander-Siddig/dp/B0767DP4C9</w:t>
        </w:r>
      </w:hyperlink>
      <w:r>
        <w:t xml:space="preserve"> (last accessed 06/11/2021) </w:t>
      </w:r>
    </w:p>
    <w:p w14:paraId="689C8FBD" w14:textId="77777777" w:rsidR="00A84D55" w:rsidRDefault="00A84D55" w:rsidP="00A84D55">
      <w:pPr>
        <w:pStyle w:val="ListParagraph"/>
        <w:numPr>
          <w:ilvl w:val="0"/>
          <w:numId w:val="1"/>
        </w:numPr>
      </w:pPr>
      <w:bookmarkStart w:id="1" w:name="_Hlk87266575"/>
      <w:r>
        <w:t xml:space="preserve">Artiste </w:t>
      </w:r>
      <w:proofErr w:type="spellStart"/>
      <w:r>
        <w:t>Tunisien</w:t>
      </w:r>
      <w:proofErr w:type="spellEnd"/>
      <w:r>
        <w:t xml:space="preserve"> 01, (2015)</w:t>
      </w:r>
      <w:bookmarkEnd w:id="1"/>
      <w:r>
        <w:t xml:space="preserve">, </w:t>
      </w:r>
      <w:r>
        <w:rPr>
          <w:i/>
          <w:iCs/>
        </w:rPr>
        <w:t>Hannibal – Rome’s Worst Nightmare [Full Movie]</w:t>
      </w:r>
      <w:r>
        <w:t xml:space="preserve">, [YouTube], available at: </w:t>
      </w:r>
      <w:hyperlink r:id="rId8" w:history="1">
        <w:r w:rsidRPr="008340B2">
          <w:rPr>
            <w:rStyle w:val="Hyperlink"/>
          </w:rPr>
          <w:t>https://www.youtube.com/watch?v=PCYLHTrZ_Z4</w:t>
        </w:r>
      </w:hyperlink>
      <w:r>
        <w:t xml:space="preserve"> (last accessed 06/11/2021)</w:t>
      </w:r>
    </w:p>
    <w:p w14:paraId="5943372D" w14:textId="77777777" w:rsidR="00A84D55" w:rsidRDefault="00A84D55" w:rsidP="00A84D55">
      <w:pPr>
        <w:pStyle w:val="ListParagraph"/>
        <w:numPr>
          <w:ilvl w:val="0"/>
          <w:numId w:val="1"/>
        </w:numPr>
      </w:pPr>
      <w:r>
        <w:t xml:space="preserve">IMDB, (2021), </w:t>
      </w:r>
      <w:r w:rsidRPr="007F0128">
        <w:rPr>
          <w:i/>
          <w:iCs/>
        </w:rPr>
        <w:t>Hannibal</w:t>
      </w:r>
      <w:r>
        <w:t xml:space="preserve">, available at: </w:t>
      </w:r>
      <w:hyperlink r:id="rId9" w:history="1">
        <w:r w:rsidRPr="008340B2">
          <w:rPr>
            <w:rStyle w:val="Hyperlink"/>
          </w:rPr>
          <w:t>https://www.imdb.com/title/tt0766213/?ref_=nv_sr_srsg_3</w:t>
        </w:r>
      </w:hyperlink>
      <w:r>
        <w:t xml:space="preserve"> (last accessed 06/11/2021)</w:t>
      </w:r>
    </w:p>
    <w:p w14:paraId="27DE0D47" w14:textId="77777777" w:rsidR="00A84D55" w:rsidRDefault="00A84D55"/>
    <w:sectPr w:rsidR="00A84D55" w:rsidSect="009B31CD">
      <w:pgSz w:w="11906" w:h="16838"/>
      <w:pgMar w:top="1440" w:right="1440" w:bottom="1440" w:left="1440" w:header="340"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5E83513" w14:textId="77777777" w:rsidR="0008435E" w:rsidRDefault="0008435E" w:rsidP="0008435E">
      <w:pPr>
        <w:spacing w:after="0" w:line="240" w:lineRule="auto"/>
      </w:pPr>
      <w:r>
        <w:separator/>
      </w:r>
    </w:p>
  </w:endnote>
  <w:endnote w:type="continuationSeparator" w:id="0">
    <w:p w14:paraId="79D149F1" w14:textId="77777777" w:rsidR="0008435E" w:rsidRDefault="0008435E" w:rsidP="0008435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E89690" w14:textId="77777777" w:rsidR="0008435E" w:rsidRDefault="0008435E" w:rsidP="0008435E">
      <w:pPr>
        <w:spacing w:after="0" w:line="240" w:lineRule="auto"/>
      </w:pPr>
      <w:r>
        <w:separator/>
      </w:r>
    </w:p>
  </w:footnote>
  <w:footnote w:type="continuationSeparator" w:id="0">
    <w:p w14:paraId="7A1A33FD" w14:textId="77777777" w:rsidR="0008435E" w:rsidRDefault="0008435E" w:rsidP="0008435E">
      <w:pPr>
        <w:spacing w:after="0" w:line="240" w:lineRule="auto"/>
      </w:pPr>
      <w:r>
        <w:continuationSeparator/>
      </w:r>
    </w:p>
  </w:footnote>
  <w:footnote w:id="1">
    <w:p w14:paraId="6DDA924C" w14:textId="57F9F79B" w:rsidR="0008435E" w:rsidRDefault="0008435E" w:rsidP="0008435E">
      <w:pPr>
        <w:pStyle w:val="FootnoteText"/>
      </w:pPr>
      <w:r>
        <w:rPr>
          <w:rStyle w:val="FootnoteReference"/>
        </w:rPr>
        <w:footnoteRef/>
      </w:r>
      <w:r>
        <w:t xml:space="preserve"> IMDB</w:t>
      </w:r>
      <w:r w:rsidR="0054019E">
        <w:t xml:space="preserve"> (2021)</w:t>
      </w:r>
      <w:r>
        <w:t>; Amazon</w:t>
      </w:r>
      <w:r w:rsidR="0054019E">
        <w:t xml:space="preserve"> Prime Video (2021)</w:t>
      </w:r>
    </w:p>
  </w:footnote>
  <w:footnote w:id="2">
    <w:p w14:paraId="752B6AE3" w14:textId="56BBABBF" w:rsidR="0008435E" w:rsidRPr="00D77906" w:rsidRDefault="0008435E" w:rsidP="0008435E">
      <w:pPr>
        <w:pStyle w:val="FootnoteText"/>
      </w:pPr>
      <w:r>
        <w:rPr>
          <w:rStyle w:val="FootnoteReference"/>
        </w:rPr>
        <w:footnoteRef/>
      </w:r>
      <w:r>
        <w:t xml:space="preserve"> </w:t>
      </w:r>
      <w:bookmarkStart w:id="0" w:name="_Hlk87139300"/>
      <w:r w:rsidR="00D77906">
        <w:t>Mackintosh, M.C., (1973)</w:t>
      </w:r>
      <w:bookmarkEnd w:id="0"/>
      <w:r w:rsidR="003A395A">
        <w:t xml:space="preserve"> p191 (footnote 31)</w:t>
      </w:r>
    </w:p>
  </w:footnote>
  <w:footnote w:id="3">
    <w:p w14:paraId="1DB07B48" w14:textId="04493116" w:rsidR="0008435E" w:rsidRDefault="0008435E" w:rsidP="0008435E">
      <w:pPr>
        <w:pStyle w:val="FootnoteText"/>
      </w:pPr>
      <w:r>
        <w:rPr>
          <w:rStyle w:val="FootnoteReference"/>
        </w:rPr>
        <w:footnoteRef/>
      </w:r>
      <w:r>
        <w:t xml:space="preserve"> </w:t>
      </w:r>
      <w:r w:rsidR="003A395A">
        <w:t xml:space="preserve">Artiste </w:t>
      </w:r>
      <w:proofErr w:type="spellStart"/>
      <w:r w:rsidR="003A395A">
        <w:t>Tunisien</w:t>
      </w:r>
      <w:proofErr w:type="spellEnd"/>
      <w:r w:rsidR="003A395A">
        <w:t xml:space="preserve"> 01, (2015) 2:51-3:24</w:t>
      </w:r>
    </w:p>
  </w:footnote>
  <w:footnote w:id="4">
    <w:p w14:paraId="16763387" w14:textId="6E595B79" w:rsidR="0008435E" w:rsidRPr="0086439C" w:rsidRDefault="0008435E" w:rsidP="0008435E">
      <w:pPr>
        <w:pStyle w:val="FootnoteText"/>
      </w:pPr>
      <w:r>
        <w:rPr>
          <w:rStyle w:val="FootnoteReference"/>
        </w:rPr>
        <w:footnoteRef/>
      </w:r>
      <w:r>
        <w:t xml:space="preserve"> </w:t>
      </w:r>
      <w:r w:rsidR="00AB0BD3">
        <w:t>Liv</w:t>
      </w:r>
      <w:r w:rsidR="0086439C">
        <w:t>.</w:t>
      </w:r>
      <w:r w:rsidR="003C38E7">
        <w:t xml:space="preserve"> </w:t>
      </w:r>
      <w:r w:rsidR="003C38E7">
        <w:rPr>
          <w:i/>
          <w:iCs/>
        </w:rPr>
        <w:t>The History of Rome</w:t>
      </w:r>
      <w:r w:rsidR="0086439C">
        <w:t>, Books 21-23</w:t>
      </w:r>
    </w:p>
  </w:footnote>
  <w:footnote w:id="5">
    <w:p w14:paraId="4FBD4002" w14:textId="3A07A0DD" w:rsidR="0008435E" w:rsidRDefault="0008435E" w:rsidP="0008435E">
      <w:pPr>
        <w:pStyle w:val="FootnoteText"/>
      </w:pPr>
      <w:r>
        <w:rPr>
          <w:rStyle w:val="FootnoteReference"/>
        </w:rPr>
        <w:footnoteRef/>
      </w:r>
      <w:r>
        <w:t xml:space="preserve"> </w:t>
      </w:r>
      <w:r w:rsidR="00AB0BD3">
        <w:t>Corrigan</w:t>
      </w:r>
      <w:r w:rsidR="003A395A">
        <w:t>, T., (2012), p37</w:t>
      </w:r>
    </w:p>
  </w:footnote>
  <w:footnote w:id="6">
    <w:p w14:paraId="2A4D7D6C" w14:textId="4E323D4F" w:rsidR="0008435E" w:rsidRDefault="0008435E" w:rsidP="0008435E">
      <w:pPr>
        <w:pStyle w:val="FootnoteText"/>
      </w:pPr>
      <w:r>
        <w:rPr>
          <w:rStyle w:val="FootnoteReference"/>
        </w:rPr>
        <w:footnoteRef/>
      </w:r>
      <w:r>
        <w:t xml:space="preserve"> </w:t>
      </w:r>
      <w:r w:rsidR="003C38E7">
        <w:t>Liv</w:t>
      </w:r>
      <w:r w:rsidR="0086439C">
        <w:t>.</w:t>
      </w:r>
      <w:r w:rsidR="007D39D5">
        <w:t>21.15, 21.39, 21.45-58, 22.4-8, 22.13, 22.39, 22.46, 22.54, 22.58</w:t>
      </w:r>
      <w:r w:rsidR="00786A37">
        <w:t xml:space="preserve"> (Roberts);</w:t>
      </w:r>
      <w:r w:rsidR="003C38E7">
        <w:t xml:space="preserve"> Polybius</w:t>
      </w:r>
      <w:r w:rsidR="008D0EB4">
        <w:t xml:space="preserve"> 3.64-3.74, 3.78-3.85</w:t>
      </w:r>
    </w:p>
  </w:footnote>
  <w:footnote w:id="7">
    <w:p w14:paraId="79D152E6" w14:textId="14216F7A" w:rsidR="0008435E" w:rsidRDefault="0008435E" w:rsidP="0008435E">
      <w:pPr>
        <w:pStyle w:val="FootnoteText"/>
      </w:pPr>
      <w:r>
        <w:rPr>
          <w:rStyle w:val="FootnoteReference"/>
        </w:rPr>
        <w:footnoteRef/>
      </w:r>
      <w:r>
        <w:t xml:space="preserve"> </w:t>
      </w:r>
      <w:r w:rsidR="003A395A">
        <w:t xml:space="preserve">Artiste </w:t>
      </w:r>
      <w:proofErr w:type="spellStart"/>
      <w:r w:rsidR="003A395A">
        <w:t>Tunisien</w:t>
      </w:r>
      <w:proofErr w:type="spellEnd"/>
      <w:r w:rsidR="003A395A">
        <w:t xml:space="preserve"> 01, (2015)</w:t>
      </w:r>
    </w:p>
  </w:footnote>
  <w:footnote w:id="8">
    <w:p w14:paraId="6E664A5F" w14:textId="4B2B07CF" w:rsidR="0008435E" w:rsidRDefault="0008435E" w:rsidP="0008435E">
      <w:pPr>
        <w:pStyle w:val="FootnoteText"/>
      </w:pPr>
      <w:r>
        <w:rPr>
          <w:rStyle w:val="FootnoteReference"/>
        </w:rPr>
        <w:footnoteRef/>
      </w:r>
      <w:r>
        <w:t xml:space="preserve"> </w:t>
      </w:r>
      <w:r w:rsidR="00AB0BD3">
        <w:t>Liv</w:t>
      </w:r>
      <w:r w:rsidR="007D39D5">
        <w:t>.</w:t>
      </w:r>
      <w:r w:rsidR="00786A37">
        <w:t>21.1 (Foster)</w:t>
      </w:r>
    </w:p>
  </w:footnote>
  <w:footnote w:id="9">
    <w:p w14:paraId="6540126D" w14:textId="31020D67" w:rsidR="0008435E" w:rsidRDefault="0008435E" w:rsidP="0008435E">
      <w:pPr>
        <w:pStyle w:val="FootnoteText"/>
      </w:pPr>
      <w:r>
        <w:rPr>
          <w:rStyle w:val="FootnoteReference"/>
        </w:rPr>
        <w:footnoteRef/>
      </w:r>
      <w:r>
        <w:t xml:space="preserve"> </w:t>
      </w:r>
      <w:r w:rsidR="003C38E7">
        <w:t>Liv</w:t>
      </w:r>
      <w:r w:rsidR="007D39D5">
        <w:t>.21.1</w:t>
      </w:r>
      <w:r w:rsidR="00786A37">
        <w:t xml:space="preserve"> (Roberts)</w:t>
      </w:r>
      <w:r w:rsidR="003C38E7">
        <w:t>;</w:t>
      </w:r>
      <w:r w:rsidR="008A4B08">
        <w:t xml:space="preserve"> Plb</w:t>
      </w:r>
      <w:r w:rsidR="007D39D5">
        <w:t>.</w:t>
      </w:r>
      <w:r w:rsidR="00BA224A">
        <w:t>3.11-3.12</w:t>
      </w:r>
      <w:r w:rsidR="008A4B08">
        <w:t>;</w:t>
      </w:r>
      <w:r w:rsidR="003C38E7">
        <w:t xml:space="preserve"> </w:t>
      </w:r>
      <w:r w:rsidR="003A395A">
        <w:t xml:space="preserve">Artiste </w:t>
      </w:r>
      <w:proofErr w:type="spellStart"/>
      <w:r w:rsidR="003A395A">
        <w:t>Tunisien</w:t>
      </w:r>
      <w:proofErr w:type="spellEnd"/>
      <w:r w:rsidR="003A395A">
        <w:t xml:space="preserve"> 01, (2015)</w:t>
      </w:r>
    </w:p>
  </w:footnote>
  <w:footnote w:id="10">
    <w:p w14:paraId="660FB96F" w14:textId="1C90CA50" w:rsidR="0008435E" w:rsidRDefault="0008435E" w:rsidP="0008435E">
      <w:pPr>
        <w:pStyle w:val="FootnoteText"/>
      </w:pPr>
      <w:r>
        <w:rPr>
          <w:rStyle w:val="FootnoteReference"/>
        </w:rPr>
        <w:footnoteRef/>
      </w:r>
      <w:r>
        <w:t xml:space="preserve"> </w:t>
      </w:r>
      <w:r w:rsidR="003A395A">
        <w:t xml:space="preserve">Artiste </w:t>
      </w:r>
      <w:proofErr w:type="spellStart"/>
      <w:r w:rsidR="003A395A">
        <w:t>Tunisien</w:t>
      </w:r>
      <w:proofErr w:type="spellEnd"/>
      <w:r w:rsidR="003A395A">
        <w:t xml:space="preserve"> 01, (2015)</w:t>
      </w:r>
      <w:r w:rsidR="00D84903">
        <w:t xml:space="preserve"> 6:31-6:46</w:t>
      </w:r>
    </w:p>
  </w:footnote>
  <w:footnote w:id="11">
    <w:p w14:paraId="2A7EDDCD" w14:textId="294A8042" w:rsidR="00D84903" w:rsidRDefault="00D84903">
      <w:pPr>
        <w:pStyle w:val="FootnoteText"/>
      </w:pPr>
      <w:r>
        <w:rPr>
          <w:rStyle w:val="FootnoteReference"/>
        </w:rPr>
        <w:footnoteRef/>
      </w:r>
      <w:r>
        <w:t xml:space="preserve"> Ibid 3:27-4:40</w:t>
      </w:r>
    </w:p>
  </w:footnote>
  <w:footnote w:id="12">
    <w:p w14:paraId="0449CF5D" w14:textId="79AE2C3C" w:rsidR="0008435E" w:rsidRDefault="0008435E" w:rsidP="0008435E">
      <w:pPr>
        <w:pStyle w:val="FootnoteText"/>
      </w:pPr>
      <w:r>
        <w:rPr>
          <w:rStyle w:val="FootnoteReference"/>
        </w:rPr>
        <w:footnoteRef/>
      </w:r>
      <w:r>
        <w:t xml:space="preserve"> </w:t>
      </w:r>
      <w:r w:rsidR="007D39D5">
        <w:t>Liv.21.18</w:t>
      </w:r>
      <w:r w:rsidR="00786A37">
        <w:t xml:space="preserve"> (Roberts)</w:t>
      </w:r>
    </w:p>
  </w:footnote>
  <w:footnote w:id="13">
    <w:p w14:paraId="1EA4D5D0" w14:textId="5CB94BAE" w:rsidR="0008435E" w:rsidRDefault="0008435E" w:rsidP="0008435E">
      <w:pPr>
        <w:pStyle w:val="FootnoteText"/>
      </w:pPr>
      <w:r>
        <w:rPr>
          <w:rStyle w:val="FootnoteReference"/>
        </w:rPr>
        <w:footnoteRef/>
      </w:r>
      <w:r>
        <w:t xml:space="preserve"> </w:t>
      </w:r>
      <w:r w:rsidR="003A395A">
        <w:t xml:space="preserve">Artiste </w:t>
      </w:r>
      <w:proofErr w:type="spellStart"/>
      <w:r w:rsidR="003A395A">
        <w:t>Tunisien</w:t>
      </w:r>
      <w:proofErr w:type="spellEnd"/>
      <w:r w:rsidR="003A395A">
        <w:t xml:space="preserve"> 01, (2015)</w:t>
      </w:r>
      <w:r w:rsidR="00D84903">
        <w:t>1:20:03-1:20:07</w:t>
      </w:r>
    </w:p>
  </w:footnote>
  <w:footnote w:id="14">
    <w:p w14:paraId="34AB5ACA" w14:textId="18725CB3" w:rsidR="0008435E" w:rsidRDefault="0008435E" w:rsidP="0008435E">
      <w:pPr>
        <w:pStyle w:val="FootnoteText"/>
      </w:pPr>
      <w:r>
        <w:rPr>
          <w:rStyle w:val="FootnoteReference"/>
        </w:rPr>
        <w:footnoteRef/>
      </w:r>
      <w:r>
        <w:t xml:space="preserve"> </w:t>
      </w:r>
      <w:r w:rsidR="003A395A">
        <w:t>Ibid</w:t>
      </w:r>
      <w:r w:rsidR="00D84903">
        <w:t xml:space="preserve"> 1:20:10-1:20:26</w:t>
      </w:r>
    </w:p>
  </w:footnote>
  <w:footnote w:id="15">
    <w:p w14:paraId="045DD4E0" w14:textId="1C6AA998" w:rsidR="003C38E7" w:rsidRDefault="003C38E7">
      <w:pPr>
        <w:pStyle w:val="FootnoteText"/>
      </w:pPr>
      <w:r>
        <w:rPr>
          <w:rStyle w:val="FootnoteReference"/>
        </w:rPr>
        <w:footnoteRef/>
      </w:r>
      <w:r>
        <w:t xml:space="preserve"> </w:t>
      </w:r>
      <w:r w:rsidR="003A395A">
        <w:t>Ibid</w:t>
      </w:r>
      <w:r w:rsidR="006D65B7">
        <w:t xml:space="preserve"> 1:21:17-1:21:22</w:t>
      </w:r>
    </w:p>
  </w:footnote>
  <w:footnote w:id="16">
    <w:p w14:paraId="2CC6C323" w14:textId="04F676BF" w:rsidR="0008435E" w:rsidRDefault="0008435E" w:rsidP="0008435E">
      <w:pPr>
        <w:pStyle w:val="FootnoteText"/>
      </w:pPr>
      <w:r>
        <w:rPr>
          <w:rStyle w:val="FootnoteReference"/>
        </w:rPr>
        <w:footnoteRef/>
      </w:r>
      <w:r>
        <w:t xml:space="preserve"> </w:t>
      </w:r>
      <w:r w:rsidR="003A395A">
        <w:t>Ibid</w:t>
      </w:r>
      <w:r w:rsidR="006D65B7">
        <w:t xml:space="preserve"> 0:55-1:09</w:t>
      </w:r>
    </w:p>
  </w:footnote>
  <w:footnote w:id="17">
    <w:p w14:paraId="6038E1B1" w14:textId="4847C35D" w:rsidR="0008435E" w:rsidRDefault="0008435E" w:rsidP="0008435E">
      <w:pPr>
        <w:pStyle w:val="FootnoteText"/>
      </w:pPr>
      <w:r>
        <w:rPr>
          <w:rStyle w:val="FootnoteReference"/>
        </w:rPr>
        <w:footnoteRef/>
      </w:r>
      <w:r>
        <w:t xml:space="preserve"> </w:t>
      </w:r>
      <w:r w:rsidR="003A395A">
        <w:t>Ibid</w:t>
      </w:r>
      <w:r w:rsidR="006D65B7">
        <w:t xml:space="preserve"> 1:26:33-1:26:56</w:t>
      </w:r>
    </w:p>
  </w:footnote>
  <w:footnote w:id="18">
    <w:p w14:paraId="01372430" w14:textId="05CB8E4B" w:rsidR="0008435E" w:rsidRDefault="0008435E" w:rsidP="0008435E">
      <w:pPr>
        <w:pStyle w:val="FootnoteText"/>
      </w:pPr>
      <w:r>
        <w:rPr>
          <w:rStyle w:val="FootnoteReference"/>
        </w:rPr>
        <w:footnoteRef/>
      </w:r>
      <w:r w:rsidR="003A395A">
        <w:t xml:space="preserve"> Ibid</w:t>
      </w:r>
      <w:r w:rsidR="00D84903">
        <w:t xml:space="preserve"> 1:20:50-1:21:04</w:t>
      </w:r>
      <w:r w:rsidR="006D65B7">
        <w:t>, 1:26:48-1:26:56</w:t>
      </w:r>
    </w:p>
  </w:footnote>
  <w:footnote w:id="19">
    <w:p w14:paraId="3B73F398" w14:textId="41294D0D" w:rsidR="0008435E" w:rsidRDefault="0008435E" w:rsidP="0008435E">
      <w:pPr>
        <w:pStyle w:val="FootnoteText"/>
      </w:pPr>
      <w:r>
        <w:rPr>
          <w:rStyle w:val="FootnoteReference"/>
        </w:rPr>
        <w:footnoteRef/>
      </w:r>
      <w:r>
        <w:t xml:space="preserve"> </w:t>
      </w:r>
      <w:r w:rsidR="003A395A">
        <w:t>Ibid</w:t>
      </w:r>
      <w:r w:rsidR="00D84903">
        <w:t xml:space="preserve"> 1:20:56-1:21:02</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FF45A0B"/>
    <w:multiLevelType w:val="hybridMultilevel"/>
    <w:tmpl w:val="CD4EBEA6"/>
    <w:lvl w:ilvl="0" w:tplc="42287480">
      <w:numFmt w:val="bullet"/>
      <w:lvlText w:val=""/>
      <w:lvlJc w:val="left"/>
      <w:pPr>
        <w:ind w:left="720" w:hanging="360"/>
      </w:pPr>
      <w:rPr>
        <w:rFonts w:ascii="Symbol" w:eastAsiaTheme="minorEastAsia"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435E"/>
    <w:rsid w:val="0008435E"/>
    <w:rsid w:val="002B7091"/>
    <w:rsid w:val="002F61E8"/>
    <w:rsid w:val="00352490"/>
    <w:rsid w:val="003A395A"/>
    <w:rsid w:val="003C38E7"/>
    <w:rsid w:val="003E55D2"/>
    <w:rsid w:val="0054019E"/>
    <w:rsid w:val="005A05A7"/>
    <w:rsid w:val="006D65B7"/>
    <w:rsid w:val="00786A37"/>
    <w:rsid w:val="007D39D5"/>
    <w:rsid w:val="0086439C"/>
    <w:rsid w:val="008A4B08"/>
    <w:rsid w:val="008D0EB4"/>
    <w:rsid w:val="0091461C"/>
    <w:rsid w:val="00A84D55"/>
    <w:rsid w:val="00AB0BD3"/>
    <w:rsid w:val="00B84883"/>
    <w:rsid w:val="00BA224A"/>
    <w:rsid w:val="00D40939"/>
    <w:rsid w:val="00D477D8"/>
    <w:rsid w:val="00D77906"/>
    <w:rsid w:val="00D84903"/>
    <w:rsid w:val="00E61683"/>
    <w:rsid w:val="00F4319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B8923C4"/>
  <w15:chartTrackingRefBased/>
  <w15:docId w15:val="{879B8E56-20DE-434A-A988-854D48716B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8435E"/>
  </w:style>
  <w:style w:type="paragraph" w:styleId="Heading1">
    <w:name w:val="heading 1"/>
    <w:basedOn w:val="Normal"/>
    <w:next w:val="Normal"/>
    <w:link w:val="Heading1Char"/>
    <w:uiPriority w:val="9"/>
    <w:qFormat/>
    <w:rsid w:val="00A84D5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08435E"/>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8435E"/>
    <w:rPr>
      <w:rFonts w:asciiTheme="majorHAnsi" w:eastAsiaTheme="majorEastAsia" w:hAnsiTheme="majorHAnsi" w:cstheme="majorBidi"/>
      <w:spacing w:val="-10"/>
      <w:kern w:val="28"/>
      <w:sz w:val="56"/>
      <w:szCs w:val="56"/>
    </w:rPr>
  </w:style>
  <w:style w:type="paragraph" w:styleId="FootnoteText">
    <w:name w:val="footnote text"/>
    <w:basedOn w:val="Normal"/>
    <w:link w:val="FootnoteTextChar"/>
    <w:uiPriority w:val="99"/>
    <w:semiHidden/>
    <w:unhideWhenUsed/>
    <w:rsid w:val="0008435E"/>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08435E"/>
    <w:rPr>
      <w:sz w:val="20"/>
      <w:szCs w:val="20"/>
    </w:rPr>
  </w:style>
  <w:style w:type="character" w:styleId="FootnoteReference">
    <w:name w:val="footnote reference"/>
    <w:basedOn w:val="DefaultParagraphFont"/>
    <w:uiPriority w:val="99"/>
    <w:semiHidden/>
    <w:unhideWhenUsed/>
    <w:rsid w:val="0008435E"/>
    <w:rPr>
      <w:vertAlign w:val="superscript"/>
    </w:rPr>
  </w:style>
  <w:style w:type="character" w:styleId="CommentReference">
    <w:name w:val="annotation reference"/>
    <w:basedOn w:val="DefaultParagraphFont"/>
    <w:uiPriority w:val="99"/>
    <w:semiHidden/>
    <w:unhideWhenUsed/>
    <w:rsid w:val="0008435E"/>
    <w:rPr>
      <w:sz w:val="16"/>
      <w:szCs w:val="16"/>
    </w:rPr>
  </w:style>
  <w:style w:type="paragraph" w:styleId="CommentText">
    <w:name w:val="annotation text"/>
    <w:basedOn w:val="Normal"/>
    <w:link w:val="CommentTextChar"/>
    <w:uiPriority w:val="99"/>
    <w:semiHidden/>
    <w:unhideWhenUsed/>
    <w:rsid w:val="0008435E"/>
    <w:pPr>
      <w:spacing w:line="240" w:lineRule="auto"/>
    </w:pPr>
    <w:rPr>
      <w:sz w:val="20"/>
      <w:szCs w:val="20"/>
    </w:rPr>
  </w:style>
  <w:style w:type="character" w:customStyle="1" w:styleId="CommentTextChar">
    <w:name w:val="Comment Text Char"/>
    <w:basedOn w:val="DefaultParagraphFont"/>
    <w:link w:val="CommentText"/>
    <w:uiPriority w:val="99"/>
    <w:semiHidden/>
    <w:rsid w:val="0008435E"/>
    <w:rPr>
      <w:sz w:val="20"/>
      <w:szCs w:val="20"/>
    </w:rPr>
  </w:style>
  <w:style w:type="character" w:styleId="Hyperlink">
    <w:name w:val="Hyperlink"/>
    <w:basedOn w:val="DefaultParagraphFont"/>
    <w:uiPriority w:val="99"/>
    <w:unhideWhenUsed/>
    <w:rsid w:val="0008435E"/>
    <w:rPr>
      <w:color w:val="0563C1" w:themeColor="hyperlink"/>
      <w:u w:val="single"/>
    </w:rPr>
  </w:style>
  <w:style w:type="character" w:styleId="UnresolvedMention">
    <w:name w:val="Unresolved Mention"/>
    <w:basedOn w:val="DefaultParagraphFont"/>
    <w:uiPriority w:val="99"/>
    <w:semiHidden/>
    <w:unhideWhenUsed/>
    <w:rsid w:val="0008435E"/>
    <w:rPr>
      <w:color w:val="605E5C"/>
      <w:shd w:val="clear" w:color="auto" w:fill="E1DFDD"/>
    </w:rPr>
  </w:style>
  <w:style w:type="paragraph" w:styleId="Header">
    <w:name w:val="header"/>
    <w:basedOn w:val="Normal"/>
    <w:link w:val="HeaderChar"/>
    <w:uiPriority w:val="99"/>
    <w:unhideWhenUsed/>
    <w:rsid w:val="00A84D55"/>
    <w:pPr>
      <w:tabs>
        <w:tab w:val="center" w:pos="4513"/>
        <w:tab w:val="right" w:pos="9026"/>
      </w:tabs>
      <w:spacing w:after="0" w:line="240" w:lineRule="auto"/>
    </w:pPr>
  </w:style>
  <w:style w:type="character" w:customStyle="1" w:styleId="HeaderChar">
    <w:name w:val="Header Char"/>
    <w:basedOn w:val="DefaultParagraphFont"/>
    <w:link w:val="Header"/>
    <w:uiPriority w:val="99"/>
    <w:rsid w:val="00A84D55"/>
  </w:style>
  <w:style w:type="paragraph" w:styleId="Footer">
    <w:name w:val="footer"/>
    <w:basedOn w:val="Normal"/>
    <w:link w:val="FooterChar"/>
    <w:uiPriority w:val="99"/>
    <w:unhideWhenUsed/>
    <w:rsid w:val="00A84D55"/>
    <w:pPr>
      <w:tabs>
        <w:tab w:val="center" w:pos="4513"/>
        <w:tab w:val="right" w:pos="9026"/>
      </w:tabs>
      <w:spacing w:after="0" w:line="240" w:lineRule="auto"/>
    </w:pPr>
  </w:style>
  <w:style w:type="character" w:customStyle="1" w:styleId="FooterChar">
    <w:name w:val="Footer Char"/>
    <w:basedOn w:val="DefaultParagraphFont"/>
    <w:link w:val="Footer"/>
    <w:uiPriority w:val="99"/>
    <w:rsid w:val="00A84D55"/>
  </w:style>
  <w:style w:type="character" w:customStyle="1" w:styleId="Heading1Char">
    <w:name w:val="Heading 1 Char"/>
    <w:basedOn w:val="DefaultParagraphFont"/>
    <w:link w:val="Heading1"/>
    <w:uiPriority w:val="9"/>
    <w:rsid w:val="00A84D55"/>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A84D5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utube.com/watch?v=PCYLHTrZ_Z4" TargetMode="External"/><Relationship Id="rId3" Type="http://schemas.openxmlformats.org/officeDocument/2006/relationships/settings" Target="settings.xml"/><Relationship Id="rId7" Type="http://schemas.openxmlformats.org/officeDocument/2006/relationships/hyperlink" Target="https://www.amazon.co.uk/Hannibal-Romes-Nightmare-Alexander-Siddig/dp/B0767DP4C9"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imdb.com/title/tt0766213/?ref_=nv_sr_srsg_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2140</TotalTime>
  <Pages>5</Pages>
  <Words>2169</Words>
  <Characters>12368</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Anna Matthews</dc:creator>
  <cp:keywords/>
  <dc:description/>
  <cp:lastModifiedBy>Anna Matthews</cp:lastModifiedBy>
  <cp:revision>19</cp:revision>
  <dcterms:created xsi:type="dcterms:W3CDTF">2021-11-06T15:25:00Z</dcterms:created>
  <dcterms:modified xsi:type="dcterms:W3CDTF">2021-11-08T19:51:00Z</dcterms:modified>
</cp:coreProperties>
</file>