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302ADA">
        <w:rPr>
          <w:rFonts w:ascii="Arial" w:eastAsia="Calibri" w:hAnsi="Arial" w:cs="Arial"/>
          <w:b/>
          <w:sz w:val="24"/>
          <w:szCs w:val="24"/>
          <w:u w:val="single"/>
        </w:rPr>
        <w:t>Reference List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302ADA">
        <w:rPr>
          <w:rFonts w:ascii="Arial" w:eastAsia="Calibri" w:hAnsi="Arial" w:cs="Arial"/>
          <w:sz w:val="24"/>
          <w:szCs w:val="24"/>
        </w:rPr>
        <w:t>Alvi</w:t>
      </w:r>
      <w:proofErr w:type="spellEnd"/>
      <w:r w:rsidRPr="00302ADA">
        <w:rPr>
          <w:rFonts w:ascii="Arial" w:eastAsia="Calibri" w:hAnsi="Arial" w:cs="Arial"/>
          <w:sz w:val="24"/>
          <w:szCs w:val="24"/>
        </w:rPr>
        <w:t xml:space="preserve">, E., </w:t>
      </w:r>
      <w:proofErr w:type="spellStart"/>
      <w:r w:rsidRPr="00302ADA">
        <w:rPr>
          <w:rFonts w:ascii="Arial" w:eastAsia="Calibri" w:hAnsi="Arial" w:cs="Arial"/>
          <w:sz w:val="24"/>
          <w:szCs w:val="24"/>
        </w:rPr>
        <w:t>Nausheen</w:t>
      </w:r>
      <w:proofErr w:type="spellEnd"/>
      <w:r w:rsidRPr="00302ADA">
        <w:rPr>
          <w:rFonts w:ascii="Arial" w:eastAsia="Calibri" w:hAnsi="Arial" w:cs="Arial"/>
          <w:sz w:val="24"/>
          <w:szCs w:val="24"/>
        </w:rPr>
        <w:t xml:space="preserve">, M., </w:t>
      </w:r>
      <w:proofErr w:type="spellStart"/>
      <w:r w:rsidRPr="00302ADA">
        <w:rPr>
          <w:rFonts w:ascii="Arial" w:eastAsia="Calibri" w:hAnsi="Arial" w:cs="Arial"/>
          <w:sz w:val="24"/>
          <w:szCs w:val="24"/>
        </w:rPr>
        <w:t>Zulfiqar</w:t>
      </w:r>
      <w:proofErr w:type="spellEnd"/>
      <w:r w:rsidRPr="00302ADA">
        <w:rPr>
          <w:rFonts w:ascii="Arial" w:eastAsia="Calibri" w:hAnsi="Arial" w:cs="Arial"/>
          <w:sz w:val="24"/>
          <w:szCs w:val="24"/>
        </w:rPr>
        <w:t xml:space="preserve">, A. and </w:t>
      </w:r>
      <w:proofErr w:type="spellStart"/>
      <w:r w:rsidRPr="00302ADA">
        <w:rPr>
          <w:rFonts w:ascii="Arial" w:eastAsia="Calibri" w:hAnsi="Arial" w:cs="Arial"/>
          <w:sz w:val="24"/>
          <w:szCs w:val="24"/>
        </w:rPr>
        <w:t>Moeen</w:t>
      </w:r>
      <w:proofErr w:type="spellEnd"/>
      <w:r w:rsidRPr="00302ADA">
        <w:rPr>
          <w:rFonts w:ascii="Arial" w:eastAsia="Calibri" w:hAnsi="Arial" w:cs="Arial"/>
          <w:sz w:val="24"/>
          <w:szCs w:val="24"/>
        </w:rPr>
        <w:t xml:space="preserve">, F. (2015) ‘Prospective Teachers' Experiences during Teaching Practice’, </w:t>
      </w:r>
      <w:r w:rsidRPr="00302ADA">
        <w:rPr>
          <w:rFonts w:ascii="Arial" w:eastAsia="Calibri" w:hAnsi="Arial" w:cs="Arial"/>
          <w:i/>
          <w:sz w:val="24"/>
          <w:szCs w:val="24"/>
        </w:rPr>
        <w:t>Journal of Educational Research,</w:t>
      </w:r>
      <w:r w:rsidRPr="00302ADA">
        <w:rPr>
          <w:rFonts w:ascii="Arial" w:eastAsia="Calibri" w:hAnsi="Arial" w:cs="Arial"/>
          <w:sz w:val="24"/>
          <w:szCs w:val="24"/>
        </w:rPr>
        <w:t xml:space="preserve"> Volume 18, Issue 1, pp. 20 – 37 [Online]. </w:t>
      </w:r>
      <w:hyperlink r:id="rId4" w:history="1">
        <w:r w:rsidRPr="00302ADA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https://search-proquest-com.ezproxy.uwtsd.ac.uk/docview/1794151143?accountid=130472&amp;rfr_id=info%3Axri%2Fsid%3Aprimo</w:t>
        </w:r>
      </w:hyperlink>
      <w:r w:rsidRPr="00302ADA">
        <w:rPr>
          <w:rFonts w:ascii="Arial" w:eastAsia="Calibri" w:hAnsi="Arial" w:cs="Arial"/>
          <w:sz w:val="24"/>
          <w:szCs w:val="24"/>
        </w:rPr>
        <w:t xml:space="preserve"> [Accessed: 18</w:t>
      </w:r>
      <w:r w:rsidRPr="00302ADA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302ADA">
        <w:rPr>
          <w:rFonts w:ascii="Arial" w:eastAsia="Calibri" w:hAnsi="Arial" w:cs="Arial"/>
          <w:sz w:val="24"/>
          <w:szCs w:val="24"/>
        </w:rPr>
        <w:t xml:space="preserve"> April 2018].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302ADA">
        <w:rPr>
          <w:rFonts w:ascii="Arial" w:eastAsia="Calibri" w:hAnsi="Arial" w:cs="Arial"/>
          <w:sz w:val="24"/>
          <w:szCs w:val="24"/>
        </w:rPr>
        <w:t xml:space="preserve">Association for Perioperative Practice. (No date) ‘Gibbs (1988) model of reflection’ </w:t>
      </w:r>
      <w:hyperlink r:id="rId5" w:history="1">
        <w:r w:rsidRPr="00302ADA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www.afpp.org.uk/filegrab/Gibbsmodelofreflection.pdf?ref=46</w:t>
        </w:r>
      </w:hyperlink>
      <w:r w:rsidRPr="00302ADA">
        <w:rPr>
          <w:rFonts w:ascii="Arial" w:eastAsia="Calibri" w:hAnsi="Arial" w:cs="Arial"/>
          <w:sz w:val="24"/>
          <w:szCs w:val="24"/>
        </w:rPr>
        <w:t xml:space="preserve"> [Accessed: 18</w:t>
      </w:r>
      <w:r w:rsidRPr="00302ADA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302ADA">
        <w:rPr>
          <w:rFonts w:ascii="Arial" w:eastAsia="Calibri" w:hAnsi="Arial" w:cs="Arial"/>
          <w:sz w:val="24"/>
          <w:szCs w:val="24"/>
        </w:rPr>
        <w:t xml:space="preserve"> April 2018].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302ADA">
        <w:rPr>
          <w:rFonts w:ascii="Arial" w:eastAsia="Calibri" w:hAnsi="Arial" w:cs="Arial"/>
          <w:sz w:val="24"/>
          <w:szCs w:val="24"/>
        </w:rPr>
        <w:t xml:space="preserve">Blake, J. and Bishop, G. (2008) ‘Reflective Practice: Guide and Workbook for Undergraduates’ </w:t>
      </w:r>
      <w:hyperlink r:id="rId6" w:history="1">
        <w:r w:rsidRPr="00302ADA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http://eprints.hud.ac.uk/id/eprint/19115/1/BishopUndergrad_guide-_final_version.pdf</w:t>
        </w:r>
      </w:hyperlink>
      <w:r w:rsidRPr="00302ADA">
        <w:rPr>
          <w:rFonts w:ascii="Arial" w:eastAsia="Calibri" w:hAnsi="Arial" w:cs="Arial"/>
          <w:sz w:val="24"/>
          <w:szCs w:val="24"/>
        </w:rPr>
        <w:t xml:space="preserve"> [Accessed: 18</w:t>
      </w:r>
      <w:r w:rsidRPr="00302ADA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302ADA">
        <w:rPr>
          <w:rFonts w:ascii="Arial" w:eastAsia="Calibri" w:hAnsi="Arial" w:cs="Arial"/>
          <w:sz w:val="24"/>
          <w:szCs w:val="24"/>
        </w:rPr>
        <w:t xml:space="preserve"> April 2018].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302ADA">
        <w:rPr>
          <w:rFonts w:ascii="Arial" w:eastAsia="Calibri" w:hAnsi="Arial" w:cs="Arial"/>
          <w:sz w:val="24"/>
          <w:szCs w:val="24"/>
        </w:rPr>
        <w:t>Brotherton</w:t>
      </w:r>
      <w:proofErr w:type="spellEnd"/>
      <w:r w:rsidRPr="00302ADA">
        <w:rPr>
          <w:rFonts w:ascii="Arial" w:eastAsia="Calibri" w:hAnsi="Arial" w:cs="Arial"/>
          <w:sz w:val="24"/>
          <w:szCs w:val="24"/>
        </w:rPr>
        <w:t>, G., Davies, H. and McGillivray, G. (</w:t>
      </w:r>
      <w:proofErr w:type="spellStart"/>
      <w:proofErr w:type="gramStart"/>
      <w:r w:rsidRPr="00302ADA">
        <w:rPr>
          <w:rFonts w:ascii="Arial" w:eastAsia="Calibri" w:hAnsi="Arial" w:cs="Arial"/>
          <w:sz w:val="24"/>
          <w:szCs w:val="24"/>
        </w:rPr>
        <w:t>eds</w:t>
      </w:r>
      <w:proofErr w:type="spellEnd"/>
      <w:proofErr w:type="gramEnd"/>
      <w:r w:rsidRPr="00302ADA">
        <w:rPr>
          <w:rFonts w:ascii="Arial" w:eastAsia="Calibri" w:hAnsi="Arial" w:cs="Arial"/>
          <w:sz w:val="24"/>
          <w:szCs w:val="24"/>
        </w:rPr>
        <w:t xml:space="preserve">) (2010) </w:t>
      </w:r>
      <w:r w:rsidRPr="00302ADA">
        <w:rPr>
          <w:rFonts w:ascii="Arial" w:eastAsia="Calibri" w:hAnsi="Arial" w:cs="Arial"/>
          <w:i/>
          <w:sz w:val="24"/>
          <w:szCs w:val="24"/>
        </w:rPr>
        <w:t xml:space="preserve">Working with Children, Young People and Families. </w:t>
      </w:r>
      <w:r w:rsidRPr="00302ADA">
        <w:rPr>
          <w:rFonts w:ascii="Arial" w:eastAsia="Calibri" w:hAnsi="Arial" w:cs="Arial"/>
          <w:sz w:val="24"/>
          <w:szCs w:val="24"/>
        </w:rPr>
        <w:t>London: SAGE.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302ADA">
        <w:rPr>
          <w:rFonts w:ascii="Arial" w:eastAsia="Calibri" w:hAnsi="Arial" w:cs="Arial"/>
          <w:sz w:val="24"/>
          <w:szCs w:val="24"/>
        </w:rPr>
        <w:t xml:space="preserve">Clara, M. (2015) ‘What Is Reflection? Looking for Clarity in an Ambiguous Notion’, </w:t>
      </w:r>
      <w:r w:rsidRPr="00302ADA">
        <w:rPr>
          <w:rFonts w:ascii="Arial" w:eastAsia="Calibri" w:hAnsi="Arial" w:cs="Arial"/>
          <w:i/>
          <w:sz w:val="24"/>
          <w:szCs w:val="24"/>
        </w:rPr>
        <w:t xml:space="preserve">Journal of Teacher Education, </w:t>
      </w:r>
      <w:r w:rsidRPr="00302ADA">
        <w:rPr>
          <w:rFonts w:ascii="Arial" w:eastAsia="Calibri" w:hAnsi="Arial" w:cs="Arial"/>
          <w:sz w:val="24"/>
          <w:szCs w:val="24"/>
        </w:rPr>
        <w:t xml:space="preserve">Volume 66, Issue 3, May 2015, pp.261 – 271. [On-line]. Available at: </w:t>
      </w:r>
      <w:hyperlink r:id="rId7" w:history="1">
        <w:r w:rsidRPr="00302ADA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http://journals.sagepub.com/doi/pdf/10.1177/0022487114552028</w:t>
        </w:r>
      </w:hyperlink>
      <w:r w:rsidRPr="00302ADA">
        <w:rPr>
          <w:rFonts w:ascii="Arial" w:eastAsia="Calibri" w:hAnsi="Arial" w:cs="Arial"/>
          <w:sz w:val="24"/>
          <w:szCs w:val="24"/>
        </w:rPr>
        <w:t xml:space="preserve"> [Accessed: 20</w:t>
      </w:r>
      <w:r w:rsidRPr="00302ADA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302ADA">
        <w:rPr>
          <w:rFonts w:ascii="Arial" w:eastAsia="Calibri" w:hAnsi="Arial" w:cs="Arial"/>
          <w:sz w:val="24"/>
          <w:szCs w:val="24"/>
        </w:rPr>
        <w:t xml:space="preserve"> October 2017].  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302ADA">
        <w:rPr>
          <w:rFonts w:ascii="Arial" w:eastAsia="Calibri" w:hAnsi="Arial" w:cs="Arial"/>
          <w:sz w:val="24"/>
          <w:szCs w:val="24"/>
        </w:rPr>
        <w:t>Cole, M. (</w:t>
      </w:r>
      <w:proofErr w:type="spellStart"/>
      <w:proofErr w:type="gramStart"/>
      <w:r w:rsidRPr="00302ADA">
        <w:rPr>
          <w:rFonts w:ascii="Arial" w:eastAsia="Calibri" w:hAnsi="Arial" w:cs="Arial"/>
          <w:sz w:val="24"/>
          <w:szCs w:val="24"/>
        </w:rPr>
        <w:t>ed</w:t>
      </w:r>
      <w:proofErr w:type="spellEnd"/>
      <w:proofErr w:type="gramEnd"/>
      <w:r w:rsidRPr="00302ADA">
        <w:rPr>
          <w:rFonts w:ascii="Arial" w:eastAsia="Calibri" w:hAnsi="Arial" w:cs="Arial"/>
          <w:sz w:val="24"/>
          <w:szCs w:val="24"/>
        </w:rPr>
        <w:t xml:space="preserve">) (2005) </w:t>
      </w:r>
      <w:r w:rsidRPr="00302ADA">
        <w:rPr>
          <w:rFonts w:ascii="Arial" w:eastAsia="Calibri" w:hAnsi="Arial" w:cs="Arial"/>
          <w:i/>
          <w:sz w:val="24"/>
          <w:szCs w:val="24"/>
        </w:rPr>
        <w:t xml:space="preserve">Professional Values and Practice: Meeting the Standards. </w:t>
      </w:r>
      <w:r w:rsidRPr="00302ADA">
        <w:rPr>
          <w:rFonts w:ascii="Arial" w:eastAsia="Calibri" w:hAnsi="Arial" w:cs="Arial"/>
          <w:sz w:val="24"/>
          <w:szCs w:val="24"/>
        </w:rPr>
        <w:t>(3</w:t>
      </w:r>
      <w:r w:rsidRPr="00302ADA">
        <w:rPr>
          <w:rFonts w:ascii="Arial" w:eastAsia="Calibri" w:hAnsi="Arial" w:cs="Arial"/>
          <w:sz w:val="24"/>
          <w:szCs w:val="24"/>
          <w:vertAlign w:val="superscript"/>
        </w:rPr>
        <w:t>rd</w:t>
      </w:r>
      <w:r w:rsidRPr="00302ADA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proofErr w:type="gramStart"/>
      <w:r w:rsidRPr="00302ADA">
        <w:rPr>
          <w:rFonts w:ascii="Arial" w:eastAsia="Calibri" w:hAnsi="Arial" w:cs="Arial"/>
          <w:sz w:val="24"/>
          <w:szCs w:val="24"/>
        </w:rPr>
        <w:t>ed</w:t>
      </w:r>
      <w:proofErr w:type="spellEnd"/>
      <w:proofErr w:type="gramEnd"/>
      <w:r w:rsidRPr="00302ADA">
        <w:rPr>
          <w:rFonts w:ascii="Arial" w:eastAsia="Calibri" w:hAnsi="Arial" w:cs="Arial"/>
          <w:sz w:val="24"/>
          <w:szCs w:val="24"/>
        </w:rPr>
        <w:t>) London: David Fulton Publishers.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302ADA">
        <w:rPr>
          <w:rFonts w:ascii="Arial" w:eastAsia="Calibri" w:hAnsi="Arial" w:cs="Arial"/>
          <w:sz w:val="24"/>
          <w:szCs w:val="24"/>
        </w:rPr>
        <w:t xml:space="preserve">Dewar, B. A., Servos, J. E., </w:t>
      </w:r>
      <w:proofErr w:type="spellStart"/>
      <w:r w:rsidRPr="00302ADA">
        <w:rPr>
          <w:rFonts w:ascii="Arial" w:eastAsia="Calibri" w:hAnsi="Arial" w:cs="Arial"/>
          <w:sz w:val="24"/>
          <w:szCs w:val="24"/>
        </w:rPr>
        <w:t>Bosacki</w:t>
      </w:r>
      <w:proofErr w:type="spellEnd"/>
      <w:r w:rsidRPr="00302ADA">
        <w:rPr>
          <w:rFonts w:ascii="Arial" w:eastAsia="Calibri" w:hAnsi="Arial" w:cs="Arial"/>
          <w:sz w:val="24"/>
          <w:szCs w:val="24"/>
        </w:rPr>
        <w:t xml:space="preserve">, S. L. and </w:t>
      </w:r>
      <w:proofErr w:type="spellStart"/>
      <w:r w:rsidRPr="00302ADA">
        <w:rPr>
          <w:rFonts w:ascii="Arial" w:eastAsia="Calibri" w:hAnsi="Arial" w:cs="Arial"/>
          <w:sz w:val="24"/>
          <w:szCs w:val="24"/>
        </w:rPr>
        <w:t>Coplan</w:t>
      </w:r>
      <w:proofErr w:type="spellEnd"/>
      <w:r w:rsidRPr="00302ADA">
        <w:rPr>
          <w:rFonts w:ascii="Arial" w:eastAsia="Calibri" w:hAnsi="Arial" w:cs="Arial"/>
          <w:sz w:val="24"/>
          <w:szCs w:val="24"/>
        </w:rPr>
        <w:t xml:space="preserve">, R. (2013) ‘Early childhood educators’ reflections on teaching practices: the role of gender and culture’, </w:t>
      </w:r>
      <w:r w:rsidRPr="00302ADA">
        <w:rPr>
          <w:rFonts w:ascii="Arial" w:eastAsia="Calibri" w:hAnsi="Arial" w:cs="Arial"/>
          <w:i/>
          <w:sz w:val="24"/>
          <w:szCs w:val="24"/>
        </w:rPr>
        <w:t>Reflective Practice: International and Multidisciplinary Perspectives,</w:t>
      </w:r>
      <w:r w:rsidRPr="00302ADA">
        <w:rPr>
          <w:rFonts w:ascii="Arial" w:eastAsia="Calibri" w:hAnsi="Arial" w:cs="Arial"/>
          <w:sz w:val="24"/>
          <w:szCs w:val="24"/>
        </w:rPr>
        <w:t xml:space="preserve"> Volume 14, Issue 3, February [Online]. </w:t>
      </w:r>
      <w:hyperlink r:id="rId8" w:history="1">
        <w:r w:rsidRPr="00302ADA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https://www.tandfonline.com/doi/abs/10.1080/14623943.2013.767234?src=recsys&amp;journalCode=crep20</w:t>
        </w:r>
      </w:hyperlink>
      <w:r w:rsidRPr="00302ADA">
        <w:rPr>
          <w:rFonts w:ascii="Arial" w:eastAsia="Calibri" w:hAnsi="Arial" w:cs="Arial"/>
          <w:sz w:val="24"/>
          <w:szCs w:val="24"/>
        </w:rPr>
        <w:t xml:space="preserve"> [Accessed: 17</w:t>
      </w:r>
      <w:r w:rsidRPr="00302ADA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302ADA">
        <w:rPr>
          <w:rFonts w:ascii="Arial" w:eastAsia="Calibri" w:hAnsi="Arial" w:cs="Arial"/>
          <w:sz w:val="24"/>
          <w:szCs w:val="24"/>
        </w:rPr>
        <w:t xml:space="preserve"> April 2018].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302ADA">
        <w:rPr>
          <w:rFonts w:ascii="Arial" w:eastAsia="Calibri" w:hAnsi="Arial" w:cs="Arial"/>
          <w:sz w:val="24"/>
          <w:szCs w:val="24"/>
        </w:rPr>
        <w:t xml:space="preserve">Du Plessis, E. and Marais, P. (2015) ‘Reflections on the NCS to NCS (CAPS): Foundation Phase teachers’ experiences’, </w:t>
      </w:r>
      <w:r w:rsidRPr="00302ADA">
        <w:rPr>
          <w:rFonts w:ascii="Arial" w:eastAsia="Calibri" w:hAnsi="Arial" w:cs="Arial"/>
          <w:i/>
          <w:sz w:val="24"/>
          <w:szCs w:val="24"/>
        </w:rPr>
        <w:t>The Independent Journal of Teaching and Learning,</w:t>
      </w:r>
      <w:r w:rsidRPr="00302ADA">
        <w:rPr>
          <w:rFonts w:ascii="Arial" w:eastAsia="Calibri" w:hAnsi="Arial" w:cs="Arial"/>
          <w:sz w:val="24"/>
          <w:szCs w:val="24"/>
        </w:rPr>
        <w:t xml:space="preserve"> Volume 10, pp. 114 – 126 [Online]. </w:t>
      </w:r>
      <w:hyperlink r:id="rId9" w:history="1">
        <w:r w:rsidRPr="00302ADA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http://librarycatalogue.uwtsd.ac.uk/primo_library/libweb/action/display.do?tabs=detail</w:t>
        </w:r>
        <w:r w:rsidRPr="00302ADA">
          <w:rPr>
            <w:rFonts w:ascii="Arial" w:eastAsia="Calibri" w:hAnsi="Arial" w:cs="Arial"/>
            <w:color w:val="0563C1"/>
            <w:sz w:val="24"/>
            <w:szCs w:val="24"/>
            <w:u w:val="single"/>
          </w:rPr>
          <w:lastRenderedPageBreak/>
          <w:t>sTab&amp;ct=display&amp;fn=search&amp;doc=TN_sabinet_newjitl1_v10_a8&amp;indx=6&amp;recIds=TN_sabinet_newjitl1_v10_a8&amp;recIdxs=5&amp;elementId=5&amp;renderMode=poppedOut&amp;displayMode=full&amp;frbrVersion=2&amp;vid=44WHELF_UWTSD_VU1&amp;institution=44WHELF_UWTSD&amp;query=&amp;dscnt=0&amp;scp.scps=scope%3A%2844WHELF_UWTSD%29%2C44WHELF_UWTSD_Ebsco%2Cprimo_central_multiple_fe&amp;vl(freeText0)=%20gibbs%20reflective%20model&amp;dstmp=1524042273490</w:t>
        </w:r>
      </w:hyperlink>
      <w:r w:rsidRPr="00302ADA">
        <w:rPr>
          <w:rFonts w:ascii="Arial" w:eastAsia="Calibri" w:hAnsi="Arial" w:cs="Arial"/>
          <w:sz w:val="24"/>
          <w:szCs w:val="24"/>
        </w:rPr>
        <w:t xml:space="preserve"> [Accessed: 18</w:t>
      </w:r>
      <w:r w:rsidRPr="00302ADA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302ADA">
        <w:rPr>
          <w:rFonts w:ascii="Arial" w:eastAsia="Calibri" w:hAnsi="Arial" w:cs="Arial"/>
          <w:sz w:val="24"/>
          <w:szCs w:val="24"/>
        </w:rPr>
        <w:t xml:space="preserve"> April 2018].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302ADA">
        <w:rPr>
          <w:rFonts w:ascii="Arial" w:eastAsia="Calibri" w:hAnsi="Arial" w:cs="Arial"/>
          <w:sz w:val="24"/>
          <w:szCs w:val="24"/>
        </w:rPr>
        <w:t xml:space="preserve">Envy, R. and Walters, R. (2013) </w:t>
      </w:r>
      <w:r w:rsidRPr="00302ADA">
        <w:rPr>
          <w:rFonts w:ascii="Arial" w:eastAsia="Calibri" w:hAnsi="Arial" w:cs="Arial"/>
          <w:i/>
          <w:sz w:val="24"/>
          <w:szCs w:val="24"/>
        </w:rPr>
        <w:t>Becoming a Practitioner in the Early Years.</w:t>
      </w:r>
      <w:r w:rsidRPr="00302ADA">
        <w:rPr>
          <w:rFonts w:ascii="Arial" w:eastAsia="Calibri" w:hAnsi="Arial" w:cs="Arial"/>
          <w:sz w:val="24"/>
          <w:szCs w:val="24"/>
        </w:rPr>
        <w:t xml:space="preserve"> London: SAGE.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302ADA">
        <w:rPr>
          <w:rFonts w:ascii="Arial" w:eastAsia="Calibri" w:hAnsi="Arial" w:cs="Arial"/>
          <w:sz w:val="24"/>
          <w:szCs w:val="24"/>
        </w:rPr>
        <w:t>Fook</w:t>
      </w:r>
      <w:proofErr w:type="spellEnd"/>
      <w:r w:rsidRPr="00302ADA">
        <w:rPr>
          <w:rFonts w:ascii="Arial" w:eastAsia="Calibri" w:hAnsi="Arial" w:cs="Arial"/>
          <w:sz w:val="24"/>
          <w:szCs w:val="24"/>
        </w:rPr>
        <w:t xml:space="preserve">, J. and </w:t>
      </w:r>
      <w:proofErr w:type="spellStart"/>
      <w:r w:rsidRPr="00302ADA">
        <w:rPr>
          <w:rFonts w:ascii="Arial" w:eastAsia="Calibri" w:hAnsi="Arial" w:cs="Arial"/>
          <w:sz w:val="24"/>
          <w:szCs w:val="24"/>
        </w:rPr>
        <w:t>Askeland</w:t>
      </w:r>
      <w:proofErr w:type="spellEnd"/>
      <w:r w:rsidRPr="00302ADA">
        <w:rPr>
          <w:rFonts w:ascii="Arial" w:eastAsia="Calibri" w:hAnsi="Arial" w:cs="Arial"/>
          <w:sz w:val="24"/>
          <w:szCs w:val="24"/>
        </w:rPr>
        <w:t xml:space="preserve">, G. A. (2007) ‘Challenges of Critical Thinking: ‘Nothing Ventured, Nothing Gained’’ </w:t>
      </w:r>
      <w:hyperlink r:id="rId10" w:history="1">
        <w:r w:rsidRPr="00302ADA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http://www.mheducation.co.uk/media/wysiwyg/openup/fookandgardner/resources/6.pdf</w:t>
        </w:r>
      </w:hyperlink>
      <w:r w:rsidRPr="00302ADA">
        <w:rPr>
          <w:rFonts w:ascii="Arial" w:eastAsia="Calibri" w:hAnsi="Arial" w:cs="Arial"/>
          <w:sz w:val="24"/>
          <w:szCs w:val="24"/>
        </w:rPr>
        <w:t xml:space="preserve"> [Accessed: 21</w:t>
      </w:r>
      <w:r w:rsidRPr="00302ADA">
        <w:rPr>
          <w:rFonts w:ascii="Arial" w:eastAsia="Calibri" w:hAnsi="Arial" w:cs="Arial"/>
          <w:sz w:val="24"/>
          <w:szCs w:val="24"/>
          <w:vertAlign w:val="superscript"/>
        </w:rPr>
        <w:t>st</w:t>
      </w:r>
      <w:r w:rsidRPr="00302ADA">
        <w:rPr>
          <w:rFonts w:ascii="Arial" w:eastAsia="Calibri" w:hAnsi="Arial" w:cs="Arial"/>
          <w:sz w:val="24"/>
          <w:szCs w:val="24"/>
        </w:rPr>
        <w:t xml:space="preserve"> October 2017].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302ADA">
        <w:rPr>
          <w:rFonts w:ascii="Arial" w:eastAsia="Calibri" w:hAnsi="Arial" w:cs="Arial"/>
          <w:sz w:val="24"/>
          <w:szCs w:val="24"/>
        </w:rPr>
        <w:t xml:space="preserve">Hobart, C. and Frankel, J. (2003) </w:t>
      </w:r>
      <w:r w:rsidRPr="00302ADA">
        <w:rPr>
          <w:rFonts w:ascii="Arial" w:eastAsia="Calibri" w:hAnsi="Arial" w:cs="Arial"/>
          <w:i/>
          <w:sz w:val="24"/>
          <w:szCs w:val="24"/>
        </w:rPr>
        <w:t xml:space="preserve">A Practical Guide to Working with Parents. </w:t>
      </w:r>
      <w:r w:rsidRPr="00302ADA">
        <w:rPr>
          <w:rFonts w:ascii="Arial" w:eastAsia="Calibri" w:hAnsi="Arial" w:cs="Arial"/>
          <w:sz w:val="24"/>
          <w:szCs w:val="24"/>
        </w:rPr>
        <w:t xml:space="preserve">Cheltenham: Nelson </w:t>
      </w:r>
      <w:proofErr w:type="spellStart"/>
      <w:r w:rsidRPr="00302ADA">
        <w:rPr>
          <w:rFonts w:ascii="Arial" w:eastAsia="Calibri" w:hAnsi="Arial" w:cs="Arial"/>
          <w:sz w:val="24"/>
          <w:szCs w:val="24"/>
        </w:rPr>
        <w:t>Thornes</w:t>
      </w:r>
      <w:proofErr w:type="spellEnd"/>
      <w:r w:rsidRPr="00302ADA">
        <w:rPr>
          <w:rFonts w:ascii="Arial" w:eastAsia="Calibri" w:hAnsi="Arial" w:cs="Arial"/>
          <w:sz w:val="24"/>
          <w:szCs w:val="24"/>
        </w:rPr>
        <w:t>.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302ADA">
        <w:rPr>
          <w:rFonts w:ascii="Arial" w:eastAsia="Calibri" w:hAnsi="Arial" w:cs="Arial"/>
          <w:sz w:val="24"/>
          <w:szCs w:val="24"/>
        </w:rPr>
        <w:t>Husebo</w:t>
      </w:r>
      <w:proofErr w:type="spellEnd"/>
      <w:r w:rsidRPr="00302ADA">
        <w:rPr>
          <w:rFonts w:ascii="Arial" w:eastAsia="Calibri" w:hAnsi="Arial" w:cs="Arial"/>
          <w:sz w:val="24"/>
          <w:szCs w:val="24"/>
        </w:rPr>
        <w:t xml:space="preserve">, S. E., </w:t>
      </w:r>
      <w:proofErr w:type="spellStart"/>
      <w:r w:rsidRPr="00302ADA">
        <w:rPr>
          <w:rFonts w:ascii="Arial" w:eastAsia="Calibri" w:hAnsi="Arial" w:cs="Arial"/>
          <w:sz w:val="24"/>
          <w:szCs w:val="24"/>
        </w:rPr>
        <w:t>O’Regan</w:t>
      </w:r>
      <w:proofErr w:type="spellEnd"/>
      <w:r w:rsidRPr="00302ADA">
        <w:rPr>
          <w:rFonts w:ascii="Arial" w:eastAsia="Calibri" w:hAnsi="Arial" w:cs="Arial"/>
          <w:sz w:val="24"/>
          <w:szCs w:val="24"/>
        </w:rPr>
        <w:t xml:space="preserve">, S. and </w:t>
      </w:r>
      <w:proofErr w:type="spellStart"/>
      <w:r w:rsidRPr="00302ADA">
        <w:rPr>
          <w:rFonts w:ascii="Arial" w:eastAsia="Calibri" w:hAnsi="Arial" w:cs="Arial"/>
          <w:sz w:val="24"/>
          <w:szCs w:val="24"/>
        </w:rPr>
        <w:t>Nestel</w:t>
      </w:r>
      <w:proofErr w:type="spellEnd"/>
      <w:r w:rsidRPr="00302ADA">
        <w:rPr>
          <w:rFonts w:ascii="Arial" w:eastAsia="Calibri" w:hAnsi="Arial" w:cs="Arial"/>
          <w:sz w:val="24"/>
          <w:szCs w:val="24"/>
        </w:rPr>
        <w:t xml:space="preserve">, D. (2015) ‘Reflective Practice and Its Role in Simulation’, </w:t>
      </w:r>
      <w:r w:rsidRPr="00302ADA">
        <w:rPr>
          <w:rFonts w:ascii="Arial" w:eastAsia="Calibri" w:hAnsi="Arial" w:cs="Arial"/>
          <w:i/>
          <w:sz w:val="24"/>
          <w:szCs w:val="24"/>
        </w:rPr>
        <w:t>Clinical Simulation in Nursing,</w:t>
      </w:r>
      <w:r w:rsidRPr="00302ADA">
        <w:rPr>
          <w:rFonts w:ascii="Arial" w:eastAsia="Calibri" w:hAnsi="Arial" w:cs="Arial"/>
          <w:sz w:val="24"/>
          <w:szCs w:val="24"/>
        </w:rPr>
        <w:t xml:space="preserve"> Volume 11, Issue 8, August, pp. 368 – 375 [Online]. </w:t>
      </w:r>
      <w:hyperlink r:id="rId11" w:history="1">
        <w:r w:rsidRPr="00302ADA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https://www-sciencedirect-com.ezproxy.uwtsd.ac.uk/science/article/pii/S1876139915000389</w:t>
        </w:r>
      </w:hyperlink>
      <w:r w:rsidRPr="00302ADA">
        <w:rPr>
          <w:rFonts w:ascii="Arial" w:eastAsia="Calibri" w:hAnsi="Arial" w:cs="Arial"/>
          <w:sz w:val="24"/>
          <w:szCs w:val="24"/>
        </w:rPr>
        <w:t xml:space="preserve"> [Accessed: 18</w:t>
      </w:r>
      <w:r w:rsidRPr="00302ADA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302ADA">
        <w:rPr>
          <w:rFonts w:ascii="Arial" w:eastAsia="Calibri" w:hAnsi="Arial" w:cs="Arial"/>
          <w:sz w:val="24"/>
          <w:szCs w:val="24"/>
        </w:rPr>
        <w:t xml:space="preserve"> April 2018].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302ADA">
        <w:rPr>
          <w:rFonts w:ascii="Arial" w:eastAsia="Calibri" w:hAnsi="Arial" w:cs="Arial"/>
          <w:sz w:val="24"/>
          <w:szCs w:val="24"/>
        </w:rPr>
        <w:t>Kay, J. (</w:t>
      </w:r>
      <w:proofErr w:type="spellStart"/>
      <w:proofErr w:type="gramStart"/>
      <w:r w:rsidRPr="00302ADA">
        <w:rPr>
          <w:rFonts w:ascii="Arial" w:eastAsia="Calibri" w:hAnsi="Arial" w:cs="Arial"/>
          <w:sz w:val="24"/>
          <w:szCs w:val="24"/>
        </w:rPr>
        <w:t>ed</w:t>
      </w:r>
      <w:proofErr w:type="spellEnd"/>
      <w:proofErr w:type="gramEnd"/>
      <w:r w:rsidRPr="00302ADA">
        <w:rPr>
          <w:rFonts w:ascii="Arial" w:eastAsia="Calibri" w:hAnsi="Arial" w:cs="Arial"/>
          <w:sz w:val="24"/>
          <w:szCs w:val="24"/>
        </w:rPr>
        <w:t xml:space="preserve">) (2012) </w:t>
      </w:r>
      <w:r w:rsidRPr="00302ADA">
        <w:rPr>
          <w:rFonts w:ascii="Arial" w:eastAsia="Calibri" w:hAnsi="Arial" w:cs="Arial"/>
          <w:i/>
          <w:sz w:val="24"/>
          <w:szCs w:val="24"/>
        </w:rPr>
        <w:t>Good Practice in the Early Years.</w:t>
      </w:r>
      <w:r w:rsidRPr="00302ADA">
        <w:rPr>
          <w:rFonts w:ascii="Arial" w:eastAsia="Calibri" w:hAnsi="Arial" w:cs="Arial"/>
          <w:sz w:val="24"/>
          <w:szCs w:val="24"/>
        </w:rPr>
        <w:t xml:space="preserve"> (3</w:t>
      </w:r>
      <w:r w:rsidRPr="00302ADA">
        <w:rPr>
          <w:rFonts w:ascii="Arial" w:eastAsia="Calibri" w:hAnsi="Arial" w:cs="Arial"/>
          <w:sz w:val="24"/>
          <w:szCs w:val="24"/>
          <w:vertAlign w:val="superscript"/>
        </w:rPr>
        <w:t>rd</w:t>
      </w:r>
      <w:r w:rsidRPr="00302ADA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proofErr w:type="gramStart"/>
      <w:r w:rsidRPr="00302ADA">
        <w:rPr>
          <w:rFonts w:ascii="Arial" w:eastAsia="Calibri" w:hAnsi="Arial" w:cs="Arial"/>
          <w:sz w:val="24"/>
          <w:szCs w:val="24"/>
        </w:rPr>
        <w:t>ed</w:t>
      </w:r>
      <w:proofErr w:type="spellEnd"/>
      <w:proofErr w:type="gramEnd"/>
      <w:r w:rsidRPr="00302ADA">
        <w:rPr>
          <w:rFonts w:ascii="Arial" w:eastAsia="Calibri" w:hAnsi="Arial" w:cs="Arial"/>
          <w:sz w:val="24"/>
          <w:szCs w:val="24"/>
        </w:rPr>
        <w:t>) London: Continuum.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302ADA">
        <w:rPr>
          <w:rFonts w:ascii="Arial" w:eastAsia="Calibri" w:hAnsi="Arial" w:cs="Arial"/>
          <w:sz w:val="24"/>
          <w:szCs w:val="24"/>
        </w:rPr>
        <w:t xml:space="preserve">King’s College London. (2016) ‘Using Gibbs’ Reflective Cycle’ </w:t>
      </w:r>
      <w:hyperlink r:id="rId12" w:history="1">
        <w:r w:rsidRPr="00302ADA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https://www.kcl.ac.uk/campuslife/services/disability/onlineresources/StudyGuides/USING-GIBBS-REFLECTIVE-CYCLE-IN-COURSEWORK-DEC-2016-P-LIA.pdf</w:t>
        </w:r>
      </w:hyperlink>
      <w:r w:rsidRPr="00302ADA">
        <w:rPr>
          <w:rFonts w:ascii="Arial" w:eastAsia="Calibri" w:hAnsi="Arial" w:cs="Arial"/>
          <w:sz w:val="24"/>
          <w:szCs w:val="24"/>
        </w:rPr>
        <w:t xml:space="preserve"> [Accessed: 18</w:t>
      </w:r>
      <w:r w:rsidRPr="00302ADA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302ADA">
        <w:rPr>
          <w:rFonts w:ascii="Arial" w:eastAsia="Calibri" w:hAnsi="Arial" w:cs="Arial"/>
          <w:sz w:val="24"/>
          <w:szCs w:val="24"/>
        </w:rPr>
        <w:t xml:space="preserve"> April 2018].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302ADA">
        <w:rPr>
          <w:rFonts w:ascii="Arial" w:eastAsia="Calibri" w:hAnsi="Arial" w:cs="Arial"/>
          <w:sz w:val="24"/>
          <w:szCs w:val="24"/>
        </w:rPr>
        <w:t>Marbina</w:t>
      </w:r>
      <w:proofErr w:type="spellEnd"/>
      <w:r w:rsidRPr="00302ADA">
        <w:rPr>
          <w:rFonts w:ascii="Arial" w:eastAsia="Calibri" w:hAnsi="Arial" w:cs="Arial"/>
          <w:sz w:val="24"/>
          <w:szCs w:val="24"/>
        </w:rPr>
        <w:t xml:space="preserve">, L., Church, A. and Tayler, C. (2010) ‘Reflective Practice’ </w:t>
      </w:r>
      <w:hyperlink r:id="rId13" w:history="1">
        <w:r w:rsidRPr="00302ADA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http://www.education.vic.gov.au/Documents/childhood/providers/edcare/evidpaperreflective.docx</w:t>
        </w:r>
      </w:hyperlink>
      <w:r w:rsidRPr="00302ADA">
        <w:rPr>
          <w:rFonts w:ascii="Arial" w:eastAsia="Calibri" w:hAnsi="Arial" w:cs="Arial"/>
          <w:sz w:val="24"/>
          <w:szCs w:val="24"/>
        </w:rPr>
        <w:t xml:space="preserve"> [Accessed: 16</w:t>
      </w:r>
      <w:r w:rsidRPr="00302ADA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302ADA">
        <w:rPr>
          <w:rFonts w:ascii="Arial" w:eastAsia="Calibri" w:hAnsi="Arial" w:cs="Arial"/>
          <w:sz w:val="24"/>
          <w:szCs w:val="24"/>
        </w:rPr>
        <w:t xml:space="preserve"> April 2018].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302ADA">
        <w:rPr>
          <w:rFonts w:ascii="Arial" w:eastAsia="Calibri" w:hAnsi="Arial" w:cs="Arial"/>
          <w:sz w:val="24"/>
          <w:szCs w:val="24"/>
        </w:rPr>
        <w:t xml:space="preserve">Nottingham University. (No date) ‘Models (Or Frameworks) of Reflection’ </w:t>
      </w:r>
      <w:hyperlink r:id="rId14" w:history="1">
        <w:r w:rsidRPr="00302ADA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http://www.nottingham.ac.uk/nmp/sonet/rlos/placs/critical_reflection/models/index.html</w:t>
        </w:r>
      </w:hyperlink>
      <w:r w:rsidRPr="00302ADA">
        <w:rPr>
          <w:rFonts w:ascii="Arial" w:eastAsia="Calibri" w:hAnsi="Arial" w:cs="Arial"/>
          <w:sz w:val="24"/>
          <w:szCs w:val="24"/>
        </w:rPr>
        <w:t xml:space="preserve"> [Accessed: 20</w:t>
      </w:r>
      <w:r w:rsidRPr="00302ADA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302ADA">
        <w:rPr>
          <w:rFonts w:ascii="Arial" w:eastAsia="Calibri" w:hAnsi="Arial" w:cs="Arial"/>
          <w:sz w:val="24"/>
          <w:szCs w:val="24"/>
        </w:rPr>
        <w:t xml:space="preserve"> October 2017].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302ADA">
        <w:rPr>
          <w:rFonts w:ascii="Arial" w:eastAsia="Calibri" w:hAnsi="Arial" w:cs="Arial"/>
          <w:sz w:val="24"/>
          <w:szCs w:val="24"/>
        </w:rPr>
        <w:lastRenderedPageBreak/>
        <w:t xml:space="preserve">Oxford Brookes University. (2017) ‘Reflective Writing: About Gibbs Reflective Cycle’ </w:t>
      </w:r>
      <w:hyperlink r:id="rId15" w:history="1">
        <w:r w:rsidRPr="00302ADA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https://www.brookes.ac.uk/students/upgrade/study-skills/reflective-writing-gibbs/</w:t>
        </w:r>
      </w:hyperlink>
      <w:r w:rsidRPr="00302ADA">
        <w:rPr>
          <w:rFonts w:ascii="Arial" w:eastAsia="Calibri" w:hAnsi="Arial" w:cs="Arial"/>
          <w:sz w:val="24"/>
          <w:szCs w:val="24"/>
        </w:rPr>
        <w:t xml:space="preserve"> [Accessed: 21</w:t>
      </w:r>
      <w:r w:rsidRPr="00302ADA">
        <w:rPr>
          <w:rFonts w:ascii="Arial" w:eastAsia="Calibri" w:hAnsi="Arial" w:cs="Arial"/>
          <w:sz w:val="24"/>
          <w:szCs w:val="24"/>
          <w:vertAlign w:val="superscript"/>
        </w:rPr>
        <w:t>st</w:t>
      </w:r>
      <w:r w:rsidRPr="00302ADA">
        <w:rPr>
          <w:rFonts w:ascii="Arial" w:eastAsia="Calibri" w:hAnsi="Arial" w:cs="Arial"/>
          <w:sz w:val="24"/>
          <w:szCs w:val="24"/>
        </w:rPr>
        <w:t xml:space="preserve"> October 2017].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302ADA">
        <w:rPr>
          <w:rFonts w:ascii="Arial" w:eastAsia="Calibri" w:hAnsi="Arial" w:cs="Arial"/>
          <w:sz w:val="24"/>
          <w:szCs w:val="24"/>
        </w:rPr>
        <w:t xml:space="preserve">Paterson, C. and Chapman, J. (2013) ‘Enhancing skills of critical reflection to evidence learning in professional practice’, </w:t>
      </w:r>
      <w:r w:rsidRPr="00302ADA">
        <w:rPr>
          <w:rFonts w:ascii="Arial" w:eastAsia="Calibri" w:hAnsi="Arial" w:cs="Arial"/>
          <w:i/>
          <w:sz w:val="24"/>
          <w:szCs w:val="24"/>
        </w:rPr>
        <w:t xml:space="preserve">Physical Therapy in Sport, </w:t>
      </w:r>
      <w:r w:rsidRPr="00302ADA">
        <w:rPr>
          <w:rFonts w:ascii="Arial" w:eastAsia="Calibri" w:hAnsi="Arial" w:cs="Arial"/>
          <w:sz w:val="24"/>
          <w:szCs w:val="24"/>
        </w:rPr>
        <w:t xml:space="preserve">Volume 14, Issue 3, August, pp. 133 – 138 [Online]. </w:t>
      </w:r>
      <w:hyperlink r:id="rId16" w:history="1">
        <w:r w:rsidRPr="00302ADA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https://www-sciencedirect-com.ezproxy.uwtsd.ac.uk/science/article/pii/S1466853X13000163</w:t>
        </w:r>
      </w:hyperlink>
      <w:r w:rsidRPr="00302ADA">
        <w:rPr>
          <w:rFonts w:ascii="Arial" w:eastAsia="Calibri" w:hAnsi="Arial" w:cs="Arial"/>
          <w:sz w:val="24"/>
          <w:szCs w:val="24"/>
        </w:rPr>
        <w:t xml:space="preserve"> [Accessed: 18</w:t>
      </w:r>
      <w:r w:rsidRPr="00302ADA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302ADA">
        <w:rPr>
          <w:rFonts w:ascii="Arial" w:eastAsia="Calibri" w:hAnsi="Arial" w:cs="Arial"/>
          <w:sz w:val="24"/>
          <w:szCs w:val="24"/>
        </w:rPr>
        <w:t xml:space="preserve"> April 2018].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302ADA">
        <w:rPr>
          <w:rFonts w:ascii="Arial" w:eastAsia="Calibri" w:hAnsi="Arial" w:cs="Arial"/>
          <w:sz w:val="24"/>
          <w:szCs w:val="24"/>
        </w:rPr>
        <w:t>Sethares</w:t>
      </w:r>
      <w:proofErr w:type="spellEnd"/>
      <w:r w:rsidRPr="00302ADA">
        <w:rPr>
          <w:rFonts w:ascii="Arial" w:eastAsia="Calibri" w:hAnsi="Arial" w:cs="Arial"/>
          <w:sz w:val="24"/>
          <w:szCs w:val="24"/>
        </w:rPr>
        <w:t xml:space="preserve">, K. A. and </w:t>
      </w:r>
      <w:proofErr w:type="spellStart"/>
      <w:r w:rsidRPr="00302ADA">
        <w:rPr>
          <w:rFonts w:ascii="Arial" w:eastAsia="Calibri" w:hAnsi="Arial" w:cs="Arial"/>
          <w:sz w:val="24"/>
          <w:szCs w:val="24"/>
        </w:rPr>
        <w:t>Asselin</w:t>
      </w:r>
      <w:proofErr w:type="spellEnd"/>
      <w:r w:rsidRPr="00302ADA">
        <w:rPr>
          <w:rFonts w:ascii="Arial" w:eastAsia="Calibri" w:hAnsi="Arial" w:cs="Arial"/>
          <w:sz w:val="24"/>
          <w:szCs w:val="24"/>
        </w:rPr>
        <w:t xml:space="preserve">, M. E. (2017) ‘The effect of guided reflection on heart failure self-care maintenance and management: A mixed methods study’, </w:t>
      </w:r>
      <w:r w:rsidRPr="00302ADA">
        <w:rPr>
          <w:rFonts w:ascii="Arial" w:eastAsia="Calibri" w:hAnsi="Arial" w:cs="Arial"/>
          <w:i/>
          <w:sz w:val="24"/>
          <w:szCs w:val="24"/>
        </w:rPr>
        <w:t xml:space="preserve">Heart and Lung: The Journal of Acute and Critical Care, </w:t>
      </w:r>
      <w:r w:rsidRPr="00302ADA">
        <w:rPr>
          <w:rFonts w:ascii="Arial" w:eastAsia="Calibri" w:hAnsi="Arial" w:cs="Arial"/>
          <w:sz w:val="24"/>
          <w:szCs w:val="24"/>
        </w:rPr>
        <w:t xml:space="preserve">Volume 46, Issue 3, May-June, pp. 192 – 198 [Online]. </w:t>
      </w:r>
      <w:hyperlink r:id="rId17" w:history="1">
        <w:r w:rsidRPr="00302ADA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https://www-sciencedirect-com.ezproxy.uwtsd.ac.uk/science/article/pii/S0147956317301036</w:t>
        </w:r>
      </w:hyperlink>
      <w:r w:rsidRPr="00302ADA">
        <w:rPr>
          <w:rFonts w:ascii="Arial" w:eastAsia="Calibri" w:hAnsi="Arial" w:cs="Arial"/>
          <w:sz w:val="24"/>
          <w:szCs w:val="24"/>
        </w:rPr>
        <w:t xml:space="preserve"> [Accessed: 18</w:t>
      </w:r>
      <w:r w:rsidRPr="00302ADA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302ADA">
        <w:rPr>
          <w:rFonts w:ascii="Arial" w:eastAsia="Calibri" w:hAnsi="Arial" w:cs="Arial"/>
          <w:sz w:val="24"/>
          <w:szCs w:val="24"/>
        </w:rPr>
        <w:t xml:space="preserve"> April 2018]. 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302ADA">
        <w:rPr>
          <w:rFonts w:ascii="Arial" w:eastAsia="Calibri" w:hAnsi="Arial" w:cs="Arial"/>
          <w:sz w:val="24"/>
          <w:szCs w:val="24"/>
        </w:rPr>
        <w:t xml:space="preserve">Sewell, C. (2017) ‘Reflective Practice Workshop’ </w:t>
      </w:r>
      <w:hyperlink r:id="rId18" w:history="1">
        <w:r w:rsidRPr="00302ADA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https://www.repository.cam.ac.uk/bitstream/handle/1810/265159/MEM_ReflectivePracticeHandout_V4_20170616.pdf?sequence=1</w:t>
        </w:r>
      </w:hyperlink>
      <w:r w:rsidRPr="00302ADA">
        <w:rPr>
          <w:rFonts w:ascii="Arial" w:eastAsia="Calibri" w:hAnsi="Arial" w:cs="Arial"/>
          <w:sz w:val="24"/>
          <w:szCs w:val="24"/>
        </w:rPr>
        <w:t xml:space="preserve"> [Accessed: 18</w:t>
      </w:r>
      <w:r w:rsidRPr="00302ADA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302ADA">
        <w:rPr>
          <w:rFonts w:ascii="Arial" w:eastAsia="Calibri" w:hAnsi="Arial" w:cs="Arial"/>
          <w:sz w:val="24"/>
          <w:szCs w:val="24"/>
        </w:rPr>
        <w:t xml:space="preserve"> April 2018].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302ADA">
        <w:rPr>
          <w:rFonts w:ascii="Arial" w:eastAsia="Calibri" w:hAnsi="Arial" w:cs="Arial"/>
          <w:sz w:val="24"/>
          <w:szCs w:val="24"/>
        </w:rPr>
        <w:t xml:space="preserve">The Open University. (No date) ‘Gibbs Reflective Cycle’ </w:t>
      </w:r>
      <w:hyperlink r:id="rId19" w:history="1">
        <w:r w:rsidRPr="00302ADA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http://www.open.edu/openlearn/education/learning-teach-becoming-reflective-practitioner/content-section-6.2</w:t>
        </w:r>
      </w:hyperlink>
      <w:r w:rsidRPr="00302ADA">
        <w:rPr>
          <w:rFonts w:ascii="Arial" w:eastAsia="Calibri" w:hAnsi="Arial" w:cs="Arial"/>
          <w:sz w:val="24"/>
          <w:szCs w:val="24"/>
        </w:rPr>
        <w:t xml:space="preserve"> [Accessed: 18</w:t>
      </w:r>
      <w:r w:rsidRPr="00302ADA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302ADA">
        <w:rPr>
          <w:rFonts w:ascii="Arial" w:eastAsia="Calibri" w:hAnsi="Arial" w:cs="Arial"/>
          <w:sz w:val="24"/>
          <w:szCs w:val="24"/>
        </w:rPr>
        <w:t xml:space="preserve"> April 2018].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302ADA">
        <w:rPr>
          <w:rFonts w:ascii="Arial" w:eastAsia="Calibri" w:hAnsi="Arial" w:cs="Arial"/>
          <w:sz w:val="24"/>
          <w:szCs w:val="24"/>
        </w:rPr>
        <w:t>Tsingos</w:t>
      </w:r>
      <w:proofErr w:type="spellEnd"/>
      <w:r w:rsidRPr="00302ADA">
        <w:rPr>
          <w:rFonts w:ascii="Arial" w:eastAsia="Calibri" w:hAnsi="Arial" w:cs="Arial"/>
          <w:sz w:val="24"/>
          <w:szCs w:val="24"/>
        </w:rPr>
        <w:t xml:space="preserve">, C., </w:t>
      </w:r>
      <w:proofErr w:type="spellStart"/>
      <w:r w:rsidRPr="00302ADA">
        <w:rPr>
          <w:rFonts w:ascii="Arial" w:eastAsia="Calibri" w:hAnsi="Arial" w:cs="Arial"/>
          <w:sz w:val="24"/>
          <w:szCs w:val="24"/>
        </w:rPr>
        <w:t>Bosnic-Anticevich</w:t>
      </w:r>
      <w:proofErr w:type="spellEnd"/>
      <w:r w:rsidRPr="00302ADA">
        <w:rPr>
          <w:rFonts w:ascii="Arial" w:eastAsia="Calibri" w:hAnsi="Arial" w:cs="Arial"/>
          <w:sz w:val="24"/>
          <w:szCs w:val="24"/>
        </w:rPr>
        <w:t xml:space="preserve">, S. and Smith, L. (2014) ‘Reflective Practice and Its Implications for Pharmacy Education’, </w:t>
      </w:r>
      <w:r w:rsidRPr="00302ADA">
        <w:rPr>
          <w:rFonts w:ascii="Arial" w:eastAsia="Calibri" w:hAnsi="Arial" w:cs="Arial"/>
          <w:i/>
          <w:sz w:val="24"/>
          <w:szCs w:val="24"/>
        </w:rPr>
        <w:t>American Journal of Pharmaceutical Education,</w:t>
      </w:r>
      <w:r w:rsidRPr="00302ADA">
        <w:rPr>
          <w:rFonts w:ascii="Arial" w:eastAsia="Calibri" w:hAnsi="Arial" w:cs="Arial"/>
          <w:sz w:val="24"/>
          <w:szCs w:val="24"/>
        </w:rPr>
        <w:t xml:space="preserve"> Volume 78, Issue 1, 2014. [On-line]. Available at: </w:t>
      </w:r>
      <w:hyperlink r:id="rId20" w:history="1">
        <w:r w:rsidRPr="00302ADA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http://www.ajpe.org/doi/full/10.5688/ajpe78118</w:t>
        </w:r>
      </w:hyperlink>
      <w:r w:rsidRPr="00302ADA">
        <w:rPr>
          <w:rFonts w:ascii="Arial" w:eastAsia="Calibri" w:hAnsi="Arial" w:cs="Arial"/>
          <w:sz w:val="24"/>
          <w:szCs w:val="24"/>
        </w:rPr>
        <w:t xml:space="preserve"> [Accessed: 21</w:t>
      </w:r>
      <w:r w:rsidRPr="00302ADA">
        <w:rPr>
          <w:rFonts w:ascii="Arial" w:eastAsia="Calibri" w:hAnsi="Arial" w:cs="Arial"/>
          <w:sz w:val="24"/>
          <w:szCs w:val="24"/>
          <w:vertAlign w:val="superscript"/>
        </w:rPr>
        <w:t>st</w:t>
      </w:r>
      <w:r w:rsidRPr="00302ADA">
        <w:rPr>
          <w:rFonts w:ascii="Arial" w:eastAsia="Calibri" w:hAnsi="Arial" w:cs="Arial"/>
          <w:sz w:val="24"/>
          <w:szCs w:val="24"/>
        </w:rPr>
        <w:t xml:space="preserve"> October 2017].</w:t>
      </w:r>
    </w:p>
    <w:p w:rsidR="00302ADA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302ADA">
        <w:rPr>
          <w:rFonts w:ascii="Arial" w:eastAsia="Calibri" w:hAnsi="Arial" w:cs="Arial"/>
          <w:sz w:val="24"/>
          <w:szCs w:val="24"/>
        </w:rPr>
        <w:t xml:space="preserve">University of Bradford. (No date) ‘Reflection Models and Frameworks’ </w:t>
      </w:r>
      <w:hyperlink r:id="rId21" w:history="1">
        <w:r w:rsidRPr="00302ADA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https://www.bradford.ac.uk/wimba-files/skill-space/Reflective_Writing_HTML/page_04.htm</w:t>
        </w:r>
      </w:hyperlink>
      <w:r w:rsidRPr="00302ADA">
        <w:rPr>
          <w:rFonts w:ascii="Arial" w:eastAsia="Calibri" w:hAnsi="Arial" w:cs="Arial"/>
          <w:sz w:val="24"/>
          <w:szCs w:val="24"/>
        </w:rPr>
        <w:t xml:space="preserve"> [Accessed: 20</w:t>
      </w:r>
      <w:r w:rsidRPr="00302ADA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302ADA">
        <w:rPr>
          <w:rFonts w:ascii="Arial" w:eastAsia="Calibri" w:hAnsi="Arial" w:cs="Arial"/>
          <w:sz w:val="24"/>
          <w:szCs w:val="24"/>
        </w:rPr>
        <w:t xml:space="preserve"> October 2017].</w:t>
      </w:r>
    </w:p>
    <w:p w:rsidR="00FD3341" w:rsidRPr="00302ADA" w:rsidRDefault="00302ADA" w:rsidP="00302AD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302ADA">
        <w:rPr>
          <w:rFonts w:ascii="Arial" w:eastAsia="Calibri" w:hAnsi="Arial" w:cs="Arial"/>
          <w:sz w:val="24"/>
          <w:szCs w:val="24"/>
        </w:rPr>
        <w:t xml:space="preserve">Virginia Commonwealth University. (2012) ‘The Importance of Critical Reflection’ </w:t>
      </w:r>
      <w:hyperlink r:id="rId22" w:history="1">
        <w:r w:rsidRPr="00302ADA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http://wp.vcu.edu/servicelearninginstitute/wp-content/uploads/sites/278/2011/10/Critical-Reflection-Handout-2012.pdf</w:t>
        </w:r>
      </w:hyperlink>
      <w:r w:rsidRPr="00302ADA">
        <w:rPr>
          <w:rFonts w:ascii="Arial" w:eastAsia="Calibri" w:hAnsi="Arial" w:cs="Arial"/>
          <w:sz w:val="24"/>
          <w:szCs w:val="24"/>
        </w:rPr>
        <w:t xml:space="preserve"> [Accessed: 21</w:t>
      </w:r>
      <w:r w:rsidRPr="00302ADA">
        <w:rPr>
          <w:rFonts w:ascii="Arial" w:eastAsia="Calibri" w:hAnsi="Arial" w:cs="Arial"/>
          <w:sz w:val="24"/>
          <w:szCs w:val="24"/>
          <w:vertAlign w:val="superscript"/>
        </w:rPr>
        <w:t>st</w:t>
      </w:r>
      <w:r w:rsidRPr="00302ADA">
        <w:rPr>
          <w:rFonts w:ascii="Arial" w:eastAsia="Calibri" w:hAnsi="Arial" w:cs="Arial"/>
          <w:sz w:val="24"/>
          <w:szCs w:val="24"/>
        </w:rPr>
        <w:t xml:space="preserve"> October 2017].</w:t>
      </w:r>
      <w:bookmarkStart w:id="0" w:name="_GoBack"/>
      <w:bookmarkEnd w:id="0"/>
    </w:p>
    <w:sectPr w:rsidR="00FD3341" w:rsidRPr="00302A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ADA"/>
    <w:rsid w:val="00302ADA"/>
    <w:rsid w:val="00FD3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65977E-3516-4256-8B25-E03B12356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andfonline.com/doi/abs/10.1080/14623943.2013.767234?src=recsys&amp;journalCode=crep20" TargetMode="External"/><Relationship Id="rId13" Type="http://schemas.openxmlformats.org/officeDocument/2006/relationships/hyperlink" Target="http://www.education.vic.gov.au/Documents/childhood/providers/edcare/evidpaperreflective.docx" TargetMode="External"/><Relationship Id="rId18" Type="http://schemas.openxmlformats.org/officeDocument/2006/relationships/hyperlink" Target="https://www.repository.cam.ac.uk/bitstream/handle/1810/265159/MEM_ReflectivePracticeHandout_V4_20170616.pdf?sequence=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bradford.ac.uk/wimba-files/skill-space/Reflective_Writing_HTML/page_04.htm" TargetMode="External"/><Relationship Id="rId7" Type="http://schemas.openxmlformats.org/officeDocument/2006/relationships/hyperlink" Target="http://journals.sagepub.com/doi/pdf/10.1177/0022487114552028" TargetMode="External"/><Relationship Id="rId12" Type="http://schemas.openxmlformats.org/officeDocument/2006/relationships/hyperlink" Target="https://www.kcl.ac.uk/campuslife/services/disability/onlineresources/StudyGuides/USING-GIBBS-REFLECTIVE-CYCLE-IN-COURSEWORK-DEC-2016-P-LIA.pdf" TargetMode="External"/><Relationship Id="rId17" Type="http://schemas.openxmlformats.org/officeDocument/2006/relationships/hyperlink" Target="https://www-sciencedirect-com.ezproxy.uwtsd.ac.uk/science/article/pii/S014795631730103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-sciencedirect-com.ezproxy.uwtsd.ac.uk/science/article/pii/S1466853X13000163" TargetMode="External"/><Relationship Id="rId20" Type="http://schemas.openxmlformats.org/officeDocument/2006/relationships/hyperlink" Target="http://www.ajpe.org/doi/full/10.5688/ajpe78118" TargetMode="External"/><Relationship Id="rId1" Type="http://schemas.openxmlformats.org/officeDocument/2006/relationships/styles" Target="styles.xml"/><Relationship Id="rId6" Type="http://schemas.openxmlformats.org/officeDocument/2006/relationships/hyperlink" Target="http://eprints.hud.ac.uk/id/eprint/19115/1/BishopUndergrad_guide-_final_version.pdf" TargetMode="External"/><Relationship Id="rId11" Type="http://schemas.openxmlformats.org/officeDocument/2006/relationships/hyperlink" Target="https://www-sciencedirect-com.ezproxy.uwtsd.ac.uk/science/article/pii/S1876139915000389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afpp.org.uk/filegrab/Gibbsmodelofreflection.pdf?ref=46" TargetMode="External"/><Relationship Id="rId15" Type="http://schemas.openxmlformats.org/officeDocument/2006/relationships/hyperlink" Target="https://www.brookes.ac.uk/students/upgrade/study-skills/reflective-writing-gibbs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mheducation.co.uk/media/wysiwyg/openup/fookandgardner/resources/6.pdf" TargetMode="External"/><Relationship Id="rId19" Type="http://schemas.openxmlformats.org/officeDocument/2006/relationships/hyperlink" Target="http://www.open.edu/openlearn/education/learning-teach-becoming-reflective-practitioner/content-section-6.2" TargetMode="External"/><Relationship Id="rId4" Type="http://schemas.openxmlformats.org/officeDocument/2006/relationships/hyperlink" Target="https://search-proquest-com.ezproxy.uwtsd.ac.uk/docview/1794151143?accountid=130472&amp;rfr_id=info%3Axri%2Fsid%3Aprimo" TargetMode="External"/><Relationship Id="rId9" Type="http://schemas.openxmlformats.org/officeDocument/2006/relationships/hyperlink" Target="http://librarycatalogue.uwtsd.ac.uk/primo_library/libweb/action/display.do?tabs=detailsTab&amp;ct=display&amp;fn=search&amp;doc=TN_sabinet_newjitl1_v10_a8&amp;indx=6&amp;recIds=TN_sabinet_newjitl1_v10_a8&amp;recIdxs=5&amp;elementId=5&amp;renderMode=poppedOut&amp;displayMode=full&amp;frbrVersion=2&amp;vid=44WHELF_UWTSD_VU1&amp;institution=44WHELF_UWTSD&amp;query=&amp;dscnt=0&amp;scp.scps=scope%3A%2844WHELF_UWTSD%29%2C44WHELF_UWTSD_Ebsco%2Cprimo_central_multiple_fe&amp;vl(freeText0)=%20gibbs%20reflective%20model&amp;dstmp=1524042273490" TargetMode="External"/><Relationship Id="rId14" Type="http://schemas.openxmlformats.org/officeDocument/2006/relationships/hyperlink" Target="http://www.nottingham.ac.uk/nmp/sonet/rlos/placs/critical_reflection/models/index.html" TargetMode="External"/><Relationship Id="rId22" Type="http://schemas.openxmlformats.org/officeDocument/2006/relationships/hyperlink" Target="http://wp.vcu.edu/servicelearninginstitute/wp-content/uploads/sites/278/2011/10/Critical-Reflection-Handout-201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1223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Player 1</dc:creator>
  <cp:keywords/>
  <dc:description/>
  <cp:lastModifiedBy>Player 1</cp:lastModifiedBy>
  <cp:revision>1</cp:revision>
  <dcterms:created xsi:type="dcterms:W3CDTF">2018-04-22T13:39:00Z</dcterms:created>
  <dcterms:modified xsi:type="dcterms:W3CDTF">2018-04-22T13:39:00Z</dcterms:modified>
</cp:coreProperties>
</file>