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1B033" w14:textId="4D41FA35" w:rsidR="00E33468" w:rsidRPr="00E50EC4" w:rsidRDefault="00153BB8" w:rsidP="00153BB8">
      <w:pPr>
        <w:jc w:val="center"/>
        <w:rPr>
          <w:i/>
          <w:iCs/>
          <w:sz w:val="28"/>
          <w:szCs w:val="28"/>
          <w:u w:val="single"/>
        </w:rPr>
      </w:pPr>
      <w:r w:rsidRPr="00E50EC4">
        <w:rPr>
          <w:sz w:val="28"/>
          <w:szCs w:val="28"/>
          <w:u w:val="single"/>
        </w:rPr>
        <w:t xml:space="preserve">Review of Lata Mani’s </w:t>
      </w:r>
      <w:r w:rsidRPr="00E50EC4">
        <w:rPr>
          <w:i/>
          <w:iCs/>
          <w:sz w:val="28"/>
          <w:szCs w:val="28"/>
          <w:u w:val="single"/>
        </w:rPr>
        <w:t>Contentious Traditions: The Debate on Sati in Colonial India</w:t>
      </w:r>
    </w:p>
    <w:p w14:paraId="6562406F" w14:textId="77777777" w:rsidR="00153BB8" w:rsidRDefault="00153BB8" w:rsidP="00153BB8">
      <w:pPr>
        <w:jc w:val="center"/>
        <w:rPr>
          <w:i/>
          <w:iCs/>
          <w:sz w:val="24"/>
          <w:szCs w:val="24"/>
          <w:u w:val="single"/>
        </w:rPr>
      </w:pPr>
    </w:p>
    <w:p w14:paraId="34ECA6C0" w14:textId="3FB5BE6E" w:rsidR="00AC274C" w:rsidRDefault="00AC274C" w:rsidP="00AC274C">
      <w:pPr>
        <w:rPr>
          <w:sz w:val="24"/>
          <w:szCs w:val="24"/>
        </w:rPr>
      </w:pPr>
      <w:r w:rsidRPr="00AC274C">
        <w:rPr>
          <w:sz w:val="24"/>
          <w:szCs w:val="24"/>
        </w:rPr>
        <w:t>Lata Mani’s Contentious Traditions: The Debate on Sati in Colonial India offers a critical examination of the colonial discourse surrounding sati, or widow-burning, during the nineteenth century in India, framed through a postcolonial feminist lens. Instead of presenting a simple account of the abolition of sati in 1829, Mani explores the ways in which the concept of “tradition” was shaped by colonial, missionary, and elite Indian narratives. Her central argument is that the widow remained marginal to a debate supposedly concerned with whether she should live or die.</w:t>
      </w:r>
      <w:r>
        <w:rPr>
          <w:rStyle w:val="FootnoteReference"/>
          <w:sz w:val="24"/>
          <w:szCs w:val="24"/>
        </w:rPr>
        <w:footnoteReference w:id="1"/>
      </w:r>
      <w:r w:rsidRPr="00AC274C">
        <w:rPr>
          <w:sz w:val="24"/>
          <w:szCs w:val="24"/>
        </w:rPr>
        <w:t xml:space="preserve"> This makes the work highly valuable for the study of gender, violence and empire because it refuses both colonial narratives of British rescue and nationalist narratives of authentic Indian tradition. Mani’s work excels in critiquing discourse and the production of knowledge within colonial contexts; however, its focus on representation complicates the recovery of the lived experiences of widows.</w:t>
      </w:r>
      <w:r w:rsidRPr="00AC274C">
        <w:rPr>
          <w:sz w:val="24"/>
          <w:szCs w:val="24"/>
        </w:rPr>
        <w:br/>
      </w:r>
      <w:r w:rsidRPr="00AC274C">
        <w:rPr>
          <w:sz w:val="24"/>
          <w:szCs w:val="24"/>
        </w:rPr>
        <w:br/>
        <w:t>Mani’s expertise lies in feminist theory, postcolonial studies and colonial discourse analysis. The book began as graduate research in comparative world history and was completed within the History of Consciousness programme at the University of California, Santa Cruz, an intellectual context associated with critical theory, feminist studies and colonial discourse.</w:t>
      </w:r>
      <w:r>
        <w:rPr>
          <w:rStyle w:val="FootnoteReference"/>
          <w:sz w:val="24"/>
          <w:szCs w:val="24"/>
        </w:rPr>
        <w:footnoteReference w:id="2"/>
      </w:r>
      <w:r w:rsidRPr="00AC274C">
        <w:rPr>
          <w:sz w:val="24"/>
          <w:szCs w:val="24"/>
        </w:rPr>
        <w:t xml:space="preserve"> This background is clear throughout the book. Mani's focus does not lie in evaluating the moral character of individual British officials as "good" or "bad," nor in determining whether Hindu tradition endorsed the practice of sati. Instead, she investigates how the terms of the debate were produced. She argues that colonial officials treated Indian society as governed by religion and scriptural authority, so policy discussions became centred on whether sati possessed textual sanction.</w:t>
      </w:r>
      <w:r>
        <w:rPr>
          <w:rStyle w:val="FootnoteReference"/>
          <w:sz w:val="24"/>
          <w:szCs w:val="24"/>
        </w:rPr>
        <w:footnoteReference w:id="3"/>
      </w:r>
      <w:r w:rsidRPr="00AC274C">
        <w:rPr>
          <w:sz w:val="24"/>
          <w:szCs w:val="24"/>
        </w:rPr>
        <w:t xml:space="preserve"> Consequently, the widow's anguish was overshadowed by debates among British officials, missionaries, reformers, and conservative Hindu elites regarding the interpretation of scripture.</w:t>
      </w:r>
      <w:r w:rsidRPr="00AC274C">
        <w:rPr>
          <w:sz w:val="24"/>
          <w:szCs w:val="24"/>
        </w:rPr>
        <w:br/>
      </w:r>
      <w:r w:rsidRPr="00AC274C">
        <w:rPr>
          <w:sz w:val="24"/>
          <w:szCs w:val="24"/>
        </w:rPr>
        <w:br/>
        <w:t>The theoretical perspective of Contentious Traditions can be characterised as an analysis rooted in postcolonial feminist discourse. Mani’s approach resembles Joan Scott’s influential argument that gender should be studied as a way of signifying and organising power.</w:t>
      </w:r>
      <w:r>
        <w:rPr>
          <w:rStyle w:val="FootnoteReference"/>
          <w:sz w:val="24"/>
          <w:szCs w:val="24"/>
        </w:rPr>
        <w:footnoteReference w:id="4"/>
      </w:r>
      <w:r w:rsidRPr="00AC274C">
        <w:rPr>
          <w:sz w:val="24"/>
          <w:szCs w:val="24"/>
        </w:rPr>
        <w:t xml:space="preserve"> Mani does not simply “add women” into an imperial history of reform; she shows how representations of women were central to colonial authority itself. The link to Gayatri Spivak is also evident. Spivak contends that the process of knowledge production during colonial times inflicts what she terms “epistemic violence,” highlighting that the female subaltern experiences an even greater degree of </w:t>
      </w:r>
      <w:r w:rsidRPr="00AC274C">
        <w:rPr>
          <w:sz w:val="24"/>
          <w:szCs w:val="24"/>
        </w:rPr>
        <w:lastRenderedPageBreak/>
        <w:t>marginalisation.</w:t>
      </w:r>
      <w:r>
        <w:rPr>
          <w:rStyle w:val="FootnoteReference"/>
          <w:sz w:val="24"/>
          <w:szCs w:val="24"/>
        </w:rPr>
        <w:footnoteReference w:id="5"/>
      </w:r>
      <w:r w:rsidRPr="00AC274C">
        <w:rPr>
          <w:sz w:val="24"/>
          <w:szCs w:val="24"/>
        </w:rPr>
        <w:t> Mani's sati widow occupies a unique and significant position in this context. She is the subject of endless discussion, interpretation, and symbolism, yet she is seldom permitted to emerge as a speaking historical figure. Mani’s work therefore shows how colonial humanitarianism could produce silence even while claiming to act on behalf of oppressed women.</w:t>
      </w:r>
      <w:r w:rsidRPr="00AC274C">
        <w:rPr>
          <w:sz w:val="24"/>
          <w:szCs w:val="24"/>
        </w:rPr>
        <w:br/>
      </w:r>
      <w:r w:rsidRPr="00AC274C">
        <w:rPr>
          <w:sz w:val="24"/>
          <w:szCs w:val="24"/>
        </w:rPr>
        <w:br/>
        <w:t>Mani employs a diverse array of sources in his methodology, including official colonial records, writings from missionaries, debates among the Bengali elite, firsthand accounts, and scriptural arguments. The organization of the book illustrates this diversity, transitioning from formal discussions to bhadralok perspectives, as well as missionary narratives and firsthand accounts.</w:t>
      </w:r>
      <w:r>
        <w:rPr>
          <w:rStyle w:val="FootnoteReference"/>
          <w:sz w:val="24"/>
          <w:szCs w:val="24"/>
        </w:rPr>
        <w:footnoteReference w:id="6"/>
      </w:r>
      <w:r w:rsidRPr="00AC274C">
        <w:rPr>
          <w:sz w:val="24"/>
          <w:szCs w:val="24"/>
        </w:rPr>
        <w:t xml:space="preserve"> This is a major strength because Mani does not read these sources at face value. She examines them critically, questioning the underlying assumptions that enable their arguments to hold weight. For example, she shows that colonial officials misunderstood Hindu textual traditions by treating them as fixed legal authorities, when the interpretive status of texts and legal opinions was far more fluid.</w:t>
      </w:r>
      <w:r>
        <w:rPr>
          <w:rStyle w:val="FootnoteReference"/>
          <w:sz w:val="24"/>
          <w:szCs w:val="24"/>
        </w:rPr>
        <w:footnoteReference w:id="7"/>
      </w:r>
      <w:r w:rsidRPr="00AC274C">
        <w:rPr>
          <w:sz w:val="24"/>
          <w:szCs w:val="24"/>
        </w:rPr>
        <w:t xml:space="preserve"> This enables Mani to reveal the constructed nature of “tradition” as a concept shaped by colonial influences. Tradition was not simply inherited from the past; it was reworked through the encounter between colonial administrators and elite Indian men.</w:t>
      </w:r>
      <w:r w:rsidRPr="00AC274C">
        <w:rPr>
          <w:sz w:val="24"/>
          <w:szCs w:val="24"/>
        </w:rPr>
        <w:br/>
      </w:r>
      <w:r w:rsidRPr="00AC274C">
        <w:rPr>
          <w:sz w:val="24"/>
          <w:szCs w:val="24"/>
        </w:rPr>
        <w:br/>
        <w:t>Nonetheless, the same foundational source also imposes certain constraints. Mani’s archive is predominantly created by officials, missionaries, and elites, which suggests that it is more effective for analysing the representations of widows rather than for reconstructing the perspectives of the widows themselves. Mani acknowledges this challenge, particularly in her chapter on eyewitness accounts, where she argues that the discursive violence inherent in colonial descriptions is inextricably linked to the physical violence of sati itself.</w:t>
      </w:r>
      <w:r>
        <w:rPr>
          <w:rStyle w:val="FootnoteReference"/>
          <w:sz w:val="24"/>
          <w:szCs w:val="24"/>
        </w:rPr>
        <w:footnoteReference w:id="8"/>
      </w:r>
      <w:r w:rsidRPr="00AC274C">
        <w:rPr>
          <w:sz w:val="24"/>
          <w:szCs w:val="24"/>
        </w:rPr>
        <w:t xml:space="preserve"> Some descriptions of widows’ suffering survive only in fragments, often through observers’ accounts of bodily pain, struggle or escape from the pyre.</w:t>
      </w:r>
      <w:r>
        <w:rPr>
          <w:rStyle w:val="FootnoteReference"/>
          <w:sz w:val="24"/>
          <w:szCs w:val="24"/>
        </w:rPr>
        <w:footnoteReference w:id="9"/>
      </w:r>
      <w:r w:rsidRPr="00AC274C">
        <w:rPr>
          <w:sz w:val="24"/>
          <w:szCs w:val="24"/>
        </w:rPr>
        <w:t xml:space="preserve"> These moments are powerful, but they also reveal the problem: the widow’s voice remains mediated through colonial witnesses. This does not invalidate Mani’s method. Indeed, it bolsters her argument regarding archival silence. Nevertheless, it means the book is less successful as a social history of widows than as a critique of the discourses surrounding them.</w:t>
      </w:r>
      <w:r w:rsidRPr="00AC274C">
        <w:rPr>
          <w:sz w:val="24"/>
          <w:szCs w:val="24"/>
        </w:rPr>
        <w:br/>
      </w:r>
      <w:r w:rsidRPr="00AC274C">
        <w:rPr>
          <w:sz w:val="24"/>
          <w:szCs w:val="24"/>
        </w:rPr>
        <w:br/>
        <w:t xml:space="preserve">Subsequent historians both affirm and add complexity to Mani's conclusions. Andrea Major argues that British constructions of sati were not static. In Bengal, widows were frequently depicted as passive victims of a brutal tradition. However, in the Rajput states from 1830 to 1860, British officials began to portray widows as self-determined individuals, sometimes even framing them as the instigators rather than the victims of </w:t>
      </w:r>
      <w:r w:rsidRPr="00AC274C">
        <w:rPr>
          <w:sz w:val="24"/>
          <w:szCs w:val="24"/>
        </w:rPr>
        <w:lastRenderedPageBreak/>
        <w:t>sati.</w:t>
      </w:r>
      <w:r>
        <w:rPr>
          <w:rStyle w:val="FootnoteReference"/>
          <w:sz w:val="24"/>
          <w:szCs w:val="24"/>
        </w:rPr>
        <w:footnoteReference w:id="10"/>
      </w:r>
      <w:r w:rsidRPr="00AC274C">
        <w:rPr>
          <w:sz w:val="24"/>
          <w:szCs w:val="24"/>
        </w:rPr>
        <w:t xml:space="preserve"> This indicates that “colonial discourse” exhibited greater regional diversity than a singular focus on Bengal might suggest. Tanika Sarkar offers a nuanced interpretation of Mani. Sarkar argues that colonial regulation around consent unintentionally produced “something like rights”, because the widow became, however awkwardly, a bearer of legal entitlements and immunities rather than only religious obligations.</w:t>
      </w:r>
      <w:r w:rsidR="00E50EC4">
        <w:rPr>
          <w:rStyle w:val="FootnoteReference"/>
          <w:sz w:val="24"/>
          <w:szCs w:val="24"/>
        </w:rPr>
        <w:footnoteReference w:id="11"/>
      </w:r>
      <w:r w:rsidRPr="00AC274C">
        <w:rPr>
          <w:sz w:val="24"/>
          <w:szCs w:val="24"/>
        </w:rPr>
        <w:t xml:space="preserve"> Sarkar’s argument indicates that colonial law not only silenced women but also had the capacity to generate contradictory and unintended discourses surrounding female protection and entitlement.</w:t>
      </w:r>
      <w:r w:rsidRPr="00AC274C">
        <w:rPr>
          <w:sz w:val="24"/>
          <w:szCs w:val="24"/>
        </w:rPr>
        <w:br/>
      </w:r>
      <w:r w:rsidRPr="00AC274C">
        <w:rPr>
          <w:sz w:val="24"/>
          <w:szCs w:val="24"/>
        </w:rPr>
        <w:br/>
        <w:t>Despite these qualifications, Mani's work continues to be remarkably persuasive. Its most significant contribution lies in shifting the examination of sati beyond the simplistic dichotomy of barbaric tradition versus enlightened abolition. Instead, Mani demonstrates that arguments from both colonial and indigenous elites frequently relied on portraying women as symbolic figures rather than as central participants. The book serves as a valuable resource for students and scholars engaged in the study of gender history, colonial India, imperial humanitarianism, and postcolonial theory. It is particularly important for grasping how the suffering of women can be employed to justify imperial power. I would recommend the work strongly, provided it is read alongside historians such as Major and Sarkar, who add greater attention to regional variation, consent and legal ambiguity. Mani successfully realises her objectives by illustrating that the discourse surrounding sati extended far beyond the singular issue of widow-burning. It also pertained to the colonial shaping of tradition, authority, and the silencing of gendered voices.</w:t>
      </w:r>
    </w:p>
    <w:p w14:paraId="630D93E5" w14:textId="77777777" w:rsidR="00E50EC4" w:rsidRDefault="00E50EC4" w:rsidP="00AC274C">
      <w:pPr>
        <w:rPr>
          <w:sz w:val="24"/>
          <w:szCs w:val="24"/>
        </w:rPr>
      </w:pPr>
    </w:p>
    <w:p w14:paraId="757CBAA9" w14:textId="6048C46B" w:rsidR="00E50EC4" w:rsidRDefault="00E50EC4" w:rsidP="00AC274C">
      <w:pPr>
        <w:rPr>
          <w:i/>
          <w:iCs/>
          <w:sz w:val="28"/>
          <w:szCs w:val="28"/>
          <w:u w:val="single"/>
        </w:rPr>
      </w:pPr>
      <w:r w:rsidRPr="00E50EC4">
        <w:rPr>
          <w:i/>
          <w:iCs/>
          <w:sz w:val="28"/>
          <w:szCs w:val="28"/>
          <w:u w:val="single"/>
        </w:rPr>
        <w:t>Bibliography</w:t>
      </w:r>
    </w:p>
    <w:p w14:paraId="4F7A8E16" w14:textId="77777777" w:rsidR="00E50EC4" w:rsidRDefault="00E50EC4" w:rsidP="00AC274C">
      <w:pPr>
        <w:rPr>
          <w:i/>
          <w:iCs/>
          <w:sz w:val="28"/>
          <w:szCs w:val="28"/>
          <w:u w:val="single"/>
        </w:rPr>
      </w:pPr>
    </w:p>
    <w:p w14:paraId="409C3F3A" w14:textId="43656008" w:rsidR="00E50EC4" w:rsidRPr="00E50EC4" w:rsidRDefault="00E50EC4" w:rsidP="00E50EC4">
      <w:pPr>
        <w:rPr>
          <w:sz w:val="24"/>
          <w:szCs w:val="24"/>
        </w:rPr>
      </w:pPr>
      <w:r w:rsidRPr="00E50EC4">
        <w:rPr>
          <w:sz w:val="24"/>
          <w:szCs w:val="24"/>
        </w:rPr>
        <w:t xml:space="preserve">Butler, Judith and Weed, Elizabeth, </w:t>
      </w:r>
      <w:r>
        <w:rPr>
          <w:sz w:val="24"/>
          <w:szCs w:val="24"/>
        </w:rPr>
        <w:t>‘</w:t>
      </w:r>
      <w:r w:rsidRPr="00E50EC4">
        <w:rPr>
          <w:i/>
          <w:iCs/>
          <w:sz w:val="24"/>
          <w:szCs w:val="24"/>
        </w:rPr>
        <w:t>The Question of Gender: Joan W. Scott’s Critical Feminism</w:t>
      </w:r>
      <w:r w:rsidRPr="00E50EC4">
        <w:rPr>
          <w:sz w:val="24"/>
          <w:szCs w:val="24"/>
        </w:rPr>
        <w:t>,</w:t>
      </w:r>
      <w:r>
        <w:rPr>
          <w:sz w:val="24"/>
          <w:szCs w:val="24"/>
        </w:rPr>
        <w:t xml:space="preserve">’ </w:t>
      </w:r>
      <w:r w:rsidRPr="00E50EC4">
        <w:rPr>
          <w:sz w:val="24"/>
          <w:szCs w:val="24"/>
        </w:rPr>
        <w:t>2011, Indiana University Press.</w:t>
      </w:r>
    </w:p>
    <w:p w14:paraId="45325B07" w14:textId="77777777" w:rsidR="00E50EC4" w:rsidRPr="00E50EC4" w:rsidRDefault="00E50EC4" w:rsidP="00E50EC4">
      <w:pPr>
        <w:rPr>
          <w:sz w:val="24"/>
          <w:szCs w:val="24"/>
        </w:rPr>
      </w:pPr>
      <w:r w:rsidRPr="00E50EC4">
        <w:rPr>
          <w:sz w:val="24"/>
          <w:szCs w:val="24"/>
        </w:rPr>
        <w:t xml:space="preserve">Major, Andrea, </w:t>
      </w:r>
      <w:r w:rsidRPr="00E50EC4">
        <w:rPr>
          <w:i/>
          <w:iCs/>
          <w:sz w:val="24"/>
          <w:szCs w:val="24"/>
        </w:rPr>
        <w:t>‘Self-determined Sacrifices? Victimhood and Volition in British Constructions of Sati in the Rajput States, 1830-60’</w:t>
      </w:r>
      <w:r w:rsidRPr="00E50EC4">
        <w:rPr>
          <w:sz w:val="24"/>
          <w:szCs w:val="24"/>
        </w:rPr>
        <w:t xml:space="preserve">, 2006, </w:t>
      </w:r>
      <w:r w:rsidRPr="00E50EC4">
        <w:rPr>
          <w:i/>
          <w:iCs/>
          <w:sz w:val="24"/>
          <w:szCs w:val="24"/>
        </w:rPr>
        <w:t>History and Anthropology</w:t>
      </w:r>
      <w:r w:rsidRPr="00E50EC4">
        <w:rPr>
          <w:sz w:val="24"/>
          <w:szCs w:val="24"/>
        </w:rPr>
        <w:t>.</w:t>
      </w:r>
    </w:p>
    <w:p w14:paraId="37DAF5E8" w14:textId="1E85CEEE" w:rsidR="00E50EC4" w:rsidRPr="00E50EC4" w:rsidRDefault="00E50EC4" w:rsidP="00E50EC4">
      <w:pPr>
        <w:rPr>
          <w:sz w:val="24"/>
          <w:szCs w:val="24"/>
        </w:rPr>
      </w:pPr>
      <w:r w:rsidRPr="00E50EC4">
        <w:rPr>
          <w:sz w:val="24"/>
          <w:szCs w:val="24"/>
        </w:rPr>
        <w:t xml:space="preserve">Mani, Lata, </w:t>
      </w:r>
      <w:r>
        <w:rPr>
          <w:sz w:val="24"/>
          <w:szCs w:val="24"/>
        </w:rPr>
        <w:t>‘</w:t>
      </w:r>
      <w:r w:rsidRPr="00E50EC4">
        <w:rPr>
          <w:i/>
          <w:iCs/>
          <w:sz w:val="24"/>
          <w:szCs w:val="24"/>
        </w:rPr>
        <w:t>Contentious Traditions: The Debate on Sati in Colonial India</w:t>
      </w:r>
      <w:r w:rsidRPr="00E50EC4">
        <w:rPr>
          <w:sz w:val="24"/>
          <w:szCs w:val="24"/>
        </w:rPr>
        <w:t>,</w:t>
      </w:r>
      <w:r>
        <w:rPr>
          <w:sz w:val="24"/>
          <w:szCs w:val="24"/>
        </w:rPr>
        <w:t>’</w:t>
      </w:r>
      <w:r w:rsidRPr="00E50EC4">
        <w:rPr>
          <w:sz w:val="24"/>
          <w:szCs w:val="24"/>
        </w:rPr>
        <w:t xml:space="preserve"> 1998, University of California Press.</w:t>
      </w:r>
    </w:p>
    <w:p w14:paraId="6618A15E" w14:textId="77777777" w:rsidR="00E50EC4" w:rsidRPr="00E50EC4" w:rsidRDefault="00E50EC4" w:rsidP="00E50EC4">
      <w:pPr>
        <w:rPr>
          <w:sz w:val="24"/>
          <w:szCs w:val="24"/>
        </w:rPr>
      </w:pPr>
      <w:r w:rsidRPr="00E50EC4">
        <w:rPr>
          <w:sz w:val="24"/>
          <w:szCs w:val="24"/>
        </w:rPr>
        <w:t>Sarkar, Tanika, ‘</w:t>
      </w:r>
      <w:r w:rsidRPr="00E50EC4">
        <w:rPr>
          <w:i/>
          <w:iCs/>
          <w:sz w:val="24"/>
          <w:szCs w:val="24"/>
        </w:rPr>
        <w:t>Something like rights? Faith, law and widow immolation debates in colonial Bengal’</w:t>
      </w:r>
      <w:r w:rsidRPr="00E50EC4">
        <w:rPr>
          <w:sz w:val="24"/>
          <w:szCs w:val="24"/>
        </w:rPr>
        <w:t xml:space="preserve">, 2012, </w:t>
      </w:r>
      <w:r w:rsidRPr="00E50EC4">
        <w:rPr>
          <w:i/>
          <w:iCs/>
          <w:sz w:val="24"/>
          <w:szCs w:val="24"/>
        </w:rPr>
        <w:t>The Indian Economic and Social History Review</w:t>
      </w:r>
      <w:r w:rsidRPr="00E50EC4">
        <w:rPr>
          <w:sz w:val="24"/>
          <w:szCs w:val="24"/>
        </w:rPr>
        <w:t>.</w:t>
      </w:r>
    </w:p>
    <w:p w14:paraId="59F3760D" w14:textId="77777777" w:rsidR="00E50EC4" w:rsidRPr="00E50EC4" w:rsidRDefault="00E50EC4" w:rsidP="00E50EC4">
      <w:pPr>
        <w:rPr>
          <w:sz w:val="24"/>
          <w:szCs w:val="24"/>
        </w:rPr>
      </w:pPr>
      <w:r w:rsidRPr="00E50EC4">
        <w:rPr>
          <w:sz w:val="24"/>
          <w:szCs w:val="24"/>
        </w:rPr>
        <w:t>Spivak, Gayatri Chakravorty, ‘</w:t>
      </w:r>
      <w:r w:rsidRPr="00E50EC4">
        <w:rPr>
          <w:i/>
          <w:iCs/>
          <w:sz w:val="24"/>
          <w:szCs w:val="24"/>
        </w:rPr>
        <w:t>Can the Subaltern Speak?</w:t>
      </w:r>
      <w:r w:rsidRPr="00E50EC4">
        <w:rPr>
          <w:sz w:val="24"/>
          <w:szCs w:val="24"/>
        </w:rPr>
        <w:t xml:space="preserve">’, 1988, </w:t>
      </w:r>
      <w:r w:rsidRPr="00E50EC4">
        <w:rPr>
          <w:i/>
          <w:iCs/>
          <w:sz w:val="24"/>
          <w:szCs w:val="24"/>
        </w:rPr>
        <w:t>Marxism and the Interpretation of Culture</w:t>
      </w:r>
      <w:r w:rsidRPr="00E50EC4">
        <w:rPr>
          <w:sz w:val="24"/>
          <w:szCs w:val="24"/>
        </w:rPr>
        <w:t>.</w:t>
      </w:r>
    </w:p>
    <w:p w14:paraId="29A60B68" w14:textId="77777777" w:rsidR="00E50EC4" w:rsidRPr="00E50EC4" w:rsidRDefault="00E50EC4" w:rsidP="00AC274C">
      <w:pPr>
        <w:rPr>
          <w:sz w:val="24"/>
          <w:szCs w:val="24"/>
        </w:rPr>
      </w:pPr>
    </w:p>
    <w:p w14:paraId="3BEE0264" w14:textId="77777777" w:rsidR="00153BB8" w:rsidRPr="00E50EC4" w:rsidRDefault="00153BB8" w:rsidP="00153BB8">
      <w:pPr>
        <w:rPr>
          <w:i/>
          <w:iCs/>
          <w:sz w:val="24"/>
          <w:szCs w:val="24"/>
        </w:rPr>
      </w:pPr>
    </w:p>
    <w:sectPr w:rsidR="00153BB8" w:rsidRPr="00E50E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BB5ED" w14:textId="77777777" w:rsidR="00A83793" w:rsidRDefault="00A83793" w:rsidP="00AC274C">
      <w:pPr>
        <w:spacing w:after="0" w:line="240" w:lineRule="auto"/>
      </w:pPr>
      <w:r>
        <w:separator/>
      </w:r>
    </w:p>
  </w:endnote>
  <w:endnote w:type="continuationSeparator" w:id="0">
    <w:p w14:paraId="15D4A687" w14:textId="77777777" w:rsidR="00A83793" w:rsidRDefault="00A83793" w:rsidP="00AC2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31F6B" w14:textId="77777777" w:rsidR="00A83793" w:rsidRDefault="00A83793" w:rsidP="00AC274C">
      <w:pPr>
        <w:spacing w:after="0" w:line="240" w:lineRule="auto"/>
      </w:pPr>
      <w:r>
        <w:separator/>
      </w:r>
    </w:p>
  </w:footnote>
  <w:footnote w:type="continuationSeparator" w:id="0">
    <w:p w14:paraId="26D8EA37" w14:textId="77777777" w:rsidR="00A83793" w:rsidRDefault="00A83793" w:rsidP="00AC274C">
      <w:pPr>
        <w:spacing w:after="0" w:line="240" w:lineRule="auto"/>
      </w:pPr>
      <w:r>
        <w:continuationSeparator/>
      </w:r>
    </w:p>
  </w:footnote>
  <w:footnote w:id="1">
    <w:p w14:paraId="7ED5EC31" w14:textId="64730D35" w:rsidR="00AC274C" w:rsidRDefault="00AC274C">
      <w:pPr>
        <w:pStyle w:val="FootnoteText"/>
      </w:pPr>
      <w:r>
        <w:rPr>
          <w:rStyle w:val="FootnoteReference"/>
        </w:rPr>
        <w:footnoteRef/>
      </w:r>
      <w:r>
        <w:t xml:space="preserve"> </w:t>
      </w:r>
      <w:r w:rsidR="00E50EC4" w:rsidRPr="00E50EC4">
        <w:t xml:space="preserve">Mani, </w:t>
      </w:r>
      <w:r w:rsidR="00E50EC4" w:rsidRPr="00E50EC4">
        <w:rPr>
          <w:i/>
          <w:iCs/>
        </w:rPr>
        <w:t>Contentious Traditions</w:t>
      </w:r>
      <w:r w:rsidR="00E50EC4" w:rsidRPr="00E50EC4">
        <w:t>, p. 1.</w:t>
      </w:r>
    </w:p>
  </w:footnote>
  <w:footnote w:id="2">
    <w:p w14:paraId="510B566E" w14:textId="322C483C" w:rsidR="00AC274C" w:rsidRDefault="00AC274C">
      <w:pPr>
        <w:pStyle w:val="FootnoteText"/>
      </w:pPr>
      <w:r>
        <w:rPr>
          <w:rStyle w:val="FootnoteReference"/>
        </w:rPr>
        <w:footnoteRef/>
      </w:r>
      <w:r>
        <w:t xml:space="preserve"> </w:t>
      </w:r>
      <w:r w:rsidR="00E50EC4">
        <w:t xml:space="preserve">Ibid, </w:t>
      </w:r>
      <w:r w:rsidR="00E50EC4" w:rsidRPr="00E50EC4">
        <w:t>pp. xiii-xiv.</w:t>
      </w:r>
    </w:p>
  </w:footnote>
  <w:footnote w:id="3">
    <w:p w14:paraId="1B26E77D" w14:textId="2E03EE1E" w:rsidR="00AC274C" w:rsidRDefault="00AC274C">
      <w:pPr>
        <w:pStyle w:val="FootnoteText"/>
      </w:pPr>
      <w:r>
        <w:rPr>
          <w:rStyle w:val="FootnoteReference"/>
        </w:rPr>
        <w:footnoteRef/>
      </w:r>
      <w:r>
        <w:t xml:space="preserve"> </w:t>
      </w:r>
      <w:r w:rsidR="00E50EC4">
        <w:t xml:space="preserve">Ibid, </w:t>
      </w:r>
      <w:r w:rsidR="00E50EC4" w:rsidRPr="00E50EC4">
        <w:t>p. 21.</w:t>
      </w:r>
    </w:p>
  </w:footnote>
  <w:footnote w:id="4">
    <w:p w14:paraId="727DC1F5" w14:textId="5037EF05" w:rsidR="00AC274C" w:rsidRDefault="00AC274C">
      <w:pPr>
        <w:pStyle w:val="FootnoteText"/>
      </w:pPr>
      <w:r>
        <w:rPr>
          <w:rStyle w:val="FootnoteReference"/>
        </w:rPr>
        <w:footnoteRef/>
      </w:r>
      <w:r>
        <w:t xml:space="preserve"> </w:t>
      </w:r>
      <w:r w:rsidR="00E50EC4" w:rsidRPr="00E50EC4">
        <w:t xml:space="preserve">Butler and Weed, </w:t>
      </w:r>
      <w:r w:rsidR="00E50EC4" w:rsidRPr="00E50EC4">
        <w:rPr>
          <w:i/>
          <w:iCs/>
        </w:rPr>
        <w:t>The Question of Gender</w:t>
      </w:r>
      <w:r w:rsidR="00E50EC4" w:rsidRPr="00E50EC4">
        <w:t>, p. 4.</w:t>
      </w:r>
    </w:p>
  </w:footnote>
  <w:footnote w:id="5">
    <w:p w14:paraId="2EACEB5A" w14:textId="777E6E7C" w:rsidR="00AC274C" w:rsidRDefault="00AC274C">
      <w:pPr>
        <w:pStyle w:val="FootnoteText"/>
      </w:pPr>
      <w:r>
        <w:rPr>
          <w:rStyle w:val="FootnoteReference"/>
        </w:rPr>
        <w:footnoteRef/>
      </w:r>
      <w:r>
        <w:t xml:space="preserve"> </w:t>
      </w:r>
      <w:r w:rsidR="00E50EC4" w:rsidRPr="00E50EC4">
        <w:t>Spivak, ‘Can the Subaltern Speak?’, p. 28.</w:t>
      </w:r>
    </w:p>
  </w:footnote>
  <w:footnote w:id="6">
    <w:p w14:paraId="6E9488E9" w14:textId="4666292C" w:rsidR="00AC274C" w:rsidRDefault="00AC274C">
      <w:pPr>
        <w:pStyle w:val="FootnoteText"/>
      </w:pPr>
      <w:r>
        <w:rPr>
          <w:rStyle w:val="FootnoteReference"/>
        </w:rPr>
        <w:footnoteRef/>
      </w:r>
      <w:r>
        <w:t xml:space="preserve"> </w:t>
      </w:r>
      <w:r w:rsidR="00E50EC4" w:rsidRPr="00E50EC4">
        <w:t xml:space="preserve">Mani, </w:t>
      </w:r>
      <w:r w:rsidR="00E50EC4" w:rsidRPr="00E50EC4">
        <w:rPr>
          <w:i/>
          <w:iCs/>
        </w:rPr>
        <w:t>Contentious Traditions</w:t>
      </w:r>
      <w:r w:rsidR="00E50EC4" w:rsidRPr="00E50EC4">
        <w:t>, pp. vii-viii.</w:t>
      </w:r>
    </w:p>
  </w:footnote>
  <w:footnote w:id="7">
    <w:p w14:paraId="36311B28" w14:textId="71E5C43A" w:rsidR="00AC274C" w:rsidRDefault="00AC274C">
      <w:pPr>
        <w:pStyle w:val="FootnoteText"/>
      </w:pPr>
      <w:r>
        <w:rPr>
          <w:rStyle w:val="FootnoteReference"/>
        </w:rPr>
        <w:footnoteRef/>
      </w:r>
      <w:r>
        <w:t xml:space="preserve"> </w:t>
      </w:r>
      <w:r w:rsidR="00E50EC4">
        <w:t xml:space="preserve">Ibid, </w:t>
      </w:r>
      <w:r w:rsidR="00E50EC4" w:rsidRPr="00E50EC4">
        <w:t>pp. 36-37.</w:t>
      </w:r>
    </w:p>
  </w:footnote>
  <w:footnote w:id="8">
    <w:p w14:paraId="65ABBED2" w14:textId="5C87616A" w:rsidR="00AC274C" w:rsidRDefault="00AC274C" w:rsidP="00E50EC4">
      <w:pPr>
        <w:pStyle w:val="FootnoteText"/>
      </w:pPr>
      <w:r>
        <w:rPr>
          <w:rStyle w:val="FootnoteReference"/>
        </w:rPr>
        <w:footnoteRef/>
      </w:r>
      <w:r>
        <w:t xml:space="preserve"> </w:t>
      </w:r>
      <w:r w:rsidR="00E50EC4">
        <w:t xml:space="preserve">Ibid, </w:t>
      </w:r>
      <w:r w:rsidR="00E50EC4" w:rsidRPr="00E50EC4">
        <w:t>p. 159.</w:t>
      </w:r>
    </w:p>
  </w:footnote>
  <w:footnote w:id="9">
    <w:p w14:paraId="45B5F84B" w14:textId="6DAB94AD" w:rsidR="00AC274C" w:rsidRDefault="00AC274C">
      <w:pPr>
        <w:pStyle w:val="FootnoteText"/>
      </w:pPr>
      <w:r>
        <w:rPr>
          <w:rStyle w:val="FootnoteReference"/>
        </w:rPr>
        <w:footnoteRef/>
      </w:r>
      <w:r>
        <w:t xml:space="preserve"> </w:t>
      </w:r>
      <w:r w:rsidR="00E50EC4">
        <w:t xml:space="preserve">Ibid, </w:t>
      </w:r>
      <w:r w:rsidR="00E50EC4" w:rsidRPr="00E50EC4">
        <w:t>p. 177.</w:t>
      </w:r>
    </w:p>
  </w:footnote>
  <w:footnote w:id="10">
    <w:p w14:paraId="23191AA3" w14:textId="63705DF2" w:rsidR="00AC274C" w:rsidRDefault="00AC274C">
      <w:pPr>
        <w:pStyle w:val="FootnoteText"/>
      </w:pPr>
      <w:r>
        <w:rPr>
          <w:rStyle w:val="FootnoteReference"/>
        </w:rPr>
        <w:footnoteRef/>
      </w:r>
      <w:r>
        <w:t xml:space="preserve"> </w:t>
      </w:r>
      <w:r w:rsidR="00E50EC4" w:rsidRPr="00E50EC4">
        <w:t>Major, ‘Self-determined Sacrifices?’, pp. 313-315, 322.</w:t>
      </w:r>
    </w:p>
  </w:footnote>
  <w:footnote w:id="11">
    <w:p w14:paraId="3A5755CE" w14:textId="714A66A3" w:rsidR="00E50EC4" w:rsidRDefault="00E50EC4">
      <w:pPr>
        <w:pStyle w:val="FootnoteText"/>
      </w:pPr>
      <w:r>
        <w:rPr>
          <w:rStyle w:val="FootnoteReference"/>
        </w:rPr>
        <w:footnoteRef/>
      </w:r>
      <w:r>
        <w:t xml:space="preserve"> </w:t>
      </w:r>
      <w:r w:rsidRPr="00E50EC4">
        <w:t>Sarkar, ‘Something like rights?’, pp. 295-296.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BB8"/>
    <w:rsid w:val="00153BB8"/>
    <w:rsid w:val="002A3EA5"/>
    <w:rsid w:val="002C71D3"/>
    <w:rsid w:val="00A83793"/>
    <w:rsid w:val="00AC274C"/>
    <w:rsid w:val="00E33468"/>
    <w:rsid w:val="00E50EC4"/>
    <w:rsid w:val="00EE4B9C"/>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3CD6"/>
  <w15:chartTrackingRefBased/>
  <w15:docId w15:val="{ED0F5E72-45D3-4543-941B-163EA88D0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B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3B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3B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B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B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B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B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B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B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B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3B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3B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3B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B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B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B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B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BB8"/>
    <w:rPr>
      <w:rFonts w:eastAsiaTheme="majorEastAsia" w:cstheme="majorBidi"/>
      <w:color w:val="272727" w:themeColor="text1" w:themeTint="D8"/>
    </w:rPr>
  </w:style>
  <w:style w:type="paragraph" w:styleId="Title">
    <w:name w:val="Title"/>
    <w:basedOn w:val="Normal"/>
    <w:next w:val="Normal"/>
    <w:link w:val="TitleChar"/>
    <w:uiPriority w:val="10"/>
    <w:qFormat/>
    <w:rsid w:val="00153B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B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B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B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BB8"/>
    <w:pPr>
      <w:spacing w:before="160"/>
      <w:jc w:val="center"/>
    </w:pPr>
    <w:rPr>
      <w:i/>
      <w:iCs/>
      <w:color w:val="404040" w:themeColor="text1" w:themeTint="BF"/>
    </w:rPr>
  </w:style>
  <w:style w:type="character" w:customStyle="1" w:styleId="QuoteChar">
    <w:name w:val="Quote Char"/>
    <w:basedOn w:val="DefaultParagraphFont"/>
    <w:link w:val="Quote"/>
    <w:uiPriority w:val="29"/>
    <w:rsid w:val="00153BB8"/>
    <w:rPr>
      <w:i/>
      <w:iCs/>
      <w:color w:val="404040" w:themeColor="text1" w:themeTint="BF"/>
    </w:rPr>
  </w:style>
  <w:style w:type="paragraph" w:styleId="ListParagraph">
    <w:name w:val="List Paragraph"/>
    <w:basedOn w:val="Normal"/>
    <w:uiPriority w:val="34"/>
    <w:qFormat/>
    <w:rsid w:val="00153BB8"/>
    <w:pPr>
      <w:ind w:left="720"/>
      <w:contextualSpacing/>
    </w:pPr>
  </w:style>
  <w:style w:type="character" w:styleId="IntenseEmphasis">
    <w:name w:val="Intense Emphasis"/>
    <w:basedOn w:val="DefaultParagraphFont"/>
    <w:uiPriority w:val="21"/>
    <w:qFormat/>
    <w:rsid w:val="00153BB8"/>
    <w:rPr>
      <w:i/>
      <w:iCs/>
      <w:color w:val="0F4761" w:themeColor="accent1" w:themeShade="BF"/>
    </w:rPr>
  </w:style>
  <w:style w:type="paragraph" w:styleId="IntenseQuote">
    <w:name w:val="Intense Quote"/>
    <w:basedOn w:val="Normal"/>
    <w:next w:val="Normal"/>
    <w:link w:val="IntenseQuoteChar"/>
    <w:uiPriority w:val="30"/>
    <w:qFormat/>
    <w:rsid w:val="00153B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BB8"/>
    <w:rPr>
      <w:i/>
      <w:iCs/>
      <w:color w:val="0F4761" w:themeColor="accent1" w:themeShade="BF"/>
    </w:rPr>
  </w:style>
  <w:style w:type="character" w:styleId="IntenseReference">
    <w:name w:val="Intense Reference"/>
    <w:basedOn w:val="DefaultParagraphFont"/>
    <w:uiPriority w:val="32"/>
    <w:qFormat/>
    <w:rsid w:val="00153BB8"/>
    <w:rPr>
      <w:b/>
      <w:bCs/>
      <w:smallCaps/>
      <w:color w:val="0F4761" w:themeColor="accent1" w:themeShade="BF"/>
      <w:spacing w:val="5"/>
    </w:rPr>
  </w:style>
  <w:style w:type="paragraph" w:styleId="FootnoteText">
    <w:name w:val="footnote text"/>
    <w:basedOn w:val="Normal"/>
    <w:link w:val="FootnoteTextChar"/>
    <w:uiPriority w:val="99"/>
    <w:semiHidden/>
    <w:unhideWhenUsed/>
    <w:rsid w:val="00AC27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274C"/>
    <w:rPr>
      <w:sz w:val="20"/>
      <w:szCs w:val="20"/>
    </w:rPr>
  </w:style>
  <w:style w:type="character" w:styleId="FootnoteReference">
    <w:name w:val="footnote reference"/>
    <w:basedOn w:val="DefaultParagraphFont"/>
    <w:uiPriority w:val="99"/>
    <w:semiHidden/>
    <w:unhideWhenUsed/>
    <w:rsid w:val="00AC27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672</TotalTime>
  <Pages>4</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cp:revision>
  <dcterms:created xsi:type="dcterms:W3CDTF">2026-05-24T01:59:00Z</dcterms:created>
  <dcterms:modified xsi:type="dcterms:W3CDTF">2026-05-24T13:11:00Z</dcterms:modified>
</cp:coreProperties>
</file>