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4A6B32" w14:textId="1A38AA32" w:rsidR="00B457F0" w:rsidRDefault="00EF4E70" w:rsidP="00EF4E70">
      <w:pPr>
        <w:pStyle w:val="AssignBody"/>
        <w:jc w:val="center"/>
        <w:rPr>
          <w:rFonts w:cs="Arial"/>
          <w:b/>
          <w:bCs/>
          <w:i/>
          <w:iCs/>
          <w:sz w:val="36"/>
          <w:szCs w:val="36"/>
          <w:u w:val="single"/>
        </w:rPr>
      </w:pPr>
      <w:r w:rsidRPr="00EF4E70">
        <w:rPr>
          <w:rFonts w:cs="Arial"/>
          <w:b/>
          <w:bCs/>
          <w:i/>
          <w:iCs/>
          <w:sz w:val="36"/>
          <w:szCs w:val="36"/>
          <w:u w:val="single"/>
        </w:rPr>
        <w:t>Can non-verbal attention signals affect pupil engagement and pupil wellbeing?</w:t>
      </w:r>
    </w:p>
    <w:p w14:paraId="0AE5EF39" w14:textId="77777777" w:rsidR="00EF4E70" w:rsidRPr="00EF4E70" w:rsidRDefault="00EF4E70" w:rsidP="00EF4E70">
      <w:pPr>
        <w:pStyle w:val="AssignBody"/>
        <w:jc w:val="center"/>
        <w:rPr>
          <w:b/>
          <w:bCs/>
          <w:sz w:val="36"/>
          <w:szCs w:val="36"/>
          <w:u w:val="single"/>
        </w:rPr>
      </w:pPr>
    </w:p>
    <w:tbl>
      <w:tblPr>
        <w:tblStyle w:val="TableGrid"/>
        <w:tblW w:w="0" w:type="auto"/>
        <w:tblLook w:val="04A0" w:firstRow="1" w:lastRow="0" w:firstColumn="1" w:lastColumn="0" w:noHBand="0" w:noVBand="1"/>
      </w:tblPr>
      <w:tblGrid>
        <w:gridCol w:w="1722"/>
        <w:gridCol w:w="3647"/>
        <w:gridCol w:w="3647"/>
      </w:tblGrid>
      <w:tr w:rsidR="00755E37"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2B20A36B" w:rsidR="00755E37" w:rsidRPr="00FE5500" w:rsidRDefault="00755E37">
            <w:pPr>
              <w:pStyle w:val="AssignBody"/>
              <w:rPr>
                <w:b/>
                <w:bCs/>
              </w:rPr>
            </w:pPr>
            <w:r w:rsidRPr="00FE5500">
              <w:rPr>
                <w:b/>
                <w:bCs/>
              </w:rPr>
              <w:t>Target</w:t>
            </w:r>
          </w:p>
        </w:tc>
        <w:tc>
          <w:tcPr>
            <w:tcW w:w="3647" w:type="dxa"/>
            <w:tcBorders>
              <w:top w:val="single" w:sz="4" w:space="0" w:color="auto"/>
              <w:left w:val="single" w:sz="4" w:space="0" w:color="auto"/>
              <w:bottom w:val="single" w:sz="4" w:space="0" w:color="auto"/>
              <w:right w:val="single" w:sz="4" w:space="0" w:color="auto"/>
            </w:tcBorders>
          </w:tcPr>
          <w:p w14:paraId="0CFF26C5" w14:textId="42037C55" w:rsidR="00755E37" w:rsidRPr="00FE5500" w:rsidRDefault="00755E37" w:rsidP="00755E37">
            <w:pPr>
              <w:pStyle w:val="NormalWeb"/>
              <w:spacing w:before="0" w:beforeAutospacing="0" w:after="0" w:afterAutospacing="0"/>
              <w:rPr>
                <w:rFonts w:ascii="Arial" w:hAnsi="Arial" w:cs="Arial"/>
                <w:b/>
                <w:bCs/>
                <w:color w:val="222222"/>
                <w:sz w:val="22"/>
                <w:szCs w:val="22"/>
                <w:shd w:val="clear" w:color="auto" w:fill="F8F9FA"/>
                <w:lang w:val="en-US" w:eastAsia="en-US"/>
              </w:rPr>
            </w:pPr>
            <w:r w:rsidRPr="00FE5500">
              <w:rPr>
                <w:rFonts w:ascii="Arial" w:hAnsi="Arial" w:cs="Arial"/>
                <w:b/>
                <w:bCs/>
                <w:sz w:val="22"/>
                <w:szCs w:val="22"/>
                <w:lang w:val="en-US" w:eastAsia="en-US"/>
              </w:rPr>
              <w:t>What I have done in this assignment.</w:t>
            </w:r>
          </w:p>
        </w:tc>
      </w:tr>
      <w:tr w:rsidR="00755E37"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76B57F92" w:rsidR="00755E37" w:rsidRPr="00FE5500" w:rsidRDefault="00755E37">
            <w:pPr>
              <w:pStyle w:val="AssignBody"/>
              <w:rPr>
                <w:b/>
                <w:bCs/>
              </w:rPr>
            </w:pPr>
            <w:r w:rsidRPr="00FE5500">
              <w:rPr>
                <w:b/>
                <w:bCs/>
              </w:rPr>
              <w:t>Target 1</w:t>
            </w:r>
          </w:p>
        </w:tc>
        <w:tc>
          <w:tcPr>
            <w:tcW w:w="3647" w:type="dxa"/>
            <w:tcBorders>
              <w:top w:val="single" w:sz="4" w:space="0" w:color="auto"/>
              <w:left w:val="single" w:sz="4" w:space="0" w:color="auto"/>
              <w:bottom w:val="single" w:sz="4" w:space="0" w:color="auto"/>
              <w:right w:val="single" w:sz="4" w:space="0" w:color="auto"/>
            </w:tcBorders>
          </w:tcPr>
          <w:p w14:paraId="181D3942" w14:textId="46B232E4" w:rsidR="00755E37" w:rsidRPr="00FE5500" w:rsidRDefault="00FE5500" w:rsidP="00FE5500">
            <w:pPr>
              <w:rPr>
                <w:rFonts w:ascii="Arial" w:hAnsi="Arial" w:cs="Arial"/>
              </w:rPr>
            </w:pPr>
            <w:r>
              <w:rPr>
                <w:rFonts w:ascii="Arial" w:hAnsi="Arial" w:cs="Arial"/>
                <w:color w:val="283041"/>
                <w:shd w:val="clear" w:color="auto" w:fill="FFFFFF"/>
              </w:rPr>
              <w:t>S</w:t>
            </w:r>
            <w:r w:rsidRPr="00FE5500">
              <w:rPr>
                <w:rFonts w:ascii="Arial" w:hAnsi="Arial" w:cs="Arial"/>
                <w:color w:val="283041"/>
                <w:shd w:val="clear" w:color="auto" w:fill="FFFFFF"/>
              </w:rPr>
              <w:t>ynthesis of reading will enhance your cognitive and intellectual development.</w:t>
            </w:r>
          </w:p>
        </w:tc>
        <w:tc>
          <w:tcPr>
            <w:tcW w:w="3647" w:type="dxa"/>
            <w:tcBorders>
              <w:top w:val="single" w:sz="4" w:space="0" w:color="auto"/>
              <w:left w:val="single" w:sz="4" w:space="0" w:color="auto"/>
              <w:bottom w:val="single" w:sz="4" w:space="0" w:color="auto"/>
              <w:right w:val="single" w:sz="4" w:space="0" w:color="auto"/>
            </w:tcBorders>
          </w:tcPr>
          <w:p w14:paraId="342A62A2" w14:textId="5A7753D0" w:rsidR="00755E37" w:rsidRDefault="00FE5500" w:rsidP="00FE5500">
            <w:pPr>
              <w:pStyle w:val="AssignBody"/>
              <w:spacing w:line="240" w:lineRule="auto"/>
            </w:pPr>
            <w:r>
              <w:t xml:space="preserve">Within this assignment I have attempted to include local synthesis by connecting and contrasting the evidence presented in each paragraph. I have also attempted to include global synthesis, by revisiting key points throughout. </w:t>
            </w:r>
          </w:p>
        </w:tc>
      </w:tr>
      <w:tr w:rsidR="00755E37"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2BEBF110" w:rsidR="00755E37" w:rsidRPr="00FE5500" w:rsidRDefault="00755E37">
            <w:pPr>
              <w:pStyle w:val="AssignBody"/>
              <w:rPr>
                <w:b/>
                <w:bCs/>
              </w:rPr>
            </w:pPr>
            <w:r w:rsidRPr="00FE5500">
              <w:rPr>
                <w:b/>
                <w:bCs/>
              </w:rPr>
              <w:t>Target 2</w:t>
            </w:r>
          </w:p>
        </w:tc>
        <w:tc>
          <w:tcPr>
            <w:tcW w:w="3647" w:type="dxa"/>
            <w:tcBorders>
              <w:top w:val="single" w:sz="4" w:space="0" w:color="auto"/>
              <w:left w:val="single" w:sz="4" w:space="0" w:color="auto"/>
              <w:bottom w:val="single" w:sz="4" w:space="0" w:color="auto"/>
              <w:right w:val="single" w:sz="4" w:space="0" w:color="auto"/>
            </w:tcBorders>
          </w:tcPr>
          <w:p w14:paraId="2A9415E3" w14:textId="298AEB61" w:rsidR="00755E37" w:rsidRPr="00FE5500" w:rsidRDefault="00FE5500" w:rsidP="00FE5500">
            <w:pPr>
              <w:rPr>
                <w:rFonts w:ascii="Arial" w:hAnsi="Arial" w:cs="Arial"/>
              </w:rPr>
            </w:pPr>
            <w:r w:rsidRPr="00FE5500">
              <w:rPr>
                <w:rFonts w:ascii="Arial" w:hAnsi="Arial" w:cs="Arial"/>
                <w:color w:val="283041"/>
                <w:shd w:val="clear" w:color="auto" w:fill="FFFFFF"/>
              </w:rPr>
              <w:t>Consider developing counter argu</w:t>
            </w:r>
            <w:bookmarkStart w:id="0" w:name="_GoBack"/>
            <w:bookmarkEnd w:id="0"/>
            <w:r w:rsidRPr="00FE5500">
              <w:rPr>
                <w:rFonts w:ascii="Arial" w:hAnsi="Arial" w:cs="Arial"/>
                <w:color w:val="283041"/>
                <w:shd w:val="clear" w:color="auto" w:fill="FFFFFF"/>
              </w:rPr>
              <w:t>ments.</w:t>
            </w:r>
          </w:p>
        </w:tc>
        <w:tc>
          <w:tcPr>
            <w:tcW w:w="3647" w:type="dxa"/>
            <w:tcBorders>
              <w:top w:val="single" w:sz="4" w:space="0" w:color="auto"/>
              <w:left w:val="single" w:sz="4" w:space="0" w:color="auto"/>
              <w:bottom w:val="single" w:sz="4" w:space="0" w:color="auto"/>
              <w:right w:val="single" w:sz="4" w:space="0" w:color="auto"/>
            </w:tcBorders>
          </w:tcPr>
          <w:p w14:paraId="0E186AA1" w14:textId="7B6B2A31" w:rsidR="00755E37" w:rsidRDefault="00E30EAB" w:rsidP="00E30EAB">
            <w:pPr>
              <w:pStyle w:val="AssignBody"/>
              <w:spacing w:line="240" w:lineRule="auto"/>
            </w:pPr>
            <w:r>
              <w:t>Where possible, I have attempted to provide counter arguments to key points in order to present a balanced argument.</w:t>
            </w:r>
          </w:p>
        </w:tc>
      </w:tr>
    </w:tbl>
    <w:p w14:paraId="65122894" w14:textId="66835AC8" w:rsidR="00755E37" w:rsidRDefault="00755E37" w:rsidP="00755E37">
      <w:pPr>
        <w:pStyle w:val="AssignBody"/>
      </w:pPr>
    </w:p>
    <w:p w14:paraId="795B45D1" w14:textId="77777777" w:rsidR="00EF4E70" w:rsidRDefault="00EF4E70" w:rsidP="00EF4E70">
      <w:pPr>
        <w:spacing w:line="360" w:lineRule="auto"/>
        <w:rPr>
          <w:rFonts w:ascii="Arial" w:hAnsi="Arial" w:cs="Arial"/>
          <w:b/>
          <w:bCs/>
          <w:sz w:val="28"/>
          <w:szCs w:val="28"/>
        </w:rPr>
      </w:pPr>
    </w:p>
    <w:p w14:paraId="3131642B" w14:textId="6F7F1526" w:rsidR="00EF4E70" w:rsidRPr="00E43403" w:rsidRDefault="00EF4E70" w:rsidP="00EF4E70">
      <w:pPr>
        <w:spacing w:line="360" w:lineRule="auto"/>
        <w:rPr>
          <w:rFonts w:ascii="Arial" w:hAnsi="Arial" w:cs="Arial"/>
          <w:b/>
          <w:bCs/>
          <w:sz w:val="28"/>
          <w:szCs w:val="28"/>
        </w:rPr>
      </w:pPr>
      <w:r w:rsidRPr="00E43403">
        <w:rPr>
          <w:rFonts w:ascii="Arial" w:hAnsi="Arial" w:cs="Arial"/>
          <w:b/>
          <w:bCs/>
          <w:sz w:val="28"/>
          <w:szCs w:val="28"/>
        </w:rPr>
        <w:t>Aim, Focus and Purpose of the Research</w:t>
      </w:r>
    </w:p>
    <w:p w14:paraId="4EDC8C34" w14:textId="77777777" w:rsidR="00EF4E70" w:rsidRDefault="00EF4E70" w:rsidP="00EF4E70">
      <w:pPr>
        <w:pStyle w:val="NoSpacing"/>
        <w:spacing w:line="360" w:lineRule="auto"/>
        <w:rPr>
          <w:rFonts w:ascii="Arial" w:hAnsi="Arial" w:cs="Arial"/>
          <w:sz w:val="22"/>
          <w:szCs w:val="22"/>
        </w:rPr>
      </w:pPr>
      <w:r w:rsidRPr="00EF096D">
        <w:rPr>
          <w:rFonts w:ascii="Arial" w:hAnsi="Arial" w:cs="Arial"/>
          <w:sz w:val="22"/>
          <w:szCs w:val="22"/>
        </w:rPr>
        <w:t>To promote the development of practice that has a positive impact on learners, the teaching profession has become more research driven</w:t>
      </w:r>
      <w:r>
        <w:rPr>
          <w:rFonts w:ascii="Arial" w:hAnsi="Arial" w:cs="Arial"/>
          <w:sz w:val="22"/>
          <w:szCs w:val="22"/>
        </w:rPr>
        <w:t>,</w:t>
      </w:r>
      <w:r w:rsidRPr="00EF096D">
        <w:rPr>
          <w:rFonts w:ascii="Arial" w:hAnsi="Arial" w:cs="Arial"/>
          <w:sz w:val="22"/>
          <w:szCs w:val="22"/>
        </w:rPr>
        <w:t xml:space="preserve"> with practitioners adopting the </w:t>
      </w:r>
      <w:r>
        <w:rPr>
          <w:rFonts w:ascii="Arial" w:hAnsi="Arial" w:cs="Arial"/>
          <w:sz w:val="22"/>
          <w:szCs w:val="22"/>
        </w:rPr>
        <w:t>model</w:t>
      </w:r>
      <w:r w:rsidRPr="00EF096D">
        <w:rPr>
          <w:rFonts w:ascii="Arial" w:hAnsi="Arial" w:cs="Arial"/>
          <w:sz w:val="22"/>
          <w:szCs w:val="22"/>
        </w:rPr>
        <w:t xml:space="preserve"> of the transformative teacher. Mezirow (2000) defines transformative learning as learning that results in the revision of prior understandings to construct new guides for future actions. More specific to the education of teachers</w:t>
      </w:r>
      <w:r w:rsidRPr="00551BF9">
        <w:rPr>
          <w:rFonts w:ascii="Arial" w:hAnsi="Arial" w:cs="Arial"/>
          <w:color w:val="000000" w:themeColor="text1"/>
          <w:sz w:val="22"/>
          <w:szCs w:val="22"/>
        </w:rPr>
        <w:t xml:space="preserve">, </w:t>
      </w:r>
      <w:r w:rsidRPr="00551BF9">
        <w:rPr>
          <w:rFonts w:ascii="Arial" w:hAnsi="Arial" w:cs="Arial"/>
          <w:color w:val="000000" w:themeColor="text1"/>
          <w:sz w:val="22"/>
          <w:szCs w:val="22"/>
          <w:shd w:val="clear" w:color="auto" w:fill="FFFFFF"/>
        </w:rPr>
        <w:t xml:space="preserve">Brancard and Quinnwilliams (2012) describe </w:t>
      </w:r>
      <w:r w:rsidRPr="00EF096D">
        <w:rPr>
          <w:rFonts w:ascii="Arial" w:hAnsi="Arial" w:cs="Arial"/>
          <w:color w:val="3A3A3A"/>
          <w:sz w:val="22"/>
          <w:szCs w:val="22"/>
          <w:shd w:val="clear" w:color="auto" w:fill="FFFFFF"/>
        </w:rPr>
        <w:t xml:space="preserve">transformative learning as </w:t>
      </w:r>
      <w:r w:rsidRPr="00EF096D">
        <w:rPr>
          <w:rFonts w:ascii="Arial" w:hAnsi="Arial" w:cs="Arial"/>
          <w:sz w:val="22"/>
          <w:szCs w:val="22"/>
        </w:rPr>
        <w:t>the process of teachers revising their views of the nature of teaching and learning and adapting them to generate new beliefs that will guide their practice more effectively.</w:t>
      </w:r>
      <w:r>
        <w:rPr>
          <w:rFonts w:ascii="Arial" w:hAnsi="Arial" w:cs="Arial"/>
          <w:sz w:val="22"/>
          <w:szCs w:val="22"/>
        </w:rPr>
        <w:t xml:space="preserve"> </w:t>
      </w:r>
    </w:p>
    <w:p w14:paraId="7DFB84C6" w14:textId="34CA2FAD" w:rsidR="00EF4E70" w:rsidRPr="00EF096D" w:rsidRDefault="00EF4E70" w:rsidP="00EF4E70">
      <w:pPr>
        <w:pStyle w:val="NoSpacing"/>
        <w:spacing w:line="360" w:lineRule="auto"/>
        <w:rPr>
          <w:rFonts w:ascii="Arial" w:hAnsi="Arial" w:cs="Arial"/>
          <w:sz w:val="22"/>
          <w:szCs w:val="22"/>
        </w:rPr>
      </w:pPr>
      <w:r>
        <w:rPr>
          <w:rFonts w:ascii="Arial" w:hAnsi="Arial" w:cs="Arial"/>
          <w:sz w:val="22"/>
          <w:szCs w:val="22"/>
        </w:rPr>
        <w:t>The purpose of this research is to improve my professional practice through transformative learning, specifically relating to classroom management, which is a target I have been given</w:t>
      </w:r>
      <w:r w:rsidR="00BD174C">
        <w:rPr>
          <w:rFonts w:ascii="Arial" w:hAnsi="Arial" w:cs="Arial"/>
          <w:sz w:val="22"/>
          <w:szCs w:val="22"/>
        </w:rPr>
        <w:t xml:space="preserve"> by my mentors</w:t>
      </w:r>
      <w:r>
        <w:rPr>
          <w:rFonts w:ascii="Arial" w:hAnsi="Arial" w:cs="Arial"/>
          <w:sz w:val="22"/>
          <w:szCs w:val="22"/>
        </w:rPr>
        <w:t xml:space="preserve">. My current placement class, and placement school as a whole, predominantly uses the clapping and hand raised methods to regain whole class attention, and the aim of this study is to determine if these methods are effective and what </w:t>
      </w:r>
      <w:r w:rsidR="00BD174C">
        <w:rPr>
          <w:rFonts w:ascii="Arial" w:hAnsi="Arial" w:cs="Arial"/>
          <w:sz w:val="22"/>
          <w:szCs w:val="22"/>
        </w:rPr>
        <w:t>impact</w:t>
      </w:r>
      <w:r>
        <w:rPr>
          <w:rFonts w:ascii="Arial" w:hAnsi="Arial" w:cs="Arial"/>
          <w:sz w:val="22"/>
          <w:szCs w:val="22"/>
        </w:rPr>
        <w:t xml:space="preserve"> they have on learner engagement and wellbeing. The research will be informed by the relevant literature and will focus on two lesson studies in a reception and year 3 class.  </w:t>
      </w:r>
    </w:p>
    <w:p w14:paraId="3521909F" w14:textId="77777777" w:rsidR="00EF4E70" w:rsidRDefault="00EF4E70" w:rsidP="00EF4E70">
      <w:pPr>
        <w:spacing w:line="360" w:lineRule="auto"/>
        <w:rPr>
          <w:rFonts w:ascii="Arial" w:hAnsi="Arial" w:cs="Arial"/>
          <w:b/>
          <w:bCs/>
          <w:u w:val="single"/>
        </w:rPr>
      </w:pPr>
    </w:p>
    <w:p w14:paraId="4BDCC504" w14:textId="77777777" w:rsidR="00EF4E70" w:rsidRDefault="00EF4E70" w:rsidP="00EF4E70">
      <w:pPr>
        <w:spacing w:line="360" w:lineRule="auto"/>
        <w:rPr>
          <w:rFonts w:ascii="Arial" w:hAnsi="Arial" w:cs="Arial"/>
          <w:sz w:val="28"/>
          <w:szCs w:val="28"/>
        </w:rPr>
      </w:pPr>
      <w:r w:rsidRPr="00E43403">
        <w:rPr>
          <w:rFonts w:ascii="Arial" w:hAnsi="Arial" w:cs="Arial"/>
          <w:b/>
          <w:bCs/>
          <w:sz w:val="28"/>
          <w:szCs w:val="28"/>
        </w:rPr>
        <w:t xml:space="preserve">Research Context </w:t>
      </w:r>
    </w:p>
    <w:p w14:paraId="58E2C233" w14:textId="3D4AE45F" w:rsidR="00EF4E70" w:rsidRPr="00EF4E70" w:rsidRDefault="00EF4E70" w:rsidP="00EF4E70">
      <w:pPr>
        <w:spacing w:line="360" w:lineRule="auto"/>
        <w:rPr>
          <w:rFonts w:ascii="Arial" w:hAnsi="Arial" w:cs="Arial"/>
          <w:sz w:val="28"/>
          <w:szCs w:val="28"/>
        </w:rPr>
      </w:pPr>
      <w:r>
        <w:rPr>
          <w:rFonts w:ascii="Arial" w:hAnsi="Arial" w:cs="Arial"/>
        </w:rPr>
        <w:lastRenderedPageBreak/>
        <w:t>The lesson studies took place in a reception and year 3 class in School X, a primary school in rural South Wales. The school has 448 learners who are mostly of white British ethnicity and speak English as a first language. Approximately 38% of learners are eligible for free school meals and 36% of learners are identified as having additional learning needs (Estyn, 2019). My</w:t>
      </w:r>
      <w:r w:rsidR="00BD174C">
        <w:rPr>
          <w:rFonts w:ascii="Arial" w:hAnsi="Arial" w:cs="Arial"/>
        </w:rPr>
        <w:t xml:space="preserve"> research</w:t>
      </w:r>
      <w:r>
        <w:rPr>
          <w:rFonts w:ascii="Arial" w:hAnsi="Arial" w:cs="Arial"/>
        </w:rPr>
        <w:t xml:space="preserve"> partner and I were both on placement at School X and both working towards improving our classroom management. We both frequently witnessed the use of non-verbal attention signals in the form of the clapping method, where the teacher claps a rhythm and the learners must stop talking and repeat it, and the hand raised method, where the teacher raises their hand and the learners must stop talking and copy</w:t>
      </w:r>
      <w:r w:rsidR="00BD174C">
        <w:rPr>
          <w:rFonts w:ascii="Arial" w:hAnsi="Arial" w:cs="Arial"/>
        </w:rPr>
        <w:t>. We</w:t>
      </w:r>
      <w:r>
        <w:rPr>
          <w:rFonts w:ascii="Arial" w:hAnsi="Arial" w:cs="Arial"/>
        </w:rPr>
        <w:t xml:space="preserve"> discussed researching the effectiveness of these strategies and measuring their impact on the learners. Our initial research question was </w:t>
      </w:r>
      <w:r w:rsidRPr="00FE71A2">
        <w:rPr>
          <w:rFonts w:ascii="Arial" w:hAnsi="Arial" w:cs="Arial"/>
          <w:i/>
          <w:iCs/>
        </w:rPr>
        <w:t xml:space="preserve">Can non-verbal behaviour management strategies affect pupil </w:t>
      </w:r>
      <w:r>
        <w:rPr>
          <w:rFonts w:ascii="Arial" w:hAnsi="Arial" w:cs="Arial"/>
          <w:i/>
          <w:iCs/>
        </w:rPr>
        <w:t>involvement</w:t>
      </w:r>
      <w:r w:rsidRPr="00FE71A2">
        <w:rPr>
          <w:rFonts w:ascii="Arial" w:hAnsi="Arial" w:cs="Arial"/>
          <w:i/>
          <w:iCs/>
        </w:rPr>
        <w:t xml:space="preserve"> and how do they affect pupil well-being?</w:t>
      </w:r>
      <w:r>
        <w:rPr>
          <w:rFonts w:ascii="Arial" w:hAnsi="Arial" w:cs="Arial"/>
          <w:i/>
          <w:iCs/>
        </w:rPr>
        <w:t xml:space="preserve"> </w:t>
      </w:r>
    </w:p>
    <w:p w14:paraId="0E41124B" w14:textId="77777777" w:rsidR="00EF4E70" w:rsidRPr="0086458D" w:rsidRDefault="00EF4E70" w:rsidP="00EF4E70">
      <w:pPr>
        <w:spacing w:line="360" w:lineRule="auto"/>
        <w:rPr>
          <w:rFonts w:ascii="Arial" w:hAnsi="Arial" w:cs="Arial"/>
        </w:rPr>
      </w:pPr>
      <w:r>
        <w:rPr>
          <w:rFonts w:ascii="Arial" w:hAnsi="Arial" w:cs="Arial"/>
        </w:rPr>
        <w:t xml:space="preserve">    </w:t>
      </w:r>
    </w:p>
    <w:p w14:paraId="71679312" w14:textId="77777777" w:rsidR="00EF4E70" w:rsidRPr="00E43403" w:rsidRDefault="00EF4E70" w:rsidP="00EF4E70">
      <w:pPr>
        <w:spacing w:line="360" w:lineRule="auto"/>
        <w:rPr>
          <w:rFonts w:ascii="Arial" w:hAnsi="Arial" w:cs="Arial"/>
          <w:b/>
          <w:bCs/>
          <w:sz w:val="28"/>
          <w:szCs w:val="28"/>
        </w:rPr>
      </w:pPr>
      <w:r w:rsidRPr="00E43403">
        <w:rPr>
          <w:rFonts w:ascii="Arial" w:hAnsi="Arial" w:cs="Arial"/>
          <w:b/>
          <w:bCs/>
          <w:sz w:val="28"/>
          <w:szCs w:val="28"/>
        </w:rPr>
        <w:t>Literature Review</w:t>
      </w:r>
    </w:p>
    <w:p w14:paraId="07F2C1A7" w14:textId="77777777" w:rsidR="00BD174C" w:rsidRDefault="00EF4E70" w:rsidP="00BD174C">
      <w:pPr>
        <w:spacing w:line="360" w:lineRule="auto"/>
        <w:rPr>
          <w:rFonts w:ascii="Arial" w:hAnsi="Arial" w:cs="Arial"/>
        </w:rPr>
      </w:pPr>
      <w:r>
        <w:rPr>
          <w:rFonts w:ascii="Arial" w:hAnsi="Arial" w:cs="Arial"/>
        </w:rPr>
        <w:t>When examining the relevant literature for this</w:t>
      </w:r>
      <w:r w:rsidR="00BD174C">
        <w:rPr>
          <w:rFonts w:ascii="Arial" w:hAnsi="Arial" w:cs="Arial"/>
        </w:rPr>
        <w:t xml:space="preserve"> study</w:t>
      </w:r>
      <w:r>
        <w:rPr>
          <w:rFonts w:ascii="Arial" w:hAnsi="Arial" w:cs="Arial"/>
        </w:rPr>
        <w:t>, it was important to explore the literature regarding non-verbal classroom management strategies, learner involvement and learner wellbeing independently before ascertaining how these concepts combine to promote good teaching and learning. The hope was that this approach would help us better refine our research question.</w:t>
      </w:r>
      <w:r w:rsidR="00BD174C">
        <w:rPr>
          <w:rFonts w:ascii="Arial" w:hAnsi="Arial" w:cs="Arial"/>
        </w:rPr>
        <w:t xml:space="preserve"> </w:t>
      </w:r>
    </w:p>
    <w:p w14:paraId="7E3BCA0A" w14:textId="77777777" w:rsidR="00C01BC5" w:rsidRDefault="00EF4E70" w:rsidP="00C01BC5">
      <w:pPr>
        <w:spacing w:line="360" w:lineRule="auto"/>
        <w:rPr>
          <w:rFonts w:ascii="Arial" w:hAnsi="Arial" w:cs="Arial"/>
          <w:color w:val="000000" w:themeColor="text1"/>
        </w:rPr>
      </w:pPr>
      <w:r>
        <w:rPr>
          <w:rFonts w:ascii="Arial" w:eastAsia="Times New Roman" w:hAnsi="Arial" w:cs="Arial"/>
          <w:lang w:eastAsia="en-GB"/>
        </w:rPr>
        <w:t>In School X the clapping and hand raised methods are used as</w:t>
      </w:r>
      <w:r w:rsidR="00BD174C">
        <w:rPr>
          <w:rFonts w:ascii="Arial" w:eastAsia="Times New Roman" w:hAnsi="Arial" w:cs="Arial"/>
          <w:lang w:eastAsia="en-GB"/>
        </w:rPr>
        <w:t xml:space="preserve"> non-verbal</w:t>
      </w:r>
      <w:r>
        <w:rPr>
          <w:rFonts w:ascii="Arial" w:eastAsia="Times New Roman" w:hAnsi="Arial" w:cs="Arial"/>
          <w:lang w:eastAsia="en-GB"/>
        </w:rPr>
        <w:t xml:space="preserve"> attention signals in all age-groups and classes, to let learners know that their attention is required by the teacher. But why use non-verbal methods? Thompson (1973) states that humans convey up to 80% of meaning through non-verbal gestures and defines a gesture as</w:t>
      </w:r>
      <w:r w:rsidRPr="00F630B0">
        <w:rPr>
          <w:rFonts w:ascii="Arial" w:hAnsi="Arial" w:cs="Arial"/>
          <w:color w:val="000000" w:themeColor="text1"/>
        </w:rPr>
        <w:t xml:space="preserve"> a movement of the head or limbs that has</w:t>
      </w:r>
      <w:r>
        <w:rPr>
          <w:rFonts w:ascii="Arial" w:hAnsi="Arial" w:cs="Arial"/>
          <w:color w:val="000000" w:themeColor="text1"/>
        </w:rPr>
        <w:t xml:space="preserve"> </w:t>
      </w:r>
      <w:r w:rsidRPr="00F630B0">
        <w:rPr>
          <w:rFonts w:ascii="Arial" w:hAnsi="Arial" w:cs="Arial"/>
          <w:color w:val="000000" w:themeColor="text1"/>
        </w:rPr>
        <w:t>communicative value to someone capable of inferring meaning</w:t>
      </w:r>
      <w:r>
        <w:rPr>
          <w:rFonts w:ascii="Arial" w:hAnsi="Arial" w:cs="Arial"/>
          <w:color w:val="000000" w:themeColor="text1"/>
        </w:rPr>
        <w:t>. This potentially explains why a non-verbal approach could be effective, and perhaps this sentiment is best exemplified in the words of former USA president, Abraham Lincoln who said</w:t>
      </w:r>
      <w:r w:rsidRPr="00203760">
        <w:rPr>
          <w:rFonts w:ascii="Arial" w:hAnsi="Arial" w:cs="Arial"/>
          <w:color w:val="000000" w:themeColor="text1"/>
        </w:rPr>
        <w:t>,</w:t>
      </w:r>
      <w:r w:rsidR="00C01BC5">
        <w:rPr>
          <w:rFonts w:ascii="Arial" w:hAnsi="Arial" w:cs="Arial"/>
          <w:color w:val="000000" w:themeColor="text1"/>
        </w:rPr>
        <w:t xml:space="preserve"> </w:t>
      </w:r>
    </w:p>
    <w:p w14:paraId="0DF8AB4A" w14:textId="13A8DC0A" w:rsidR="00C01BC5" w:rsidRDefault="00EF4E70" w:rsidP="00C01BC5">
      <w:pPr>
        <w:pStyle w:val="AssignQuote"/>
        <w:rPr>
          <w:color w:val="000000" w:themeColor="text1"/>
        </w:rPr>
      </w:pPr>
      <w:r w:rsidRPr="00203760">
        <w:t>“actions speak louder than words”.</w:t>
      </w:r>
      <w:r>
        <w:rPr>
          <w:color w:val="000000" w:themeColor="text1"/>
        </w:rPr>
        <w:t xml:space="preserve"> </w:t>
      </w:r>
    </w:p>
    <w:p w14:paraId="500E1E82" w14:textId="77777777" w:rsidR="00C01BC5" w:rsidRPr="00C01BC5" w:rsidRDefault="00C01BC5" w:rsidP="00C01BC5">
      <w:pPr>
        <w:pStyle w:val="AssignBody"/>
      </w:pPr>
    </w:p>
    <w:p w14:paraId="6772DAFB" w14:textId="4BDD9061" w:rsidR="00EF4E70" w:rsidRPr="00203760" w:rsidRDefault="00EF4E70" w:rsidP="00BD174C">
      <w:pPr>
        <w:spacing w:line="360" w:lineRule="auto"/>
        <w:rPr>
          <w:rFonts w:ascii="Arial" w:hAnsi="Arial" w:cs="Arial"/>
          <w:color w:val="000000" w:themeColor="text1"/>
        </w:rPr>
      </w:pPr>
      <w:r>
        <w:rPr>
          <w:rFonts w:ascii="Arial" w:hAnsi="Arial" w:cs="Arial"/>
          <w:color w:val="000000" w:themeColor="text1"/>
        </w:rPr>
        <w:t xml:space="preserve">Gutloff (1998) argues that non-verbal attention signals are highly effective for </w:t>
      </w:r>
      <w:r w:rsidRPr="00F630B0">
        <w:rPr>
          <w:rFonts w:ascii="Arial" w:hAnsi="Arial" w:cs="Arial"/>
          <w:color w:val="000000" w:themeColor="text1"/>
        </w:rPr>
        <w:t>address</w:t>
      </w:r>
      <w:r>
        <w:rPr>
          <w:rFonts w:ascii="Arial" w:hAnsi="Arial" w:cs="Arial"/>
          <w:color w:val="000000" w:themeColor="text1"/>
        </w:rPr>
        <w:t>ing</w:t>
      </w:r>
      <w:r w:rsidRPr="00F630B0">
        <w:rPr>
          <w:rFonts w:ascii="Arial" w:hAnsi="Arial" w:cs="Arial"/>
          <w:color w:val="000000" w:themeColor="text1"/>
        </w:rPr>
        <w:t xml:space="preserve"> the students' needs quickly and quietly</w:t>
      </w:r>
      <w:r>
        <w:rPr>
          <w:rFonts w:ascii="Arial" w:hAnsi="Arial" w:cs="Arial"/>
          <w:color w:val="000000" w:themeColor="text1"/>
        </w:rPr>
        <w:t>,</w:t>
      </w:r>
      <w:r w:rsidRPr="00F630B0">
        <w:rPr>
          <w:rFonts w:ascii="Arial" w:hAnsi="Arial" w:cs="Arial"/>
          <w:color w:val="000000" w:themeColor="text1"/>
        </w:rPr>
        <w:t xml:space="preserve"> with minimal interruption to class time</w:t>
      </w:r>
      <w:r>
        <w:rPr>
          <w:rFonts w:ascii="Arial" w:hAnsi="Arial" w:cs="Arial"/>
          <w:color w:val="000000" w:themeColor="text1"/>
        </w:rPr>
        <w:t>,</w:t>
      </w:r>
      <w:r w:rsidRPr="00F630B0">
        <w:rPr>
          <w:rFonts w:ascii="Arial" w:hAnsi="Arial" w:cs="Arial"/>
          <w:color w:val="000000" w:themeColor="text1"/>
        </w:rPr>
        <w:t xml:space="preserve"> and to the momentum of a lesson</w:t>
      </w:r>
      <w:r>
        <w:rPr>
          <w:rFonts w:ascii="Arial" w:hAnsi="Arial" w:cs="Arial"/>
          <w:color w:val="000000" w:themeColor="text1"/>
        </w:rPr>
        <w:t xml:space="preserve">. Similarly, Sprick et al. (2009) argue that </w:t>
      </w:r>
      <w:r w:rsidRPr="00F630B0">
        <w:rPr>
          <w:rFonts w:ascii="Arial" w:hAnsi="Arial" w:cs="Arial"/>
          <w:color w:val="000000" w:themeColor="text1"/>
        </w:rPr>
        <w:t xml:space="preserve">an attention signal used by the teacher to quiet students </w:t>
      </w:r>
      <w:r>
        <w:rPr>
          <w:rFonts w:ascii="Arial" w:hAnsi="Arial" w:cs="Arial"/>
          <w:color w:val="000000" w:themeColor="text1"/>
        </w:rPr>
        <w:t>can</w:t>
      </w:r>
      <w:r w:rsidRPr="00F630B0">
        <w:rPr>
          <w:rFonts w:ascii="Arial" w:hAnsi="Arial" w:cs="Arial"/>
          <w:color w:val="000000" w:themeColor="text1"/>
        </w:rPr>
        <w:t xml:space="preserve"> be the most critical component</w:t>
      </w:r>
      <w:r>
        <w:rPr>
          <w:rFonts w:ascii="Arial" w:hAnsi="Arial" w:cs="Arial"/>
          <w:color w:val="000000" w:themeColor="text1"/>
        </w:rPr>
        <w:t xml:space="preserve"> of a</w:t>
      </w:r>
      <w:r w:rsidRPr="00F630B0">
        <w:rPr>
          <w:rFonts w:ascii="Arial" w:hAnsi="Arial" w:cs="Arial"/>
          <w:color w:val="000000" w:themeColor="text1"/>
        </w:rPr>
        <w:t xml:space="preserve"> classroom management plan</w:t>
      </w:r>
      <w:r>
        <w:rPr>
          <w:rFonts w:ascii="Arial" w:hAnsi="Arial" w:cs="Arial"/>
          <w:color w:val="000000" w:themeColor="text1"/>
        </w:rPr>
        <w:t xml:space="preserve">. Neill (2017) also promotes non-verbal attention signals stating that they </w:t>
      </w:r>
      <w:r w:rsidRPr="00F630B0">
        <w:rPr>
          <w:rFonts w:ascii="Arial" w:hAnsi="Arial" w:cs="Arial"/>
          <w:color w:val="000000" w:themeColor="text1"/>
        </w:rPr>
        <w:lastRenderedPageBreak/>
        <w:t>are particularly important in maintaining control</w:t>
      </w:r>
      <w:r>
        <w:rPr>
          <w:rFonts w:ascii="Arial" w:hAnsi="Arial" w:cs="Arial"/>
          <w:color w:val="000000" w:themeColor="text1"/>
        </w:rPr>
        <w:t xml:space="preserve">, </w:t>
      </w:r>
      <w:r w:rsidRPr="00F630B0">
        <w:rPr>
          <w:rFonts w:ascii="Arial" w:hAnsi="Arial" w:cs="Arial"/>
          <w:color w:val="000000" w:themeColor="text1"/>
        </w:rPr>
        <w:t>avoiding</w:t>
      </w:r>
      <w:r>
        <w:rPr>
          <w:rFonts w:ascii="Arial" w:hAnsi="Arial" w:cs="Arial"/>
          <w:color w:val="000000" w:themeColor="text1"/>
        </w:rPr>
        <w:t xml:space="preserve"> the</w:t>
      </w:r>
      <w:r w:rsidRPr="00F630B0">
        <w:rPr>
          <w:rFonts w:ascii="Arial" w:hAnsi="Arial" w:cs="Arial"/>
          <w:color w:val="000000" w:themeColor="text1"/>
        </w:rPr>
        <w:t xml:space="preserve"> wast</w:t>
      </w:r>
      <w:r>
        <w:rPr>
          <w:rFonts w:ascii="Arial" w:hAnsi="Arial" w:cs="Arial"/>
          <w:color w:val="000000" w:themeColor="text1"/>
        </w:rPr>
        <w:t>ing</w:t>
      </w:r>
      <w:r w:rsidRPr="00F630B0">
        <w:rPr>
          <w:rFonts w:ascii="Arial" w:hAnsi="Arial" w:cs="Arial"/>
          <w:color w:val="000000" w:themeColor="text1"/>
        </w:rPr>
        <w:t xml:space="preserve"> of time at the start of lessons and</w:t>
      </w:r>
      <w:r>
        <w:rPr>
          <w:rFonts w:ascii="Arial" w:hAnsi="Arial" w:cs="Arial"/>
          <w:color w:val="000000" w:themeColor="text1"/>
        </w:rPr>
        <w:t xml:space="preserve"> in lesson transitions</w:t>
      </w:r>
      <w:r w:rsidRPr="00F630B0">
        <w:rPr>
          <w:rFonts w:ascii="Arial" w:hAnsi="Arial" w:cs="Arial"/>
          <w:color w:val="000000" w:themeColor="text1"/>
        </w:rPr>
        <w:t>.</w:t>
      </w:r>
      <w:r>
        <w:rPr>
          <w:rFonts w:ascii="Arial" w:hAnsi="Arial" w:cs="Arial"/>
          <w:color w:val="000000" w:themeColor="text1"/>
        </w:rPr>
        <w:t xml:space="preserve"> The literature above appears to promote non-verbal attention signals as a method of quickly gaining class attention and perhaps this is why School X has adopted this classroom management approach throughout the school, but how does this promote effective teaching and learning? </w:t>
      </w:r>
      <w:proofErr w:type="spellStart"/>
      <w:r>
        <w:rPr>
          <w:rFonts w:ascii="Arial" w:hAnsi="Arial" w:cs="Arial"/>
          <w:color w:val="000000" w:themeColor="text1"/>
        </w:rPr>
        <w:t>Stronge</w:t>
      </w:r>
      <w:proofErr w:type="spellEnd"/>
      <w:r>
        <w:rPr>
          <w:rFonts w:ascii="Arial" w:hAnsi="Arial" w:cs="Arial"/>
          <w:color w:val="000000" w:themeColor="text1"/>
        </w:rPr>
        <w:t xml:space="preserve">, Tucker and Hindman (2004) state that effective practitioners </w:t>
      </w:r>
      <w:r w:rsidRPr="00E176FE">
        <w:rPr>
          <w:rFonts w:ascii="Arial" w:hAnsi="Arial" w:cs="Arial"/>
          <w:color w:val="000000" w:themeColor="text1"/>
        </w:rPr>
        <w:t>invest time at the beginning of the year to establish routines and expectations that prevent</w:t>
      </w:r>
      <w:r w:rsidRPr="006B77AA">
        <w:rPr>
          <w:rFonts w:ascii="Arial" w:hAnsi="Arial" w:cs="Arial"/>
          <w:color w:val="000000" w:themeColor="text1"/>
        </w:rPr>
        <w:t xml:space="preserve"> </w:t>
      </w:r>
      <w:r w:rsidRPr="00E176FE">
        <w:rPr>
          <w:rFonts w:ascii="Arial" w:hAnsi="Arial" w:cs="Arial"/>
          <w:color w:val="000000" w:themeColor="text1"/>
        </w:rPr>
        <w:t>student disruptions</w:t>
      </w:r>
      <w:r>
        <w:rPr>
          <w:rFonts w:ascii="Arial" w:hAnsi="Arial" w:cs="Arial"/>
          <w:color w:val="000000" w:themeColor="text1"/>
        </w:rPr>
        <w:t xml:space="preserve"> or</w:t>
      </w:r>
      <w:r w:rsidRPr="00E176FE">
        <w:rPr>
          <w:rFonts w:ascii="Arial" w:hAnsi="Arial" w:cs="Arial"/>
          <w:color w:val="000000" w:themeColor="text1"/>
        </w:rPr>
        <w:t xml:space="preserve"> the loss of time during transitions </w:t>
      </w:r>
      <w:r>
        <w:rPr>
          <w:rFonts w:ascii="Arial" w:hAnsi="Arial" w:cs="Arial"/>
          <w:color w:val="000000" w:themeColor="text1"/>
        </w:rPr>
        <w:t>and it’s worth noting that School X has consistently enforced a non-verbal approach throughout the school.</w:t>
      </w:r>
      <w:r w:rsidRPr="00E176FE">
        <w:rPr>
          <w:rFonts w:ascii="Arial" w:hAnsi="Arial" w:cs="Arial"/>
          <w:color w:val="000000" w:themeColor="text1"/>
        </w:rPr>
        <w:t xml:space="preserve"> </w:t>
      </w:r>
      <w:r w:rsidRPr="00E176FE">
        <w:rPr>
          <w:rFonts w:ascii="Arial" w:eastAsia="Times New Roman" w:hAnsi="Arial" w:cs="Arial"/>
          <w:lang w:eastAsia="en-GB"/>
        </w:rPr>
        <w:t>Erickso</w:t>
      </w:r>
      <w:r>
        <w:rPr>
          <w:rFonts w:ascii="Arial" w:eastAsia="Times New Roman" w:hAnsi="Arial" w:cs="Arial"/>
          <w:lang w:eastAsia="en-GB"/>
        </w:rPr>
        <w:t>n,</w:t>
      </w:r>
      <w:r w:rsidRPr="00E176FE">
        <w:rPr>
          <w:rFonts w:ascii="Arial" w:eastAsia="Times New Roman" w:hAnsi="Arial" w:cs="Arial"/>
          <w:lang w:eastAsia="en-GB"/>
        </w:rPr>
        <w:t xml:space="preserve"> Hawkhead</w:t>
      </w:r>
      <w:r>
        <w:rPr>
          <w:rFonts w:ascii="Arial" w:eastAsia="Times New Roman" w:hAnsi="Arial" w:cs="Arial"/>
          <w:lang w:eastAsia="en-GB"/>
        </w:rPr>
        <w:t xml:space="preserve"> and</w:t>
      </w:r>
      <w:r w:rsidRPr="00E176FE">
        <w:rPr>
          <w:rFonts w:ascii="Arial" w:eastAsia="Times New Roman" w:hAnsi="Arial" w:cs="Arial"/>
          <w:lang w:eastAsia="en-GB"/>
        </w:rPr>
        <w:t xml:space="preserve"> Moody</w:t>
      </w:r>
      <w:r>
        <w:rPr>
          <w:rFonts w:ascii="Arial" w:eastAsia="Times New Roman" w:hAnsi="Arial" w:cs="Arial"/>
          <w:lang w:eastAsia="en-GB"/>
        </w:rPr>
        <w:t xml:space="preserve"> (1980) argue that the </w:t>
      </w:r>
      <w:r>
        <w:rPr>
          <w:rFonts w:ascii="Arial" w:hAnsi="Arial" w:cs="Arial"/>
          <w:color w:val="000000" w:themeColor="text1"/>
        </w:rPr>
        <w:t xml:space="preserve">amount of time spent on task </w:t>
      </w:r>
      <w:r w:rsidRPr="00E176FE">
        <w:rPr>
          <w:rFonts w:ascii="Arial" w:hAnsi="Arial" w:cs="Arial"/>
          <w:color w:val="000000" w:themeColor="text1"/>
        </w:rPr>
        <w:t>positive</w:t>
      </w:r>
      <w:r>
        <w:rPr>
          <w:rFonts w:ascii="Arial" w:hAnsi="Arial" w:cs="Arial"/>
          <w:color w:val="000000" w:themeColor="text1"/>
        </w:rPr>
        <w:t>ly</w:t>
      </w:r>
      <w:r w:rsidRPr="00E176FE">
        <w:rPr>
          <w:rFonts w:ascii="Arial" w:hAnsi="Arial" w:cs="Arial"/>
          <w:color w:val="000000" w:themeColor="text1"/>
        </w:rPr>
        <w:t xml:space="preserve"> co</w:t>
      </w:r>
      <w:r>
        <w:rPr>
          <w:rFonts w:ascii="Arial" w:hAnsi="Arial" w:cs="Arial"/>
          <w:color w:val="000000" w:themeColor="text1"/>
        </w:rPr>
        <w:t>rresponds</w:t>
      </w:r>
      <w:r w:rsidRPr="00E176FE">
        <w:rPr>
          <w:rFonts w:ascii="Arial" w:hAnsi="Arial" w:cs="Arial"/>
          <w:color w:val="000000" w:themeColor="text1"/>
        </w:rPr>
        <w:t xml:space="preserve"> with</w:t>
      </w:r>
      <w:r>
        <w:rPr>
          <w:rFonts w:ascii="Arial" w:hAnsi="Arial" w:cs="Arial"/>
          <w:color w:val="000000" w:themeColor="text1"/>
        </w:rPr>
        <w:t xml:space="preserve"> learner progress. </w:t>
      </w:r>
      <w:r w:rsidRPr="00E176FE">
        <w:rPr>
          <w:rFonts w:ascii="Arial" w:hAnsi="Arial" w:cs="Arial"/>
          <w:color w:val="000000" w:themeColor="text1"/>
        </w:rPr>
        <w:t xml:space="preserve">Cruickshank &amp; </w:t>
      </w:r>
      <w:proofErr w:type="spellStart"/>
      <w:r w:rsidRPr="00E176FE">
        <w:rPr>
          <w:rFonts w:ascii="Arial" w:hAnsi="Arial" w:cs="Arial"/>
          <w:color w:val="000000" w:themeColor="text1"/>
        </w:rPr>
        <w:t>Haefele</w:t>
      </w:r>
      <w:proofErr w:type="spellEnd"/>
      <w:r>
        <w:rPr>
          <w:rFonts w:ascii="Arial" w:hAnsi="Arial" w:cs="Arial"/>
          <w:color w:val="000000" w:themeColor="text1"/>
        </w:rPr>
        <w:t xml:space="preserve"> (</w:t>
      </w:r>
      <w:r w:rsidRPr="00E176FE">
        <w:rPr>
          <w:rFonts w:ascii="Arial" w:hAnsi="Arial" w:cs="Arial"/>
          <w:color w:val="000000" w:themeColor="text1"/>
        </w:rPr>
        <w:t>2001</w:t>
      </w:r>
      <w:r>
        <w:rPr>
          <w:rFonts w:ascii="Arial" w:hAnsi="Arial" w:cs="Arial"/>
          <w:color w:val="000000" w:themeColor="text1"/>
        </w:rPr>
        <w:t>) argue that effective teachers maximise teaching time by ensuring learners are consistently engaged</w:t>
      </w:r>
      <w:r w:rsidR="00203760">
        <w:rPr>
          <w:rFonts w:ascii="Arial" w:hAnsi="Arial" w:cs="Arial"/>
          <w:color w:val="000000" w:themeColor="text1"/>
        </w:rPr>
        <w:t>,</w:t>
      </w:r>
      <w:r>
        <w:rPr>
          <w:rFonts w:ascii="Arial" w:hAnsi="Arial" w:cs="Arial"/>
          <w:color w:val="000000" w:themeColor="text1"/>
        </w:rPr>
        <w:t xml:space="preserve"> and similarly</w:t>
      </w:r>
      <w:r w:rsidR="00203760">
        <w:rPr>
          <w:rFonts w:ascii="Arial" w:hAnsi="Arial" w:cs="Arial"/>
          <w:color w:val="000000" w:themeColor="text1"/>
        </w:rPr>
        <w:t xml:space="preserve"> </w:t>
      </w:r>
      <w:r>
        <w:rPr>
          <w:rFonts w:ascii="Arial" w:hAnsi="Arial" w:cs="Arial"/>
          <w:color w:val="000000" w:themeColor="text1"/>
        </w:rPr>
        <w:t xml:space="preserve">Wong (2004) argues that effective teachers reduce wasted and idle times and increase engagement by using effective classroom management. The literature examined above is in agreement that a consistent approach to classroom management can result in maximising teaching time, which positively corresponds to learner </w:t>
      </w:r>
      <w:r w:rsidR="00203760">
        <w:rPr>
          <w:rFonts w:ascii="Arial" w:hAnsi="Arial" w:cs="Arial"/>
          <w:color w:val="000000" w:themeColor="text1"/>
        </w:rPr>
        <w:t>progress</w:t>
      </w:r>
      <w:r>
        <w:rPr>
          <w:rFonts w:ascii="Arial" w:hAnsi="Arial" w:cs="Arial"/>
          <w:color w:val="000000" w:themeColor="text1"/>
        </w:rPr>
        <w:t>, and non-verbal attention signals have been seen to quickly regain learner attention. Having explored the benefits of non-verbal classroom management strategies, or more specifically non-verbal attention signals, the literature regarding learner involvement will now be explored.</w:t>
      </w:r>
    </w:p>
    <w:p w14:paraId="3C47C3B3" w14:textId="77777777" w:rsidR="00EF4E70" w:rsidRDefault="00EF4E70" w:rsidP="00EF4E70">
      <w:pPr>
        <w:pStyle w:val="NoSpacing"/>
        <w:spacing w:line="360" w:lineRule="auto"/>
        <w:rPr>
          <w:rFonts w:ascii="Arial" w:hAnsi="Arial" w:cs="Arial"/>
          <w:sz w:val="22"/>
          <w:szCs w:val="22"/>
        </w:rPr>
      </w:pPr>
      <w:r>
        <w:rPr>
          <w:rFonts w:ascii="Arial" w:hAnsi="Arial" w:cs="Arial"/>
          <w:color w:val="000000" w:themeColor="text1"/>
          <w:sz w:val="22"/>
          <w:szCs w:val="22"/>
        </w:rPr>
        <w:t xml:space="preserve">Upon examining the literature regarding learner involvement, it became clear that the term ‘involvement’, contained in our initial research question wasn’t specific enough, as it could be interpreted as learners merely being present and quiet during a lesson. Instead, the term engagement better describes a learner who is an active participant in educational activities. Coates (2005) defines learner engagement as </w:t>
      </w:r>
      <w:r w:rsidRPr="00C91B3E">
        <w:rPr>
          <w:rFonts w:ascii="Arial" w:hAnsi="Arial" w:cs="Arial"/>
          <w:sz w:val="22"/>
          <w:szCs w:val="22"/>
        </w:rPr>
        <w:t xml:space="preserve">the extent to which students </w:t>
      </w:r>
      <w:r>
        <w:rPr>
          <w:rFonts w:ascii="Arial" w:hAnsi="Arial" w:cs="Arial"/>
          <w:sz w:val="22"/>
          <w:szCs w:val="22"/>
        </w:rPr>
        <w:t>engage</w:t>
      </w:r>
      <w:r w:rsidRPr="00C91B3E">
        <w:rPr>
          <w:rFonts w:ascii="Arial" w:hAnsi="Arial" w:cs="Arial"/>
          <w:sz w:val="22"/>
          <w:szCs w:val="22"/>
        </w:rPr>
        <w:t xml:space="preserve"> in</w:t>
      </w:r>
      <w:r>
        <w:rPr>
          <w:rFonts w:ascii="Arial" w:hAnsi="Arial" w:cs="Arial"/>
          <w:sz w:val="22"/>
          <w:szCs w:val="22"/>
        </w:rPr>
        <w:t xml:space="preserve"> </w:t>
      </w:r>
      <w:r w:rsidRPr="00C91B3E">
        <w:rPr>
          <w:rFonts w:ascii="Arial" w:hAnsi="Arial" w:cs="Arial"/>
          <w:sz w:val="22"/>
          <w:szCs w:val="22"/>
        </w:rPr>
        <w:t>educational activities that research has shown as likely to lead to high quality learning.</w:t>
      </w:r>
      <w:r>
        <w:rPr>
          <w:rFonts w:ascii="Arial" w:hAnsi="Arial" w:cs="Arial"/>
          <w:sz w:val="22"/>
          <w:szCs w:val="22"/>
        </w:rPr>
        <w:t xml:space="preserve"> </w:t>
      </w:r>
      <w:r w:rsidRPr="00C91B3E">
        <w:rPr>
          <w:rFonts w:ascii="Arial" w:hAnsi="Arial" w:cs="Arial"/>
          <w:sz w:val="22"/>
          <w:szCs w:val="22"/>
          <w:lang w:eastAsia="en-GB"/>
        </w:rPr>
        <w:t>Pascarella, Seifert,</w:t>
      </w:r>
      <w:r>
        <w:rPr>
          <w:rFonts w:ascii="Arial" w:hAnsi="Arial" w:cs="Arial"/>
          <w:sz w:val="22"/>
          <w:szCs w:val="22"/>
          <w:lang w:eastAsia="en-GB"/>
        </w:rPr>
        <w:t xml:space="preserve"> </w:t>
      </w:r>
      <w:r w:rsidRPr="00C91B3E">
        <w:rPr>
          <w:rFonts w:ascii="Arial" w:hAnsi="Arial" w:cs="Arial"/>
          <w:sz w:val="22"/>
          <w:szCs w:val="22"/>
          <w:lang w:eastAsia="en-GB"/>
        </w:rPr>
        <w:t xml:space="preserve">and </w:t>
      </w:r>
      <w:proofErr w:type="spellStart"/>
      <w:r w:rsidRPr="00C91B3E">
        <w:rPr>
          <w:rFonts w:ascii="Arial" w:hAnsi="Arial" w:cs="Arial"/>
          <w:sz w:val="22"/>
          <w:szCs w:val="22"/>
          <w:lang w:eastAsia="en-GB"/>
        </w:rPr>
        <w:t>Blaich</w:t>
      </w:r>
      <w:proofErr w:type="spellEnd"/>
      <w:r>
        <w:rPr>
          <w:rFonts w:ascii="Arial" w:hAnsi="Arial" w:cs="Arial"/>
          <w:sz w:val="22"/>
          <w:szCs w:val="22"/>
          <w:lang w:eastAsia="en-GB"/>
        </w:rPr>
        <w:t xml:space="preserve"> (2010) agree that when we increase learner engagement, learner outcomes also increase.</w:t>
      </w:r>
      <w:r>
        <w:rPr>
          <w:rFonts w:ascii="Arial" w:hAnsi="Arial" w:cs="Arial"/>
          <w:sz w:val="22"/>
          <w:szCs w:val="22"/>
        </w:rPr>
        <w:t xml:space="preserve"> Graham et al. (2007) similarly state that </w:t>
      </w:r>
      <w:r w:rsidRPr="00C91B3E">
        <w:rPr>
          <w:rFonts w:ascii="Arial" w:hAnsi="Arial" w:cs="Arial"/>
          <w:sz w:val="22"/>
          <w:szCs w:val="22"/>
        </w:rPr>
        <w:t>academic achievement is positively influenced by the amount of active participation in the learning process.</w:t>
      </w:r>
      <w:r>
        <w:rPr>
          <w:rFonts w:ascii="Arial" w:hAnsi="Arial" w:cs="Arial"/>
          <w:sz w:val="22"/>
          <w:szCs w:val="22"/>
        </w:rPr>
        <w:t xml:space="preserve"> The literature in these examples presents a positive correlation between learner engagement and learner outcomes, which suggests the importance of maintaining learner engagement. This correlation is helpful in refining our research question as it becomes imperative that any classroom management approaches positively affect learner engagement. The literature regarding learner wellbeing can now be examined.</w:t>
      </w:r>
    </w:p>
    <w:p w14:paraId="282B6ED0" w14:textId="6C04BF6C" w:rsidR="00EF4E70" w:rsidRPr="00C466D7" w:rsidRDefault="00EF4E70" w:rsidP="00EF4E70">
      <w:pPr>
        <w:pStyle w:val="NoSpacing"/>
        <w:spacing w:line="360" w:lineRule="auto"/>
        <w:rPr>
          <w:rFonts w:ascii="Arial" w:hAnsi="Arial" w:cs="Arial"/>
          <w:sz w:val="22"/>
          <w:szCs w:val="22"/>
        </w:rPr>
      </w:pPr>
      <w:r>
        <w:rPr>
          <w:rFonts w:ascii="Arial" w:hAnsi="Arial" w:cs="Arial"/>
          <w:sz w:val="22"/>
          <w:szCs w:val="22"/>
        </w:rPr>
        <w:t>It is worth mentioning that this study will not look to explore in great depth, the vast multitude of factors that impact a learners’ holistic wellbeing</w:t>
      </w:r>
      <w:r w:rsidR="00203760">
        <w:rPr>
          <w:rFonts w:ascii="Arial" w:hAnsi="Arial" w:cs="Arial"/>
          <w:sz w:val="22"/>
          <w:szCs w:val="22"/>
        </w:rPr>
        <w:t>,</w:t>
      </w:r>
      <w:r>
        <w:rPr>
          <w:rFonts w:ascii="Arial" w:hAnsi="Arial" w:cs="Arial"/>
          <w:sz w:val="22"/>
          <w:szCs w:val="22"/>
        </w:rPr>
        <w:t xml:space="preserve"> and the literature presented below seeks only to establish the importance of learner wellbeing in order to help refine our research question.</w:t>
      </w:r>
      <w:r w:rsidRPr="005B7F28">
        <w:rPr>
          <w:rFonts w:ascii="Arial" w:eastAsia="Times New Roman" w:hAnsi="Arial" w:cs="Arial"/>
          <w:sz w:val="22"/>
          <w:szCs w:val="22"/>
          <w:lang w:eastAsia="en-GB"/>
        </w:rPr>
        <w:t xml:space="preserve"> Gibbons and Silva (20</w:t>
      </w:r>
      <w:r>
        <w:rPr>
          <w:rFonts w:ascii="Arial" w:eastAsia="Times New Roman" w:hAnsi="Arial" w:cs="Arial"/>
          <w:sz w:val="22"/>
          <w:szCs w:val="22"/>
          <w:lang w:eastAsia="en-GB"/>
        </w:rPr>
        <w:t xml:space="preserve">11) </w:t>
      </w:r>
      <w:r w:rsidRPr="005B7F28">
        <w:rPr>
          <w:rFonts w:ascii="Arial" w:eastAsia="Times New Roman" w:hAnsi="Arial" w:cs="Arial"/>
          <w:sz w:val="22"/>
          <w:szCs w:val="22"/>
          <w:lang w:eastAsia="en-GB"/>
        </w:rPr>
        <w:t>found a significant positive relationship between</w:t>
      </w:r>
      <w:r>
        <w:rPr>
          <w:rFonts w:ascii="Arial" w:eastAsia="Times New Roman" w:hAnsi="Arial" w:cs="Arial"/>
          <w:sz w:val="22"/>
          <w:szCs w:val="22"/>
          <w:lang w:eastAsia="en-GB"/>
        </w:rPr>
        <w:t xml:space="preserve"> learner </w:t>
      </w:r>
      <w:r>
        <w:rPr>
          <w:rFonts w:ascii="Arial" w:eastAsia="Times New Roman" w:hAnsi="Arial" w:cs="Arial"/>
          <w:sz w:val="22"/>
          <w:szCs w:val="22"/>
          <w:lang w:eastAsia="en-GB"/>
        </w:rPr>
        <w:lastRenderedPageBreak/>
        <w:t xml:space="preserve">progress and the extent to which a learner enjoys school. </w:t>
      </w:r>
      <w:proofErr w:type="spellStart"/>
      <w:r w:rsidRPr="007848A5">
        <w:rPr>
          <w:rFonts w:ascii="Arial" w:eastAsia="Times New Roman" w:hAnsi="Arial" w:cs="Arial"/>
          <w:sz w:val="22"/>
          <w:szCs w:val="22"/>
          <w:lang w:eastAsia="en-GB"/>
        </w:rPr>
        <w:t>Meschi</w:t>
      </w:r>
      <w:proofErr w:type="spellEnd"/>
      <w:r>
        <w:rPr>
          <w:rFonts w:ascii="Arial" w:eastAsia="Times New Roman" w:hAnsi="Arial" w:cs="Arial"/>
          <w:sz w:val="22"/>
          <w:szCs w:val="22"/>
          <w:lang w:eastAsia="en-GB"/>
        </w:rPr>
        <w:t xml:space="preserve"> and</w:t>
      </w:r>
      <w:r w:rsidRPr="007848A5">
        <w:rPr>
          <w:rFonts w:ascii="Arial" w:eastAsia="Times New Roman" w:hAnsi="Arial" w:cs="Arial"/>
          <w:sz w:val="22"/>
          <w:szCs w:val="22"/>
          <w:lang w:eastAsia="en-GB"/>
        </w:rPr>
        <w:t xml:space="preserve"> </w:t>
      </w:r>
      <w:proofErr w:type="spellStart"/>
      <w:r w:rsidRPr="007848A5">
        <w:rPr>
          <w:rFonts w:ascii="Arial" w:eastAsia="Times New Roman" w:hAnsi="Arial" w:cs="Arial"/>
          <w:sz w:val="22"/>
          <w:szCs w:val="22"/>
          <w:lang w:eastAsia="en-GB"/>
        </w:rPr>
        <w:t>Vignoles</w:t>
      </w:r>
      <w:proofErr w:type="spellEnd"/>
      <w:r>
        <w:rPr>
          <w:rFonts w:ascii="Arial" w:eastAsia="Times New Roman" w:hAnsi="Arial" w:cs="Arial"/>
          <w:sz w:val="22"/>
          <w:szCs w:val="22"/>
          <w:lang w:eastAsia="en-GB"/>
        </w:rPr>
        <w:t xml:space="preserve"> (2010) also argue that there is a positive correlation between learners who feel positive about school and learners who gain higher academic achievement. </w:t>
      </w:r>
      <w:r w:rsidRPr="007848A5">
        <w:rPr>
          <w:rFonts w:ascii="Arial" w:eastAsia="Times New Roman" w:hAnsi="Arial" w:cs="Arial"/>
          <w:sz w:val="22"/>
          <w:szCs w:val="22"/>
          <w:lang w:eastAsia="en-GB"/>
        </w:rPr>
        <w:t>Gutman</w:t>
      </w:r>
      <w:r>
        <w:rPr>
          <w:rFonts w:ascii="Arial" w:eastAsia="Times New Roman" w:hAnsi="Arial" w:cs="Arial"/>
          <w:sz w:val="22"/>
          <w:szCs w:val="22"/>
          <w:lang w:eastAsia="en-GB"/>
        </w:rPr>
        <w:t xml:space="preserve"> and </w:t>
      </w:r>
      <w:r w:rsidRPr="007848A5">
        <w:rPr>
          <w:rFonts w:ascii="Arial" w:eastAsia="Times New Roman" w:hAnsi="Arial" w:cs="Arial"/>
          <w:sz w:val="22"/>
          <w:szCs w:val="22"/>
          <w:lang w:eastAsia="en-GB"/>
        </w:rPr>
        <w:t>Feinstein</w:t>
      </w:r>
      <w:r>
        <w:rPr>
          <w:rFonts w:ascii="Arial" w:eastAsia="Times New Roman" w:hAnsi="Arial" w:cs="Arial"/>
          <w:sz w:val="22"/>
          <w:szCs w:val="22"/>
          <w:lang w:eastAsia="en-GB"/>
        </w:rPr>
        <w:t xml:space="preserve"> (2008) however, disagree with these findings and suggest that their study found no association between a learners enjoyment of school, including the ability to talk to teachers, and academic achievement. The examined literature regarding learner wellbeing at school presents an interesting dynamic for our research.</w:t>
      </w:r>
      <w:r w:rsidRPr="00BE6ACA">
        <w:rPr>
          <w:rFonts w:ascii="Arial" w:eastAsia="Times New Roman" w:hAnsi="Arial" w:cs="Arial"/>
          <w:sz w:val="22"/>
          <w:szCs w:val="22"/>
          <w:lang w:eastAsia="en-GB"/>
        </w:rPr>
        <w:t xml:space="preserve"> </w:t>
      </w:r>
      <w:r>
        <w:rPr>
          <w:rFonts w:ascii="Arial" w:eastAsia="Times New Roman" w:hAnsi="Arial" w:cs="Arial"/>
          <w:sz w:val="22"/>
          <w:szCs w:val="22"/>
          <w:lang w:eastAsia="en-GB"/>
        </w:rPr>
        <w:t xml:space="preserve">If we adopt the views of Gutman and Feinstein (2008) then little consideration of learner wellbeing is needed when approaching classroom management, however if we adopt the views of Gibbons and Silva (2011) and </w:t>
      </w:r>
      <w:proofErr w:type="spellStart"/>
      <w:r>
        <w:rPr>
          <w:rFonts w:ascii="Arial" w:eastAsia="Times New Roman" w:hAnsi="Arial" w:cs="Arial"/>
          <w:sz w:val="22"/>
          <w:szCs w:val="22"/>
          <w:lang w:eastAsia="en-GB"/>
        </w:rPr>
        <w:t>Meschi</w:t>
      </w:r>
      <w:proofErr w:type="spellEnd"/>
      <w:r>
        <w:rPr>
          <w:rFonts w:ascii="Arial" w:eastAsia="Times New Roman" w:hAnsi="Arial" w:cs="Arial"/>
          <w:sz w:val="22"/>
          <w:szCs w:val="22"/>
          <w:lang w:eastAsia="en-GB"/>
        </w:rPr>
        <w:t xml:space="preserve"> and </w:t>
      </w:r>
      <w:proofErr w:type="spellStart"/>
      <w:r>
        <w:rPr>
          <w:rFonts w:ascii="Arial" w:eastAsia="Times New Roman" w:hAnsi="Arial" w:cs="Arial"/>
          <w:sz w:val="22"/>
          <w:szCs w:val="22"/>
          <w:lang w:eastAsia="en-GB"/>
        </w:rPr>
        <w:t>Vignoles</w:t>
      </w:r>
      <w:proofErr w:type="spellEnd"/>
      <w:r>
        <w:rPr>
          <w:rFonts w:ascii="Arial" w:eastAsia="Times New Roman" w:hAnsi="Arial" w:cs="Arial"/>
          <w:sz w:val="22"/>
          <w:szCs w:val="22"/>
          <w:lang w:eastAsia="en-GB"/>
        </w:rPr>
        <w:t xml:space="preserve"> (2010), then it becomes imperative to learner outcomes that wellbeing is considered when approaching classroom management.</w:t>
      </w:r>
    </w:p>
    <w:p w14:paraId="2546F1AA" w14:textId="64DE7E1D" w:rsidR="00EF4E70" w:rsidRDefault="00EF4E70" w:rsidP="00EF4E70">
      <w:pPr>
        <w:spacing w:line="360" w:lineRule="auto"/>
        <w:rPr>
          <w:rFonts w:ascii="Arial" w:hAnsi="Arial" w:cs="Arial"/>
          <w:i/>
          <w:iCs/>
        </w:rPr>
      </w:pPr>
      <w:r>
        <w:rPr>
          <w:rFonts w:ascii="Arial" w:hAnsi="Arial" w:cs="Arial"/>
        </w:rPr>
        <w:t xml:space="preserve">The examined literature has helped refine our research question. The term ‘non-verbal behaviour management strategy’ has been refined to non-verbal attention signal, and the term ‘learner involvement’ has been refined to </w:t>
      </w:r>
      <w:r w:rsidR="00203760">
        <w:rPr>
          <w:rFonts w:ascii="Arial" w:hAnsi="Arial" w:cs="Arial"/>
        </w:rPr>
        <w:t>‘</w:t>
      </w:r>
      <w:r>
        <w:rPr>
          <w:rFonts w:ascii="Arial" w:hAnsi="Arial" w:cs="Arial"/>
        </w:rPr>
        <w:t>learner engagement</w:t>
      </w:r>
      <w:r w:rsidR="00203760">
        <w:rPr>
          <w:rFonts w:ascii="Arial" w:hAnsi="Arial" w:cs="Arial"/>
        </w:rPr>
        <w:t>’</w:t>
      </w:r>
      <w:r>
        <w:rPr>
          <w:rFonts w:ascii="Arial" w:hAnsi="Arial" w:cs="Arial"/>
        </w:rPr>
        <w:t xml:space="preserve"> to more specifically reflect the content of our research. It has been observed that high learner engagement and wellbeing, can potentially lead to </w:t>
      </w:r>
      <w:r w:rsidR="00203760">
        <w:rPr>
          <w:rFonts w:ascii="Arial" w:hAnsi="Arial" w:cs="Arial"/>
        </w:rPr>
        <w:t>higher</w:t>
      </w:r>
      <w:r>
        <w:rPr>
          <w:rFonts w:ascii="Arial" w:hAnsi="Arial" w:cs="Arial"/>
        </w:rPr>
        <w:t xml:space="preserve"> learner </w:t>
      </w:r>
      <w:r w:rsidR="00203760">
        <w:rPr>
          <w:rFonts w:ascii="Arial" w:hAnsi="Arial" w:cs="Arial"/>
        </w:rPr>
        <w:t>progress</w:t>
      </w:r>
      <w:r>
        <w:rPr>
          <w:rFonts w:ascii="Arial" w:hAnsi="Arial" w:cs="Arial"/>
        </w:rPr>
        <w:t xml:space="preserve"> and this helped us construct our final research question; </w:t>
      </w:r>
      <w:r>
        <w:rPr>
          <w:rFonts w:ascii="Arial" w:hAnsi="Arial" w:cs="Arial"/>
          <w:i/>
          <w:iCs/>
        </w:rPr>
        <w:t>Can</w:t>
      </w:r>
      <w:r w:rsidRPr="00FE71A2">
        <w:rPr>
          <w:rFonts w:ascii="Arial" w:hAnsi="Arial" w:cs="Arial"/>
          <w:i/>
          <w:iCs/>
        </w:rPr>
        <w:t xml:space="preserve"> non-verbal </w:t>
      </w:r>
      <w:r>
        <w:rPr>
          <w:rFonts w:ascii="Arial" w:hAnsi="Arial" w:cs="Arial"/>
          <w:i/>
          <w:iCs/>
        </w:rPr>
        <w:t xml:space="preserve">attention signals </w:t>
      </w:r>
      <w:r w:rsidRPr="00FE71A2">
        <w:rPr>
          <w:rFonts w:ascii="Arial" w:hAnsi="Arial" w:cs="Arial"/>
          <w:i/>
          <w:iCs/>
        </w:rPr>
        <w:t xml:space="preserve">affect </w:t>
      </w:r>
      <w:r>
        <w:rPr>
          <w:rFonts w:ascii="Arial" w:hAnsi="Arial" w:cs="Arial"/>
          <w:i/>
          <w:iCs/>
        </w:rPr>
        <w:t>pupil</w:t>
      </w:r>
      <w:r w:rsidRPr="00FE71A2">
        <w:rPr>
          <w:rFonts w:ascii="Arial" w:hAnsi="Arial" w:cs="Arial"/>
          <w:i/>
          <w:iCs/>
        </w:rPr>
        <w:t xml:space="preserve"> </w:t>
      </w:r>
      <w:r>
        <w:rPr>
          <w:rFonts w:ascii="Arial" w:hAnsi="Arial" w:cs="Arial"/>
          <w:i/>
          <w:iCs/>
        </w:rPr>
        <w:t>engagement</w:t>
      </w:r>
      <w:r w:rsidRPr="00FE71A2">
        <w:rPr>
          <w:rFonts w:ascii="Arial" w:hAnsi="Arial" w:cs="Arial"/>
          <w:i/>
          <w:iCs/>
        </w:rPr>
        <w:t xml:space="preserve"> and </w:t>
      </w:r>
      <w:r>
        <w:rPr>
          <w:rFonts w:ascii="Arial" w:hAnsi="Arial" w:cs="Arial"/>
          <w:i/>
          <w:iCs/>
        </w:rPr>
        <w:t xml:space="preserve">pupil </w:t>
      </w:r>
      <w:r w:rsidRPr="00FE71A2">
        <w:rPr>
          <w:rFonts w:ascii="Arial" w:hAnsi="Arial" w:cs="Arial"/>
          <w:i/>
          <w:iCs/>
        </w:rPr>
        <w:t>wellbeing?</w:t>
      </w:r>
      <w:r>
        <w:rPr>
          <w:rFonts w:ascii="Arial" w:hAnsi="Arial" w:cs="Arial"/>
          <w:i/>
          <w:iCs/>
        </w:rPr>
        <w:t xml:space="preserve"> </w:t>
      </w:r>
      <w:r>
        <w:rPr>
          <w:rFonts w:ascii="Arial" w:hAnsi="Arial" w:cs="Arial"/>
        </w:rPr>
        <w:t>The research methodology will now be explained.</w:t>
      </w:r>
      <w:r>
        <w:rPr>
          <w:rFonts w:ascii="Arial" w:hAnsi="Arial" w:cs="Arial"/>
          <w:i/>
          <w:iCs/>
        </w:rPr>
        <w:t xml:space="preserve"> </w:t>
      </w:r>
    </w:p>
    <w:p w14:paraId="2DB1C0E7" w14:textId="77777777" w:rsidR="00EF4E70" w:rsidRDefault="00EF4E70" w:rsidP="00EF4E70">
      <w:pPr>
        <w:spacing w:line="360" w:lineRule="auto"/>
        <w:rPr>
          <w:rFonts w:ascii="Arial" w:hAnsi="Arial" w:cs="Arial"/>
          <w:b/>
          <w:bCs/>
          <w:sz w:val="28"/>
          <w:szCs w:val="28"/>
        </w:rPr>
      </w:pPr>
    </w:p>
    <w:p w14:paraId="174235F6" w14:textId="77777777" w:rsidR="00EF4E70" w:rsidRPr="00E43403" w:rsidRDefault="00EF4E70" w:rsidP="00EF4E70">
      <w:pPr>
        <w:spacing w:line="360" w:lineRule="auto"/>
        <w:rPr>
          <w:rFonts w:ascii="Arial" w:hAnsi="Arial" w:cs="Arial"/>
          <w:i/>
          <w:iCs/>
          <w:sz w:val="28"/>
          <w:szCs w:val="28"/>
        </w:rPr>
      </w:pPr>
      <w:r w:rsidRPr="00E43403">
        <w:rPr>
          <w:rFonts w:ascii="Arial" w:hAnsi="Arial" w:cs="Arial"/>
          <w:b/>
          <w:bCs/>
          <w:sz w:val="28"/>
          <w:szCs w:val="28"/>
        </w:rPr>
        <w:t>Methodology</w:t>
      </w:r>
    </w:p>
    <w:p w14:paraId="621CE240" w14:textId="77777777" w:rsidR="00EF4E70" w:rsidRDefault="00EF4E70" w:rsidP="00EF4E70">
      <w:pPr>
        <w:spacing w:line="360" w:lineRule="auto"/>
        <w:rPr>
          <w:rStyle w:val="titleauthoretc"/>
          <w:rFonts w:ascii="Arial" w:hAnsi="Arial" w:cs="Arial"/>
          <w:color w:val="000000" w:themeColor="text1"/>
          <w:shd w:val="clear" w:color="auto" w:fill="FFFFFF"/>
        </w:rPr>
      </w:pPr>
      <w:r>
        <w:rPr>
          <w:rFonts w:ascii="Arial" w:hAnsi="Arial" w:cs="Arial"/>
        </w:rPr>
        <w:t xml:space="preserve">The methodology employed in this research is lesson study, which is a form of action research. Bassey (1998, p. 93) defines educational action research as an enquiry which is carried out in order to understand, evaluate and change, in order to improve some educational practice. GTCW (2002) provide a similar definition, describing action research in teaching as gathering and interpreting data to better understand an aspect of teaching and learning and applying the outcomes to improve practice. These definitions accurately describe the intention of this research, which is to focus on classroom management, one aspect of practice, and provide recommendations for improvement. This also coincides with the model of the transformative teacher presented in the introduction. Lesson study itself can </w:t>
      </w:r>
      <w:r w:rsidRPr="00753391">
        <w:rPr>
          <w:rFonts w:ascii="Arial" w:hAnsi="Arial" w:cs="Arial"/>
        </w:rPr>
        <w:t>be broadly defined as a systematic inquiry into teaching practice carried out by studying lessons</w:t>
      </w:r>
      <w:r>
        <w:rPr>
          <w:rFonts w:ascii="Arial" w:hAnsi="Arial" w:cs="Arial"/>
        </w:rPr>
        <w:t xml:space="preserve"> (Fernandez, 2002). Lesson study methodology concerns itself with </w:t>
      </w:r>
      <w:r w:rsidRPr="00E86E5D">
        <w:rPr>
          <w:rFonts w:ascii="Arial" w:hAnsi="Arial" w:cs="Arial"/>
          <w:color w:val="000000" w:themeColor="text1"/>
          <w:shd w:val="clear" w:color="auto" w:fill="FFFFFF"/>
        </w:rPr>
        <w:t>developing knowledge that is useful for improving teaching</w:t>
      </w:r>
      <w:r w:rsidRPr="00753391">
        <w:rPr>
          <w:rFonts w:ascii="Arial" w:hAnsi="Arial" w:cs="Arial"/>
          <w:color w:val="000000" w:themeColor="text1"/>
          <w:shd w:val="clear" w:color="auto" w:fill="FFFFFF"/>
        </w:rPr>
        <w:t xml:space="preserve"> </w:t>
      </w:r>
      <w:r w:rsidRPr="00E86E5D">
        <w:rPr>
          <w:rFonts w:ascii="Arial" w:hAnsi="Arial" w:cs="Arial"/>
          <w:color w:val="000000" w:themeColor="text1"/>
          <w:shd w:val="clear" w:color="auto" w:fill="FFFFFF"/>
        </w:rPr>
        <w:t>using the lesson as its unit of analysis, a unit that is small enough to be studied, yet large enough to represent key components of the system of classroom teaching and learning</w:t>
      </w:r>
      <w:r>
        <w:rPr>
          <w:rFonts w:ascii="Arial" w:hAnsi="Arial" w:cs="Arial"/>
          <w:color w:val="000000" w:themeColor="text1"/>
          <w:shd w:val="clear" w:color="auto" w:fill="FFFFFF"/>
        </w:rPr>
        <w:t xml:space="preserve"> (</w:t>
      </w:r>
      <w:r w:rsidRPr="00E86E5D">
        <w:rPr>
          <w:rStyle w:val="titleauthoretc"/>
          <w:rFonts w:ascii="Arial" w:hAnsi="Arial" w:cs="Arial"/>
          <w:color w:val="000000" w:themeColor="text1"/>
          <w:shd w:val="clear" w:color="auto" w:fill="FFFFFF"/>
        </w:rPr>
        <w:t>Stigler</w:t>
      </w:r>
      <w:r>
        <w:rPr>
          <w:rStyle w:val="titleauthoretc"/>
          <w:rFonts w:ascii="Arial" w:hAnsi="Arial" w:cs="Arial"/>
          <w:color w:val="000000" w:themeColor="text1"/>
          <w:shd w:val="clear" w:color="auto" w:fill="FFFFFF"/>
        </w:rPr>
        <w:t xml:space="preserve"> </w:t>
      </w:r>
      <w:r w:rsidRPr="00E86E5D">
        <w:rPr>
          <w:rStyle w:val="titleauthoretc"/>
          <w:rFonts w:ascii="Arial" w:hAnsi="Arial" w:cs="Arial"/>
          <w:color w:val="000000" w:themeColor="text1"/>
          <w:shd w:val="clear" w:color="auto" w:fill="FFFFFF"/>
        </w:rPr>
        <w:t>and Hiebert</w:t>
      </w:r>
      <w:r>
        <w:rPr>
          <w:rStyle w:val="titleauthoretc"/>
          <w:rFonts w:ascii="Arial" w:hAnsi="Arial" w:cs="Arial"/>
          <w:color w:val="000000" w:themeColor="text1"/>
          <w:shd w:val="clear" w:color="auto" w:fill="FFFFFF"/>
        </w:rPr>
        <w:t xml:space="preserve">, 2016, p.584). Our research implemented lesson study methodology by adopting the lesson as its observational unit of </w:t>
      </w:r>
      <w:r>
        <w:rPr>
          <w:rStyle w:val="titleauthoretc"/>
          <w:rFonts w:ascii="Arial" w:hAnsi="Arial" w:cs="Arial"/>
          <w:color w:val="000000" w:themeColor="text1"/>
          <w:shd w:val="clear" w:color="auto" w:fill="FFFFFF"/>
        </w:rPr>
        <w:lastRenderedPageBreak/>
        <w:t xml:space="preserve">analysis. This methodology was used as opposed to other educational research methods e.g. case study, because it complies with the transformative teacher model by promoting change. In addition to the lesson study itself, a variety of data collection methods were used in the form of observation, interviews and reflection. These methods will now be explained. </w:t>
      </w:r>
    </w:p>
    <w:p w14:paraId="0920A0D2" w14:textId="171CC66B" w:rsidR="00EF4E70" w:rsidRDefault="00EF4E70" w:rsidP="00EF4E70">
      <w:pPr>
        <w:spacing w:line="360" w:lineRule="auto"/>
        <w:rPr>
          <w:rStyle w:val="titleauthoretc"/>
          <w:rFonts w:ascii="Arial" w:hAnsi="Arial" w:cs="Arial"/>
          <w:color w:val="000000" w:themeColor="text1"/>
          <w:shd w:val="clear" w:color="auto" w:fill="FFFFFF"/>
        </w:rPr>
      </w:pPr>
      <w:r>
        <w:rPr>
          <w:rFonts w:ascii="Arial" w:hAnsi="Arial" w:cs="Arial"/>
        </w:rPr>
        <w:t xml:space="preserve">The observational aspect of the lesson study was conducted using a Leuven scale, which was used to measure the wellbeing and engagement of the learners after a non-verbal attention signal was used as well as to measure the scale of a disruption that led to it. The method of non-verbal attention signal used was also included and the data was recorded as the lesson took place. </w:t>
      </w:r>
      <w:r>
        <w:rPr>
          <w:rStyle w:val="titleauthoretc"/>
          <w:rFonts w:ascii="Arial" w:hAnsi="Arial" w:cs="Arial"/>
          <w:color w:val="000000" w:themeColor="text1"/>
          <w:shd w:val="clear" w:color="auto" w:fill="FFFFFF"/>
        </w:rPr>
        <w:t xml:space="preserve">The Leuven scale was developed by Ferre Laevers at Leuven University (Laevers, 2015), and is commonly used to measure involvement and emotional wellbeing by categorising behaviours on a scale of 1-5. The Leuven scale can be categorised as quantitative research, giving a quantitative value to what is essentially a qualitative area of observation. </w:t>
      </w:r>
      <w:r w:rsidRPr="00B179D7">
        <w:rPr>
          <w:rFonts w:ascii="Arial" w:hAnsi="Arial" w:cs="Arial"/>
        </w:rPr>
        <w:t>Cohen</w:t>
      </w:r>
      <w:r>
        <w:rPr>
          <w:rFonts w:ascii="Arial" w:hAnsi="Arial" w:cs="Arial"/>
        </w:rPr>
        <w:t xml:space="preserve">, </w:t>
      </w:r>
      <w:r w:rsidRPr="00B179D7">
        <w:rPr>
          <w:rFonts w:ascii="Arial" w:hAnsi="Arial" w:cs="Arial"/>
        </w:rPr>
        <w:t>Manion</w:t>
      </w:r>
      <w:r>
        <w:rPr>
          <w:rFonts w:ascii="Arial" w:hAnsi="Arial" w:cs="Arial"/>
        </w:rPr>
        <w:t xml:space="preserve"> </w:t>
      </w:r>
      <w:r w:rsidRPr="00B179D7">
        <w:rPr>
          <w:rFonts w:ascii="Arial" w:hAnsi="Arial" w:cs="Arial"/>
        </w:rPr>
        <w:t>and Morrison (2011</w:t>
      </w:r>
      <w:r>
        <w:rPr>
          <w:rStyle w:val="titleauthoretc"/>
          <w:rFonts w:ascii="Arial" w:hAnsi="Arial" w:cs="Arial"/>
          <w:color w:val="000000" w:themeColor="text1"/>
          <w:shd w:val="clear" w:color="auto" w:fill="FFFFFF"/>
        </w:rPr>
        <w:t xml:space="preserve">) describe quantitative research as being concerned with facts that are investigated scientifically and qualitative research as being concerned with the individual and is conducted with sense of </w:t>
      </w:r>
      <w:r w:rsidRPr="00B179D7">
        <w:rPr>
          <w:rStyle w:val="titleauthoretc"/>
          <w:rFonts w:ascii="Arial" w:hAnsi="Arial" w:cs="Arial"/>
          <w:color w:val="000000" w:themeColor="text1"/>
          <w:shd w:val="clear" w:color="auto" w:fill="FFFFFF"/>
        </w:rPr>
        <w:t xml:space="preserve">subjectivity. </w:t>
      </w:r>
      <w:r w:rsidRPr="00B179D7">
        <w:rPr>
          <w:rFonts w:ascii="Arial" w:hAnsi="Arial" w:cs="Arial"/>
        </w:rPr>
        <w:t>Kumar (2011)</w:t>
      </w:r>
      <w:r>
        <w:rPr>
          <w:rFonts w:ascii="Arial" w:hAnsi="Arial" w:cs="Arial"/>
        </w:rPr>
        <w:t xml:space="preserve"> outlines the benefits of a mixed of these approaches, stating that the purpose</w:t>
      </w:r>
      <w:r w:rsidR="00203760">
        <w:rPr>
          <w:rFonts w:ascii="Arial" w:hAnsi="Arial" w:cs="Arial"/>
        </w:rPr>
        <w:t xml:space="preserve"> of research</w:t>
      </w:r>
      <w:r>
        <w:rPr>
          <w:rFonts w:ascii="Arial" w:hAnsi="Arial" w:cs="Arial"/>
        </w:rPr>
        <w:t xml:space="preserve"> should take precedence over the method of research. The Leuven scale is a useful</w:t>
      </w:r>
      <w:r w:rsidR="00CC4896">
        <w:rPr>
          <w:rFonts w:ascii="Arial" w:hAnsi="Arial" w:cs="Arial"/>
        </w:rPr>
        <w:t xml:space="preserve"> quantitative research</w:t>
      </w:r>
      <w:r>
        <w:rPr>
          <w:rFonts w:ascii="Arial" w:hAnsi="Arial" w:cs="Arial"/>
        </w:rPr>
        <w:t xml:space="preserve"> method that allows learner engagement and wellbeing to be measured, however adopting Kumar’s stance, it was felt that a mixed approach</w:t>
      </w:r>
      <w:r w:rsidR="00CC4896">
        <w:rPr>
          <w:rFonts w:ascii="Arial" w:hAnsi="Arial" w:cs="Arial"/>
        </w:rPr>
        <w:t xml:space="preserve">, giving learners a voice would be beneficial to this research, </w:t>
      </w:r>
      <w:r>
        <w:rPr>
          <w:rFonts w:ascii="Arial" w:hAnsi="Arial" w:cs="Arial"/>
        </w:rPr>
        <w:t>and for this reason interviews were added to the design.</w:t>
      </w:r>
    </w:p>
    <w:p w14:paraId="43C65D86" w14:textId="45F4AAF2" w:rsidR="00EF4E70" w:rsidRDefault="00EF4E70" w:rsidP="00EF4E70">
      <w:pPr>
        <w:spacing w:line="360" w:lineRule="auto"/>
        <w:rPr>
          <w:rFonts w:ascii="Arial" w:hAnsi="Arial" w:cs="Arial"/>
        </w:rPr>
      </w:pPr>
      <w:r>
        <w:rPr>
          <w:rFonts w:ascii="Arial" w:hAnsi="Arial" w:cs="Arial"/>
        </w:rPr>
        <w:t xml:space="preserve">The interviews provided a qualitative element to the research which allowed the learner to express their own observations of the impact that the non-verbal attention signals had on them. Interviews were used as a method of gathering qualitative data instead of questionnaires or surveys because they didn’t require the learner to be able to write, which was an important consideration for the interviewees’ age-group. Interviews mainly exist in four types; structured, semi-structured, unstructured and focus group. </w:t>
      </w:r>
      <w:r w:rsidRPr="00B179D7">
        <w:rPr>
          <w:rFonts w:ascii="Arial" w:hAnsi="Arial" w:cs="Arial"/>
        </w:rPr>
        <w:t>Stuckey</w:t>
      </w:r>
      <w:r>
        <w:rPr>
          <w:rFonts w:ascii="Arial" w:hAnsi="Arial" w:cs="Arial"/>
        </w:rPr>
        <w:t xml:space="preserve"> </w:t>
      </w:r>
      <w:r w:rsidRPr="00B179D7">
        <w:rPr>
          <w:rFonts w:ascii="Arial" w:hAnsi="Arial" w:cs="Arial"/>
        </w:rPr>
        <w:t>(2013)</w:t>
      </w:r>
      <w:r>
        <w:rPr>
          <w:rFonts w:ascii="Arial" w:hAnsi="Arial" w:cs="Arial"/>
        </w:rPr>
        <w:t xml:space="preserve"> explains </w:t>
      </w:r>
      <w:r w:rsidRPr="00B179D7">
        <w:rPr>
          <w:rFonts w:ascii="Arial" w:hAnsi="Arial" w:cs="Arial"/>
        </w:rPr>
        <w:t xml:space="preserve">that structured interviews </w:t>
      </w:r>
      <w:r>
        <w:rPr>
          <w:rFonts w:ascii="Arial" w:hAnsi="Arial" w:cs="Arial"/>
        </w:rPr>
        <w:t xml:space="preserve">have predetermined questions </w:t>
      </w:r>
      <w:r w:rsidRPr="00B179D7">
        <w:rPr>
          <w:rFonts w:ascii="Arial" w:hAnsi="Arial" w:cs="Arial"/>
        </w:rPr>
        <w:t xml:space="preserve">which must be </w:t>
      </w:r>
      <w:r>
        <w:rPr>
          <w:rFonts w:ascii="Arial" w:hAnsi="Arial" w:cs="Arial"/>
        </w:rPr>
        <w:t xml:space="preserve">followed </w:t>
      </w:r>
      <w:r w:rsidRPr="00B179D7">
        <w:rPr>
          <w:rFonts w:ascii="Arial" w:hAnsi="Arial" w:cs="Arial"/>
        </w:rPr>
        <w:t>by the researcher</w:t>
      </w:r>
      <w:r>
        <w:rPr>
          <w:rFonts w:ascii="Arial" w:hAnsi="Arial" w:cs="Arial"/>
        </w:rPr>
        <w:t xml:space="preserve">. The </w:t>
      </w:r>
      <w:r w:rsidRPr="00B179D7">
        <w:rPr>
          <w:rFonts w:ascii="Arial" w:hAnsi="Arial" w:cs="Arial"/>
        </w:rPr>
        <w:t xml:space="preserve">researcher </w:t>
      </w:r>
      <w:r>
        <w:rPr>
          <w:rFonts w:ascii="Arial" w:hAnsi="Arial" w:cs="Arial"/>
        </w:rPr>
        <w:t xml:space="preserve">must also </w:t>
      </w:r>
      <w:r w:rsidRPr="00B179D7">
        <w:rPr>
          <w:rFonts w:ascii="Arial" w:hAnsi="Arial" w:cs="Arial"/>
        </w:rPr>
        <w:t xml:space="preserve">adhere to the </w:t>
      </w:r>
      <w:r>
        <w:rPr>
          <w:rFonts w:ascii="Arial" w:hAnsi="Arial" w:cs="Arial"/>
        </w:rPr>
        <w:t>order</w:t>
      </w:r>
      <w:r w:rsidRPr="00B179D7">
        <w:rPr>
          <w:rFonts w:ascii="Arial" w:hAnsi="Arial" w:cs="Arial"/>
        </w:rPr>
        <w:t xml:space="preserve"> and </w:t>
      </w:r>
      <w:r>
        <w:rPr>
          <w:rFonts w:ascii="Arial" w:hAnsi="Arial" w:cs="Arial"/>
        </w:rPr>
        <w:t>wording of the questions</w:t>
      </w:r>
      <w:r>
        <w:rPr>
          <w:rFonts w:ascii="TimesNewRomanPSMT" w:hAnsi="TimesNewRomanPSMT"/>
        </w:rPr>
        <w:t xml:space="preserve">. </w:t>
      </w:r>
      <w:r>
        <w:rPr>
          <w:rFonts w:ascii="Arial" w:hAnsi="Arial" w:cs="Arial"/>
        </w:rPr>
        <w:t>This explanation informed the choice to use a structured interview as it allowed there to be a consistent and therefore measurable outcome that the other three types of interview did not afford. Finally, a mixture of open and closed questioning was used in the interviews. Open questioning was used in the first three questions, to determine if the learner understood the non-verbal methods that were used and to allow them to express how it made them feel. Closed questions were then used in the final three questions to determine which of the two methods the learners preferred, and thought was most effective.</w:t>
      </w:r>
    </w:p>
    <w:p w14:paraId="2BFEB13A" w14:textId="4F45DF1F" w:rsidR="00EF4E70" w:rsidRDefault="00EF4E70" w:rsidP="00EF4E70">
      <w:pPr>
        <w:spacing w:line="360" w:lineRule="auto"/>
        <w:rPr>
          <w:rFonts w:ascii="Arial" w:hAnsi="Arial" w:cs="Arial"/>
          <w:color w:val="000000" w:themeColor="text1"/>
          <w:shd w:val="clear" w:color="auto" w:fill="FFFFFF"/>
        </w:rPr>
      </w:pPr>
      <w:r>
        <w:rPr>
          <w:rFonts w:ascii="Arial" w:hAnsi="Arial" w:cs="Arial"/>
        </w:rPr>
        <w:lastRenderedPageBreak/>
        <w:t xml:space="preserve">The final step in the research design was to implement a reflection model. Many such models exist, providing varying levels of detail. </w:t>
      </w:r>
      <w:r w:rsidRPr="00C949FD">
        <w:rPr>
          <w:rFonts w:ascii="Arial" w:hAnsi="Arial" w:cs="Arial"/>
          <w:color w:val="000000" w:themeColor="text1"/>
          <w:shd w:val="clear" w:color="auto" w:fill="FFFFFF"/>
        </w:rPr>
        <w:t>Schön</w:t>
      </w:r>
      <w:r>
        <w:rPr>
          <w:rFonts w:ascii="Arial" w:hAnsi="Arial" w:cs="Arial"/>
          <w:color w:val="000000" w:themeColor="text1"/>
          <w:shd w:val="clear" w:color="auto" w:fill="FFFFFF"/>
        </w:rPr>
        <w:t xml:space="preserve"> (</w:t>
      </w:r>
      <w:r w:rsidRPr="00C949FD">
        <w:rPr>
          <w:rFonts w:ascii="Arial" w:hAnsi="Arial" w:cs="Arial"/>
          <w:color w:val="000000" w:themeColor="text1"/>
          <w:shd w:val="clear" w:color="auto" w:fill="FFFFFF"/>
        </w:rPr>
        <w:t>2016</w:t>
      </w:r>
      <w:r>
        <w:rPr>
          <w:rFonts w:ascii="Arial" w:hAnsi="Arial" w:cs="Arial"/>
          <w:color w:val="000000" w:themeColor="text1"/>
          <w:shd w:val="clear" w:color="auto" w:fill="FFFFFF"/>
        </w:rPr>
        <w:t xml:space="preserve">) describes his reflective model as reflection in action and reflection on action. This model does not provide a structure but rather requires the researcher to reflect during and after the research in order to make improvements. Kolb (1984) presents a reflective model that is more structured and is referred to as experiential learning. In this model there are four stages; concrete experience, reflective observation, abstract conceptualisation and active experimentation, that form a cycle of continuous improvement. Although this model provides more structure, it fails to consider the feelings of the researcher. Gibbs (1988) presents another structured reflective cycle with six steps; description, feelings, evaluation, analysis, conclusion and action plan. Gibbs’ reflective cycle is consistent with the transformative teacher model as it promotes </w:t>
      </w:r>
      <w:r w:rsidR="00CC4896">
        <w:rPr>
          <w:rFonts w:ascii="Arial" w:hAnsi="Arial" w:cs="Arial"/>
          <w:color w:val="000000" w:themeColor="text1"/>
          <w:shd w:val="clear" w:color="auto" w:fill="FFFFFF"/>
        </w:rPr>
        <w:t>action,</w:t>
      </w:r>
      <w:r>
        <w:rPr>
          <w:rFonts w:ascii="Arial" w:hAnsi="Arial" w:cs="Arial"/>
          <w:color w:val="000000" w:themeColor="text1"/>
          <w:shd w:val="clear" w:color="auto" w:fill="FFFFFF"/>
        </w:rPr>
        <w:t xml:space="preserve"> but also considers the feelings of the researcher in a qualitative manner. </w:t>
      </w:r>
    </w:p>
    <w:p w14:paraId="64E1C5DA" w14:textId="468D822D" w:rsidR="00EF4E70" w:rsidRPr="00B179D7" w:rsidRDefault="00EF4E70" w:rsidP="00EF4E70">
      <w:pPr>
        <w:spacing w:line="360" w:lineRule="auto"/>
        <w:rPr>
          <w:rFonts w:ascii="Arial" w:hAnsi="Arial" w:cs="Arial"/>
        </w:rPr>
      </w:pPr>
      <w:r>
        <w:rPr>
          <w:rFonts w:ascii="Arial" w:hAnsi="Arial" w:cs="Arial"/>
        </w:rPr>
        <w:t>The methodology and design of this lesson study has been informed by the relevant literature and has paid consideration to the unique circumstances of the research environment</w:t>
      </w:r>
      <w:r w:rsidR="00CC4896">
        <w:rPr>
          <w:rFonts w:ascii="Arial" w:hAnsi="Arial" w:cs="Arial"/>
        </w:rPr>
        <w:t>,</w:t>
      </w:r>
      <w:r>
        <w:rPr>
          <w:rFonts w:ascii="Arial" w:hAnsi="Arial" w:cs="Arial"/>
        </w:rPr>
        <w:t xml:space="preserve"> allowing justifications for each choice to be made. The ethical considerations concerning the research will now be explained.</w:t>
      </w:r>
    </w:p>
    <w:p w14:paraId="4470167C" w14:textId="77777777" w:rsidR="00EF4E70" w:rsidRPr="00753391" w:rsidRDefault="00EF4E70" w:rsidP="00EF4E70">
      <w:pPr>
        <w:spacing w:line="360" w:lineRule="auto"/>
        <w:rPr>
          <w:rFonts w:ascii="Arial" w:hAnsi="Arial" w:cs="Arial"/>
          <w:b/>
          <w:bCs/>
          <w:u w:val="single"/>
        </w:rPr>
      </w:pPr>
    </w:p>
    <w:p w14:paraId="1B1B682B" w14:textId="77777777" w:rsidR="00EF4E70" w:rsidRPr="00E43403" w:rsidRDefault="00EF4E70" w:rsidP="00EF4E70">
      <w:pPr>
        <w:spacing w:line="360" w:lineRule="auto"/>
        <w:rPr>
          <w:rFonts w:ascii="Arial" w:hAnsi="Arial" w:cs="Arial"/>
          <w:b/>
          <w:bCs/>
          <w:sz w:val="28"/>
          <w:szCs w:val="28"/>
        </w:rPr>
      </w:pPr>
      <w:r w:rsidRPr="00E43403">
        <w:rPr>
          <w:rFonts w:ascii="Arial" w:hAnsi="Arial" w:cs="Arial"/>
          <w:b/>
          <w:bCs/>
          <w:sz w:val="28"/>
          <w:szCs w:val="28"/>
        </w:rPr>
        <w:t xml:space="preserve">Ethical considerations </w:t>
      </w:r>
    </w:p>
    <w:p w14:paraId="0577FA4A" w14:textId="227085E1" w:rsidR="00EF4E70" w:rsidRPr="00641779" w:rsidRDefault="00EF4E70" w:rsidP="00EF4E70">
      <w:pPr>
        <w:autoSpaceDE w:val="0"/>
        <w:autoSpaceDN w:val="0"/>
        <w:adjustRightInd w:val="0"/>
        <w:spacing w:line="360" w:lineRule="auto"/>
        <w:rPr>
          <w:rFonts w:ascii="Arial" w:hAnsi="Arial" w:cs="Arial"/>
          <w:b/>
          <w:bCs/>
          <w:i/>
        </w:rPr>
      </w:pPr>
      <w:r>
        <w:rPr>
          <w:rFonts w:ascii="Arial" w:hAnsi="Arial" w:cs="Arial"/>
        </w:rPr>
        <w:t xml:space="preserve">When conducting research with children and young people it is of the upmost importance that ethical considerations are made. This </w:t>
      </w:r>
      <w:r w:rsidRPr="005B50B3">
        <w:rPr>
          <w:rFonts w:ascii="Arial" w:hAnsi="Arial" w:cs="Arial"/>
        </w:rPr>
        <w:t>research has been conducted in accordance with British Educational Research Association guidelines (BERA, 2018)</w:t>
      </w:r>
      <w:r>
        <w:rPr>
          <w:rFonts w:ascii="Arial" w:hAnsi="Arial" w:cs="Arial"/>
        </w:rPr>
        <w:t xml:space="preserve"> and therefore the subject school is referred to as School X and pupils referred to as Pupil 1, 2</w:t>
      </w:r>
      <w:r w:rsidR="00CC4896">
        <w:rPr>
          <w:rFonts w:ascii="Arial" w:hAnsi="Arial" w:cs="Arial"/>
        </w:rPr>
        <w:t xml:space="preserve"> and</w:t>
      </w:r>
      <w:r>
        <w:rPr>
          <w:rFonts w:ascii="Arial" w:hAnsi="Arial" w:cs="Arial"/>
        </w:rPr>
        <w:t xml:space="preserve"> 3. In addition to this, UWTSD </w:t>
      </w:r>
      <w:r w:rsidRPr="00302C95">
        <w:rPr>
          <w:rFonts w:ascii="Arial" w:hAnsi="Arial" w:cs="Arial"/>
        </w:rPr>
        <w:t>Ethics &amp; Integrity Code of Practice</w:t>
      </w:r>
      <w:r>
        <w:rPr>
          <w:rFonts w:ascii="Arial" w:hAnsi="Arial" w:cs="Arial"/>
        </w:rPr>
        <w:t xml:space="preserve"> was followed (UWTSD, 2017). This policy requires all researchers from the university to submit an acceptable ethics form to the university ethics committee. The ethics form for this research contained detailed information concerning the nature of the research and detailed the requirement for parental consent for any learners that would be interviewed. The ethics form also outlined how data would be handled, requiring compliance </w:t>
      </w:r>
      <w:r w:rsidRPr="00641779">
        <w:rPr>
          <w:rFonts w:ascii="Arial" w:hAnsi="Arial" w:cs="Arial"/>
        </w:rPr>
        <w:t>with</w:t>
      </w:r>
      <w:r>
        <w:rPr>
          <w:rFonts w:ascii="Arial" w:hAnsi="Arial" w:cs="Arial"/>
        </w:rPr>
        <w:t xml:space="preserve"> the</w:t>
      </w:r>
      <w:r w:rsidRPr="00641779">
        <w:rPr>
          <w:rFonts w:ascii="Arial" w:hAnsi="Arial" w:cs="Arial"/>
        </w:rPr>
        <w:t xml:space="preserve"> UWTSD Research Data Management Policy</w:t>
      </w:r>
      <w:r>
        <w:rPr>
          <w:rFonts w:ascii="Arial" w:hAnsi="Arial" w:cs="Arial"/>
        </w:rPr>
        <w:t xml:space="preserve"> (UWTSD, 2016) and was accepted by the ethics committee. Having explained the ethical consideration</w:t>
      </w:r>
      <w:r w:rsidR="00CC4896">
        <w:rPr>
          <w:rFonts w:ascii="Arial" w:hAnsi="Arial" w:cs="Arial"/>
        </w:rPr>
        <w:t>s</w:t>
      </w:r>
      <w:r>
        <w:rPr>
          <w:rFonts w:ascii="Arial" w:hAnsi="Arial" w:cs="Arial"/>
        </w:rPr>
        <w:t xml:space="preserve"> of this research, lesson study 1 will now be discussed. </w:t>
      </w:r>
    </w:p>
    <w:p w14:paraId="66C992FE" w14:textId="77777777" w:rsidR="00EF4E70" w:rsidRPr="00D369E3" w:rsidRDefault="00EF4E70" w:rsidP="00EF4E70">
      <w:pPr>
        <w:spacing w:line="360" w:lineRule="auto"/>
        <w:rPr>
          <w:rFonts w:ascii="Arial" w:hAnsi="Arial" w:cs="Arial"/>
        </w:rPr>
      </w:pPr>
      <w:r>
        <w:rPr>
          <w:rFonts w:ascii="Arial" w:hAnsi="Arial" w:cs="Arial"/>
        </w:rPr>
        <w:t xml:space="preserve">   </w:t>
      </w:r>
    </w:p>
    <w:p w14:paraId="5E18F742" w14:textId="77777777" w:rsidR="00EF4E70" w:rsidRPr="00E43403" w:rsidRDefault="00EF4E70" w:rsidP="00EF4E70">
      <w:pPr>
        <w:spacing w:line="360" w:lineRule="auto"/>
        <w:rPr>
          <w:rFonts w:ascii="Arial" w:hAnsi="Arial" w:cs="Arial"/>
          <w:b/>
          <w:bCs/>
          <w:sz w:val="28"/>
          <w:szCs w:val="28"/>
        </w:rPr>
      </w:pPr>
      <w:r w:rsidRPr="00E43403">
        <w:rPr>
          <w:rFonts w:ascii="Arial" w:hAnsi="Arial" w:cs="Arial"/>
          <w:b/>
          <w:bCs/>
          <w:sz w:val="28"/>
          <w:szCs w:val="28"/>
        </w:rPr>
        <w:t>Lesson Study 1</w:t>
      </w:r>
    </w:p>
    <w:p w14:paraId="7ED288C6" w14:textId="13C36DA3" w:rsidR="00EF4E70" w:rsidRDefault="00EF4E70" w:rsidP="00EF4E70">
      <w:pPr>
        <w:spacing w:line="360" w:lineRule="auto"/>
        <w:rPr>
          <w:rFonts w:ascii="Arial" w:hAnsi="Arial" w:cs="Arial"/>
        </w:rPr>
      </w:pPr>
      <w:r>
        <w:rPr>
          <w:rFonts w:ascii="Arial" w:hAnsi="Arial" w:cs="Arial"/>
        </w:rPr>
        <w:lastRenderedPageBreak/>
        <w:t>Lesson study 1 took place in a Reception class in School X and was a mathematics lesson focussing on ordinal numbers. The lesson took place on the morning of Monday 3</w:t>
      </w:r>
      <w:r w:rsidRPr="000F68C4">
        <w:rPr>
          <w:rFonts w:ascii="Arial" w:hAnsi="Arial" w:cs="Arial"/>
          <w:vertAlign w:val="superscript"/>
        </w:rPr>
        <w:t>rd</w:t>
      </w:r>
      <w:r>
        <w:rPr>
          <w:rFonts w:ascii="Arial" w:hAnsi="Arial" w:cs="Arial"/>
        </w:rPr>
        <w:t xml:space="preserve"> February 2020 and was taught by my research partner Paige Cherrington, with myself present as the non-participant observer. Parental consent forms had been sent home with every learner in the class two weeks prior to the lesson study taking place, however disappointingly only four were returned which meant that there was a smaller pool of learners to focus on. The initial intention was to group learners based on their typical behaviour in class and then select one typically exceptionally behaved learner, one typically well behaved learner and one typically poorly behaved learner at random from a hat, however due to the small pool to select from we decided to put all four learners names who had provided parental consent into a hat and choose at random. The three chosen learners were then the focus of the Leuven scale observation</w:t>
      </w:r>
      <w:r w:rsidR="00906781">
        <w:rPr>
          <w:rFonts w:ascii="Arial" w:hAnsi="Arial" w:cs="Arial"/>
        </w:rPr>
        <w:t xml:space="preserve"> </w:t>
      </w:r>
      <w:r w:rsidR="00906781">
        <w:rPr>
          <w:rFonts w:ascii="Arial" w:hAnsi="Arial" w:cs="Arial"/>
          <w:b/>
          <w:bCs/>
        </w:rPr>
        <w:t>(See Appendix A)</w:t>
      </w:r>
      <w:r>
        <w:rPr>
          <w:rFonts w:ascii="Arial" w:hAnsi="Arial" w:cs="Arial"/>
        </w:rPr>
        <w:t xml:space="preserve"> and interviewed after the lesson</w:t>
      </w:r>
      <w:r w:rsidR="00CC4896">
        <w:rPr>
          <w:rFonts w:ascii="Arial" w:hAnsi="Arial" w:cs="Arial"/>
        </w:rPr>
        <w:t xml:space="preserve"> </w:t>
      </w:r>
      <w:r w:rsidR="00CC4896">
        <w:rPr>
          <w:rFonts w:ascii="Arial" w:hAnsi="Arial" w:cs="Arial"/>
          <w:b/>
          <w:bCs/>
        </w:rPr>
        <w:t xml:space="preserve">(See Appendix </w:t>
      </w:r>
      <w:r w:rsidR="00906781">
        <w:rPr>
          <w:rFonts w:ascii="Arial" w:hAnsi="Arial" w:cs="Arial"/>
          <w:b/>
          <w:bCs/>
        </w:rPr>
        <w:t>B</w:t>
      </w:r>
      <w:r w:rsidR="00CC4896">
        <w:rPr>
          <w:rFonts w:ascii="Arial" w:hAnsi="Arial" w:cs="Arial"/>
          <w:b/>
          <w:bCs/>
        </w:rPr>
        <w:t>)</w:t>
      </w:r>
      <w:r>
        <w:rPr>
          <w:rFonts w:ascii="Arial" w:hAnsi="Arial" w:cs="Arial"/>
        </w:rPr>
        <w:t>.</w:t>
      </w:r>
    </w:p>
    <w:p w14:paraId="6DD6000C" w14:textId="2A47310E" w:rsidR="00EF4E70" w:rsidRDefault="00EF4E70" w:rsidP="00EF4E70">
      <w:pPr>
        <w:spacing w:line="360" w:lineRule="auto"/>
        <w:rPr>
          <w:rFonts w:ascii="Arial" w:hAnsi="Arial" w:cs="Arial"/>
          <w:color w:val="000000" w:themeColor="text1"/>
        </w:rPr>
      </w:pPr>
      <w:r>
        <w:rPr>
          <w:rFonts w:ascii="Arial" w:hAnsi="Arial" w:cs="Arial"/>
        </w:rPr>
        <w:t>The lesson began in the classroom with the teacher placing toy animals in order and then questioning the learners about which was first, second and third. The learners appeared engaged and happy during this opening to the lesson and displayed some prior knowledge of ordinal numbers during questioning. There were two fairly large disturbances in this opening section of the lesson, where most of the class began talking, and the teacher used the clapping method</w:t>
      </w:r>
      <w:r w:rsidR="00B06974">
        <w:rPr>
          <w:rFonts w:ascii="Arial" w:hAnsi="Arial" w:cs="Arial"/>
        </w:rPr>
        <w:t xml:space="preserve"> twice</w:t>
      </w:r>
      <w:r>
        <w:rPr>
          <w:rFonts w:ascii="Arial" w:hAnsi="Arial" w:cs="Arial"/>
        </w:rPr>
        <w:t xml:space="preserve"> to regain their attention. This method worked very quickly, settling the whole class in nine and six seconds respectively</w:t>
      </w:r>
      <w:r w:rsidR="00B06974">
        <w:rPr>
          <w:rFonts w:ascii="Arial" w:hAnsi="Arial" w:cs="Arial"/>
        </w:rPr>
        <w:t>. A</w:t>
      </w:r>
      <w:r>
        <w:rPr>
          <w:rFonts w:ascii="Arial" w:hAnsi="Arial" w:cs="Arial"/>
        </w:rPr>
        <w:t xml:space="preserve">s proposed by </w:t>
      </w:r>
      <w:r>
        <w:rPr>
          <w:rFonts w:ascii="Arial" w:hAnsi="Arial" w:cs="Arial"/>
          <w:color w:val="000000" w:themeColor="text1"/>
        </w:rPr>
        <w:t xml:space="preserve">Gutloff (1998), this </w:t>
      </w:r>
      <w:r w:rsidRPr="00F630B0">
        <w:rPr>
          <w:rFonts w:ascii="Arial" w:hAnsi="Arial" w:cs="Arial"/>
          <w:color w:val="000000" w:themeColor="text1"/>
        </w:rPr>
        <w:t>address</w:t>
      </w:r>
      <w:r>
        <w:rPr>
          <w:rFonts w:ascii="Arial" w:hAnsi="Arial" w:cs="Arial"/>
          <w:color w:val="000000" w:themeColor="text1"/>
        </w:rPr>
        <w:t>ed</w:t>
      </w:r>
      <w:r w:rsidRPr="00F630B0">
        <w:rPr>
          <w:rFonts w:ascii="Arial" w:hAnsi="Arial" w:cs="Arial"/>
          <w:color w:val="000000" w:themeColor="text1"/>
        </w:rPr>
        <w:t xml:space="preserve"> the students' needs quickly and quietly</w:t>
      </w:r>
      <w:r>
        <w:rPr>
          <w:rFonts w:ascii="Arial" w:hAnsi="Arial" w:cs="Arial"/>
          <w:color w:val="000000" w:themeColor="text1"/>
        </w:rPr>
        <w:t>,</w:t>
      </w:r>
      <w:r w:rsidRPr="00F630B0">
        <w:rPr>
          <w:rFonts w:ascii="Arial" w:hAnsi="Arial" w:cs="Arial"/>
          <w:color w:val="000000" w:themeColor="text1"/>
        </w:rPr>
        <w:t xml:space="preserve"> with minimal interruption to class time</w:t>
      </w:r>
      <w:r>
        <w:rPr>
          <w:rFonts w:ascii="Arial" w:hAnsi="Arial" w:cs="Arial"/>
          <w:color w:val="000000" w:themeColor="text1"/>
        </w:rPr>
        <w:t>,</w:t>
      </w:r>
      <w:r w:rsidRPr="00F630B0">
        <w:rPr>
          <w:rFonts w:ascii="Arial" w:hAnsi="Arial" w:cs="Arial"/>
          <w:color w:val="000000" w:themeColor="text1"/>
        </w:rPr>
        <w:t xml:space="preserve"> and to the momentum of </w:t>
      </w:r>
      <w:r>
        <w:rPr>
          <w:rFonts w:ascii="Arial" w:hAnsi="Arial" w:cs="Arial"/>
          <w:color w:val="000000" w:themeColor="text1"/>
        </w:rPr>
        <w:t>the</w:t>
      </w:r>
      <w:r w:rsidRPr="00F630B0">
        <w:rPr>
          <w:rFonts w:ascii="Arial" w:hAnsi="Arial" w:cs="Arial"/>
          <w:color w:val="000000" w:themeColor="text1"/>
        </w:rPr>
        <w:t xml:space="preserve"> lesson</w:t>
      </w:r>
      <w:r>
        <w:rPr>
          <w:rFonts w:ascii="Arial" w:hAnsi="Arial" w:cs="Arial"/>
          <w:color w:val="000000" w:themeColor="text1"/>
        </w:rPr>
        <w:t xml:space="preserve">. The lesson was then taken outside by the teacher and the learners took part in a line-up and then a series of races where the learners were questioned about what place selected learners were in a line-up or what place they had finished in a race. The learners appeared very engaged in this section of the lesson while on task, as it provided them with a fun and authentic context for learning. Inevitably, as is common with higher energy and outdoor lessons, there were a number of larger disturbances when learners were waiting for others to complete an </w:t>
      </w:r>
      <w:r w:rsidR="00906781">
        <w:rPr>
          <w:rFonts w:ascii="Arial" w:hAnsi="Arial" w:cs="Arial"/>
          <w:color w:val="000000" w:themeColor="text1"/>
        </w:rPr>
        <w:t>activity or</w:t>
      </w:r>
      <w:r>
        <w:rPr>
          <w:rFonts w:ascii="Arial" w:hAnsi="Arial" w:cs="Arial"/>
          <w:color w:val="000000" w:themeColor="text1"/>
        </w:rPr>
        <w:t xml:space="preserve"> moving between activities themselves. During this period of the lesson the clapping method was used once, to regain attention in just four seconds and the hand raised method was used on three occasions, taking sixteen, thirteen and nine seconds respectively to regain the attention of the whole class. The hand raised method did require an additional verbal prompt, for learners to become aware that the teacher’s hand was raised and perhaps this is why it took longer to regain the attention of the whole class. Interestingly, within the lesson both methods used by the teacher were able to regain the attention of the whole class quicker, each time they were used. Throughout the </w:t>
      </w:r>
      <w:r w:rsidR="00B06974">
        <w:rPr>
          <w:rFonts w:ascii="Arial" w:hAnsi="Arial" w:cs="Arial"/>
          <w:color w:val="000000" w:themeColor="text1"/>
        </w:rPr>
        <w:t xml:space="preserve">lesson study the </w:t>
      </w:r>
      <w:r>
        <w:rPr>
          <w:rFonts w:ascii="Arial" w:hAnsi="Arial" w:cs="Arial"/>
          <w:color w:val="000000" w:themeColor="text1"/>
        </w:rPr>
        <w:t xml:space="preserve">learners appeared largely engaged and showed signs of progress in their understanding of the concept of </w:t>
      </w:r>
      <w:r>
        <w:rPr>
          <w:rFonts w:ascii="Arial" w:hAnsi="Arial" w:cs="Arial"/>
          <w:color w:val="000000" w:themeColor="text1"/>
        </w:rPr>
        <w:lastRenderedPageBreak/>
        <w:t xml:space="preserve">ordinal numbers. This provides some evidence that supports </w:t>
      </w:r>
      <w:r w:rsidRPr="00E176FE">
        <w:rPr>
          <w:rFonts w:ascii="Arial" w:hAnsi="Arial" w:cs="Arial"/>
        </w:rPr>
        <w:t>Erickso</w:t>
      </w:r>
      <w:r>
        <w:rPr>
          <w:rFonts w:ascii="Arial" w:hAnsi="Arial" w:cs="Arial"/>
        </w:rPr>
        <w:t>n,</w:t>
      </w:r>
      <w:r w:rsidRPr="00E176FE">
        <w:rPr>
          <w:rFonts w:ascii="Arial" w:hAnsi="Arial" w:cs="Arial"/>
        </w:rPr>
        <w:t xml:space="preserve"> Hawkhead</w:t>
      </w:r>
      <w:r>
        <w:rPr>
          <w:rFonts w:ascii="Arial" w:hAnsi="Arial" w:cs="Arial"/>
        </w:rPr>
        <w:t xml:space="preserve"> and</w:t>
      </w:r>
      <w:r w:rsidRPr="00E176FE">
        <w:rPr>
          <w:rFonts w:ascii="Arial" w:hAnsi="Arial" w:cs="Arial"/>
        </w:rPr>
        <w:t xml:space="preserve"> Moody</w:t>
      </w:r>
      <w:r>
        <w:rPr>
          <w:rFonts w:ascii="Arial" w:hAnsi="Arial" w:cs="Arial"/>
        </w:rPr>
        <w:t xml:space="preserve"> (1980) </w:t>
      </w:r>
      <w:r>
        <w:rPr>
          <w:rFonts w:ascii="Arial" w:hAnsi="Arial" w:cs="Arial"/>
          <w:color w:val="000000" w:themeColor="text1"/>
        </w:rPr>
        <w:t xml:space="preserve">in stating that </w:t>
      </w:r>
      <w:r>
        <w:rPr>
          <w:rFonts w:ascii="Arial" w:hAnsi="Arial" w:cs="Arial"/>
        </w:rPr>
        <w:t xml:space="preserve">the </w:t>
      </w:r>
      <w:r>
        <w:rPr>
          <w:rFonts w:ascii="Arial" w:hAnsi="Arial" w:cs="Arial"/>
          <w:color w:val="000000" w:themeColor="text1"/>
        </w:rPr>
        <w:t xml:space="preserve">amount of time spent on task </w:t>
      </w:r>
      <w:r w:rsidRPr="00E176FE">
        <w:rPr>
          <w:rFonts w:ascii="Arial" w:hAnsi="Arial" w:cs="Arial"/>
          <w:color w:val="000000" w:themeColor="text1"/>
        </w:rPr>
        <w:t>positive</w:t>
      </w:r>
      <w:r>
        <w:rPr>
          <w:rFonts w:ascii="Arial" w:hAnsi="Arial" w:cs="Arial"/>
          <w:color w:val="000000" w:themeColor="text1"/>
        </w:rPr>
        <w:t>ly</w:t>
      </w:r>
      <w:r w:rsidRPr="00E176FE">
        <w:rPr>
          <w:rFonts w:ascii="Arial" w:hAnsi="Arial" w:cs="Arial"/>
          <w:color w:val="000000" w:themeColor="text1"/>
        </w:rPr>
        <w:t xml:space="preserve"> co</w:t>
      </w:r>
      <w:r>
        <w:rPr>
          <w:rFonts w:ascii="Arial" w:hAnsi="Arial" w:cs="Arial"/>
          <w:color w:val="000000" w:themeColor="text1"/>
        </w:rPr>
        <w:t>rresponds</w:t>
      </w:r>
      <w:r w:rsidRPr="00E176FE">
        <w:rPr>
          <w:rFonts w:ascii="Arial" w:hAnsi="Arial" w:cs="Arial"/>
          <w:color w:val="000000" w:themeColor="text1"/>
        </w:rPr>
        <w:t xml:space="preserve"> with</w:t>
      </w:r>
      <w:r>
        <w:rPr>
          <w:rFonts w:ascii="Arial" w:hAnsi="Arial" w:cs="Arial"/>
          <w:color w:val="000000" w:themeColor="text1"/>
        </w:rPr>
        <w:t xml:space="preserve"> learner progress. After each occasion that the teacher used a non-verbal attention signal, there was little evidence of a change in the learners’ engagement or wellbeing, however this will be discussed in greater detail in the research findings.</w:t>
      </w:r>
    </w:p>
    <w:p w14:paraId="45CCD0C2" w14:textId="794171C4" w:rsidR="00EF4E70" w:rsidRDefault="00EF4E70" w:rsidP="00EF4E70">
      <w:pPr>
        <w:spacing w:line="360" w:lineRule="auto"/>
        <w:rPr>
          <w:rFonts w:ascii="Arial" w:hAnsi="Arial" w:cs="Arial"/>
          <w:color w:val="000000" w:themeColor="text1"/>
        </w:rPr>
      </w:pPr>
      <w:r>
        <w:rPr>
          <w:rFonts w:ascii="Arial" w:hAnsi="Arial" w:cs="Arial"/>
          <w:color w:val="000000" w:themeColor="text1"/>
        </w:rPr>
        <w:t>After the lesson, the three focus learners we interviewed using the structured interview. During the interviews all learners recognised the methods of non-verbal attention signals that had been used and displayed mostly positive feelings about them. There were mixed feelings from the learners about which method they preferred but they were conclusive in saying that th</w:t>
      </w:r>
      <w:r w:rsidR="00B06974">
        <w:rPr>
          <w:rFonts w:ascii="Arial" w:hAnsi="Arial" w:cs="Arial"/>
          <w:color w:val="000000" w:themeColor="text1"/>
        </w:rPr>
        <w:t>e</w:t>
      </w:r>
      <w:r>
        <w:rPr>
          <w:rFonts w:ascii="Arial" w:hAnsi="Arial" w:cs="Arial"/>
          <w:color w:val="000000" w:themeColor="text1"/>
        </w:rPr>
        <w:t xml:space="preserve"> clapping method was more effective at regaining their attention. This appeared to be the case </w:t>
      </w:r>
      <w:r w:rsidR="00B06974">
        <w:rPr>
          <w:rFonts w:ascii="Arial" w:hAnsi="Arial" w:cs="Arial"/>
          <w:color w:val="000000" w:themeColor="text1"/>
        </w:rPr>
        <w:t>during</w:t>
      </w:r>
      <w:r>
        <w:rPr>
          <w:rFonts w:ascii="Arial" w:hAnsi="Arial" w:cs="Arial"/>
          <w:color w:val="000000" w:themeColor="text1"/>
        </w:rPr>
        <w:t xml:space="preserve"> the lesson study</w:t>
      </w:r>
      <w:r w:rsidR="00B06974">
        <w:rPr>
          <w:rFonts w:ascii="Arial" w:hAnsi="Arial" w:cs="Arial"/>
          <w:color w:val="000000" w:themeColor="text1"/>
        </w:rPr>
        <w:t>,</w:t>
      </w:r>
      <w:r>
        <w:rPr>
          <w:rFonts w:ascii="Arial" w:hAnsi="Arial" w:cs="Arial"/>
          <w:color w:val="000000" w:themeColor="text1"/>
        </w:rPr>
        <w:t xml:space="preserve"> with learners responding quicker to the clapping</w:t>
      </w:r>
      <w:r w:rsidR="00B06974">
        <w:rPr>
          <w:rFonts w:ascii="Arial" w:hAnsi="Arial" w:cs="Arial"/>
          <w:color w:val="000000" w:themeColor="text1"/>
        </w:rPr>
        <w:t>. T</w:t>
      </w:r>
      <w:r>
        <w:rPr>
          <w:rFonts w:ascii="Arial" w:hAnsi="Arial" w:cs="Arial"/>
          <w:color w:val="000000" w:themeColor="text1"/>
        </w:rPr>
        <w:t>his may be because the raised hand method relies on learners being able to see the teacher. The Gibbs reflection model was completed after the lesson study</w:t>
      </w:r>
      <w:r w:rsidR="00B06974">
        <w:rPr>
          <w:rFonts w:ascii="Arial" w:hAnsi="Arial" w:cs="Arial"/>
          <w:color w:val="000000" w:themeColor="text1"/>
        </w:rPr>
        <w:t xml:space="preserve"> </w:t>
      </w:r>
      <w:r w:rsidR="00B06974">
        <w:rPr>
          <w:rFonts w:ascii="Arial" w:hAnsi="Arial" w:cs="Arial"/>
          <w:b/>
          <w:bCs/>
          <w:color w:val="000000" w:themeColor="text1"/>
        </w:rPr>
        <w:t xml:space="preserve">(See Appendix </w:t>
      </w:r>
      <w:r w:rsidR="00906781">
        <w:rPr>
          <w:rFonts w:ascii="Arial" w:hAnsi="Arial" w:cs="Arial"/>
          <w:b/>
          <w:bCs/>
          <w:color w:val="000000" w:themeColor="text1"/>
        </w:rPr>
        <w:t>C</w:t>
      </w:r>
      <w:r w:rsidR="00B06974">
        <w:rPr>
          <w:rFonts w:ascii="Arial" w:hAnsi="Arial" w:cs="Arial"/>
          <w:b/>
          <w:bCs/>
          <w:color w:val="000000" w:themeColor="text1"/>
        </w:rPr>
        <w:t>)</w:t>
      </w:r>
      <w:r>
        <w:rPr>
          <w:rFonts w:ascii="Arial" w:hAnsi="Arial" w:cs="Arial"/>
          <w:color w:val="000000" w:themeColor="text1"/>
        </w:rPr>
        <w:t xml:space="preserve"> and was helpful for articulating my thoughts. The structure of the model allowed me to consider my own thoughts and predictions before and after the study and helped me form some recommendations for future practice which will be discussed at the end of this essay. </w:t>
      </w:r>
    </w:p>
    <w:p w14:paraId="5D717AD1" w14:textId="16489323" w:rsidR="00EF4E70" w:rsidRDefault="00EF4E70" w:rsidP="00EF4E70">
      <w:pPr>
        <w:spacing w:line="360" w:lineRule="auto"/>
        <w:rPr>
          <w:rFonts w:ascii="Arial" w:hAnsi="Arial" w:cs="Arial"/>
          <w:color w:val="000000" w:themeColor="text1"/>
        </w:rPr>
      </w:pPr>
      <w:r>
        <w:rPr>
          <w:rFonts w:ascii="Arial" w:hAnsi="Arial" w:cs="Arial"/>
          <w:color w:val="000000" w:themeColor="text1"/>
        </w:rPr>
        <w:t>The</w:t>
      </w:r>
      <w:r w:rsidR="00B06974">
        <w:rPr>
          <w:rFonts w:ascii="Arial" w:hAnsi="Arial" w:cs="Arial"/>
          <w:color w:val="000000" w:themeColor="text1"/>
        </w:rPr>
        <w:t xml:space="preserve"> lesson</w:t>
      </w:r>
      <w:r>
        <w:rPr>
          <w:rFonts w:ascii="Arial" w:hAnsi="Arial" w:cs="Arial"/>
          <w:color w:val="000000" w:themeColor="text1"/>
        </w:rPr>
        <w:t xml:space="preserve"> provided learners with some age-appropriate fun and authentic learning that worked well to maintain engagement. The lesson design allowed learners to meet one success criteria</w:t>
      </w:r>
      <w:r w:rsidR="00B06974">
        <w:rPr>
          <w:rFonts w:ascii="Arial" w:hAnsi="Arial" w:cs="Arial"/>
          <w:color w:val="000000" w:themeColor="text1"/>
        </w:rPr>
        <w:t xml:space="preserve"> </w:t>
      </w:r>
      <w:r>
        <w:rPr>
          <w:rFonts w:ascii="Arial" w:hAnsi="Arial" w:cs="Arial"/>
          <w:color w:val="000000" w:themeColor="text1"/>
        </w:rPr>
        <w:t>in using first, second and third, however there was little evidence of the learners meeting the second success criteria, which required them to write numbers up to ten</w:t>
      </w:r>
      <w:r w:rsidR="00B06974">
        <w:rPr>
          <w:rFonts w:ascii="Arial" w:hAnsi="Arial" w:cs="Arial"/>
          <w:color w:val="000000" w:themeColor="text1"/>
        </w:rPr>
        <w:t>,</w:t>
      </w:r>
      <w:r>
        <w:rPr>
          <w:rFonts w:ascii="Arial" w:hAnsi="Arial" w:cs="Arial"/>
          <w:color w:val="000000" w:themeColor="text1"/>
        </w:rPr>
        <w:t xml:space="preserve"> and perhaps an improvement to the lesson could be to include more written recording of data in the lesson plan</w:t>
      </w:r>
      <w:r w:rsidR="007B44AF">
        <w:rPr>
          <w:rFonts w:ascii="Arial" w:hAnsi="Arial" w:cs="Arial"/>
          <w:color w:val="000000" w:themeColor="text1"/>
        </w:rPr>
        <w:t xml:space="preserve"> </w:t>
      </w:r>
      <w:r w:rsidR="007B44AF">
        <w:rPr>
          <w:rFonts w:ascii="Arial" w:hAnsi="Arial" w:cs="Arial"/>
          <w:b/>
          <w:bCs/>
          <w:color w:val="000000" w:themeColor="text1"/>
        </w:rPr>
        <w:t>(See Appendix D)</w:t>
      </w:r>
      <w:r>
        <w:rPr>
          <w:rFonts w:ascii="Arial" w:hAnsi="Arial" w:cs="Arial"/>
          <w:color w:val="000000" w:themeColor="text1"/>
        </w:rPr>
        <w:t>. Lesson study 2 will now be explained.</w:t>
      </w:r>
    </w:p>
    <w:p w14:paraId="658183AF" w14:textId="77777777" w:rsidR="00EF4E70" w:rsidRDefault="00EF4E70" w:rsidP="00EF4E70">
      <w:pPr>
        <w:spacing w:line="360" w:lineRule="auto"/>
        <w:rPr>
          <w:rFonts w:ascii="Arial" w:hAnsi="Arial" w:cs="Arial"/>
          <w:color w:val="000000" w:themeColor="text1"/>
        </w:rPr>
      </w:pPr>
    </w:p>
    <w:p w14:paraId="34A5AFA9" w14:textId="77777777" w:rsidR="00EF4E70" w:rsidRPr="00E43403" w:rsidRDefault="00EF4E70" w:rsidP="00EF4E70">
      <w:pPr>
        <w:spacing w:line="360" w:lineRule="auto"/>
        <w:rPr>
          <w:rFonts w:ascii="Arial" w:hAnsi="Arial" w:cs="Arial"/>
          <w:b/>
          <w:bCs/>
          <w:color w:val="000000" w:themeColor="text1"/>
          <w:sz w:val="28"/>
          <w:szCs w:val="28"/>
        </w:rPr>
      </w:pPr>
      <w:r w:rsidRPr="00E43403">
        <w:rPr>
          <w:rFonts w:ascii="Arial" w:hAnsi="Arial" w:cs="Arial"/>
          <w:b/>
          <w:bCs/>
          <w:color w:val="000000" w:themeColor="text1"/>
          <w:sz w:val="28"/>
          <w:szCs w:val="28"/>
        </w:rPr>
        <w:t>Lesson Study 2</w:t>
      </w:r>
    </w:p>
    <w:p w14:paraId="5350AD20" w14:textId="5F5F373F" w:rsidR="00EF4E70" w:rsidRDefault="00EF4E70" w:rsidP="00EF4E70">
      <w:pPr>
        <w:spacing w:line="360" w:lineRule="auto"/>
        <w:rPr>
          <w:rFonts w:ascii="Arial" w:hAnsi="Arial" w:cs="Arial"/>
        </w:rPr>
      </w:pPr>
      <w:r>
        <w:rPr>
          <w:rFonts w:ascii="Arial" w:hAnsi="Arial" w:cs="Arial"/>
        </w:rPr>
        <w:t>Lesson study 2 took place in a year 3 class in School X and was a literacy lesson focusing on writing a poem about France. The lesson took place on the morning of Tuesday 4</w:t>
      </w:r>
      <w:r w:rsidRPr="004D244E">
        <w:rPr>
          <w:rFonts w:ascii="Arial" w:hAnsi="Arial" w:cs="Arial"/>
          <w:vertAlign w:val="superscript"/>
        </w:rPr>
        <w:t>th</w:t>
      </w:r>
      <w:r>
        <w:rPr>
          <w:rFonts w:ascii="Arial" w:hAnsi="Arial" w:cs="Arial"/>
        </w:rPr>
        <w:t xml:space="preserve"> February 2020 and was taught by myself, with my research partner Paige Cherrington present as a non-participant observer. Parental consent forms had been sent home with every learner in the class two weeks prior to the lesson study taking place, however again only four were returned which meant that there was a smaller pool of learners to focus on. Due to the small pool of learners to select from we again put all four learners’ names into a hat and chose three at random to be the</w:t>
      </w:r>
      <w:r w:rsidR="00721479" w:rsidRPr="00721479">
        <w:rPr>
          <w:rFonts w:ascii="Arial" w:hAnsi="Arial" w:cs="Arial"/>
        </w:rPr>
        <w:t xml:space="preserve"> </w:t>
      </w:r>
      <w:r w:rsidR="00721479">
        <w:rPr>
          <w:rFonts w:ascii="Arial" w:hAnsi="Arial" w:cs="Arial"/>
        </w:rPr>
        <w:t xml:space="preserve">focus of the Leuven scale observation </w:t>
      </w:r>
      <w:r w:rsidR="00721479">
        <w:rPr>
          <w:rFonts w:ascii="Arial" w:hAnsi="Arial" w:cs="Arial"/>
          <w:b/>
          <w:bCs/>
        </w:rPr>
        <w:t xml:space="preserve">(See Appendix </w:t>
      </w:r>
      <w:r w:rsidR="007B44AF">
        <w:rPr>
          <w:rFonts w:ascii="Arial" w:hAnsi="Arial" w:cs="Arial"/>
          <w:b/>
          <w:bCs/>
        </w:rPr>
        <w:t>E</w:t>
      </w:r>
      <w:r w:rsidR="00721479">
        <w:rPr>
          <w:rFonts w:ascii="Arial" w:hAnsi="Arial" w:cs="Arial"/>
          <w:b/>
          <w:bCs/>
        </w:rPr>
        <w:t>)</w:t>
      </w:r>
      <w:r w:rsidR="00721479">
        <w:rPr>
          <w:rFonts w:ascii="Arial" w:hAnsi="Arial" w:cs="Arial"/>
        </w:rPr>
        <w:t xml:space="preserve"> and interviewed after the lesson </w:t>
      </w:r>
      <w:r w:rsidR="00721479">
        <w:rPr>
          <w:rFonts w:ascii="Arial" w:hAnsi="Arial" w:cs="Arial"/>
          <w:b/>
          <w:bCs/>
        </w:rPr>
        <w:t xml:space="preserve">(See Appendix </w:t>
      </w:r>
      <w:r w:rsidR="007B44AF">
        <w:rPr>
          <w:rFonts w:ascii="Arial" w:hAnsi="Arial" w:cs="Arial"/>
          <w:b/>
          <w:bCs/>
        </w:rPr>
        <w:t>F</w:t>
      </w:r>
      <w:r w:rsidR="00721479">
        <w:rPr>
          <w:rFonts w:ascii="Arial" w:hAnsi="Arial" w:cs="Arial"/>
          <w:b/>
          <w:bCs/>
        </w:rPr>
        <w:t>)</w:t>
      </w:r>
      <w:r w:rsidR="00721479">
        <w:rPr>
          <w:rFonts w:ascii="Arial" w:hAnsi="Arial" w:cs="Arial"/>
        </w:rPr>
        <w:t>.</w:t>
      </w:r>
    </w:p>
    <w:p w14:paraId="590E9072" w14:textId="26A4600F" w:rsidR="00EF4E70" w:rsidRDefault="00EF4E70" w:rsidP="00EF4E70">
      <w:pPr>
        <w:spacing w:line="360" w:lineRule="auto"/>
        <w:rPr>
          <w:rFonts w:ascii="Arial" w:hAnsi="Arial" w:cs="Arial"/>
        </w:rPr>
      </w:pPr>
      <w:r>
        <w:rPr>
          <w:rFonts w:ascii="Arial" w:hAnsi="Arial" w:cs="Arial"/>
        </w:rPr>
        <w:lastRenderedPageBreak/>
        <w:t xml:space="preserve">It’s worth noting that this lesson study took place in the second week with a supply teacher in the class, as the regular class teacher was absent due to ill health. This fact in combination with my own presence as a student teacher resulted in a transitional period for the learners, which affected the typical daily routines and may have affected behaviour. Due to this fact the lesson was </w:t>
      </w:r>
      <w:r w:rsidR="00AE5ECC">
        <w:rPr>
          <w:rFonts w:ascii="Arial" w:hAnsi="Arial" w:cs="Arial"/>
        </w:rPr>
        <w:t xml:space="preserve">planned </w:t>
      </w:r>
      <w:r w:rsidR="00AE5ECC">
        <w:rPr>
          <w:rFonts w:ascii="Arial" w:hAnsi="Arial" w:cs="Arial"/>
          <w:b/>
          <w:bCs/>
        </w:rPr>
        <w:t xml:space="preserve">(See Appendix G) </w:t>
      </w:r>
      <w:r>
        <w:rPr>
          <w:rFonts w:ascii="Arial" w:hAnsi="Arial" w:cs="Arial"/>
        </w:rPr>
        <w:t>with a fifteen-minute opening period with questioning followed by two ability groups working with an adult to provide extra support, and two groups in provision areas, this was not ideal for the lesson study as there was limited time to address the whole class.</w:t>
      </w:r>
    </w:p>
    <w:p w14:paraId="1EC84DDE" w14:textId="77777777" w:rsidR="00EF4E70" w:rsidRDefault="00EF4E70" w:rsidP="00EF4E70">
      <w:pPr>
        <w:spacing w:line="360" w:lineRule="auto"/>
        <w:rPr>
          <w:rFonts w:ascii="Arial" w:hAnsi="Arial" w:cs="Arial"/>
          <w:color w:val="000000" w:themeColor="text1"/>
        </w:rPr>
      </w:pPr>
      <w:r>
        <w:rPr>
          <w:rFonts w:ascii="Arial" w:hAnsi="Arial" w:cs="Arial"/>
        </w:rPr>
        <w:t xml:space="preserve">As is the nature of lesson study, when discussing this lesson, I present the observations of my research partner. The lesson began with a recap of previous lessons which were a build-up to writing a poem. The learners were asked to give examples of facts about France that they had researched previously. The learners appeared enthusiastic with their ideas and raised their hands to offer suggestions. During this period there were two disturbances, one fairly low and one fairly high, and the teacher used the clapping method on both occasions, regaining the attention of the class in four and eight seconds respectively. This appears to support claims by </w:t>
      </w:r>
      <w:r>
        <w:rPr>
          <w:rFonts w:ascii="Arial" w:hAnsi="Arial" w:cs="Arial"/>
          <w:color w:val="000000" w:themeColor="text1"/>
        </w:rPr>
        <w:t>Neill (2017) that</w:t>
      </w:r>
      <w:r>
        <w:rPr>
          <w:rFonts w:ascii="Arial" w:hAnsi="Arial" w:cs="Arial"/>
        </w:rPr>
        <w:t xml:space="preserve"> </w:t>
      </w:r>
      <w:r>
        <w:rPr>
          <w:rFonts w:ascii="Arial" w:hAnsi="Arial" w:cs="Arial"/>
          <w:color w:val="000000" w:themeColor="text1"/>
        </w:rPr>
        <w:t xml:space="preserve">non-verbal attention calls </w:t>
      </w:r>
      <w:r w:rsidRPr="00F630B0">
        <w:rPr>
          <w:rFonts w:ascii="Arial" w:hAnsi="Arial" w:cs="Arial"/>
          <w:color w:val="000000" w:themeColor="text1"/>
        </w:rPr>
        <w:t>are particularly important in maintaining control</w:t>
      </w:r>
      <w:r>
        <w:rPr>
          <w:rFonts w:ascii="Arial" w:hAnsi="Arial" w:cs="Arial"/>
          <w:color w:val="000000" w:themeColor="text1"/>
        </w:rPr>
        <w:t xml:space="preserve">, </w:t>
      </w:r>
      <w:r w:rsidRPr="00F630B0">
        <w:rPr>
          <w:rFonts w:ascii="Arial" w:hAnsi="Arial" w:cs="Arial"/>
          <w:color w:val="000000" w:themeColor="text1"/>
        </w:rPr>
        <w:t>avoiding</w:t>
      </w:r>
      <w:r>
        <w:rPr>
          <w:rFonts w:ascii="Arial" w:hAnsi="Arial" w:cs="Arial"/>
          <w:color w:val="000000" w:themeColor="text1"/>
        </w:rPr>
        <w:t xml:space="preserve"> the</w:t>
      </w:r>
      <w:r w:rsidRPr="00F630B0">
        <w:rPr>
          <w:rFonts w:ascii="Arial" w:hAnsi="Arial" w:cs="Arial"/>
          <w:color w:val="000000" w:themeColor="text1"/>
        </w:rPr>
        <w:t xml:space="preserve"> wast</w:t>
      </w:r>
      <w:r>
        <w:rPr>
          <w:rFonts w:ascii="Arial" w:hAnsi="Arial" w:cs="Arial"/>
          <w:color w:val="000000" w:themeColor="text1"/>
        </w:rPr>
        <w:t>ing</w:t>
      </w:r>
      <w:r w:rsidRPr="00F630B0">
        <w:rPr>
          <w:rFonts w:ascii="Arial" w:hAnsi="Arial" w:cs="Arial"/>
          <w:color w:val="000000" w:themeColor="text1"/>
        </w:rPr>
        <w:t xml:space="preserve"> of time at the start of lessons and</w:t>
      </w:r>
      <w:r>
        <w:rPr>
          <w:rFonts w:ascii="Arial" w:hAnsi="Arial" w:cs="Arial"/>
          <w:color w:val="000000" w:themeColor="text1"/>
        </w:rPr>
        <w:t xml:space="preserve"> in lesson transitions</w:t>
      </w:r>
      <w:r w:rsidRPr="00F630B0">
        <w:rPr>
          <w:rFonts w:ascii="Arial" w:hAnsi="Arial" w:cs="Arial"/>
          <w:color w:val="000000" w:themeColor="text1"/>
        </w:rPr>
        <w:t>.</w:t>
      </w:r>
      <w:r>
        <w:rPr>
          <w:rFonts w:ascii="Arial" w:hAnsi="Arial" w:cs="Arial"/>
          <w:color w:val="000000" w:themeColor="text1"/>
        </w:rPr>
        <w:t xml:space="preserve"> The learners were then asked to remember and give examples of rhyme, simile and alliteration from a previous lesson. Most learners seemed to have little understanding or recollection of these concepts, with only a few learners offering any input and most learners beginning to appear disengaged. The teacher then explained the concepts further and gave examples before again asking the learners to offer their own examples. The learners appeared more engaged after examples were given and raised their hands to offer their own examples. During this period of the lesson there were four disturbances, three were fairly low and one was fairly high. The teacher used the clapping method once, taking eight seconds to regain the attention of the whole class, and the hand raised method on three occasions, taking fifteen, seven and fourteen seconds respectively to regain the attention of the whole class. The hand raised method again required an additional verbal prompt for the learners to become aware that the teachers hand was raised. </w:t>
      </w:r>
    </w:p>
    <w:p w14:paraId="055FF912" w14:textId="77777777" w:rsidR="00EF4E70" w:rsidRPr="00172941" w:rsidRDefault="00EF4E70" w:rsidP="00EF4E70">
      <w:pPr>
        <w:spacing w:line="360" w:lineRule="auto"/>
        <w:rPr>
          <w:rFonts w:ascii="Arial" w:hAnsi="Arial" w:cs="Arial"/>
        </w:rPr>
      </w:pPr>
      <w:r>
        <w:rPr>
          <w:rFonts w:ascii="Arial" w:hAnsi="Arial" w:cs="Arial"/>
          <w:color w:val="000000" w:themeColor="text1"/>
        </w:rPr>
        <w:t>Although there was not a consistent reduction in the time it took to regain the attention of the class using the non-verbal attention signals in this lesson, they still worked quickly to regain attention and for the most part the learners appeared happy and engaged in the lesson, although these aspects will be discussed in greater detail in the research findings.</w:t>
      </w:r>
    </w:p>
    <w:p w14:paraId="4DE2DC96" w14:textId="7D567347" w:rsidR="00EF4E70" w:rsidRDefault="00EF4E70" w:rsidP="00EF4E70">
      <w:pPr>
        <w:spacing w:line="360" w:lineRule="auto"/>
        <w:rPr>
          <w:rFonts w:ascii="Arial" w:hAnsi="Arial" w:cs="Arial"/>
          <w:color w:val="000000" w:themeColor="text1"/>
        </w:rPr>
      </w:pPr>
      <w:r>
        <w:rPr>
          <w:rFonts w:ascii="Arial" w:hAnsi="Arial" w:cs="Arial"/>
          <w:color w:val="000000" w:themeColor="text1"/>
        </w:rPr>
        <w:t xml:space="preserve">After the lesson, the three focus learners were interviewed by my research partner using the structured interview. In the interviews all learners recognised the clapping method but only </w:t>
      </w:r>
      <w:r>
        <w:rPr>
          <w:rFonts w:ascii="Arial" w:hAnsi="Arial" w:cs="Arial"/>
          <w:color w:val="000000" w:themeColor="text1"/>
        </w:rPr>
        <w:lastRenderedPageBreak/>
        <w:t>one learner recognised the hand raised method. This made it difficult to obtain conclusive evidence from the interviews as two of the learners could only discuss the clapping method. My research partner also completed the Gibbs reflection model</w:t>
      </w:r>
      <w:r w:rsidR="00721479">
        <w:rPr>
          <w:rFonts w:ascii="Arial" w:hAnsi="Arial" w:cs="Arial"/>
          <w:color w:val="000000" w:themeColor="text1"/>
        </w:rPr>
        <w:t xml:space="preserve"> </w:t>
      </w:r>
      <w:r w:rsidR="00721479">
        <w:rPr>
          <w:rFonts w:ascii="Arial" w:hAnsi="Arial" w:cs="Arial"/>
          <w:b/>
          <w:bCs/>
          <w:color w:val="000000" w:themeColor="text1"/>
        </w:rPr>
        <w:t xml:space="preserve">(See Appendix </w:t>
      </w:r>
      <w:r w:rsidR="00AE5ECC">
        <w:rPr>
          <w:rFonts w:ascii="Arial" w:hAnsi="Arial" w:cs="Arial"/>
          <w:b/>
          <w:bCs/>
          <w:color w:val="000000" w:themeColor="text1"/>
        </w:rPr>
        <w:t>H</w:t>
      </w:r>
      <w:r w:rsidR="00721479">
        <w:rPr>
          <w:rFonts w:ascii="Arial" w:hAnsi="Arial" w:cs="Arial"/>
          <w:b/>
          <w:bCs/>
          <w:color w:val="000000" w:themeColor="text1"/>
        </w:rPr>
        <w:t>)</w:t>
      </w:r>
      <w:r>
        <w:rPr>
          <w:rFonts w:ascii="Arial" w:hAnsi="Arial" w:cs="Arial"/>
          <w:color w:val="000000" w:themeColor="text1"/>
        </w:rPr>
        <w:t xml:space="preserve"> and also found it useful for articulating her thoughts. She acknowledged that the behaviours in the class may have been affected by the teachers absence and formed her own recommendations.</w:t>
      </w:r>
    </w:p>
    <w:p w14:paraId="1335576A" w14:textId="62D755C2" w:rsidR="00EF4E70" w:rsidRDefault="00EF4E70" w:rsidP="00EF4E70">
      <w:pPr>
        <w:spacing w:line="360" w:lineRule="auto"/>
        <w:rPr>
          <w:rFonts w:ascii="Arial" w:hAnsi="Arial" w:cs="Arial"/>
          <w:color w:val="000000" w:themeColor="text1"/>
        </w:rPr>
      </w:pPr>
      <w:r>
        <w:rPr>
          <w:rFonts w:ascii="Arial" w:hAnsi="Arial" w:cs="Arial"/>
          <w:color w:val="000000" w:themeColor="text1"/>
        </w:rPr>
        <w:t xml:space="preserve">The design of the lesson study was successful in facilitating the collection of qualitative and quantitative data regarding the use of non-verbal attention signals in the classroom. The Gibbs reflection model was particularly helpful in articulating thoughts and forming an action plan in the model of the transformative teacher. It was felt by myself and my research partner that the lesson study design would have benefited from the addition of a formal lesson observation form as it was felt that we relied </w:t>
      </w:r>
      <w:r w:rsidR="00721479">
        <w:rPr>
          <w:rFonts w:ascii="Arial" w:hAnsi="Arial" w:cs="Arial"/>
          <w:color w:val="000000" w:themeColor="text1"/>
        </w:rPr>
        <w:t>too</w:t>
      </w:r>
      <w:r>
        <w:rPr>
          <w:rFonts w:ascii="Arial" w:hAnsi="Arial" w:cs="Arial"/>
          <w:color w:val="000000" w:themeColor="text1"/>
        </w:rPr>
        <w:t xml:space="preserve"> heavily on conversation and notes to present any contextual observations outside the remit of the lesson study itself. The research findings will now be discussed.</w:t>
      </w:r>
    </w:p>
    <w:p w14:paraId="7A01E690" w14:textId="77777777" w:rsidR="007B44AF" w:rsidRDefault="007B44AF" w:rsidP="00EF4E70">
      <w:pPr>
        <w:spacing w:line="360" w:lineRule="auto"/>
        <w:rPr>
          <w:rFonts w:ascii="Arial" w:hAnsi="Arial" w:cs="Arial"/>
          <w:color w:val="000000" w:themeColor="text1"/>
        </w:rPr>
      </w:pPr>
    </w:p>
    <w:p w14:paraId="006726B9" w14:textId="77777777" w:rsidR="00EF4E70" w:rsidRDefault="00EF4E70" w:rsidP="00EF4E70">
      <w:pPr>
        <w:spacing w:line="360" w:lineRule="auto"/>
        <w:rPr>
          <w:rFonts w:ascii="Arial" w:hAnsi="Arial" w:cs="Arial"/>
          <w:color w:val="000000" w:themeColor="text1"/>
        </w:rPr>
      </w:pPr>
    </w:p>
    <w:p w14:paraId="104536F1" w14:textId="77777777" w:rsidR="00EF4E70" w:rsidRPr="00E43403" w:rsidRDefault="00EF4E70" w:rsidP="00EF4E70">
      <w:pPr>
        <w:spacing w:line="360" w:lineRule="auto"/>
        <w:rPr>
          <w:rFonts w:ascii="Arial" w:hAnsi="Arial" w:cs="Arial"/>
          <w:color w:val="000000" w:themeColor="text1"/>
          <w:sz w:val="28"/>
          <w:szCs w:val="28"/>
        </w:rPr>
      </w:pPr>
      <w:r w:rsidRPr="00E43403">
        <w:rPr>
          <w:rFonts w:ascii="Arial" w:hAnsi="Arial" w:cs="Arial"/>
          <w:b/>
          <w:bCs/>
          <w:sz w:val="28"/>
          <w:szCs w:val="28"/>
        </w:rPr>
        <w:t xml:space="preserve">Research findings </w:t>
      </w:r>
    </w:p>
    <w:p w14:paraId="4A5963B7" w14:textId="60607240" w:rsidR="00EF4E70" w:rsidRDefault="00EF4E70" w:rsidP="00EF4E70">
      <w:pPr>
        <w:spacing w:line="360" w:lineRule="auto"/>
        <w:rPr>
          <w:rFonts w:ascii="Arial" w:hAnsi="Arial" w:cs="Arial"/>
        </w:rPr>
      </w:pPr>
      <w:r>
        <w:rPr>
          <w:rFonts w:ascii="Arial" w:hAnsi="Arial" w:cs="Arial"/>
        </w:rPr>
        <w:t xml:space="preserve">In order to address our research question, </w:t>
      </w:r>
      <w:r>
        <w:rPr>
          <w:rFonts w:ascii="Arial" w:hAnsi="Arial" w:cs="Arial"/>
          <w:i/>
          <w:iCs/>
        </w:rPr>
        <w:t>(C</w:t>
      </w:r>
      <w:r w:rsidRPr="00D922EB">
        <w:rPr>
          <w:rFonts w:ascii="Arial" w:hAnsi="Arial" w:cs="Arial"/>
          <w:i/>
          <w:iCs/>
        </w:rPr>
        <w:t>an non-verbal attention signals affect pupil engagement and pupil well-being?)</w:t>
      </w:r>
      <w:r>
        <w:rPr>
          <w:rFonts w:ascii="Arial" w:hAnsi="Arial" w:cs="Arial"/>
        </w:rPr>
        <w:t xml:space="preserve"> the data obtained from the lesson study can be examined. In lesson study 1</w:t>
      </w:r>
      <w:r w:rsidR="00721479">
        <w:rPr>
          <w:rFonts w:ascii="Arial" w:hAnsi="Arial" w:cs="Arial"/>
        </w:rPr>
        <w:t xml:space="preserve">, </w:t>
      </w:r>
      <w:r>
        <w:rPr>
          <w:rFonts w:ascii="Arial" w:hAnsi="Arial" w:cs="Arial"/>
        </w:rPr>
        <w:t>non-verbal attention signals were used by the teacher to regain attention on six occasions, with the clapping method and the hands raised method being used on three occasions each. The disturbances that led to an attention signal ranged from fairly high to high meaning that on each occasion anywhere from ten learners to the whole class were off task. The study showed that there was a steady decrease in the time it took for the class to settle when the teacher used each method. After each teacher intervention the engagement and wellbeing of the three focus learners was measured. Pupil 1 was identified using the Leuven scale to be showing low levels of engagement and wellbeing throughout the lesson, however this remained fairly consistent throughout and the non-verbal attention signals appeared to have little impact. Pupil 2 and Pupil 3 showed extremely high and moderate levels of engagement and wellbeing respectively, but again this remained consistent and appeared unaffected by the non-verbal attention signals. The findings appear to support the claims outlined above (</w:t>
      </w:r>
      <w:r>
        <w:rPr>
          <w:rFonts w:ascii="Arial" w:hAnsi="Arial" w:cs="Arial"/>
          <w:color w:val="000000" w:themeColor="text1"/>
        </w:rPr>
        <w:t xml:space="preserve">Sprick et al. 2009, Gutloff, 1998 and Neill, 2017) that non-verbal attention signals keep the flow of a lesson moving by avoiding disruptions, however they also suggest that non-verbal attention signals have little impact on learner </w:t>
      </w:r>
      <w:r>
        <w:rPr>
          <w:rFonts w:ascii="Arial" w:hAnsi="Arial" w:cs="Arial"/>
          <w:color w:val="000000" w:themeColor="text1"/>
        </w:rPr>
        <w:lastRenderedPageBreak/>
        <w:t>engagement and wellbeing.</w:t>
      </w:r>
      <w:r>
        <w:rPr>
          <w:rFonts w:ascii="Arial" w:hAnsi="Arial" w:cs="Arial"/>
        </w:rPr>
        <w:t xml:space="preserve"> During the interviews all three learners understood the methods that were used and displayed positive emotions towards them. The learners were split regarding which method they preferred but all agreed that the clapping method was most effective.</w:t>
      </w:r>
    </w:p>
    <w:p w14:paraId="6253331C" w14:textId="64F9E8A5" w:rsidR="00EF4E70" w:rsidRDefault="00EF4E70" w:rsidP="00EF4E70">
      <w:pPr>
        <w:spacing w:line="360" w:lineRule="auto"/>
        <w:rPr>
          <w:rFonts w:ascii="Arial" w:hAnsi="Arial" w:cs="Arial"/>
        </w:rPr>
      </w:pPr>
      <w:r>
        <w:rPr>
          <w:rFonts w:ascii="Arial" w:hAnsi="Arial" w:cs="Arial"/>
        </w:rPr>
        <w:t>In lesson study</w:t>
      </w:r>
      <w:r w:rsidR="00721479">
        <w:rPr>
          <w:rFonts w:ascii="Arial" w:hAnsi="Arial" w:cs="Arial"/>
        </w:rPr>
        <w:t xml:space="preserve"> 2, </w:t>
      </w:r>
      <w:r>
        <w:rPr>
          <w:rFonts w:ascii="Arial" w:hAnsi="Arial" w:cs="Arial"/>
        </w:rPr>
        <w:t>non-verbal attention signals were again used by the teacher to regain attention on six occasions, with the clapping method and the hands raised method being used on three occasions each. These disturbances ranged from fairly low to fairly high, meaning that on each occasion anywhere from three learners to twenty learners were off task. In this study the data was more sporadic, perhaps due to the transitional environment in the class. The time taken to regain attention using the hand raised method showed a steady reduction, however the clapping method</w:t>
      </w:r>
      <w:r w:rsidR="00721479">
        <w:rPr>
          <w:rFonts w:ascii="Arial" w:hAnsi="Arial" w:cs="Arial"/>
        </w:rPr>
        <w:t xml:space="preserve"> was more sporadic</w:t>
      </w:r>
      <w:r>
        <w:rPr>
          <w:rFonts w:ascii="Arial" w:hAnsi="Arial" w:cs="Arial"/>
        </w:rPr>
        <w:t>. The focus learners’ engagement and wellbeing were very irregular showing large changes throughout the lesson, and this may again be explained by the transitional period that the learners were experiencing. During the interviews all learners recognised the clapping method had been used, however only one learner recognised that the hand raised method had been used. This resulted in an unreliable outcome as two learners could only relate their experience to the clapping method which they had recognised had been used.</w:t>
      </w:r>
    </w:p>
    <w:p w14:paraId="2CDC9E1A" w14:textId="77777777" w:rsidR="00EF4E70" w:rsidRDefault="00EF4E70" w:rsidP="00EF4E70">
      <w:pPr>
        <w:spacing w:line="360" w:lineRule="auto"/>
        <w:rPr>
          <w:rFonts w:ascii="Arial" w:hAnsi="Arial" w:cs="Arial"/>
        </w:rPr>
      </w:pPr>
      <w:r>
        <w:rPr>
          <w:rFonts w:ascii="Arial" w:hAnsi="Arial" w:cs="Arial"/>
        </w:rPr>
        <w:t xml:space="preserve">Overall, the data collected agrees with the literature regarding the use of non-verbal attention signals and suggests that it is highly effective for regaining whole class attention. In relation to the research question, non-verbal attention signals appear to have little impact on learner engagement and wellbeing and perhaps additional classroom management approaches may be required to positively affect these factors. The strengths and limitations of the methods used will now be examined.    </w:t>
      </w:r>
    </w:p>
    <w:p w14:paraId="26AA18A0" w14:textId="77777777" w:rsidR="00EF4E70" w:rsidRDefault="00EF4E70" w:rsidP="00EF4E70">
      <w:pPr>
        <w:spacing w:line="360" w:lineRule="auto"/>
        <w:rPr>
          <w:rFonts w:ascii="Arial" w:hAnsi="Arial" w:cs="Arial"/>
        </w:rPr>
      </w:pPr>
    </w:p>
    <w:p w14:paraId="667F690C" w14:textId="77777777" w:rsidR="00EF4E70" w:rsidRPr="00E43403" w:rsidRDefault="00EF4E70" w:rsidP="00EF4E70">
      <w:pPr>
        <w:spacing w:line="360" w:lineRule="auto"/>
        <w:rPr>
          <w:rFonts w:ascii="Arial" w:hAnsi="Arial" w:cs="Arial"/>
          <w:sz w:val="28"/>
          <w:szCs w:val="28"/>
        </w:rPr>
      </w:pPr>
      <w:r w:rsidRPr="00E43403">
        <w:rPr>
          <w:rFonts w:ascii="Arial" w:hAnsi="Arial" w:cs="Arial"/>
          <w:b/>
          <w:bCs/>
          <w:sz w:val="28"/>
          <w:szCs w:val="28"/>
        </w:rPr>
        <w:t xml:space="preserve">Conclusion </w:t>
      </w:r>
    </w:p>
    <w:p w14:paraId="40EDD0AB" w14:textId="77777777" w:rsidR="00EF4E70" w:rsidRDefault="00EF4E70" w:rsidP="00EF4E70">
      <w:pPr>
        <w:spacing w:line="360" w:lineRule="auto"/>
        <w:rPr>
          <w:rFonts w:ascii="Arial" w:hAnsi="Arial" w:cs="Arial"/>
        </w:rPr>
      </w:pPr>
      <w:r>
        <w:rPr>
          <w:rFonts w:ascii="Arial" w:hAnsi="Arial" w:cs="Arial"/>
        </w:rPr>
        <w:t xml:space="preserve">The data obtained from this research has provided a valuable insight into the impact that non-verbal attention signals have on learners and also the overall effectiveness of these methods as classroom management tools. It has been shown that the clapping method and the hand raised method are highly effective at quickly regaining whole class attention, with the clapping method providing the quickest result. It was also shown that learners respond more quickly, the more that these methods are used, which keeps the flow of the lesson moving and keeps the focus of the lesson on learning, creating a better environment for progress to be made. There was also an indication that these methods neither positively or negatively impact learner engagement or wellbeing and perhaps to impact these factors </w:t>
      </w:r>
      <w:r>
        <w:rPr>
          <w:rFonts w:ascii="Arial" w:hAnsi="Arial" w:cs="Arial"/>
        </w:rPr>
        <w:lastRenderedPageBreak/>
        <w:t>positively, other classroom management approaches will be needed such as praise, reward systems and certificates as well as creating lessons that are authentic and engaging in order to create a thirst for learning.</w:t>
      </w:r>
    </w:p>
    <w:p w14:paraId="7E6B0BC1" w14:textId="31CAAD73" w:rsidR="00EF4E70" w:rsidRDefault="00EF4E70" w:rsidP="00EF4E70">
      <w:pPr>
        <w:spacing w:line="360" w:lineRule="auto"/>
        <w:rPr>
          <w:rFonts w:ascii="Arial" w:hAnsi="Arial" w:cs="Arial"/>
          <w:color w:val="000000" w:themeColor="text1"/>
          <w:shd w:val="clear" w:color="auto" w:fill="FFFFFF"/>
        </w:rPr>
      </w:pPr>
      <w:r>
        <w:rPr>
          <w:rFonts w:ascii="Arial" w:hAnsi="Arial" w:cs="Arial"/>
        </w:rPr>
        <w:t>There were a number of strengths to our research design. The methods used in the design of this research allowed us to collect a mixture of qualitative and quantitative data, which Kumar (2011) suggested was an effective approach. The lesson study</w:t>
      </w:r>
      <w:r w:rsidRPr="009F26F9">
        <w:rPr>
          <w:rFonts w:ascii="Arial" w:hAnsi="Arial" w:cs="Arial"/>
        </w:rPr>
        <w:t xml:space="preserve"> </w:t>
      </w:r>
      <w:r>
        <w:rPr>
          <w:rFonts w:ascii="Arial" w:hAnsi="Arial" w:cs="Arial"/>
        </w:rPr>
        <w:t xml:space="preserve">was conducted in an ethical manner and allowed my research partner and I to study the impact of non-verbal attention signals with learners in their natural learning environment. The two focus non-verbal attention signals chosen for the research were already implemented throughout School X and were familiar to the learners. The Leuven scale allowed us to place a measurable, quantitative value on the engagement and wellbeing of learners. The interview allowed learners to discuss how they felt regarding the use of non-verbal attention signals and the Gibbs reflection model was effective in aiding the articulation our thoughts. Although there were many strengths to our research design, as outlined above, there were also a number of limitations. </w:t>
      </w:r>
      <w:r w:rsidRPr="005D3813">
        <w:rPr>
          <w:rFonts w:ascii="Arial" w:hAnsi="Arial" w:cs="Arial"/>
          <w:color w:val="000000" w:themeColor="text1"/>
          <w:shd w:val="clear" w:color="auto" w:fill="FFFFFF"/>
        </w:rPr>
        <w:t>Price</w:t>
      </w:r>
      <w:r>
        <w:rPr>
          <w:rFonts w:ascii="Arial" w:hAnsi="Arial" w:cs="Arial"/>
          <w:color w:val="000000" w:themeColor="text1"/>
          <w:shd w:val="clear" w:color="auto" w:fill="FFFFFF"/>
        </w:rPr>
        <w:t xml:space="preserve"> and </w:t>
      </w:r>
      <w:proofErr w:type="spellStart"/>
      <w:r w:rsidRPr="005D3813">
        <w:rPr>
          <w:rFonts w:ascii="Arial" w:hAnsi="Arial" w:cs="Arial"/>
          <w:color w:val="000000" w:themeColor="text1"/>
          <w:shd w:val="clear" w:color="auto" w:fill="FFFFFF"/>
        </w:rPr>
        <w:t>Murnan</w:t>
      </w:r>
      <w:proofErr w:type="spellEnd"/>
      <w:r>
        <w:rPr>
          <w:rFonts w:ascii="Arial" w:hAnsi="Arial" w:cs="Arial"/>
          <w:color w:val="000000" w:themeColor="text1"/>
          <w:shd w:val="clear" w:color="auto" w:fill="FFFFFF"/>
        </w:rPr>
        <w:t xml:space="preserve"> (</w:t>
      </w:r>
      <w:r w:rsidRPr="005D3813">
        <w:rPr>
          <w:rFonts w:ascii="Arial" w:hAnsi="Arial" w:cs="Arial"/>
          <w:color w:val="000000" w:themeColor="text1"/>
          <w:shd w:val="clear" w:color="auto" w:fill="FFFFFF"/>
        </w:rPr>
        <w:t>2004</w:t>
      </w:r>
      <w:r>
        <w:rPr>
          <w:rFonts w:ascii="Arial" w:hAnsi="Arial" w:cs="Arial"/>
          <w:color w:val="000000" w:themeColor="text1"/>
          <w:shd w:val="clear" w:color="auto" w:fill="FFFFFF"/>
        </w:rPr>
        <w:t>) suggest that authors who don’t fully report the limitations of their research are misinforming fellow researchers. This study will</w:t>
      </w:r>
      <w:r w:rsidR="00BA40AD">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endeavour to include its limitations in full. Traditional lesson studies have a large number of experienced practitioners as observers, however our lesson study design only included one student teacher as the observer, therefore the inexperience and narrow perspective of the observations must be considered. The observation was also limited by the omission of a formal observation form, which could have better aided the collection of the contextual details of the lesson. This study only focused on two non-verbal attention signals and</w:t>
      </w:r>
      <w:r w:rsidRPr="002307C9">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six learners from two age-groups from one school and therefore its findings only offer an insight into the impact of these two methods in these specific circumstances. Lesson study 2 took place the day after lesson study 1 meaning that there was too little time to reflect and improve the design ready for lesson study 2. My research partner and I agreed that whilst using the Leuven scale to measure learner engagement and wellbeing after a non-verbal attention signal was used, it was difficult to observe three learners at one time before the next signal was used, which may have impacted the accuracy of the findings. Finally, the study was limited by the small number of learners that had parental consent and were therefore eligible for the study.</w:t>
      </w:r>
    </w:p>
    <w:p w14:paraId="6BAEF0EF" w14:textId="77777777" w:rsidR="00EF4E70" w:rsidRDefault="00EF4E70" w:rsidP="00EF4E70">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Future research concerning this topic could provide more conclusive findings by addressing the limitations of this study in the following ways. If lesson study methodology was to be adopted, then it should be adopted fully, with a larger number of experienced practitioners observing using a formal observation form. More conclusive findings could be achieved also by conducting the research in more schools, with different age-groups focussing on more </w:t>
      </w:r>
      <w:r>
        <w:rPr>
          <w:rFonts w:ascii="Arial" w:hAnsi="Arial" w:cs="Arial"/>
          <w:color w:val="000000" w:themeColor="text1"/>
          <w:shd w:val="clear" w:color="auto" w:fill="FFFFFF"/>
        </w:rPr>
        <w:lastRenderedPageBreak/>
        <w:t xml:space="preserve">learners and by measuring the impact of more non-verbal attention signals. More communication with parents would be needed to build trust and ensure importance of research is understood, so that more learners may be eligible for study. Finally, more time should be allowed between lesson studies, to give appropriate time for reflection and improvements. Recommendations concerning my own practice will now be made.     </w:t>
      </w:r>
    </w:p>
    <w:p w14:paraId="315DEA8D" w14:textId="77777777" w:rsidR="00EF4E70" w:rsidRDefault="00EF4E70" w:rsidP="00EF4E70">
      <w:pPr>
        <w:spacing w:line="360" w:lineRule="auto"/>
        <w:rPr>
          <w:rFonts w:ascii="Arial" w:hAnsi="Arial" w:cs="Arial"/>
        </w:rPr>
      </w:pPr>
      <w:r>
        <w:rPr>
          <w:rFonts w:ascii="Arial" w:hAnsi="Arial" w:cs="Arial"/>
          <w:color w:val="000000" w:themeColor="text1"/>
          <w:shd w:val="clear" w:color="auto" w:fill="FFFFFF"/>
        </w:rPr>
        <w:t xml:space="preserve">     </w:t>
      </w:r>
      <w:r>
        <w:rPr>
          <w:rFonts w:ascii="Arial" w:hAnsi="Arial" w:cs="Arial"/>
        </w:rPr>
        <w:t xml:space="preserve">    </w:t>
      </w:r>
      <w:r>
        <w:rPr>
          <w:rFonts w:ascii="Arial" w:hAnsi="Arial" w:cs="Arial"/>
          <w:color w:val="000000" w:themeColor="text1"/>
          <w:shd w:val="clear" w:color="auto" w:fill="FFFFFF"/>
        </w:rPr>
        <w:t xml:space="preserve">      </w:t>
      </w:r>
      <w:r>
        <w:rPr>
          <w:rFonts w:ascii="Arial" w:hAnsi="Arial" w:cs="Arial"/>
        </w:rPr>
        <w:t xml:space="preserve">    </w:t>
      </w:r>
    </w:p>
    <w:p w14:paraId="7AFBE216" w14:textId="77777777" w:rsidR="00EF4E70" w:rsidRPr="00E43403" w:rsidRDefault="00EF4E70" w:rsidP="00EF4E70">
      <w:pPr>
        <w:spacing w:line="360" w:lineRule="auto"/>
        <w:rPr>
          <w:rFonts w:ascii="Arial" w:hAnsi="Arial" w:cs="Arial"/>
          <w:sz w:val="28"/>
          <w:szCs w:val="28"/>
        </w:rPr>
      </w:pPr>
      <w:r w:rsidRPr="00E43403">
        <w:rPr>
          <w:rFonts w:ascii="Arial" w:hAnsi="Arial" w:cs="Arial"/>
          <w:b/>
          <w:bCs/>
          <w:sz w:val="28"/>
          <w:szCs w:val="28"/>
        </w:rPr>
        <w:t xml:space="preserve">Recommendations </w:t>
      </w:r>
    </w:p>
    <w:p w14:paraId="35C95A93" w14:textId="77777777" w:rsidR="00BA40AD" w:rsidRDefault="00EF4E70" w:rsidP="00EF4E70">
      <w:pPr>
        <w:spacing w:line="360" w:lineRule="auto"/>
        <w:rPr>
          <w:rFonts w:ascii="Arial" w:hAnsi="Arial" w:cs="Arial"/>
        </w:rPr>
      </w:pPr>
      <w:r w:rsidRPr="0088180B">
        <w:rPr>
          <w:rFonts w:ascii="Arial" w:hAnsi="Arial" w:cs="Arial"/>
        </w:rPr>
        <w:t>This</w:t>
      </w:r>
      <w:r>
        <w:rPr>
          <w:rFonts w:ascii="Arial" w:hAnsi="Arial" w:cs="Arial"/>
        </w:rPr>
        <w:t xml:space="preserve"> research began with a purpose of improving my professional practice through transformative learning, specifically relating to classroom management, and this purpose has resulted in an extensive study of the impact that two non-verbal attention signals commonly used in my placement school have on learner engagement and wellbeing. The research suggested that these non-verbal attention signals have little impact on learner engagement and wellbeing, however it did suggest that non-verbal attention signals are highly effective for quickly regaining the attention of the whole class and keeping learners on task, which is essential for maximising the effectiveness of teaching time and this positively corresponds with learner progress. Moving forward, I will continue to implement the non-verbal attention signals that have been the focus of this study, but also, as identified previously, in order to positively impact the levels of learner engagement and learner wellbeing, I must continue to research other effective classroom management approaches such as praise, reward systems and certificates as well as continuing to develop my lesson planning to create lessons that are authentic and engaging. All these recommendations come as the result of adopting the model of the transformative teacher, and perhaps the importance of this model is best summarised by this closing quote;</w:t>
      </w:r>
    </w:p>
    <w:p w14:paraId="2C1D4F0B" w14:textId="476CD8E3" w:rsidR="00EF4E70" w:rsidRPr="0088180B" w:rsidRDefault="00EF4E70" w:rsidP="00BA40AD">
      <w:pPr>
        <w:pStyle w:val="AssignQuote"/>
      </w:pPr>
      <w:r>
        <w:t xml:space="preserve"> </w:t>
      </w:r>
      <w:r w:rsidRPr="00CF09B4">
        <w:t>“We must study teaching as teachers. For us, teaching is research and research is teaching."</w:t>
      </w:r>
      <w:r>
        <w:t xml:space="preserve"> </w:t>
      </w:r>
      <w:r w:rsidRPr="0088180B">
        <w:t>(Hubbard and Power, 1999)</w:t>
      </w:r>
      <w:r>
        <w:t xml:space="preserve">.     </w:t>
      </w:r>
      <w:r w:rsidRPr="0088180B">
        <w:t xml:space="preserve"> </w:t>
      </w:r>
    </w:p>
    <w:p w14:paraId="7B6E25F2" w14:textId="77777777" w:rsidR="00EF4E70" w:rsidRPr="001315F4" w:rsidRDefault="00EF4E70" w:rsidP="00EF4E70">
      <w:pPr>
        <w:spacing w:line="360" w:lineRule="auto"/>
        <w:rPr>
          <w:rFonts w:ascii="Arial" w:hAnsi="Arial" w:cs="Arial"/>
        </w:rPr>
      </w:pPr>
    </w:p>
    <w:p w14:paraId="29D8BD46" w14:textId="77777777" w:rsidR="00B70B7C" w:rsidRDefault="00EF4E70" w:rsidP="00611FC6">
      <w:pPr>
        <w:spacing w:line="360" w:lineRule="auto"/>
        <w:rPr>
          <w:rFonts w:ascii="Arial" w:hAnsi="Arial" w:cs="Arial"/>
          <w:b/>
          <w:bCs/>
          <w:sz w:val="28"/>
          <w:szCs w:val="28"/>
        </w:rPr>
      </w:pPr>
      <w:r w:rsidRPr="00E43403">
        <w:rPr>
          <w:rFonts w:ascii="Arial" w:hAnsi="Arial" w:cs="Arial"/>
          <w:b/>
          <w:bCs/>
          <w:sz w:val="28"/>
          <w:szCs w:val="28"/>
        </w:rPr>
        <w:t>Reference list</w:t>
      </w:r>
    </w:p>
    <w:p w14:paraId="24EFE6F8" w14:textId="77777777" w:rsidR="00B70B7C" w:rsidRDefault="00B70B7C" w:rsidP="00611FC6">
      <w:pPr>
        <w:spacing w:line="360" w:lineRule="auto"/>
        <w:rPr>
          <w:rFonts w:ascii="Arial" w:hAnsi="Arial" w:cs="Arial"/>
          <w:b/>
          <w:bCs/>
          <w:sz w:val="28"/>
          <w:szCs w:val="28"/>
        </w:rPr>
      </w:pPr>
    </w:p>
    <w:p w14:paraId="1F3D4FDB" w14:textId="23A5A677" w:rsidR="00EF4E70" w:rsidRPr="00B70B7C" w:rsidRDefault="00EF4E70" w:rsidP="00611FC6">
      <w:pPr>
        <w:spacing w:line="360" w:lineRule="auto"/>
        <w:rPr>
          <w:rFonts w:ascii="Arial" w:hAnsi="Arial" w:cs="Arial"/>
          <w:b/>
          <w:bCs/>
          <w:sz w:val="28"/>
          <w:szCs w:val="28"/>
        </w:rPr>
      </w:pPr>
      <w:r w:rsidRPr="00B70B7C">
        <w:rPr>
          <w:rFonts w:ascii="Arial" w:hAnsi="Arial" w:cs="Arial"/>
          <w:color w:val="000000" w:themeColor="text1"/>
        </w:rPr>
        <w:t xml:space="preserve">Bassey, M. (1998) </w:t>
      </w:r>
      <w:r w:rsidRPr="00B70B7C">
        <w:rPr>
          <w:rFonts w:ascii="Arial" w:hAnsi="Arial" w:cs="Arial"/>
          <w:i/>
          <w:iCs/>
          <w:color w:val="000000" w:themeColor="text1"/>
        </w:rPr>
        <w:t>Teacher Research and School Improvement: Opening Doors from the insid</w:t>
      </w:r>
      <w:r w:rsidR="007E4BF3" w:rsidRPr="00B70B7C">
        <w:rPr>
          <w:rFonts w:ascii="Arial" w:hAnsi="Arial" w:cs="Arial"/>
          <w:i/>
          <w:iCs/>
          <w:color w:val="000000" w:themeColor="text1"/>
        </w:rPr>
        <w:t>e.</w:t>
      </w:r>
      <w:r w:rsidRPr="00B70B7C">
        <w:rPr>
          <w:rFonts w:ascii="Arial" w:hAnsi="Arial" w:cs="Arial"/>
          <w:i/>
          <w:iCs/>
          <w:color w:val="000000" w:themeColor="text1"/>
        </w:rPr>
        <w:t xml:space="preserve"> </w:t>
      </w:r>
      <w:r w:rsidRPr="00B70B7C">
        <w:rPr>
          <w:rFonts w:ascii="Arial" w:hAnsi="Arial" w:cs="Arial"/>
          <w:color w:val="000000" w:themeColor="text1"/>
        </w:rPr>
        <w:t>Buckingham: Open University Press</w:t>
      </w:r>
      <w:r w:rsidR="007E4BF3" w:rsidRPr="00B70B7C">
        <w:rPr>
          <w:rFonts w:ascii="Arial" w:hAnsi="Arial" w:cs="Arial"/>
          <w:color w:val="000000" w:themeColor="text1"/>
        </w:rPr>
        <w:t>.</w:t>
      </w:r>
    </w:p>
    <w:p w14:paraId="10D82482" w14:textId="77777777" w:rsidR="00B70B7C" w:rsidRDefault="00EF4E70" w:rsidP="00B70B7C">
      <w:pPr>
        <w:pStyle w:val="AssignBody"/>
        <w:rPr>
          <w:rFonts w:cs="Arial"/>
          <w:color w:val="000000" w:themeColor="text1"/>
        </w:rPr>
      </w:pPr>
      <w:r w:rsidRPr="00B70B7C">
        <w:rPr>
          <w:rFonts w:cs="Arial"/>
          <w:color w:val="000000" w:themeColor="text1"/>
        </w:rPr>
        <w:lastRenderedPageBreak/>
        <w:t xml:space="preserve">BERA (2018) </w:t>
      </w:r>
      <w:r w:rsidRPr="00B70B7C">
        <w:rPr>
          <w:rFonts w:cs="Arial"/>
          <w:i/>
          <w:iCs/>
          <w:color w:val="000000" w:themeColor="text1"/>
        </w:rPr>
        <w:t xml:space="preserve">Ethical Guidelines for Educational Research, fourth edition (2018). </w:t>
      </w:r>
      <w:r w:rsidRPr="00B70B7C">
        <w:rPr>
          <w:rFonts w:cs="Arial"/>
          <w:color w:val="000000" w:themeColor="text1"/>
        </w:rPr>
        <w:t>Available at: https://www.bera.ac.uk/publication/ethical-guidelines-for-educational-research-2018-online. (Accessed: 15 February 2020).</w:t>
      </w:r>
    </w:p>
    <w:p w14:paraId="0F627352" w14:textId="566F8F45" w:rsidR="00EF4E70" w:rsidRPr="00B70B7C" w:rsidRDefault="00EF4E70" w:rsidP="00B70B7C">
      <w:pPr>
        <w:pStyle w:val="AssignBody"/>
        <w:rPr>
          <w:rFonts w:cs="Arial"/>
          <w:color w:val="000000" w:themeColor="text1"/>
        </w:rPr>
      </w:pPr>
      <w:r w:rsidRPr="00B70B7C">
        <w:rPr>
          <w:rFonts w:cs="Arial"/>
          <w:color w:val="000000" w:themeColor="text1"/>
          <w:shd w:val="clear" w:color="auto" w:fill="FFFFFF"/>
        </w:rPr>
        <w:t xml:space="preserve">Brancard, R. &amp; Quinnwilliams, J. </w:t>
      </w:r>
      <w:r w:rsidR="008643CB" w:rsidRPr="00B70B7C">
        <w:rPr>
          <w:rFonts w:cs="Arial"/>
          <w:color w:val="000000" w:themeColor="text1"/>
          <w:shd w:val="clear" w:color="auto" w:fill="FFFFFF"/>
        </w:rPr>
        <w:t>(</w:t>
      </w:r>
      <w:r w:rsidRPr="00B70B7C">
        <w:rPr>
          <w:rFonts w:cs="Arial"/>
          <w:color w:val="000000" w:themeColor="text1"/>
          <w:shd w:val="clear" w:color="auto" w:fill="FFFFFF"/>
        </w:rPr>
        <w:t>2012</w:t>
      </w:r>
      <w:r w:rsidR="008643CB" w:rsidRPr="00B70B7C">
        <w:rPr>
          <w:rFonts w:cs="Arial"/>
          <w:color w:val="000000" w:themeColor="text1"/>
          <w:shd w:val="clear" w:color="auto" w:fill="FFFFFF"/>
        </w:rPr>
        <w:t>)</w:t>
      </w:r>
      <w:r w:rsidRPr="00B70B7C">
        <w:rPr>
          <w:rFonts w:cs="Arial"/>
          <w:color w:val="000000" w:themeColor="text1"/>
          <w:shd w:val="clear" w:color="auto" w:fill="FFFFFF"/>
        </w:rPr>
        <w:t xml:space="preserve"> </w:t>
      </w:r>
      <w:r w:rsidR="008643CB" w:rsidRPr="00B70B7C">
        <w:rPr>
          <w:rFonts w:cs="Arial"/>
          <w:color w:val="000000" w:themeColor="text1"/>
          <w:shd w:val="clear" w:color="auto" w:fill="FFFFFF"/>
        </w:rPr>
        <w:t>‘</w:t>
      </w:r>
      <w:r w:rsidRPr="00B70B7C">
        <w:rPr>
          <w:rFonts w:cs="Arial"/>
          <w:color w:val="000000" w:themeColor="text1"/>
          <w:shd w:val="clear" w:color="auto" w:fill="FFFFFF"/>
        </w:rPr>
        <w:t xml:space="preserve">Learning Labs: Collaborations for Transformative </w:t>
      </w:r>
    </w:p>
    <w:p w14:paraId="4EEEBA00" w14:textId="52DDBEA2" w:rsidR="00EF4E70" w:rsidRPr="00B70B7C" w:rsidRDefault="00EF4E70" w:rsidP="00611FC6">
      <w:pPr>
        <w:spacing w:line="360" w:lineRule="auto"/>
        <w:rPr>
          <w:rFonts w:ascii="Arial" w:hAnsi="Arial" w:cs="Arial"/>
          <w:color w:val="000000" w:themeColor="text1"/>
          <w:shd w:val="clear" w:color="auto" w:fill="FFFFFF"/>
        </w:rPr>
      </w:pPr>
      <w:r w:rsidRPr="00B70B7C">
        <w:rPr>
          <w:rFonts w:ascii="Arial" w:hAnsi="Arial" w:cs="Arial"/>
          <w:color w:val="000000" w:themeColor="text1"/>
          <w:shd w:val="clear" w:color="auto" w:fill="FFFFFF"/>
        </w:rPr>
        <w:t>Teacher Learning</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 </w:t>
      </w:r>
      <w:r w:rsidRPr="00B70B7C">
        <w:rPr>
          <w:rFonts w:ascii="Arial" w:hAnsi="Arial" w:cs="Arial"/>
          <w:i/>
          <w:iCs/>
          <w:color w:val="000000" w:themeColor="text1"/>
          <w:shd w:val="clear" w:color="auto" w:fill="FFFFFF"/>
        </w:rPr>
        <w:t>TESOL Journal</w:t>
      </w:r>
      <w:r w:rsidRPr="00B70B7C">
        <w:rPr>
          <w:rFonts w:ascii="Arial" w:hAnsi="Arial" w:cs="Arial"/>
          <w:color w:val="000000" w:themeColor="text1"/>
          <w:shd w:val="clear" w:color="auto" w:fill="FFFFFF"/>
        </w:rPr>
        <w:t>, 3(3), pp.320–349.</w:t>
      </w:r>
    </w:p>
    <w:p w14:paraId="55402F3E" w14:textId="6CBF39DA" w:rsidR="00EF4E70" w:rsidRPr="00B70B7C" w:rsidRDefault="00EF4E70" w:rsidP="00611FC6">
      <w:pPr>
        <w:spacing w:line="360" w:lineRule="auto"/>
        <w:rPr>
          <w:rFonts w:ascii="Arial" w:hAnsi="Arial" w:cs="Arial"/>
          <w:color w:val="000000" w:themeColor="text1"/>
        </w:rPr>
      </w:pPr>
      <w:r w:rsidRPr="00B70B7C">
        <w:rPr>
          <w:rFonts w:ascii="Arial" w:hAnsi="Arial" w:cs="Arial"/>
          <w:color w:val="000000" w:themeColor="text1"/>
        </w:rPr>
        <w:t xml:space="preserve">Coates, H. (2005) </w:t>
      </w:r>
      <w:r w:rsidR="008643CB" w:rsidRPr="00B70B7C">
        <w:rPr>
          <w:rFonts w:ascii="Arial" w:hAnsi="Arial" w:cs="Arial"/>
          <w:color w:val="000000" w:themeColor="text1"/>
        </w:rPr>
        <w:t>‘</w:t>
      </w:r>
      <w:r w:rsidRPr="00B70B7C">
        <w:rPr>
          <w:rFonts w:ascii="Arial" w:hAnsi="Arial" w:cs="Arial"/>
          <w:color w:val="000000" w:themeColor="text1"/>
        </w:rPr>
        <w:t xml:space="preserve">The Value of Student Engagement for Higher Education Quality </w:t>
      </w:r>
    </w:p>
    <w:p w14:paraId="1A614527" w14:textId="31A15DD3" w:rsidR="00EF4E70" w:rsidRPr="00B70B7C" w:rsidRDefault="00EF4E70" w:rsidP="00611FC6">
      <w:pPr>
        <w:spacing w:line="360" w:lineRule="auto"/>
        <w:rPr>
          <w:rFonts w:ascii="Arial" w:hAnsi="Arial" w:cs="Arial"/>
          <w:color w:val="000000" w:themeColor="text1"/>
        </w:rPr>
      </w:pPr>
      <w:r w:rsidRPr="00B70B7C">
        <w:rPr>
          <w:rFonts w:ascii="Arial" w:hAnsi="Arial" w:cs="Arial"/>
          <w:color w:val="000000" w:themeColor="text1"/>
        </w:rPr>
        <w:t>Assurance</w:t>
      </w:r>
      <w:r w:rsidR="008643CB" w:rsidRPr="00B70B7C">
        <w:rPr>
          <w:rFonts w:ascii="Arial" w:hAnsi="Arial" w:cs="Arial"/>
          <w:color w:val="000000" w:themeColor="text1"/>
        </w:rPr>
        <w:t>’,</w:t>
      </w:r>
      <w:r w:rsidRPr="00B70B7C">
        <w:rPr>
          <w:rFonts w:ascii="Arial" w:hAnsi="Arial" w:cs="Arial"/>
          <w:color w:val="000000" w:themeColor="text1"/>
        </w:rPr>
        <w:t xml:space="preserve"> </w:t>
      </w:r>
      <w:r w:rsidRPr="00B70B7C">
        <w:rPr>
          <w:rFonts w:ascii="Arial" w:hAnsi="Arial" w:cs="Arial"/>
          <w:i/>
          <w:iCs/>
          <w:color w:val="000000" w:themeColor="text1"/>
        </w:rPr>
        <w:t>Quality in Higher Education</w:t>
      </w:r>
      <w:r w:rsidR="008643CB" w:rsidRPr="00B70B7C">
        <w:rPr>
          <w:rFonts w:ascii="Arial" w:hAnsi="Arial" w:cs="Arial"/>
          <w:color w:val="000000" w:themeColor="text1"/>
        </w:rPr>
        <w:t>,</w:t>
      </w:r>
      <w:r w:rsidRPr="00B70B7C">
        <w:rPr>
          <w:rFonts w:ascii="Arial" w:hAnsi="Arial" w:cs="Arial"/>
          <w:color w:val="000000" w:themeColor="text1"/>
        </w:rPr>
        <w:t xml:space="preserve"> 11 (1), pp. 25–36.</w:t>
      </w:r>
    </w:p>
    <w:p w14:paraId="3407C9C7" w14:textId="77777777" w:rsidR="00EF4E70" w:rsidRPr="00B70B7C" w:rsidRDefault="00EF4E70" w:rsidP="00611FC6">
      <w:pPr>
        <w:spacing w:line="360" w:lineRule="auto"/>
        <w:rPr>
          <w:rFonts w:ascii="Arial" w:hAnsi="Arial" w:cs="Arial"/>
          <w:color w:val="000000" w:themeColor="text1"/>
        </w:rPr>
      </w:pPr>
      <w:r w:rsidRPr="00B70B7C">
        <w:rPr>
          <w:rFonts w:ascii="Arial" w:hAnsi="Arial" w:cs="Arial"/>
          <w:color w:val="000000" w:themeColor="text1"/>
        </w:rPr>
        <w:t xml:space="preserve">Cohen, L. Manion, L. and Morrison, K. (2011) </w:t>
      </w:r>
      <w:r w:rsidRPr="00B70B7C">
        <w:rPr>
          <w:rFonts w:ascii="Arial" w:hAnsi="Arial" w:cs="Arial"/>
          <w:i/>
          <w:iCs/>
          <w:color w:val="000000" w:themeColor="text1"/>
        </w:rPr>
        <w:t xml:space="preserve">Research Methods in Education </w:t>
      </w:r>
      <w:r w:rsidRPr="00B70B7C">
        <w:rPr>
          <w:rFonts w:ascii="Arial" w:hAnsi="Arial" w:cs="Arial"/>
          <w:color w:val="000000" w:themeColor="text1"/>
        </w:rPr>
        <w:t>7</w:t>
      </w:r>
      <w:r w:rsidRPr="00B70B7C">
        <w:rPr>
          <w:rFonts w:ascii="Arial" w:hAnsi="Arial" w:cs="Arial"/>
          <w:color w:val="000000" w:themeColor="text1"/>
          <w:vertAlign w:val="superscript"/>
        </w:rPr>
        <w:t>th</w:t>
      </w:r>
      <w:r w:rsidRPr="00B70B7C">
        <w:rPr>
          <w:rFonts w:ascii="Arial" w:hAnsi="Arial" w:cs="Arial"/>
          <w:color w:val="000000" w:themeColor="text1"/>
        </w:rPr>
        <w:t xml:space="preserve"> Ed. New York, NY: Routledge.</w:t>
      </w:r>
    </w:p>
    <w:p w14:paraId="5CB3B884" w14:textId="62A7A98D" w:rsidR="00EF4E70" w:rsidRPr="00B70B7C" w:rsidRDefault="00EF4E70" w:rsidP="00611FC6">
      <w:pPr>
        <w:spacing w:line="360" w:lineRule="auto"/>
        <w:rPr>
          <w:rFonts w:ascii="Arial" w:hAnsi="Arial" w:cs="Arial"/>
          <w:color w:val="000000" w:themeColor="text1"/>
        </w:rPr>
      </w:pPr>
      <w:r w:rsidRPr="00B70B7C">
        <w:rPr>
          <w:rFonts w:ascii="Arial" w:hAnsi="Arial" w:cs="Arial"/>
          <w:color w:val="000000" w:themeColor="text1"/>
        </w:rPr>
        <w:t xml:space="preserve">Cruickshank, D.R. &amp; </w:t>
      </w:r>
      <w:proofErr w:type="spellStart"/>
      <w:r w:rsidRPr="00B70B7C">
        <w:rPr>
          <w:rFonts w:ascii="Arial" w:hAnsi="Arial" w:cs="Arial"/>
          <w:color w:val="000000" w:themeColor="text1"/>
        </w:rPr>
        <w:t>Haefele</w:t>
      </w:r>
      <w:proofErr w:type="spellEnd"/>
      <w:r w:rsidRPr="00B70B7C">
        <w:rPr>
          <w:rFonts w:ascii="Arial" w:hAnsi="Arial" w:cs="Arial"/>
          <w:color w:val="000000" w:themeColor="text1"/>
        </w:rPr>
        <w:t xml:space="preserve">, D. (2001) </w:t>
      </w:r>
      <w:r w:rsidR="008643CB" w:rsidRPr="00B70B7C">
        <w:rPr>
          <w:rFonts w:ascii="Arial" w:hAnsi="Arial" w:cs="Arial"/>
          <w:color w:val="000000" w:themeColor="text1"/>
        </w:rPr>
        <w:t>‘</w:t>
      </w:r>
      <w:r w:rsidRPr="00B70B7C">
        <w:rPr>
          <w:rFonts w:ascii="Arial" w:hAnsi="Arial" w:cs="Arial"/>
          <w:color w:val="000000" w:themeColor="text1"/>
        </w:rPr>
        <w:t>Good Teachers, plural</w:t>
      </w:r>
      <w:r w:rsidR="008643CB" w:rsidRPr="00B70B7C">
        <w:rPr>
          <w:rFonts w:ascii="Arial" w:hAnsi="Arial" w:cs="Arial"/>
          <w:color w:val="000000" w:themeColor="text1"/>
        </w:rPr>
        <w:t>’</w:t>
      </w:r>
      <w:r w:rsidRPr="00B70B7C">
        <w:rPr>
          <w:rFonts w:ascii="Arial" w:hAnsi="Arial" w:cs="Arial"/>
          <w:color w:val="000000" w:themeColor="text1"/>
        </w:rPr>
        <w:t xml:space="preserve"> </w:t>
      </w:r>
      <w:r w:rsidRPr="00B70B7C">
        <w:rPr>
          <w:rFonts w:ascii="Arial" w:hAnsi="Arial" w:cs="Arial"/>
          <w:i/>
          <w:iCs/>
          <w:color w:val="000000" w:themeColor="text1"/>
        </w:rPr>
        <w:t>Educational Leadership</w:t>
      </w:r>
      <w:r w:rsidR="008643CB" w:rsidRPr="00B70B7C">
        <w:rPr>
          <w:rFonts w:ascii="Arial" w:hAnsi="Arial" w:cs="Arial"/>
          <w:i/>
          <w:iCs/>
          <w:color w:val="000000" w:themeColor="text1"/>
        </w:rPr>
        <w:t xml:space="preserve">, </w:t>
      </w:r>
      <w:r w:rsidRPr="00B70B7C">
        <w:rPr>
          <w:rFonts w:ascii="Arial" w:hAnsi="Arial" w:cs="Arial"/>
          <w:color w:val="000000" w:themeColor="text1"/>
        </w:rPr>
        <w:t>58 (5),</w:t>
      </w:r>
      <w:r w:rsidR="008643CB" w:rsidRPr="00B70B7C">
        <w:rPr>
          <w:rFonts w:ascii="Arial" w:hAnsi="Arial" w:cs="Arial"/>
          <w:color w:val="000000" w:themeColor="text1"/>
        </w:rPr>
        <w:t xml:space="preserve"> pp.</w:t>
      </w:r>
      <w:r w:rsidRPr="00B70B7C">
        <w:rPr>
          <w:rFonts w:ascii="Arial" w:hAnsi="Arial" w:cs="Arial"/>
          <w:color w:val="000000" w:themeColor="text1"/>
        </w:rPr>
        <w:t xml:space="preserve"> 26-30.</w:t>
      </w:r>
    </w:p>
    <w:p w14:paraId="12881CC0" w14:textId="5087D6D3" w:rsidR="00EF4E70" w:rsidRPr="00B70B7C" w:rsidRDefault="00EF4E70" w:rsidP="00611FC6">
      <w:pPr>
        <w:spacing w:line="360" w:lineRule="auto"/>
        <w:rPr>
          <w:rFonts w:ascii="Arial" w:hAnsi="Arial" w:cs="Arial"/>
          <w:i/>
          <w:iCs/>
          <w:color w:val="000000" w:themeColor="text1"/>
        </w:rPr>
      </w:pPr>
      <w:r w:rsidRPr="00B70B7C">
        <w:rPr>
          <w:rFonts w:ascii="Arial" w:hAnsi="Arial" w:cs="Arial"/>
          <w:color w:val="000000" w:themeColor="text1"/>
        </w:rPr>
        <w:t xml:space="preserve">Erickson, G. Hawkhead, K. &amp; Moody, P. (1980) </w:t>
      </w:r>
      <w:r w:rsidR="008643CB" w:rsidRPr="00B70B7C">
        <w:rPr>
          <w:rFonts w:ascii="Arial" w:hAnsi="Arial" w:cs="Arial"/>
          <w:color w:val="000000" w:themeColor="text1"/>
        </w:rPr>
        <w:t>‘</w:t>
      </w:r>
      <w:r w:rsidRPr="00B70B7C">
        <w:rPr>
          <w:rFonts w:ascii="Arial" w:hAnsi="Arial" w:cs="Arial"/>
          <w:color w:val="000000" w:themeColor="text1"/>
        </w:rPr>
        <w:t>Dealing with Classroom Distractions</w:t>
      </w:r>
      <w:r w:rsidR="008643CB" w:rsidRPr="00B70B7C">
        <w:rPr>
          <w:rFonts w:ascii="Arial" w:hAnsi="Arial" w:cs="Arial"/>
          <w:i/>
          <w:iCs/>
          <w:color w:val="000000" w:themeColor="text1"/>
        </w:rPr>
        <w:t>’</w:t>
      </w:r>
      <w:r w:rsidRPr="00B70B7C">
        <w:rPr>
          <w:rFonts w:ascii="Arial" w:hAnsi="Arial" w:cs="Arial"/>
          <w:i/>
          <w:iCs/>
          <w:color w:val="000000" w:themeColor="text1"/>
        </w:rPr>
        <w:t xml:space="preserve"> </w:t>
      </w:r>
      <w:proofErr w:type="gramStart"/>
      <w:r w:rsidRPr="00B70B7C">
        <w:rPr>
          <w:rFonts w:ascii="Arial" w:hAnsi="Arial" w:cs="Arial"/>
          <w:i/>
          <w:iCs/>
          <w:color w:val="000000" w:themeColor="text1"/>
        </w:rPr>
        <w:t>The</w:t>
      </w:r>
      <w:proofErr w:type="gramEnd"/>
      <w:r w:rsidRPr="00B70B7C">
        <w:rPr>
          <w:rFonts w:ascii="Arial" w:hAnsi="Arial" w:cs="Arial"/>
          <w:i/>
          <w:iCs/>
          <w:color w:val="000000" w:themeColor="text1"/>
        </w:rPr>
        <w:t xml:space="preserve"> Elementary School Journal, </w:t>
      </w:r>
      <w:r w:rsidRPr="00B70B7C">
        <w:rPr>
          <w:rFonts w:ascii="Arial" w:hAnsi="Arial" w:cs="Arial"/>
          <w:color w:val="000000" w:themeColor="text1"/>
        </w:rPr>
        <w:t xml:space="preserve">Vol. 81, No. 1, pp. 40-45. </w:t>
      </w:r>
    </w:p>
    <w:p w14:paraId="11021896" w14:textId="77777777" w:rsidR="00EF4E70" w:rsidRPr="00B70B7C" w:rsidRDefault="00EF4E70" w:rsidP="00611FC6">
      <w:pPr>
        <w:pStyle w:val="NoSpacing"/>
        <w:spacing w:line="360" w:lineRule="auto"/>
        <w:rPr>
          <w:rFonts w:ascii="Arial" w:hAnsi="Arial" w:cs="Arial"/>
          <w:color w:val="000000" w:themeColor="text1"/>
          <w:sz w:val="22"/>
          <w:szCs w:val="22"/>
        </w:rPr>
      </w:pPr>
      <w:r w:rsidRPr="00B70B7C">
        <w:rPr>
          <w:rFonts w:ascii="Arial" w:hAnsi="Arial" w:cs="Arial"/>
          <w:color w:val="000000" w:themeColor="text1"/>
          <w:sz w:val="22"/>
          <w:szCs w:val="22"/>
        </w:rPr>
        <w:t xml:space="preserve">Estyn. (2019) </w:t>
      </w:r>
      <w:r w:rsidRPr="00B70B7C">
        <w:rPr>
          <w:rFonts w:ascii="Arial" w:hAnsi="Arial" w:cs="Arial"/>
          <w:i/>
          <w:iCs/>
          <w:color w:val="000000" w:themeColor="text1"/>
          <w:sz w:val="22"/>
          <w:szCs w:val="22"/>
          <w:shd w:val="clear" w:color="auto" w:fill="FFFFFF"/>
        </w:rPr>
        <w:t xml:space="preserve">Inspection report </w:t>
      </w:r>
      <w:r w:rsidRPr="00B70B7C">
        <w:rPr>
          <w:rFonts w:ascii="Arial" w:hAnsi="Arial" w:cs="Arial"/>
          <w:i/>
          <w:iCs/>
          <w:color w:val="000000" w:themeColor="text1"/>
          <w:sz w:val="22"/>
          <w:szCs w:val="22"/>
          <w:highlight w:val="black"/>
          <w:shd w:val="clear" w:color="auto" w:fill="FFFFFF"/>
        </w:rPr>
        <w:t>Garnteg</w:t>
      </w:r>
      <w:r w:rsidRPr="00B70B7C">
        <w:rPr>
          <w:rFonts w:ascii="Arial" w:hAnsi="Arial" w:cs="Arial"/>
          <w:i/>
          <w:iCs/>
          <w:color w:val="000000" w:themeColor="text1"/>
          <w:sz w:val="22"/>
          <w:szCs w:val="22"/>
          <w:shd w:val="clear" w:color="auto" w:fill="FFFFFF"/>
        </w:rPr>
        <w:t xml:space="preserve"> Primary School 2019 (English only</w:t>
      </w:r>
      <w:r w:rsidRPr="00B70B7C">
        <w:rPr>
          <w:rFonts w:ascii="Arial" w:hAnsi="Arial" w:cs="Arial"/>
          <w:i/>
          <w:iCs/>
          <w:color w:val="000000" w:themeColor="text1"/>
          <w:sz w:val="22"/>
          <w:szCs w:val="22"/>
        </w:rPr>
        <w:t xml:space="preserve">). </w:t>
      </w:r>
      <w:r w:rsidRPr="00B70B7C">
        <w:rPr>
          <w:rFonts w:ascii="Arial" w:hAnsi="Arial" w:cs="Arial"/>
          <w:color w:val="000000" w:themeColor="text1"/>
          <w:sz w:val="22"/>
          <w:szCs w:val="22"/>
        </w:rPr>
        <w:t>Available at: https://www.estyn.gov.wales/sites/www.estyn.gov.wales/files/documents/</w:t>
      </w:r>
      <w:r w:rsidRPr="00B70B7C">
        <w:rPr>
          <w:rFonts w:ascii="Arial" w:hAnsi="Arial" w:cs="Arial"/>
          <w:color w:val="000000" w:themeColor="text1"/>
          <w:sz w:val="22"/>
          <w:szCs w:val="22"/>
          <w:highlight w:val="black"/>
        </w:rPr>
        <w:t>Garnteg</w:t>
      </w:r>
      <w:r w:rsidRPr="00B70B7C">
        <w:rPr>
          <w:rFonts w:ascii="Arial" w:hAnsi="Arial" w:cs="Arial"/>
          <w:color w:val="000000" w:themeColor="text1"/>
          <w:sz w:val="22"/>
          <w:szCs w:val="22"/>
        </w:rPr>
        <w:t>%20PrimarP%20School_2.pdf. (Accessed: 11 October 2019).</w:t>
      </w:r>
    </w:p>
    <w:p w14:paraId="007C9051" w14:textId="0055C556" w:rsidR="00EF4E70" w:rsidRPr="00B70B7C" w:rsidRDefault="00EF4E70" w:rsidP="00611FC6">
      <w:pPr>
        <w:spacing w:line="360" w:lineRule="auto"/>
        <w:rPr>
          <w:rFonts w:ascii="Arial" w:hAnsi="Arial" w:cs="Arial"/>
          <w:color w:val="000000" w:themeColor="text1"/>
          <w:shd w:val="clear" w:color="auto" w:fill="FFFFFF"/>
        </w:rPr>
      </w:pPr>
      <w:r w:rsidRPr="00B70B7C">
        <w:rPr>
          <w:rFonts w:ascii="Arial" w:hAnsi="Arial" w:cs="Arial"/>
          <w:color w:val="000000" w:themeColor="text1"/>
          <w:shd w:val="clear" w:color="auto" w:fill="FFFFFF"/>
        </w:rPr>
        <w:t>Fernandez, C.</w:t>
      </w:r>
      <w:r w:rsidR="008643CB" w:rsidRPr="00B70B7C">
        <w:rPr>
          <w:rFonts w:ascii="Arial" w:hAnsi="Arial" w:cs="Arial"/>
          <w:color w:val="000000" w:themeColor="text1"/>
          <w:shd w:val="clear" w:color="auto" w:fill="FFFFFF"/>
        </w:rPr>
        <w:t xml:space="preserve"> (</w:t>
      </w:r>
      <w:r w:rsidRPr="00B70B7C">
        <w:rPr>
          <w:rFonts w:ascii="Arial" w:hAnsi="Arial" w:cs="Arial"/>
          <w:color w:val="000000" w:themeColor="text1"/>
          <w:shd w:val="clear" w:color="auto" w:fill="FFFFFF"/>
        </w:rPr>
        <w:t>2002</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 xml:space="preserve"> </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Learning from Japanese Approaches to Professional Development: The Case of Lesson Study</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 </w:t>
      </w:r>
      <w:r w:rsidRPr="00B70B7C">
        <w:rPr>
          <w:rFonts w:ascii="Arial" w:hAnsi="Arial" w:cs="Arial"/>
          <w:i/>
          <w:iCs/>
          <w:color w:val="000000" w:themeColor="text1"/>
          <w:shd w:val="clear" w:color="auto" w:fill="FFFFFF"/>
        </w:rPr>
        <w:t>Journal of Teacher Education</w:t>
      </w:r>
      <w:r w:rsidRPr="00B70B7C">
        <w:rPr>
          <w:rFonts w:ascii="Arial" w:hAnsi="Arial" w:cs="Arial"/>
          <w:color w:val="000000" w:themeColor="text1"/>
          <w:shd w:val="clear" w:color="auto" w:fill="FFFFFF"/>
        </w:rPr>
        <w:t>, 53(5), pp.393–405.</w:t>
      </w:r>
    </w:p>
    <w:p w14:paraId="6D21660D" w14:textId="69388B72" w:rsidR="00EF4E70" w:rsidRPr="00B70B7C" w:rsidRDefault="00EF4E70" w:rsidP="00611FC6">
      <w:pPr>
        <w:spacing w:line="360" w:lineRule="auto"/>
        <w:rPr>
          <w:rFonts w:ascii="Arial" w:hAnsi="Arial" w:cs="Arial"/>
          <w:color w:val="000000" w:themeColor="text1"/>
        </w:rPr>
      </w:pPr>
      <w:r w:rsidRPr="00B70B7C">
        <w:rPr>
          <w:rFonts w:ascii="Arial" w:hAnsi="Arial" w:cs="Arial"/>
          <w:color w:val="000000" w:themeColor="text1"/>
          <w:shd w:val="clear" w:color="auto" w:fill="FFFFFF"/>
        </w:rPr>
        <w:t>General Teaching Council for Wales</w:t>
      </w:r>
      <w:r w:rsidR="007E4BF3"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 xml:space="preserve"> </w:t>
      </w:r>
      <w:r w:rsidR="007E4BF3"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2002</w:t>
      </w:r>
      <w:r w:rsidR="007E4BF3"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 </w:t>
      </w:r>
      <w:r w:rsidRPr="00B70B7C">
        <w:rPr>
          <w:rFonts w:ascii="Arial" w:hAnsi="Arial" w:cs="Arial"/>
          <w:i/>
          <w:iCs/>
          <w:color w:val="000000" w:themeColor="text1"/>
          <w:shd w:val="clear" w:color="auto" w:fill="FFFFFF"/>
        </w:rPr>
        <w:t>Professional development pilot projects: information booklet 2002-2003.</w:t>
      </w:r>
      <w:r w:rsidRPr="00B70B7C">
        <w:rPr>
          <w:rFonts w:ascii="Arial" w:hAnsi="Arial" w:cs="Arial"/>
          <w:color w:val="000000" w:themeColor="text1"/>
          <w:shd w:val="clear" w:color="auto" w:fill="FFFFFF"/>
        </w:rPr>
        <w:t>, Cardiff: General Teaching Council for Wales.</w:t>
      </w:r>
    </w:p>
    <w:p w14:paraId="21F268B8" w14:textId="4EFD4BEB" w:rsidR="00EF4E70" w:rsidRPr="00B70B7C" w:rsidRDefault="00EF4E70" w:rsidP="00611FC6">
      <w:pPr>
        <w:spacing w:line="360" w:lineRule="auto"/>
        <w:rPr>
          <w:rFonts w:ascii="Arial" w:hAnsi="Arial" w:cs="Arial"/>
          <w:color w:val="000000" w:themeColor="text1"/>
          <w:shd w:val="clear" w:color="auto" w:fill="FFFFFF"/>
        </w:rPr>
      </w:pPr>
      <w:r w:rsidRPr="00B70B7C">
        <w:rPr>
          <w:rFonts w:ascii="Arial" w:hAnsi="Arial" w:cs="Arial"/>
          <w:color w:val="000000" w:themeColor="text1"/>
          <w:shd w:val="clear" w:color="auto" w:fill="FFFFFF"/>
        </w:rPr>
        <w:t xml:space="preserve">Gibbons, S. &amp; Silva, O. </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2011</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 xml:space="preserve"> </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School Quality, Child Wellbeing and Parents' Satisfaction</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 </w:t>
      </w:r>
      <w:r w:rsidRPr="00B70B7C">
        <w:rPr>
          <w:rFonts w:ascii="Arial" w:hAnsi="Arial" w:cs="Arial"/>
          <w:i/>
          <w:iCs/>
          <w:color w:val="000000" w:themeColor="text1"/>
          <w:shd w:val="clear" w:color="auto" w:fill="FFFFFF"/>
        </w:rPr>
        <w:t>Economics of Education Review</w:t>
      </w:r>
      <w:r w:rsidRPr="00B70B7C">
        <w:rPr>
          <w:rFonts w:ascii="Arial" w:hAnsi="Arial" w:cs="Arial"/>
          <w:color w:val="000000" w:themeColor="text1"/>
          <w:shd w:val="clear" w:color="auto" w:fill="FFFFFF"/>
        </w:rPr>
        <w:t>, 30(2), pp.312–331.</w:t>
      </w:r>
    </w:p>
    <w:p w14:paraId="52D97C7F" w14:textId="66565527" w:rsidR="00611FC6" w:rsidRPr="00B70B7C" w:rsidRDefault="00EF4E70" w:rsidP="00B70B7C">
      <w:pPr>
        <w:pStyle w:val="AssignBody"/>
        <w:rPr>
          <w:rFonts w:cs="Arial"/>
          <w:color w:val="000000" w:themeColor="text1"/>
        </w:rPr>
      </w:pPr>
      <w:r w:rsidRPr="00B70B7C">
        <w:rPr>
          <w:rFonts w:cs="Arial"/>
          <w:color w:val="000000" w:themeColor="text1"/>
          <w:shd w:val="clear" w:color="auto" w:fill="FFFFFF"/>
        </w:rPr>
        <w:t>Gibbs, G. &amp; Great Britain. Further Education Unit. (1988) </w:t>
      </w:r>
      <w:r w:rsidRPr="00B70B7C">
        <w:rPr>
          <w:rFonts w:cs="Arial"/>
          <w:i/>
          <w:iCs/>
          <w:color w:val="000000" w:themeColor="text1"/>
          <w:shd w:val="clear" w:color="auto" w:fill="FFFFFF"/>
        </w:rPr>
        <w:t>Learning by doing: a guide to teaching and learning methods</w:t>
      </w:r>
      <w:r w:rsidRPr="00B70B7C">
        <w:rPr>
          <w:rFonts w:cs="Arial"/>
          <w:color w:val="000000" w:themeColor="text1"/>
          <w:shd w:val="clear" w:color="auto" w:fill="FFFFFF"/>
        </w:rPr>
        <w:t>. London: FEU.</w:t>
      </w:r>
    </w:p>
    <w:p w14:paraId="50FA32D2" w14:textId="190DB0C2" w:rsidR="00611FC6" w:rsidRPr="00B70B7C" w:rsidRDefault="00EF4E70" w:rsidP="00611FC6">
      <w:pPr>
        <w:spacing w:line="360" w:lineRule="auto"/>
        <w:rPr>
          <w:rFonts w:ascii="Arial" w:hAnsi="Arial" w:cs="Arial"/>
          <w:color w:val="000000" w:themeColor="text1"/>
        </w:rPr>
      </w:pPr>
      <w:r w:rsidRPr="00B70B7C">
        <w:rPr>
          <w:rFonts w:ascii="Arial" w:hAnsi="Arial" w:cs="Arial"/>
          <w:color w:val="000000" w:themeColor="text1"/>
        </w:rPr>
        <w:t>Graham, C.R.</w:t>
      </w:r>
      <w:r w:rsidR="008643CB" w:rsidRPr="00B70B7C">
        <w:rPr>
          <w:rFonts w:ascii="Arial" w:hAnsi="Arial" w:cs="Arial"/>
          <w:color w:val="000000" w:themeColor="text1"/>
        </w:rPr>
        <w:t xml:space="preserve"> et al. </w:t>
      </w:r>
      <w:r w:rsidRPr="00B70B7C">
        <w:rPr>
          <w:rFonts w:ascii="Arial" w:hAnsi="Arial" w:cs="Arial"/>
          <w:color w:val="000000" w:themeColor="text1"/>
        </w:rPr>
        <w:t xml:space="preserve">(2007) </w:t>
      </w:r>
      <w:r w:rsidR="008643CB" w:rsidRPr="00B70B7C">
        <w:rPr>
          <w:rFonts w:ascii="Arial" w:hAnsi="Arial" w:cs="Arial"/>
          <w:color w:val="000000" w:themeColor="text1"/>
        </w:rPr>
        <w:t>‘</w:t>
      </w:r>
      <w:r w:rsidRPr="00B70B7C">
        <w:rPr>
          <w:rFonts w:ascii="Arial" w:hAnsi="Arial" w:cs="Arial"/>
          <w:color w:val="000000" w:themeColor="text1"/>
        </w:rPr>
        <w:t>Empowering or Compelling Reluctant Participators Using Audience Response Systems</w:t>
      </w:r>
      <w:r w:rsidR="008643CB" w:rsidRPr="00B70B7C">
        <w:rPr>
          <w:rFonts w:ascii="Arial" w:hAnsi="Arial" w:cs="Arial"/>
          <w:color w:val="000000" w:themeColor="text1"/>
        </w:rPr>
        <w:t>’,</w:t>
      </w:r>
      <w:r w:rsidRPr="00B70B7C">
        <w:rPr>
          <w:rFonts w:ascii="Arial" w:hAnsi="Arial" w:cs="Arial"/>
          <w:color w:val="000000" w:themeColor="text1"/>
        </w:rPr>
        <w:t xml:space="preserve"> </w:t>
      </w:r>
      <w:r w:rsidRPr="00B70B7C">
        <w:rPr>
          <w:rFonts w:ascii="Arial" w:hAnsi="Arial" w:cs="Arial"/>
          <w:i/>
          <w:iCs/>
          <w:color w:val="000000" w:themeColor="text1"/>
        </w:rPr>
        <w:t>Active Learning in Higher Education</w:t>
      </w:r>
      <w:r w:rsidRPr="00B70B7C">
        <w:rPr>
          <w:rFonts w:ascii="Arial" w:hAnsi="Arial" w:cs="Arial"/>
          <w:color w:val="000000" w:themeColor="text1"/>
        </w:rPr>
        <w:t xml:space="preserve">. 8 (3), pp. 233–258. </w:t>
      </w:r>
    </w:p>
    <w:p w14:paraId="62DE15BD" w14:textId="3D42B20E" w:rsidR="00611FC6" w:rsidRPr="00B70B7C" w:rsidRDefault="00EF4E70" w:rsidP="00611FC6">
      <w:pPr>
        <w:spacing w:line="360" w:lineRule="auto"/>
        <w:rPr>
          <w:rFonts w:ascii="Arial" w:hAnsi="Arial" w:cs="Arial"/>
          <w:color w:val="000000" w:themeColor="text1"/>
          <w:shd w:val="clear" w:color="auto" w:fill="FFFFFF"/>
        </w:rPr>
      </w:pPr>
      <w:r w:rsidRPr="00B70B7C">
        <w:rPr>
          <w:rFonts w:ascii="Arial" w:hAnsi="Arial" w:cs="Arial"/>
          <w:color w:val="000000" w:themeColor="text1"/>
          <w:shd w:val="clear" w:color="auto" w:fill="FFFFFF"/>
        </w:rPr>
        <w:t xml:space="preserve">Gutloff, K. </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1998</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 xml:space="preserve"> </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Start smart!</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 </w:t>
      </w:r>
      <w:r w:rsidRPr="00B70B7C">
        <w:rPr>
          <w:rFonts w:ascii="Arial" w:hAnsi="Arial" w:cs="Arial"/>
          <w:i/>
          <w:iCs/>
          <w:color w:val="000000" w:themeColor="text1"/>
          <w:shd w:val="clear" w:color="auto" w:fill="FFFFFF"/>
        </w:rPr>
        <w:t>NEA Today</w:t>
      </w:r>
      <w:r w:rsidRPr="00B70B7C">
        <w:rPr>
          <w:rFonts w:ascii="Arial" w:hAnsi="Arial" w:cs="Arial"/>
          <w:color w:val="000000" w:themeColor="text1"/>
          <w:shd w:val="clear" w:color="auto" w:fill="FFFFFF"/>
        </w:rPr>
        <w:t>, 17(1), pp.4–5</w:t>
      </w:r>
    </w:p>
    <w:p w14:paraId="5BA99D8D" w14:textId="42B5AA0A" w:rsidR="00611FC6" w:rsidRPr="00B70B7C" w:rsidRDefault="00EF4E70" w:rsidP="00611FC6">
      <w:pPr>
        <w:spacing w:line="360" w:lineRule="auto"/>
        <w:rPr>
          <w:rFonts w:ascii="Arial" w:hAnsi="Arial" w:cs="Arial"/>
          <w:color w:val="000000" w:themeColor="text1"/>
          <w:shd w:val="clear" w:color="auto" w:fill="FFFFFF"/>
        </w:rPr>
      </w:pPr>
      <w:r w:rsidRPr="00B70B7C">
        <w:rPr>
          <w:rFonts w:ascii="Arial" w:hAnsi="Arial" w:cs="Arial"/>
          <w:color w:val="000000" w:themeColor="text1"/>
        </w:rPr>
        <w:t xml:space="preserve">Gutman, L.M. &amp; Feinstein, L. (2008). </w:t>
      </w:r>
      <w:r w:rsidRPr="00B70B7C">
        <w:rPr>
          <w:rFonts w:ascii="Arial" w:hAnsi="Arial" w:cs="Arial"/>
          <w:i/>
          <w:iCs/>
          <w:color w:val="000000" w:themeColor="text1"/>
        </w:rPr>
        <w:t>Pupil and school effects on children's well-being.</w:t>
      </w:r>
      <w:r w:rsidRPr="00B70B7C">
        <w:rPr>
          <w:rFonts w:ascii="Arial" w:hAnsi="Arial" w:cs="Arial"/>
          <w:color w:val="000000" w:themeColor="text1"/>
        </w:rPr>
        <w:t xml:space="preserve"> London: DCSF. </w:t>
      </w:r>
    </w:p>
    <w:p w14:paraId="58708C72" w14:textId="4E490B23" w:rsidR="00611FC6" w:rsidRPr="00B70B7C" w:rsidRDefault="00EF4E70" w:rsidP="00611FC6">
      <w:pPr>
        <w:spacing w:line="360" w:lineRule="auto"/>
        <w:rPr>
          <w:rFonts w:ascii="Arial" w:hAnsi="Arial" w:cs="Arial"/>
          <w:color w:val="000000" w:themeColor="text1"/>
        </w:rPr>
      </w:pPr>
      <w:r w:rsidRPr="00B70B7C">
        <w:rPr>
          <w:rFonts w:ascii="Arial" w:hAnsi="Arial" w:cs="Arial"/>
          <w:color w:val="000000" w:themeColor="text1"/>
          <w:shd w:val="clear" w:color="auto" w:fill="FFFFFF"/>
        </w:rPr>
        <w:t>Hubbard, R.S. &amp; Power, B.M. (1999). </w:t>
      </w:r>
      <w:r w:rsidRPr="00B70B7C">
        <w:rPr>
          <w:rFonts w:ascii="Arial" w:hAnsi="Arial" w:cs="Arial"/>
          <w:i/>
          <w:iCs/>
          <w:color w:val="000000" w:themeColor="text1"/>
          <w:shd w:val="clear" w:color="auto" w:fill="FFFFFF"/>
        </w:rPr>
        <w:t>Living the questions</w:t>
      </w:r>
      <w:r w:rsidRPr="00B70B7C">
        <w:rPr>
          <w:rFonts w:ascii="Arial" w:hAnsi="Arial" w:cs="Arial"/>
          <w:color w:val="000000" w:themeColor="text1"/>
          <w:shd w:val="clear" w:color="auto" w:fill="FFFFFF"/>
        </w:rPr>
        <w:t>. York, Me.: Stenhouse Publishers.</w:t>
      </w:r>
    </w:p>
    <w:p w14:paraId="5D4292E0" w14:textId="633D1ED2" w:rsidR="00611FC6" w:rsidRPr="00B70B7C" w:rsidRDefault="00EF4E70" w:rsidP="00611FC6">
      <w:pPr>
        <w:spacing w:line="360" w:lineRule="auto"/>
        <w:rPr>
          <w:rFonts w:ascii="Arial" w:hAnsi="Arial" w:cs="Arial"/>
          <w:color w:val="000000" w:themeColor="text1"/>
        </w:rPr>
      </w:pPr>
      <w:r w:rsidRPr="00B70B7C">
        <w:rPr>
          <w:rFonts w:ascii="Arial" w:hAnsi="Arial" w:cs="Arial"/>
          <w:color w:val="000000" w:themeColor="text1"/>
        </w:rPr>
        <w:lastRenderedPageBreak/>
        <w:t>Kolb, D.A. (1984). </w:t>
      </w:r>
      <w:r w:rsidRPr="00B70B7C">
        <w:rPr>
          <w:rStyle w:val="Emphasis"/>
          <w:rFonts w:ascii="Arial" w:hAnsi="Arial" w:cs="Arial"/>
          <w:color w:val="000000" w:themeColor="text1"/>
          <w:bdr w:val="none" w:sz="0" w:space="0" w:color="auto" w:frame="1"/>
        </w:rPr>
        <w:t>Experiential learning: experience as the source of learning and development</w:t>
      </w:r>
      <w:r w:rsidRPr="00B70B7C">
        <w:rPr>
          <w:rFonts w:ascii="Arial" w:hAnsi="Arial" w:cs="Arial"/>
          <w:color w:val="000000" w:themeColor="text1"/>
        </w:rPr>
        <w:t>. Englewood Cliffs: Prentice Hall.</w:t>
      </w:r>
    </w:p>
    <w:p w14:paraId="52BA050B" w14:textId="77777777" w:rsidR="00B70B7C" w:rsidRDefault="00EF4E70" w:rsidP="00532593">
      <w:pPr>
        <w:spacing w:line="360" w:lineRule="auto"/>
        <w:rPr>
          <w:rFonts w:ascii="Arial" w:hAnsi="Arial" w:cs="Arial"/>
          <w:color w:val="000000" w:themeColor="text1"/>
        </w:rPr>
      </w:pPr>
      <w:r w:rsidRPr="00B70B7C">
        <w:rPr>
          <w:rFonts w:ascii="Arial" w:hAnsi="Arial" w:cs="Arial"/>
          <w:color w:val="000000" w:themeColor="text1"/>
        </w:rPr>
        <w:t xml:space="preserve">Laevers, F. (2015). </w:t>
      </w:r>
      <w:r w:rsidRPr="00B70B7C">
        <w:rPr>
          <w:rFonts w:ascii="Arial" w:hAnsi="Arial" w:cs="Arial"/>
          <w:i/>
          <w:iCs/>
          <w:color w:val="000000" w:themeColor="text1"/>
        </w:rPr>
        <w:t>The project Experiential Education - Early Education.</w:t>
      </w:r>
      <w:r w:rsidRPr="00B70B7C">
        <w:rPr>
          <w:rFonts w:ascii="Arial" w:hAnsi="Arial" w:cs="Arial"/>
          <w:color w:val="000000" w:themeColor="text1"/>
        </w:rPr>
        <w:t xml:space="preserve"> Available at: http://www.early-education.org.uk › sites › default › files</w:t>
      </w:r>
      <w:r w:rsidR="008643CB" w:rsidRPr="00B70B7C">
        <w:rPr>
          <w:rFonts w:ascii="Arial" w:hAnsi="Arial" w:cs="Arial"/>
          <w:color w:val="000000" w:themeColor="text1"/>
        </w:rPr>
        <w:t>.</w:t>
      </w:r>
      <w:r w:rsidRPr="00B70B7C">
        <w:rPr>
          <w:rFonts w:ascii="Arial" w:hAnsi="Arial" w:cs="Arial"/>
          <w:color w:val="000000" w:themeColor="text1"/>
        </w:rPr>
        <w:t xml:space="preserve"> (Accessed 14 Feb. 2020).</w:t>
      </w:r>
    </w:p>
    <w:p w14:paraId="72D9918C" w14:textId="7CD000C2" w:rsidR="00532593" w:rsidRPr="00B70B7C" w:rsidRDefault="00EF4E70" w:rsidP="00532593">
      <w:pPr>
        <w:spacing w:line="360" w:lineRule="auto"/>
        <w:rPr>
          <w:rFonts w:ascii="Arial" w:hAnsi="Arial" w:cs="Arial"/>
          <w:color w:val="000000" w:themeColor="text1"/>
        </w:rPr>
      </w:pPr>
      <w:r w:rsidRPr="00B70B7C">
        <w:rPr>
          <w:rFonts w:ascii="Arial" w:hAnsi="Arial" w:cs="Arial"/>
          <w:color w:val="000000" w:themeColor="text1"/>
          <w:shd w:val="clear" w:color="auto" w:fill="FFFFFF"/>
        </w:rPr>
        <w:t xml:space="preserve">Price, J. &amp; </w:t>
      </w:r>
      <w:proofErr w:type="spellStart"/>
      <w:r w:rsidRPr="00B70B7C">
        <w:rPr>
          <w:rFonts w:ascii="Arial" w:hAnsi="Arial" w:cs="Arial"/>
          <w:color w:val="000000" w:themeColor="text1"/>
          <w:shd w:val="clear" w:color="auto" w:fill="FFFFFF"/>
        </w:rPr>
        <w:t>Murnan</w:t>
      </w:r>
      <w:proofErr w:type="spellEnd"/>
      <w:r w:rsidRPr="00B70B7C">
        <w:rPr>
          <w:rFonts w:ascii="Arial" w:hAnsi="Arial" w:cs="Arial"/>
          <w:color w:val="000000" w:themeColor="text1"/>
          <w:shd w:val="clear" w:color="auto" w:fill="FFFFFF"/>
        </w:rPr>
        <w:t xml:space="preserve">, J. </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2004</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 xml:space="preserve"> </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Research Limitations and the Necessity of Reporting Them</w:t>
      </w:r>
      <w:r w:rsidR="008643CB" w:rsidRPr="00B70B7C">
        <w:rPr>
          <w:rFonts w:ascii="Arial" w:hAnsi="Arial" w:cs="Arial"/>
          <w:color w:val="000000" w:themeColor="text1"/>
          <w:shd w:val="clear" w:color="auto" w:fill="FFFFFF"/>
        </w:rPr>
        <w:t>’,</w:t>
      </w:r>
      <w:r w:rsidRPr="00B70B7C">
        <w:rPr>
          <w:rFonts w:ascii="Arial" w:hAnsi="Arial" w:cs="Arial"/>
          <w:color w:val="000000" w:themeColor="text1"/>
          <w:shd w:val="clear" w:color="auto" w:fill="FFFFFF"/>
        </w:rPr>
        <w:t> </w:t>
      </w:r>
      <w:r w:rsidRPr="00B70B7C">
        <w:rPr>
          <w:rFonts w:ascii="Arial" w:hAnsi="Arial" w:cs="Arial"/>
          <w:i/>
          <w:iCs/>
          <w:color w:val="000000" w:themeColor="text1"/>
          <w:shd w:val="clear" w:color="auto" w:fill="FFFFFF"/>
        </w:rPr>
        <w:t>American Journal of Health Education</w:t>
      </w:r>
      <w:r w:rsidRPr="00B70B7C">
        <w:rPr>
          <w:rFonts w:ascii="Arial" w:hAnsi="Arial" w:cs="Arial"/>
          <w:color w:val="000000" w:themeColor="text1"/>
          <w:shd w:val="clear" w:color="auto" w:fill="FFFFFF"/>
        </w:rPr>
        <w:t>, 35(2), pp.66–67.</w:t>
      </w:r>
    </w:p>
    <w:p w14:paraId="75D6EDFC" w14:textId="77777777" w:rsidR="00B70B7C" w:rsidRDefault="00EF4E70" w:rsidP="00B70B7C">
      <w:pPr>
        <w:spacing w:line="360" w:lineRule="auto"/>
        <w:rPr>
          <w:rFonts w:ascii="Arial" w:hAnsi="Arial" w:cs="Arial"/>
          <w:color w:val="000000" w:themeColor="text1"/>
        </w:rPr>
      </w:pPr>
      <w:proofErr w:type="spellStart"/>
      <w:r w:rsidRPr="00B70B7C">
        <w:rPr>
          <w:rFonts w:ascii="Arial" w:hAnsi="Arial" w:cs="Arial"/>
          <w:color w:val="000000" w:themeColor="text1"/>
        </w:rPr>
        <w:t>Meschi</w:t>
      </w:r>
      <w:proofErr w:type="spellEnd"/>
      <w:r w:rsidRPr="00B70B7C">
        <w:rPr>
          <w:rFonts w:ascii="Arial" w:hAnsi="Arial" w:cs="Arial"/>
          <w:color w:val="000000" w:themeColor="text1"/>
        </w:rPr>
        <w:t xml:space="preserve">, E. &amp; </w:t>
      </w:r>
      <w:proofErr w:type="spellStart"/>
      <w:r w:rsidRPr="00B70B7C">
        <w:rPr>
          <w:rFonts w:ascii="Arial" w:hAnsi="Arial" w:cs="Arial"/>
          <w:color w:val="000000" w:themeColor="text1"/>
        </w:rPr>
        <w:t>Vignoles</w:t>
      </w:r>
      <w:proofErr w:type="spellEnd"/>
      <w:r w:rsidRPr="00B70B7C">
        <w:rPr>
          <w:rFonts w:ascii="Arial" w:hAnsi="Arial" w:cs="Arial"/>
          <w:color w:val="000000" w:themeColor="text1"/>
        </w:rPr>
        <w:t xml:space="preserve">, A. (2010). </w:t>
      </w:r>
      <w:r w:rsidRPr="00B70B7C">
        <w:rPr>
          <w:rFonts w:ascii="Arial" w:hAnsi="Arial" w:cs="Arial"/>
          <w:i/>
          <w:iCs/>
          <w:color w:val="000000" w:themeColor="text1"/>
        </w:rPr>
        <w:t>The determinants of non-cognitive and cognitive schooling outcomes</w:t>
      </w:r>
      <w:r w:rsidRPr="00B70B7C">
        <w:rPr>
          <w:rFonts w:ascii="Arial" w:hAnsi="Arial" w:cs="Arial"/>
          <w:color w:val="000000" w:themeColor="text1"/>
        </w:rPr>
        <w:t>. London: DCSF.</w:t>
      </w:r>
    </w:p>
    <w:p w14:paraId="25A6AD5A" w14:textId="197D4544" w:rsidR="00532593" w:rsidRPr="00B70B7C" w:rsidRDefault="00EF4E70" w:rsidP="00B70B7C">
      <w:pPr>
        <w:spacing w:line="360" w:lineRule="auto"/>
        <w:rPr>
          <w:rFonts w:ascii="Arial" w:hAnsi="Arial" w:cs="Arial"/>
          <w:color w:val="000000" w:themeColor="text1"/>
        </w:rPr>
      </w:pPr>
      <w:r w:rsidRPr="00B70B7C">
        <w:rPr>
          <w:rFonts w:ascii="Arial" w:hAnsi="Arial" w:cs="Arial"/>
          <w:color w:val="000000" w:themeColor="text1"/>
        </w:rPr>
        <w:t xml:space="preserve">Mezirow, J. (2000). </w:t>
      </w:r>
      <w:r w:rsidRPr="00B70B7C">
        <w:rPr>
          <w:rFonts w:ascii="Arial" w:hAnsi="Arial" w:cs="Arial"/>
          <w:i/>
          <w:iCs/>
          <w:color w:val="000000" w:themeColor="text1"/>
        </w:rPr>
        <w:t>Learning to think like an adult.</w:t>
      </w:r>
      <w:r w:rsidR="007E4BF3" w:rsidRPr="00B70B7C">
        <w:rPr>
          <w:rFonts w:ascii="Arial" w:hAnsi="Arial" w:cs="Arial"/>
          <w:color w:val="000000" w:themeColor="text1"/>
        </w:rPr>
        <w:t xml:space="preserve"> </w:t>
      </w:r>
      <w:r w:rsidRPr="00B70B7C">
        <w:rPr>
          <w:rFonts w:ascii="Arial" w:hAnsi="Arial" w:cs="Arial"/>
          <w:color w:val="000000" w:themeColor="text1"/>
        </w:rPr>
        <w:t>San Francisco, CA: Jossey-Bass.</w:t>
      </w:r>
    </w:p>
    <w:p w14:paraId="43899879" w14:textId="6D640377" w:rsidR="00EF4E70" w:rsidRPr="00B70B7C" w:rsidRDefault="00EF4E70" w:rsidP="00532593">
      <w:pPr>
        <w:spacing w:before="100" w:beforeAutospacing="1" w:after="100" w:afterAutospacing="1" w:line="360" w:lineRule="auto"/>
        <w:rPr>
          <w:rFonts w:ascii="Arial" w:hAnsi="Arial" w:cs="Arial"/>
          <w:color w:val="000000" w:themeColor="text1"/>
        </w:rPr>
      </w:pPr>
      <w:r w:rsidRPr="00B70B7C">
        <w:rPr>
          <w:rFonts w:ascii="Arial" w:hAnsi="Arial" w:cs="Arial"/>
          <w:color w:val="000000" w:themeColor="text1"/>
        </w:rPr>
        <w:t>Neill, S.</w:t>
      </w:r>
      <w:r w:rsidR="007E4BF3" w:rsidRPr="00B70B7C">
        <w:rPr>
          <w:rFonts w:ascii="Arial" w:hAnsi="Arial" w:cs="Arial"/>
          <w:color w:val="000000" w:themeColor="text1"/>
        </w:rPr>
        <w:t xml:space="preserve"> </w:t>
      </w:r>
      <w:r w:rsidRPr="00B70B7C">
        <w:rPr>
          <w:rFonts w:ascii="Arial" w:hAnsi="Arial" w:cs="Arial"/>
          <w:color w:val="000000" w:themeColor="text1"/>
        </w:rPr>
        <w:t xml:space="preserve">(2017). </w:t>
      </w:r>
      <w:r w:rsidRPr="00B70B7C">
        <w:rPr>
          <w:rFonts w:ascii="Arial" w:hAnsi="Arial" w:cs="Arial"/>
          <w:i/>
          <w:iCs/>
          <w:color w:val="000000" w:themeColor="text1"/>
        </w:rPr>
        <w:t>Classroom Nonverbal Communication.</w:t>
      </w:r>
      <w:r w:rsidRPr="00B70B7C">
        <w:rPr>
          <w:rFonts w:ascii="Arial" w:hAnsi="Arial" w:cs="Arial"/>
          <w:color w:val="000000" w:themeColor="text1"/>
        </w:rPr>
        <w:t xml:space="preserve"> London: Routledge.</w:t>
      </w:r>
    </w:p>
    <w:p w14:paraId="105408CA" w14:textId="089870D5" w:rsidR="00EF4E70" w:rsidRPr="00B70B7C" w:rsidRDefault="00EF4E70" w:rsidP="00611FC6">
      <w:pPr>
        <w:spacing w:line="360" w:lineRule="auto"/>
        <w:rPr>
          <w:rFonts w:ascii="Arial" w:hAnsi="Arial" w:cs="Arial"/>
          <w:color w:val="000000" w:themeColor="text1"/>
        </w:rPr>
      </w:pPr>
      <w:r w:rsidRPr="00B70B7C">
        <w:rPr>
          <w:rFonts w:ascii="Arial" w:hAnsi="Arial" w:cs="Arial"/>
          <w:color w:val="000000" w:themeColor="text1"/>
        </w:rPr>
        <w:t>Pascarella, E.T. Seifert, T.A</w:t>
      </w:r>
      <w:r w:rsidR="008643CB" w:rsidRPr="00B70B7C">
        <w:rPr>
          <w:rFonts w:ascii="Arial" w:hAnsi="Arial" w:cs="Arial"/>
          <w:color w:val="000000" w:themeColor="text1"/>
        </w:rPr>
        <w:t>. &amp;</w:t>
      </w:r>
      <w:r w:rsidRPr="00B70B7C">
        <w:rPr>
          <w:rFonts w:ascii="Arial" w:hAnsi="Arial" w:cs="Arial"/>
          <w:color w:val="000000" w:themeColor="text1"/>
        </w:rPr>
        <w:t xml:space="preserve"> </w:t>
      </w:r>
      <w:proofErr w:type="spellStart"/>
      <w:r w:rsidRPr="00B70B7C">
        <w:rPr>
          <w:rFonts w:ascii="Arial" w:hAnsi="Arial" w:cs="Arial"/>
          <w:color w:val="000000" w:themeColor="text1"/>
        </w:rPr>
        <w:t>Blaich</w:t>
      </w:r>
      <w:proofErr w:type="spellEnd"/>
      <w:r w:rsidRPr="00B70B7C">
        <w:rPr>
          <w:rFonts w:ascii="Arial" w:hAnsi="Arial" w:cs="Arial"/>
          <w:color w:val="000000" w:themeColor="text1"/>
        </w:rPr>
        <w:t xml:space="preserve">, C. (2010) </w:t>
      </w:r>
      <w:r w:rsidR="00B70B7C" w:rsidRPr="00B70B7C">
        <w:rPr>
          <w:rFonts w:ascii="Arial" w:hAnsi="Arial" w:cs="Arial"/>
          <w:color w:val="000000" w:themeColor="text1"/>
        </w:rPr>
        <w:t>‘</w:t>
      </w:r>
      <w:r w:rsidRPr="00B70B7C">
        <w:rPr>
          <w:rFonts w:ascii="Arial" w:hAnsi="Arial" w:cs="Arial"/>
          <w:color w:val="000000" w:themeColor="text1"/>
        </w:rPr>
        <w:t>How Effective Are the NSSE Benchmarks in Predicting Important Educational Outcomes?</w:t>
      </w:r>
      <w:r w:rsidR="00B70B7C" w:rsidRPr="00B70B7C">
        <w:rPr>
          <w:rFonts w:ascii="Arial" w:hAnsi="Arial" w:cs="Arial"/>
          <w:color w:val="000000" w:themeColor="text1"/>
        </w:rPr>
        <w:t xml:space="preserve">’ </w:t>
      </w:r>
      <w:r w:rsidR="00B70B7C" w:rsidRPr="00B70B7C">
        <w:rPr>
          <w:rFonts w:ascii="Arial" w:hAnsi="Arial" w:cs="Arial"/>
          <w:i/>
          <w:iCs/>
          <w:color w:val="000000" w:themeColor="text1"/>
        </w:rPr>
        <w:t xml:space="preserve">Change? </w:t>
      </w:r>
      <w:r w:rsidRPr="00B70B7C">
        <w:rPr>
          <w:rFonts w:ascii="Arial" w:hAnsi="Arial" w:cs="Arial"/>
          <w:i/>
          <w:iCs/>
          <w:color w:val="000000" w:themeColor="text1"/>
        </w:rPr>
        <w:t xml:space="preserve">The Magazine of Higher Learning. </w:t>
      </w:r>
      <w:r w:rsidRPr="00B70B7C">
        <w:rPr>
          <w:rFonts w:ascii="Arial" w:hAnsi="Arial" w:cs="Arial"/>
          <w:color w:val="000000" w:themeColor="text1"/>
        </w:rPr>
        <w:t>42 (1), pp. 16–22.</w:t>
      </w:r>
    </w:p>
    <w:p w14:paraId="2DF7EF8B" w14:textId="30E5DBF3" w:rsidR="00EF4E70" w:rsidRPr="00B70B7C" w:rsidRDefault="00EF4E70" w:rsidP="00611FC6">
      <w:pPr>
        <w:spacing w:line="360" w:lineRule="auto"/>
        <w:rPr>
          <w:rFonts w:ascii="Arial" w:hAnsi="Arial" w:cs="Arial"/>
          <w:color w:val="000000" w:themeColor="text1"/>
        </w:rPr>
      </w:pPr>
      <w:proofErr w:type="spellStart"/>
      <w:r w:rsidRPr="00B70B7C">
        <w:rPr>
          <w:rFonts w:ascii="Arial" w:hAnsi="Arial" w:cs="Arial"/>
          <w:color w:val="000000" w:themeColor="text1"/>
          <w:shd w:val="clear" w:color="auto" w:fill="FFFFFF"/>
        </w:rPr>
        <w:t>Schön</w:t>
      </w:r>
      <w:proofErr w:type="spellEnd"/>
      <w:r w:rsidRPr="00B70B7C">
        <w:rPr>
          <w:rFonts w:ascii="Arial" w:hAnsi="Arial" w:cs="Arial"/>
          <w:color w:val="000000" w:themeColor="text1"/>
          <w:shd w:val="clear" w:color="auto" w:fill="FFFFFF"/>
        </w:rPr>
        <w:t>, D.A. (2016). </w:t>
      </w:r>
      <w:r w:rsidRPr="00B70B7C">
        <w:rPr>
          <w:rFonts w:ascii="Arial" w:hAnsi="Arial" w:cs="Arial"/>
          <w:i/>
          <w:iCs/>
          <w:color w:val="000000" w:themeColor="text1"/>
          <w:shd w:val="clear" w:color="auto" w:fill="FFFFFF"/>
        </w:rPr>
        <w:t>The reflective practitioner how professionals think in action</w:t>
      </w:r>
      <w:r w:rsidRPr="00B70B7C">
        <w:rPr>
          <w:rFonts w:ascii="Arial" w:hAnsi="Arial" w:cs="Arial"/>
          <w:color w:val="000000" w:themeColor="text1"/>
          <w:shd w:val="clear" w:color="auto" w:fill="FFFFFF"/>
        </w:rPr>
        <w:t>, London, New York: Routledge.</w:t>
      </w:r>
    </w:p>
    <w:p w14:paraId="69E02D92" w14:textId="372F885D" w:rsidR="00EF4E70" w:rsidRPr="00B70B7C" w:rsidRDefault="00EF4E70" w:rsidP="00611FC6">
      <w:pPr>
        <w:spacing w:line="360" w:lineRule="auto"/>
        <w:rPr>
          <w:rFonts w:ascii="Arial" w:hAnsi="Arial" w:cs="Arial"/>
          <w:color w:val="000000" w:themeColor="text1"/>
          <w:shd w:val="clear" w:color="auto" w:fill="FFFFFF"/>
        </w:rPr>
      </w:pPr>
      <w:r w:rsidRPr="00B70B7C">
        <w:rPr>
          <w:rFonts w:ascii="Arial" w:hAnsi="Arial" w:cs="Arial"/>
          <w:color w:val="000000" w:themeColor="text1"/>
        </w:rPr>
        <w:t>Sprick, R. et al. (2009</w:t>
      </w:r>
      <w:r w:rsidRPr="00B70B7C">
        <w:rPr>
          <w:rFonts w:ascii="Arial" w:hAnsi="Arial" w:cs="Arial"/>
          <w:i/>
          <w:iCs/>
          <w:color w:val="000000" w:themeColor="text1"/>
        </w:rPr>
        <w:t xml:space="preserve">) Champs: A Proactive and Positive Approach to Classroom Management </w:t>
      </w:r>
      <w:r w:rsidRPr="00B70B7C">
        <w:rPr>
          <w:rFonts w:ascii="Arial" w:hAnsi="Arial" w:cs="Arial"/>
          <w:color w:val="000000" w:themeColor="text1"/>
        </w:rPr>
        <w:t>2nd Ed</w:t>
      </w:r>
      <w:r w:rsidRPr="00B70B7C">
        <w:rPr>
          <w:rFonts w:ascii="Arial" w:hAnsi="Arial" w:cs="Arial"/>
          <w:i/>
          <w:iCs/>
          <w:color w:val="000000" w:themeColor="text1"/>
        </w:rPr>
        <w:t>.</w:t>
      </w:r>
      <w:r w:rsidRPr="00B70B7C">
        <w:rPr>
          <w:rFonts w:ascii="Arial" w:hAnsi="Arial" w:cs="Arial"/>
          <w:color w:val="000000" w:themeColor="text1"/>
        </w:rPr>
        <w:t xml:space="preserve"> Longmont:</w:t>
      </w:r>
      <w:r w:rsidRPr="00B70B7C">
        <w:rPr>
          <w:rFonts w:ascii="Arial" w:hAnsi="Arial" w:cs="Arial"/>
          <w:color w:val="000000" w:themeColor="text1"/>
          <w:shd w:val="clear" w:color="auto" w:fill="FFFFFF"/>
        </w:rPr>
        <w:t xml:space="preserve"> Pacific Northwest Publishing</w:t>
      </w:r>
    </w:p>
    <w:p w14:paraId="133DA1C7" w14:textId="3E740B9C" w:rsidR="00B70B7C" w:rsidRDefault="00EF4E70" w:rsidP="00B70B7C">
      <w:pPr>
        <w:spacing w:line="360" w:lineRule="auto"/>
        <w:rPr>
          <w:rFonts w:ascii="Arial" w:hAnsi="Arial" w:cs="Arial"/>
          <w:color w:val="000000" w:themeColor="text1"/>
        </w:rPr>
      </w:pPr>
      <w:r w:rsidRPr="00B70B7C">
        <w:rPr>
          <w:rStyle w:val="titleauthoretc"/>
          <w:rFonts w:ascii="Arial" w:hAnsi="Arial" w:cs="Arial"/>
          <w:color w:val="000000" w:themeColor="text1"/>
          <w:shd w:val="clear" w:color="auto" w:fill="FFFFFF"/>
        </w:rPr>
        <w:t>Stigler, J.W</w:t>
      </w:r>
      <w:r w:rsidR="00B70B7C">
        <w:rPr>
          <w:rStyle w:val="titleauthoretc"/>
          <w:rFonts w:ascii="Arial" w:hAnsi="Arial" w:cs="Arial"/>
          <w:color w:val="000000" w:themeColor="text1"/>
          <w:shd w:val="clear" w:color="auto" w:fill="FFFFFF"/>
        </w:rPr>
        <w:t>.</w:t>
      </w:r>
      <w:r w:rsidRPr="00B70B7C">
        <w:rPr>
          <w:rStyle w:val="titleauthoretc"/>
          <w:rFonts w:ascii="Arial" w:hAnsi="Arial" w:cs="Arial"/>
          <w:color w:val="000000" w:themeColor="text1"/>
          <w:shd w:val="clear" w:color="auto" w:fill="FFFFFF"/>
        </w:rPr>
        <w:t xml:space="preserve"> and Hiebert, J. (2016) </w:t>
      </w:r>
      <w:r w:rsidR="00B70B7C" w:rsidRPr="00B70B7C">
        <w:rPr>
          <w:rStyle w:val="titleauthoretc"/>
          <w:rFonts w:ascii="Arial" w:hAnsi="Arial" w:cs="Arial"/>
          <w:color w:val="000000" w:themeColor="text1"/>
          <w:shd w:val="clear" w:color="auto" w:fill="FFFFFF"/>
        </w:rPr>
        <w:t>‘</w:t>
      </w:r>
      <w:r w:rsidRPr="00B70B7C">
        <w:rPr>
          <w:rFonts w:ascii="Arial" w:hAnsi="Arial" w:cs="Arial"/>
          <w:color w:val="000000" w:themeColor="text1"/>
        </w:rPr>
        <w:t>Lesson Study, Improvement, and the Importing of Cultural Routines</w:t>
      </w:r>
      <w:r w:rsidR="00B70B7C" w:rsidRPr="00B70B7C">
        <w:rPr>
          <w:rFonts w:ascii="Arial" w:hAnsi="Arial" w:cs="Arial"/>
          <w:b/>
          <w:bCs/>
          <w:color w:val="000000" w:themeColor="text1"/>
        </w:rPr>
        <w:t>’,</w:t>
      </w:r>
      <w:r w:rsidRPr="00B70B7C">
        <w:rPr>
          <w:rStyle w:val="titleauthoretc"/>
          <w:rFonts w:ascii="Arial" w:hAnsi="Arial" w:cs="Arial"/>
          <w:b/>
          <w:bCs/>
          <w:color w:val="000000" w:themeColor="text1"/>
          <w:shd w:val="clear" w:color="auto" w:fill="FFFFFF"/>
        </w:rPr>
        <w:t xml:space="preserve"> </w:t>
      </w:r>
      <w:r w:rsidRPr="00B70B7C">
        <w:rPr>
          <w:rStyle w:val="Strong"/>
          <w:rFonts w:ascii="Arial" w:hAnsi="Arial" w:cs="Arial"/>
          <w:b w:val="0"/>
          <w:bCs w:val="0"/>
          <w:i/>
          <w:iCs/>
          <w:color w:val="000000" w:themeColor="text1"/>
          <w:shd w:val="clear" w:color="auto" w:fill="FFFFFF"/>
        </w:rPr>
        <w:t>ZDM: The International Journal on Mathematics Education</w:t>
      </w:r>
      <w:r w:rsidRPr="00B70B7C">
        <w:rPr>
          <w:rStyle w:val="Strong"/>
          <w:rFonts w:ascii="Arial" w:hAnsi="Arial" w:cs="Arial"/>
          <w:i/>
          <w:iCs/>
          <w:color w:val="000000" w:themeColor="text1"/>
          <w:shd w:val="clear" w:color="auto" w:fill="FFFFFF"/>
        </w:rPr>
        <w:t>,</w:t>
      </w:r>
      <w:r w:rsidRPr="00B70B7C">
        <w:rPr>
          <w:rStyle w:val="titleauthoretc"/>
          <w:rFonts w:ascii="Arial" w:hAnsi="Arial" w:cs="Arial"/>
          <w:color w:val="000000" w:themeColor="text1"/>
          <w:shd w:val="clear" w:color="auto" w:fill="FFFFFF"/>
        </w:rPr>
        <w:t> Vol. 48(4), pp. 581-587.</w:t>
      </w:r>
    </w:p>
    <w:p w14:paraId="3A272960" w14:textId="77777777" w:rsidR="00B70B7C" w:rsidRDefault="00EF4E70" w:rsidP="00B70B7C">
      <w:pPr>
        <w:spacing w:line="360" w:lineRule="auto"/>
        <w:rPr>
          <w:rFonts w:ascii="Arial" w:hAnsi="Arial" w:cs="Arial"/>
          <w:color w:val="000000" w:themeColor="text1"/>
        </w:rPr>
      </w:pPr>
      <w:proofErr w:type="spellStart"/>
      <w:r w:rsidRPr="00B70B7C">
        <w:rPr>
          <w:rFonts w:ascii="Arial" w:hAnsi="Arial" w:cs="Arial"/>
          <w:color w:val="000000" w:themeColor="text1"/>
          <w:position w:val="-2"/>
        </w:rPr>
        <w:t>Stronge</w:t>
      </w:r>
      <w:proofErr w:type="spellEnd"/>
      <w:r w:rsidRPr="00B70B7C">
        <w:rPr>
          <w:rFonts w:ascii="Arial" w:hAnsi="Arial" w:cs="Arial"/>
          <w:color w:val="000000" w:themeColor="text1"/>
          <w:position w:val="-2"/>
        </w:rPr>
        <w:t xml:space="preserve">, </w:t>
      </w:r>
      <w:r w:rsidRPr="00B70B7C">
        <w:rPr>
          <w:rFonts w:ascii="Arial" w:hAnsi="Arial" w:cs="Arial"/>
          <w:color w:val="000000" w:themeColor="text1"/>
        </w:rPr>
        <w:t xml:space="preserve">J., Tucker, P. &amp; Hindman, J. (2004). </w:t>
      </w:r>
      <w:r w:rsidRPr="00B70B7C">
        <w:rPr>
          <w:rFonts w:ascii="Arial" w:hAnsi="Arial" w:cs="Arial"/>
          <w:i/>
          <w:iCs/>
          <w:color w:val="000000" w:themeColor="text1"/>
        </w:rPr>
        <w:t xml:space="preserve">Handbook for Qualities of Effective Teachers. </w:t>
      </w:r>
      <w:r w:rsidRPr="00B70B7C">
        <w:rPr>
          <w:rFonts w:ascii="Arial" w:hAnsi="Arial" w:cs="Arial"/>
          <w:color w:val="000000" w:themeColor="text1"/>
        </w:rPr>
        <w:t>Alexandria, VA: Association for Supervision and Curriculum Development.</w:t>
      </w:r>
    </w:p>
    <w:p w14:paraId="2F50EFB6" w14:textId="77777777" w:rsidR="00B70B7C" w:rsidRDefault="00EF4E70" w:rsidP="00B70B7C">
      <w:pPr>
        <w:spacing w:line="360" w:lineRule="auto"/>
        <w:rPr>
          <w:rFonts w:ascii="Arial" w:hAnsi="Arial" w:cs="Arial"/>
          <w:color w:val="000000" w:themeColor="text1"/>
        </w:rPr>
      </w:pPr>
      <w:r w:rsidRPr="00B70B7C">
        <w:rPr>
          <w:rFonts w:ascii="Arial" w:hAnsi="Arial" w:cs="Arial"/>
          <w:color w:val="000000" w:themeColor="text1"/>
        </w:rPr>
        <w:t>Stuckey, H. L. (2013)</w:t>
      </w:r>
      <w:r w:rsidR="00B70B7C" w:rsidRPr="00B70B7C">
        <w:rPr>
          <w:rFonts w:ascii="Arial" w:hAnsi="Arial" w:cs="Arial"/>
          <w:color w:val="000000" w:themeColor="text1"/>
        </w:rPr>
        <w:t xml:space="preserve"> ‘</w:t>
      </w:r>
      <w:r w:rsidRPr="00B70B7C">
        <w:rPr>
          <w:rFonts w:ascii="Arial" w:hAnsi="Arial" w:cs="Arial"/>
          <w:color w:val="000000" w:themeColor="text1"/>
        </w:rPr>
        <w:t>Three types of interviews: Qualitative research methods in social health</w:t>
      </w:r>
      <w:r w:rsidR="00B70B7C" w:rsidRPr="00B70B7C">
        <w:rPr>
          <w:rFonts w:ascii="Arial" w:hAnsi="Arial" w:cs="Arial"/>
          <w:color w:val="000000" w:themeColor="text1"/>
        </w:rPr>
        <w:t>’,</w:t>
      </w:r>
      <w:r w:rsidRPr="00B70B7C">
        <w:rPr>
          <w:rFonts w:ascii="Arial" w:hAnsi="Arial" w:cs="Arial"/>
          <w:color w:val="000000" w:themeColor="text1"/>
        </w:rPr>
        <w:t xml:space="preserve"> </w:t>
      </w:r>
      <w:r w:rsidRPr="00B70B7C">
        <w:rPr>
          <w:rFonts w:ascii="Arial" w:hAnsi="Arial" w:cs="Arial"/>
          <w:i/>
          <w:iCs/>
          <w:color w:val="000000" w:themeColor="text1"/>
        </w:rPr>
        <w:t>Journal of Social Health and Diabetes</w:t>
      </w:r>
      <w:r w:rsidRPr="00B70B7C">
        <w:rPr>
          <w:rFonts w:ascii="Arial" w:hAnsi="Arial" w:cs="Arial"/>
          <w:color w:val="000000" w:themeColor="text1"/>
        </w:rPr>
        <w:t xml:space="preserve">, </w:t>
      </w:r>
      <w:r w:rsidRPr="00B70B7C">
        <w:rPr>
          <w:rFonts w:ascii="Arial" w:hAnsi="Arial" w:cs="Arial"/>
          <w:i/>
          <w:iCs/>
          <w:color w:val="000000" w:themeColor="text1"/>
        </w:rPr>
        <w:t>1</w:t>
      </w:r>
      <w:r w:rsidRPr="00B70B7C">
        <w:rPr>
          <w:rFonts w:ascii="Arial" w:hAnsi="Arial" w:cs="Arial"/>
          <w:color w:val="000000" w:themeColor="text1"/>
        </w:rPr>
        <w:t xml:space="preserve">(2), </w:t>
      </w:r>
      <w:r w:rsidR="00B70B7C" w:rsidRPr="00B70B7C">
        <w:rPr>
          <w:rFonts w:ascii="Arial" w:hAnsi="Arial" w:cs="Arial"/>
          <w:color w:val="000000" w:themeColor="text1"/>
        </w:rPr>
        <w:t xml:space="preserve">pp. </w:t>
      </w:r>
      <w:r w:rsidRPr="00B70B7C">
        <w:rPr>
          <w:rFonts w:ascii="Arial" w:hAnsi="Arial" w:cs="Arial"/>
          <w:color w:val="000000" w:themeColor="text1"/>
        </w:rPr>
        <w:t xml:space="preserve">56-59. </w:t>
      </w:r>
    </w:p>
    <w:p w14:paraId="65B6087F" w14:textId="26D40858" w:rsidR="00532593" w:rsidRPr="00B70B7C" w:rsidRDefault="00EF4E70" w:rsidP="00B70B7C">
      <w:pPr>
        <w:spacing w:line="360" w:lineRule="auto"/>
        <w:rPr>
          <w:rFonts w:ascii="Arial" w:hAnsi="Arial" w:cs="Arial"/>
          <w:color w:val="000000" w:themeColor="text1"/>
        </w:rPr>
      </w:pPr>
      <w:r w:rsidRPr="00B70B7C">
        <w:rPr>
          <w:rFonts w:ascii="Arial" w:eastAsia="Times New Roman" w:hAnsi="Arial" w:cs="Arial"/>
          <w:color w:val="000000" w:themeColor="text1"/>
          <w:position w:val="-2"/>
          <w:lang w:eastAsia="en-GB"/>
        </w:rPr>
        <w:t xml:space="preserve">Thompson, </w:t>
      </w:r>
      <w:r w:rsidRPr="00B70B7C">
        <w:rPr>
          <w:rFonts w:ascii="Arial" w:eastAsia="Times New Roman" w:hAnsi="Arial" w:cs="Arial"/>
          <w:color w:val="000000" w:themeColor="text1"/>
          <w:lang w:eastAsia="en-GB"/>
        </w:rPr>
        <w:t xml:space="preserve">J. (1973). </w:t>
      </w:r>
      <w:r w:rsidRPr="00B70B7C">
        <w:rPr>
          <w:rFonts w:ascii="Arial" w:eastAsia="Times New Roman" w:hAnsi="Arial" w:cs="Arial"/>
          <w:i/>
          <w:iCs/>
          <w:color w:val="000000" w:themeColor="text1"/>
          <w:lang w:eastAsia="en-GB"/>
        </w:rPr>
        <w:t>Beyond Words: Nonverbal Communication in the Classroom</w:t>
      </w:r>
      <w:r w:rsidR="007E4BF3" w:rsidRPr="00B70B7C">
        <w:rPr>
          <w:rFonts w:ascii="Arial" w:eastAsia="Times New Roman" w:hAnsi="Arial" w:cs="Arial"/>
          <w:i/>
          <w:iCs/>
          <w:color w:val="000000" w:themeColor="text1"/>
          <w:lang w:eastAsia="en-GB"/>
        </w:rPr>
        <w:t xml:space="preserve">. </w:t>
      </w:r>
      <w:r w:rsidRPr="00B70B7C">
        <w:rPr>
          <w:rFonts w:ascii="Arial" w:eastAsia="Times New Roman" w:hAnsi="Arial" w:cs="Arial"/>
          <w:color w:val="000000" w:themeColor="text1"/>
          <w:lang w:eastAsia="en-GB"/>
        </w:rPr>
        <w:t>New York</w:t>
      </w:r>
      <w:r w:rsidR="007E4BF3" w:rsidRPr="00B70B7C">
        <w:rPr>
          <w:rFonts w:ascii="Arial" w:eastAsia="Times New Roman" w:hAnsi="Arial" w:cs="Arial"/>
          <w:color w:val="000000" w:themeColor="text1"/>
          <w:lang w:eastAsia="en-GB"/>
        </w:rPr>
        <w:t>: Citation Press</w:t>
      </w:r>
      <w:r w:rsidRPr="00B70B7C">
        <w:rPr>
          <w:rFonts w:ascii="Arial" w:eastAsia="Times New Roman" w:hAnsi="Arial" w:cs="Arial"/>
          <w:color w:val="000000" w:themeColor="text1"/>
          <w:lang w:eastAsia="en-GB"/>
        </w:rPr>
        <w:t xml:space="preserve"> </w:t>
      </w:r>
    </w:p>
    <w:p w14:paraId="213503F2" w14:textId="1370CD0D" w:rsidR="00EF4E70" w:rsidRPr="00B70B7C" w:rsidRDefault="00EF4E70" w:rsidP="00532593">
      <w:pPr>
        <w:pStyle w:val="NoSpacing"/>
        <w:spacing w:line="360" w:lineRule="auto"/>
        <w:rPr>
          <w:rFonts w:ascii="Arial" w:eastAsia="Times New Roman" w:hAnsi="Arial" w:cs="Arial"/>
          <w:color w:val="000000" w:themeColor="text1"/>
          <w:sz w:val="22"/>
          <w:szCs w:val="22"/>
          <w:lang w:eastAsia="en-GB"/>
        </w:rPr>
      </w:pPr>
      <w:r w:rsidRPr="00B70B7C">
        <w:rPr>
          <w:rFonts w:ascii="Arial" w:hAnsi="Arial" w:cs="Arial"/>
          <w:color w:val="000000" w:themeColor="text1"/>
          <w:sz w:val="22"/>
          <w:szCs w:val="22"/>
        </w:rPr>
        <w:t xml:space="preserve">UWTSD (2016) </w:t>
      </w:r>
      <w:r w:rsidRPr="00B70B7C">
        <w:rPr>
          <w:rFonts w:ascii="Arial" w:hAnsi="Arial" w:cs="Arial"/>
          <w:i/>
          <w:iCs/>
          <w:color w:val="000000" w:themeColor="text1"/>
          <w:sz w:val="22"/>
          <w:szCs w:val="22"/>
        </w:rPr>
        <w:t xml:space="preserve">Research Data Management Policy. </w:t>
      </w:r>
      <w:r w:rsidRPr="00B70B7C">
        <w:rPr>
          <w:rFonts w:ascii="Arial" w:hAnsi="Arial" w:cs="Arial"/>
          <w:color w:val="000000" w:themeColor="text1"/>
          <w:sz w:val="22"/>
          <w:szCs w:val="22"/>
        </w:rPr>
        <w:t>Available at: https://www.uwtsd.ac.uk/media/uwtsd-website/content-assets/documents/strategies-policies/Research-Data-Management-Policy-27.01.16.pdf. (Accessed 15 February 2020).</w:t>
      </w:r>
    </w:p>
    <w:p w14:paraId="53D22273" w14:textId="1B4DA9AF" w:rsidR="00611FC6" w:rsidRPr="00B70B7C" w:rsidRDefault="00EF4E70" w:rsidP="00611FC6">
      <w:pPr>
        <w:spacing w:line="360" w:lineRule="auto"/>
        <w:rPr>
          <w:rFonts w:ascii="Arial" w:hAnsi="Arial" w:cs="Arial"/>
          <w:color w:val="000000" w:themeColor="text1"/>
        </w:rPr>
      </w:pPr>
      <w:r w:rsidRPr="00B70B7C">
        <w:rPr>
          <w:rFonts w:ascii="Arial" w:hAnsi="Arial" w:cs="Arial"/>
          <w:color w:val="000000" w:themeColor="text1"/>
        </w:rPr>
        <w:lastRenderedPageBreak/>
        <w:t xml:space="preserve">UWTSD (2017) </w:t>
      </w:r>
      <w:r w:rsidRPr="00B70B7C">
        <w:rPr>
          <w:rFonts w:ascii="Arial" w:hAnsi="Arial" w:cs="Arial"/>
          <w:i/>
          <w:iCs/>
          <w:color w:val="000000" w:themeColor="text1"/>
        </w:rPr>
        <w:t xml:space="preserve">Research Ethics &amp; Integrity Code of Practice. </w:t>
      </w:r>
      <w:r w:rsidRPr="00B70B7C">
        <w:rPr>
          <w:rFonts w:ascii="Arial" w:hAnsi="Arial" w:cs="Arial"/>
          <w:color w:val="000000" w:themeColor="text1"/>
        </w:rPr>
        <w:t>Available at: https://www.uwtsd.ac.uk/media/uwtsd-website/content-assets/documents/research/research-ethics-integrity-code-practice.pdf. (Accessed: 15 February 2020).</w:t>
      </w:r>
    </w:p>
    <w:p w14:paraId="0D2F6EA6" w14:textId="4F08E77E" w:rsidR="00E611D9" w:rsidRPr="00B70B7C" w:rsidRDefault="00EF4E70" w:rsidP="00B70B7C">
      <w:pPr>
        <w:spacing w:line="360" w:lineRule="auto"/>
        <w:rPr>
          <w:rFonts w:ascii="Arial" w:hAnsi="Arial" w:cs="Arial"/>
          <w:color w:val="000000" w:themeColor="text1"/>
        </w:rPr>
      </w:pPr>
      <w:r w:rsidRPr="00B70B7C">
        <w:rPr>
          <w:rFonts w:ascii="Arial" w:hAnsi="Arial" w:cs="Arial"/>
          <w:color w:val="000000" w:themeColor="text1"/>
        </w:rPr>
        <w:t xml:space="preserve">Wong, H. (2004). </w:t>
      </w:r>
      <w:r w:rsidRPr="00B70B7C">
        <w:rPr>
          <w:rFonts w:ascii="Arial" w:hAnsi="Arial" w:cs="Arial"/>
          <w:i/>
          <w:iCs/>
          <w:color w:val="000000" w:themeColor="text1"/>
        </w:rPr>
        <w:t>First Days of School: How to be an Effective Teacher.</w:t>
      </w:r>
      <w:r w:rsidR="007E4BF3" w:rsidRPr="00B70B7C">
        <w:rPr>
          <w:rFonts w:ascii="Arial" w:hAnsi="Arial" w:cs="Arial"/>
          <w:i/>
          <w:iCs/>
          <w:color w:val="000000" w:themeColor="text1"/>
        </w:rPr>
        <w:t xml:space="preserve"> </w:t>
      </w:r>
      <w:r w:rsidR="007E4BF3" w:rsidRPr="00B70B7C">
        <w:rPr>
          <w:rFonts w:ascii="Arial" w:hAnsi="Arial" w:cs="Arial"/>
          <w:color w:val="000000" w:themeColor="text1"/>
        </w:rPr>
        <w:t>Mountain View, CA:</w:t>
      </w:r>
      <w:r w:rsidRPr="00B70B7C">
        <w:rPr>
          <w:rFonts w:ascii="Arial" w:hAnsi="Arial" w:cs="Arial"/>
          <w:i/>
          <w:iCs/>
          <w:color w:val="000000" w:themeColor="text1"/>
        </w:rPr>
        <w:t xml:space="preserve"> </w:t>
      </w:r>
      <w:r w:rsidRPr="00B70B7C">
        <w:rPr>
          <w:rFonts w:ascii="Arial" w:hAnsi="Arial" w:cs="Arial"/>
          <w:color w:val="000000" w:themeColor="text1"/>
        </w:rPr>
        <w:t xml:space="preserve">Harry K. Wong Publications. </w:t>
      </w:r>
    </w:p>
    <w:sectPr w:rsidR="00E611D9" w:rsidRPr="00B70B7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C2CEB5" w14:textId="77777777" w:rsidR="002C26C6" w:rsidRDefault="002C26C6" w:rsidP="00E611D9">
      <w:pPr>
        <w:spacing w:after="0" w:line="240" w:lineRule="auto"/>
      </w:pPr>
      <w:r>
        <w:separator/>
      </w:r>
    </w:p>
  </w:endnote>
  <w:endnote w:type="continuationSeparator" w:id="0">
    <w:p w14:paraId="1F8B5F25" w14:textId="77777777" w:rsidR="002C26C6" w:rsidRDefault="002C26C6"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4CF3EC72"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457F0">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3A1317" w14:textId="77777777" w:rsidR="002C26C6" w:rsidRDefault="002C26C6" w:rsidP="00E611D9">
      <w:pPr>
        <w:spacing w:after="0" w:line="240" w:lineRule="auto"/>
      </w:pPr>
      <w:r>
        <w:separator/>
      </w:r>
    </w:p>
  </w:footnote>
  <w:footnote w:type="continuationSeparator" w:id="0">
    <w:p w14:paraId="53C35211" w14:textId="77777777" w:rsidR="002C26C6" w:rsidRDefault="002C26C6"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3CF72" w14:textId="04B0F91A" w:rsidR="00755E37" w:rsidRDefault="00755E37">
    <w:pPr>
      <w:pStyle w:val="Header"/>
    </w:pPr>
    <w:r>
      <w:t>ECAD7004/C</w:t>
    </w:r>
  </w:p>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13262C"/>
    <w:rsid w:val="00203760"/>
    <w:rsid w:val="002229F0"/>
    <w:rsid w:val="002C26C6"/>
    <w:rsid w:val="003471A0"/>
    <w:rsid w:val="00374575"/>
    <w:rsid w:val="00532593"/>
    <w:rsid w:val="00611FC6"/>
    <w:rsid w:val="006419C3"/>
    <w:rsid w:val="006B5861"/>
    <w:rsid w:val="00721479"/>
    <w:rsid w:val="00755E37"/>
    <w:rsid w:val="007B44AF"/>
    <w:rsid w:val="007E4BF3"/>
    <w:rsid w:val="00817F7A"/>
    <w:rsid w:val="008643CB"/>
    <w:rsid w:val="00906781"/>
    <w:rsid w:val="00A5757E"/>
    <w:rsid w:val="00AE5ECC"/>
    <w:rsid w:val="00B06974"/>
    <w:rsid w:val="00B457F0"/>
    <w:rsid w:val="00B70B7C"/>
    <w:rsid w:val="00BA40AD"/>
    <w:rsid w:val="00BC651E"/>
    <w:rsid w:val="00BD174C"/>
    <w:rsid w:val="00C01BC5"/>
    <w:rsid w:val="00C64251"/>
    <w:rsid w:val="00CC4896"/>
    <w:rsid w:val="00CD1240"/>
    <w:rsid w:val="00D638DF"/>
    <w:rsid w:val="00D721FC"/>
    <w:rsid w:val="00D83A40"/>
    <w:rsid w:val="00E30EAB"/>
    <w:rsid w:val="00E611D9"/>
    <w:rsid w:val="00EF4E70"/>
    <w:rsid w:val="00FE5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EF4E70"/>
    <w:pPr>
      <w:spacing w:after="0" w:line="240" w:lineRule="auto"/>
    </w:pPr>
    <w:rPr>
      <w:sz w:val="24"/>
      <w:szCs w:val="24"/>
    </w:rPr>
  </w:style>
  <w:style w:type="character" w:customStyle="1" w:styleId="titleauthoretc">
    <w:name w:val="titleauthoretc"/>
    <w:basedOn w:val="DefaultParagraphFont"/>
    <w:rsid w:val="00EF4E70"/>
  </w:style>
  <w:style w:type="character" w:styleId="Strong">
    <w:name w:val="Strong"/>
    <w:basedOn w:val="DefaultParagraphFont"/>
    <w:uiPriority w:val="22"/>
    <w:qFormat/>
    <w:rsid w:val="00EF4E70"/>
    <w:rPr>
      <w:b/>
      <w:bCs/>
    </w:rPr>
  </w:style>
  <w:style w:type="character" w:styleId="Emphasis">
    <w:name w:val="Emphasis"/>
    <w:basedOn w:val="DefaultParagraphFont"/>
    <w:uiPriority w:val="20"/>
    <w:qFormat/>
    <w:rsid w:val="00EF4E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724839">
      <w:bodyDiv w:val="1"/>
      <w:marLeft w:val="0"/>
      <w:marRight w:val="0"/>
      <w:marTop w:val="0"/>
      <w:marBottom w:val="0"/>
      <w:divBdr>
        <w:top w:val="none" w:sz="0" w:space="0" w:color="auto"/>
        <w:left w:val="none" w:sz="0" w:space="0" w:color="auto"/>
        <w:bottom w:val="none" w:sz="0" w:space="0" w:color="auto"/>
        <w:right w:val="none" w:sz="0" w:space="0" w:color="auto"/>
      </w:divBdr>
    </w:div>
    <w:div w:id="535582374">
      <w:bodyDiv w:val="1"/>
      <w:marLeft w:val="0"/>
      <w:marRight w:val="0"/>
      <w:marTop w:val="0"/>
      <w:marBottom w:val="0"/>
      <w:divBdr>
        <w:top w:val="none" w:sz="0" w:space="0" w:color="auto"/>
        <w:left w:val="none" w:sz="0" w:space="0" w:color="auto"/>
        <w:bottom w:val="none" w:sz="0" w:space="0" w:color="auto"/>
        <w:right w:val="none" w:sz="0" w:space="0" w:color="auto"/>
      </w:divBdr>
    </w:div>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16</Pages>
  <Words>6004</Words>
  <Characters>34224</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Chislett R (FCI)</cp:lastModifiedBy>
  <cp:revision>10</cp:revision>
  <dcterms:created xsi:type="dcterms:W3CDTF">2020-02-21T14:44:00Z</dcterms:created>
  <dcterms:modified xsi:type="dcterms:W3CDTF">2020-02-21T22:53:00Z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