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D79F9" w:rsidRDefault="00AD79F9">
      <w:pPr>
        <w:spacing w:line="360" w:lineRule="auto"/>
        <w:jc w:val="both"/>
      </w:pPr>
    </w:p>
    <w:p w14:paraId="00000002" w14:textId="77777777" w:rsidR="00AD79F9" w:rsidRDefault="00AD79F9">
      <w:pPr>
        <w:spacing w:line="360" w:lineRule="auto"/>
        <w:jc w:val="both"/>
      </w:pPr>
    </w:p>
    <w:p w14:paraId="00000003" w14:textId="77777777" w:rsidR="00AD79F9" w:rsidRDefault="00AD79F9">
      <w:pPr>
        <w:pStyle w:val="Title"/>
        <w:spacing w:line="360" w:lineRule="auto"/>
        <w:jc w:val="center"/>
      </w:pPr>
      <w:bookmarkStart w:id="0" w:name="_i97wxc2icuju" w:colFirst="0" w:colLast="0"/>
      <w:bookmarkEnd w:id="0"/>
    </w:p>
    <w:p w14:paraId="00000004" w14:textId="77777777" w:rsidR="00AD79F9" w:rsidRDefault="00AD79F9">
      <w:pPr>
        <w:pStyle w:val="Title"/>
        <w:spacing w:line="360" w:lineRule="auto"/>
        <w:jc w:val="center"/>
      </w:pPr>
      <w:bookmarkStart w:id="1" w:name="_8rni6kw8av7w" w:colFirst="0" w:colLast="0"/>
      <w:bookmarkEnd w:id="1"/>
    </w:p>
    <w:p w14:paraId="00000005" w14:textId="77777777" w:rsidR="00AD79F9" w:rsidRDefault="00AD79F9">
      <w:pPr>
        <w:pStyle w:val="Title"/>
        <w:spacing w:line="360" w:lineRule="auto"/>
        <w:jc w:val="center"/>
      </w:pPr>
      <w:bookmarkStart w:id="2" w:name="_otrldgeh4mlf" w:colFirst="0" w:colLast="0"/>
      <w:bookmarkEnd w:id="2"/>
    </w:p>
    <w:p w14:paraId="00000006" w14:textId="77777777" w:rsidR="00AD79F9" w:rsidRDefault="00AD79F9"/>
    <w:p w14:paraId="00000007" w14:textId="77777777" w:rsidR="00AD79F9" w:rsidRDefault="00AD79F9"/>
    <w:p w14:paraId="00000008" w14:textId="77777777" w:rsidR="00AD79F9" w:rsidRDefault="00AD79F9"/>
    <w:p w14:paraId="10682475" w14:textId="77777777" w:rsidR="00AF070A" w:rsidRDefault="006007CD" w:rsidP="00AF070A">
      <w:pPr>
        <w:pStyle w:val="Title"/>
        <w:spacing w:line="360" w:lineRule="auto"/>
        <w:jc w:val="center"/>
      </w:pPr>
      <w:bookmarkStart w:id="3" w:name="_rxpj0tcazf18" w:colFirst="0" w:colLast="0"/>
      <w:bookmarkEnd w:id="3"/>
      <w:r>
        <w:t>BMPL4009 - Criminal law</w:t>
      </w:r>
    </w:p>
    <w:p w14:paraId="11BE2811" w14:textId="77777777" w:rsidR="00AF070A" w:rsidRDefault="00AF070A" w:rsidP="00AF070A">
      <w:pPr>
        <w:pStyle w:val="Title"/>
        <w:spacing w:line="360" w:lineRule="auto"/>
        <w:jc w:val="center"/>
      </w:pPr>
    </w:p>
    <w:p w14:paraId="5DB3D9C5" w14:textId="77777777" w:rsidR="00AF070A" w:rsidRDefault="00AF070A" w:rsidP="00AF070A">
      <w:pPr>
        <w:pStyle w:val="Title"/>
        <w:spacing w:line="360" w:lineRule="auto"/>
        <w:jc w:val="center"/>
      </w:pPr>
    </w:p>
    <w:p w14:paraId="10BBC2FD" w14:textId="77777777" w:rsidR="00AF070A" w:rsidRDefault="00AF070A" w:rsidP="00AF070A">
      <w:pPr>
        <w:pStyle w:val="Title"/>
        <w:spacing w:line="360" w:lineRule="auto"/>
        <w:jc w:val="center"/>
        <w:rPr>
          <w:lang w:val="en-GB"/>
        </w:rPr>
      </w:pPr>
      <w:r>
        <w:rPr>
          <w:lang w:val="en-GB"/>
        </w:rPr>
        <w:t>By</w:t>
      </w:r>
    </w:p>
    <w:p w14:paraId="5D303899" w14:textId="77777777" w:rsidR="004334D7" w:rsidRDefault="004334D7" w:rsidP="004334D7">
      <w:pPr>
        <w:rPr>
          <w:lang w:val="en-GB"/>
        </w:rPr>
      </w:pPr>
    </w:p>
    <w:p w14:paraId="537E1C89" w14:textId="77777777" w:rsidR="004334D7" w:rsidRPr="004334D7" w:rsidRDefault="004334D7" w:rsidP="004334D7">
      <w:pPr>
        <w:rPr>
          <w:lang w:val="en-GB"/>
        </w:rPr>
      </w:pPr>
    </w:p>
    <w:p w14:paraId="0000000A" w14:textId="6EDDDC5A" w:rsidR="00AD79F9" w:rsidRPr="004334D7" w:rsidRDefault="006007CD" w:rsidP="00AF070A">
      <w:pPr>
        <w:pStyle w:val="Title"/>
        <w:spacing w:line="360" w:lineRule="auto"/>
        <w:jc w:val="center"/>
        <w:rPr>
          <w:sz w:val="24"/>
          <w:szCs w:val="24"/>
        </w:rPr>
      </w:pPr>
      <w:r w:rsidRPr="004334D7">
        <w:rPr>
          <w:sz w:val="24"/>
          <w:szCs w:val="24"/>
        </w:rPr>
        <w:t>Student Name:</w:t>
      </w:r>
      <w:r w:rsidR="00AF070A" w:rsidRPr="004334D7">
        <w:rPr>
          <w:sz w:val="24"/>
          <w:szCs w:val="24"/>
          <w:lang w:val="en-GB"/>
        </w:rPr>
        <w:t xml:space="preserve"> </w:t>
      </w:r>
      <w:r w:rsidR="004334D7" w:rsidRPr="004334D7">
        <w:rPr>
          <w:sz w:val="24"/>
          <w:szCs w:val="24"/>
          <w:lang w:val="en-GB"/>
        </w:rPr>
        <w:t xml:space="preserve">George Gabriel </w:t>
      </w:r>
      <w:proofErr w:type="spellStart"/>
      <w:r w:rsidR="004334D7" w:rsidRPr="004334D7">
        <w:rPr>
          <w:sz w:val="24"/>
          <w:szCs w:val="24"/>
          <w:lang w:val="en-GB"/>
        </w:rPr>
        <w:t>Abrani</w:t>
      </w:r>
      <w:proofErr w:type="spellEnd"/>
    </w:p>
    <w:p w14:paraId="0000000B" w14:textId="15853362" w:rsidR="00AD79F9" w:rsidRDefault="006007CD">
      <w:pPr>
        <w:spacing w:line="360" w:lineRule="auto"/>
        <w:jc w:val="center"/>
      </w:pPr>
      <w:r>
        <w:t>S</w:t>
      </w:r>
      <w:r>
        <w:t>tudent ID:</w:t>
      </w:r>
      <w:r w:rsidR="004334D7">
        <w:rPr>
          <w:lang w:val="en-GB"/>
        </w:rPr>
        <w:t xml:space="preserve"> 2244462</w:t>
      </w:r>
    </w:p>
    <w:p w14:paraId="0000000C" w14:textId="01D1E7B5" w:rsidR="00AD79F9" w:rsidRDefault="00AD79F9">
      <w:pPr>
        <w:spacing w:line="360" w:lineRule="auto"/>
        <w:jc w:val="center"/>
      </w:pPr>
    </w:p>
    <w:p w14:paraId="0000000D" w14:textId="64D8F927" w:rsidR="00AD79F9" w:rsidRDefault="00AD79F9">
      <w:pPr>
        <w:spacing w:line="360" w:lineRule="auto"/>
        <w:jc w:val="center"/>
      </w:pPr>
    </w:p>
    <w:p w14:paraId="0000000E" w14:textId="77777777" w:rsidR="00AD79F9" w:rsidRDefault="00AD79F9">
      <w:pPr>
        <w:spacing w:line="360" w:lineRule="auto"/>
        <w:jc w:val="both"/>
      </w:pPr>
    </w:p>
    <w:p w14:paraId="0000000F" w14:textId="77777777" w:rsidR="00AD79F9" w:rsidRDefault="006007CD">
      <w:pPr>
        <w:spacing w:line="360" w:lineRule="auto"/>
        <w:jc w:val="both"/>
      </w:pPr>
      <w:r>
        <w:br w:type="page"/>
      </w:r>
    </w:p>
    <w:p w14:paraId="00000010" w14:textId="77777777" w:rsidR="00AD79F9" w:rsidRDefault="006007CD">
      <w:pPr>
        <w:spacing w:line="360" w:lineRule="auto"/>
        <w:jc w:val="both"/>
        <w:rPr>
          <w:b/>
        </w:rPr>
      </w:pPr>
      <w:r>
        <w:rPr>
          <w:b/>
        </w:rPr>
        <w:lastRenderedPageBreak/>
        <w:t>Introduction</w:t>
      </w:r>
    </w:p>
    <w:p w14:paraId="00000011" w14:textId="77777777" w:rsidR="00AD79F9" w:rsidRDefault="006007CD">
      <w:pPr>
        <w:spacing w:line="360" w:lineRule="auto"/>
        <w:jc w:val="both"/>
      </w:pPr>
      <w:r>
        <w:t>This essay provides an analysis of the potential criminal liability for Paula and Harriet in the scenario described above. It will examine the relevant offences committed by each individual, identify the necessary elements of actus reus and mens rea, and p</w:t>
      </w:r>
      <w:r>
        <w:t>resent any possible defences that may apply (</w:t>
      </w:r>
      <w:r>
        <w:rPr>
          <w:sz w:val="20"/>
          <w:szCs w:val="20"/>
        </w:rPr>
        <w:t>Walters, 2022)</w:t>
      </w:r>
      <w:r>
        <w:t xml:space="preserve">. Based on the scenario provided, the learner discusses the possible liability in terms of crime and the possible defences that can be taken into consideration which can be presented. Through this </w:t>
      </w:r>
      <w:r>
        <w:t xml:space="preserve">discussion the learner plans to explore the different segments of criminal laws and how it can affect an accused with appropriate evidence and statements. </w:t>
      </w:r>
    </w:p>
    <w:p w14:paraId="00000012" w14:textId="77777777" w:rsidR="00AD79F9" w:rsidRDefault="00AD79F9">
      <w:pPr>
        <w:spacing w:line="360" w:lineRule="auto"/>
        <w:jc w:val="both"/>
      </w:pPr>
    </w:p>
    <w:p w14:paraId="00000013" w14:textId="77777777" w:rsidR="00AD79F9" w:rsidRDefault="006007CD">
      <w:pPr>
        <w:spacing w:line="360" w:lineRule="auto"/>
        <w:jc w:val="both"/>
        <w:rPr>
          <w:b/>
        </w:rPr>
      </w:pPr>
      <w:r>
        <w:rPr>
          <w:b/>
        </w:rPr>
        <w:t>Paula's Criminal Liability</w:t>
      </w:r>
    </w:p>
    <w:p w14:paraId="00000014" w14:textId="77777777" w:rsidR="00AD79F9" w:rsidRDefault="006007CD">
      <w:pPr>
        <w:spacing w:line="360" w:lineRule="auto"/>
        <w:jc w:val="both"/>
      </w:pPr>
      <w:r>
        <w:t>Paula unlawfully took Christine's designer handbag with the intention of</w:t>
      </w:r>
      <w:r>
        <w:t xml:space="preserve"> keeping it for herself. In doing so, she committed the offence of theft. Paula may potentially be liable for the theft of the designer handbag. Taking someone else's property without their permission with the intention of permanently depriving them of it </w:t>
      </w:r>
      <w:r>
        <w:t>constitutes theft. Her actions of putting the handbag inside her coat and later hiding it under her car demonstrate this intention. If caught, Paula could be charged with theft. As for Harriet, Leon may be liable for several offences. Firstly, spiking Harr</w:t>
      </w:r>
      <w:r>
        <w:t>iet's drink with vodka without her knowledge or consent could potentially be considered assault or administering a noxious substance. These offences involve causing injury or harm to another person without their consent. The intentions of Paula was unjusti</w:t>
      </w:r>
      <w:r>
        <w:t>fied and should have not been thought to do so. There are many case studies which can be related to this scenario and comparing those cases with the present study only suggests that Paula can be considered as guilty in this crime. Christine's fancy handbag</w:t>
      </w:r>
      <w:r>
        <w:t xml:space="preserve"> was illegally taken by Paula with the purpose of keeping it for herself. She broke the law by doing this, which is theft. The theft of the luxury purse might be Paula's fault. Theft is the unlawful taking of another person's property without that person's</w:t>
      </w:r>
      <w:r>
        <w:t xml:space="preserve"> consent with the purpose to permanently deprive them of it (</w:t>
      </w:r>
      <w:r>
        <w:rPr>
          <w:sz w:val="20"/>
          <w:szCs w:val="20"/>
        </w:rPr>
        <w:t>Zilka, et al., 2022)</w:t>
      </w:r>
      <w:r>
        <w:t xml:space="preserve">. Numerous case studies can be used to analyse this situation, and comparing them to the current study only serves to reinforce Paula's guilt in this crime. </w:t>
      </w:r>
    </w:p>
    <w:p w14:paraId="00000015" w14:textId="77777777" w:rsidR="00AD79F9" w:rsidRDefault="00AD79F9">
      <w:pPr>
        <w:spacing w:line="360" w:lineRule="auto"/>
        <w:jc w:val="both"/>
      </w:pPr>
    </w:p>
    <w:p w14:paraId="00000016" w14:textId="77777777" w:rsidR="00AD79F9" w:rsidRDefault="006007CD">
      <w:pPr>
        <w:spacing w:line="360" w:lineRule="auto"/>
        <w:jc w:val="both"/>
        <w:rPr>
          <w:b/>
        </w:rPr>
      </w:pPr>
      <w:r>
        <w:rPr>
          <w:b/>
        </w:rPr>
        <w:t>Paula’s Actus Re</w:t>
      </w:r>
      <w:r>
        <w:rPr>
          <w:b/>
        </w:rPr>
        <w:t>us</w:t>
      </w:r>
    </w:p>
    <w:p w14:paraId="00000017" w14:textId="77777777" w:rsidR="00AD79F9" w:rsidRDefault="006007CD">
      <w:pPr>
        <w:spacing w:line="360" w:lineRule="auto"/>
        <w:jc w:val="both"/>
      </w:pPr>
      <w:r>
        <w:t xml:space="preserve">The actus reus of theft requires Paula to dishonestly appropriate property belonging to another without the owner's consent. Paula fulfilled this requirement when she took the handbag from Christine's house without her knowledge or permission. Taking a </w:t>
      </w:r>
      <w:r>
        <w:t xml:space="preserve">property of someone else without the permission of the individual is considered as a theft in law and is punishable as per the depth of crime. </w:t>
      </w:r>
    </w:p>
    <w:p w14:paraId="00000018" w14:textId="77777777" w:rsidR="00AD79F9" w:rsidRDefault="00AD79F9">
      <w:pPr>
        <w:spacing w:line="360" w:lineRule="auto"/>
        <w:jc w:val="both"/>
      </w:pPr>
    </w:p>
    <w:p w14:paraId="00000019" w14:textId="77777777" w:rsidR="00AD79F9" w:rsidRDefault="006007CD">
      <w:pPr>
        <w:spacing w:line="360" w:lineRule="auto"/>
        <w:jc w:val="both"/>
        <w:rPr>
          <w:b/>
        </w:rPr>
      </w:pPr>
      <w:r>
        <w:rPr>
          <w:b/>
        </w:rPr>
        <w:t>Paula’s Mens Rea</w:t>
      </w:r>
    </w:p>
    <w:p w14:paraId="0000001A" w14:textId="77777777" w:rsidR="00AD79F9" w:rsidRDefault="006007CD">
      <w:pPr>
        <w:spacing w:line="360" w:lineRule="auto"/>
        <w:jc w:val="both"/>
      </w:pPr>
      <w:r>
        <w:lastRenderedPageBreak/>
        <w:t>For theft, Paula must have the intention to permanently deprive Christine of her handbag. This</w:t>
      </w:r>
      <w:r>
        <w:t xml:space="preserve"> is evident as Paula intended to keep the handbag for herself.</w:t>
      </w:r>
    </w:p>
    <w:p w14:paraId="0000001B" w14:textId="77777777" w:rsidR="00AD79F9" w:rsidRDefault="00AD79F9">
      <w:pPr>
        <w:spacing w:line="360" w:lineRule="auto"/>
        <w:jc w:val="both"/>
      </w:pPr>
    </w:p>
    <w:p w14:paraId="0000001C" w14:textId="77777777" w:rsidR="00AD79F9" w:rsidRDefault="006007CD">
      <w:pPr>
        <w:spacing w:line="360" w:lineRule="auto"/>
        <w:jc w:val="both"/>
        <w:rPr>
          <w:b/>
        </w:rPr>
      </w:pPr>
      <w:r>
        <w:rPr>
          <w:b/>
        </w:rPr>
        <w:t>Possible Defences</w:t>
      </w:r>
    </w:p>
    <w:p w14:paraId="0000001D" w14:textId="77777777" w:rsidR="00AD79F9" w:rsidRDefault="006007CD">
      <w:pPr>
        <w:spacing w:line="360" w:lineRule="auto"/>
        <w:jc w:val="both"/>
      </w:pPr>
      <w:r>
        <w:t>a. Necessity: If Paula argues that her action was necessary to prevent serious harm or danger, she might be able to use the defence of necessity.</w:t>
      </w:r>
    </w:p>
    <w:p w14:paraId="0000001E" w14:textId="77777777" w:rsidR="00AD79F9" w:rsidRDefault="006007CD">
      <w:pPr>
        <w:spacing w:line="360" w:lineRule="auto"/>
        <w:jc w:val="both"/>
      </w:pPr>
      <w:r>
        <w:t>b. Lack of intent to permanently deprive: If Paula can prove that she did not have the intention to permanentl</w:t>
      </w:r>
      <w:r>
        <w:t>y take the handbag and only meant to demonstrate her jealousy, she could argue a lack of intent to permanently deprive.</w:t>
      </w:r>
    </w:p>
    <w:p w14:paraId="0000001F" w14:textId="77777777" w:rsidR="00AD79F9" w:rsidRDefault="00AD79F9">
      <w:pPr>
        <w:spacing w:line="360" w:lineRule="auto"/>
        <w:jc w:val="both"/>
      </w:pPr>
    </w:p>
    <w:p w14:paraId="00000020" w14:textId="77777777" w:rsidR="00AD79F9" w:rsidRDefault="006007CD">
      <w:pPr>
        <w:spacing w:line="360" w:lineRule="auto"/>
        <w:jc w:val="both"/>
        <w:rPr>
          <w:b/>
        </w:rPr>
      </w:pPr>
      <w:r>
        <w:rPr>
          <w:b/>
        </w:rPr>
        <w:t>Harriet's Criminal Liability</w:t>
      </w:r>
    </w:p>
    <w:p w14:paraId="00000021" w14:textId="77777777" w:rsidR="00AD79F9" w:rsidRDefault="006007CD">
      <w:pPr>
        <w:spacing w:line="360" w:lineRule="auto"/>
        <w:jc w:val="both"/>
      </w:pPr>
      <w:r>
        <w:t>Harriet spiked Harriet's drink with vodka, resulting in her suffering from hallucinations and causing dama</w:t>
      </w:r>
      <w:r>
        <w:t>ge to the party venue and injuries to another guest. Harriet could potentially face criminal liability for two offences: administering a noxious substance and assault. Additionally, Harriet's actions resulting from the spiked drink, such as damaging the pr</w:t>
      </w:r>
      <w:r>
        <w:t>operty (breaking the glass) and causing injury to Daniel, could potentially lead to charges of criminal damage and assault respectively. However, both Paula and Harriet may be able to raise certain defences depending on the circumstances. Paula could poten</w:t>
      </w:r>
      <w:r>
        <w:t>tially argue that she did not intend to permanently deprive Christine of her handbag if she returned it later. This defence is known as the claim of right, where someone genuinely believes they have a right to the property and intend to return it. As for H</w:t>
      </w:r>
      <w:r>
        <w:t>arriet, she may be able to raise the defence of intoxication if she can prove that she was not aware of Leon's actions in spiking her drink. This defence could reduce her criminal liability if she was unaware of what she was doing due to being intoxicated.</w:t>
      </w:r>
      <w:r>
        <w:t xml:space="preserve"> </w:t>
      </w:r>
    </w:p>
    <w:p w14:paraId="00000022" w14:textId="77777777" w:rsidR="00AD79F9" w:rsidRDefault="006007CD">
      <w:pPr>
        <w:spacing w:line="360" w:lineRule="auto"/>
        <w:jc w:val="both"/>
      </w:pPr>
      <w:r>
        <w:t>It should be noted that the specific laws and available defences may vary depending on the jurisdiction in which the events took place (</w:t>
      </w:r>
      <w:r>
        <w:rPr>
          <w:sz w:val="20"/>
          <w:szCs w:val="20"/>
        </w:rPr>
        <w:t>Feinman, 1994)</w:t>
      </w:r>
      <w:r>
        <w:t>. It is advisable for Paula and Harriet to consult with a criminal defence attorney to get accurate advi</w:t>
      </w:r>
      <w:r>
        <w:t>ce based on the relevant laws in their area. As a result of Harriet adding vodka to her drink, another partygoer was hurt and the party venue was damaged, and she experienced hallucinations. Two things that Harriet might be charged with include giving drug</w:t>
      </w:r>
      <w:r>
        <w:t>s to someone and assault. If she was intoxicated and didn't realise what she was doing, this defence could lessen her criminal guilt. It should be emphasised that depending on the country where the incident occurred, different laws may apply and other defe</w:t>
      </w:r>
      <w:r>
        <w:t>nces may be available (</w:t>
      </w:r>
      <w:r>
        <w:rPr>
          <w:sz w:val="20"/>
          <w:szCs w:val="20"/>
        </w:rPr>
        <w:t>Blais et al., 2022)</w:t>
      </w:r>
      <w:r>
        <w:t>. Paula and Harriet should speak with a criminal defence lawyer for accurate legal counsel based on the pertinent local legislation.</w:t>
      </w:r>
    </w:p>
    <w:p w14:paraId="00000023" w14:textId="77777777" w:rsidR="00AD79F9" w:rsidRDefault="00AD79F9">
      <w:pPr>
        <w:spacing w:line="360" w:lineRule="auto"/>
        <w:jc w:val="both"/>
      </w:pPr>
    </w:p>
    <w:p w14:paraId="00000024" w14:textId="77777777" w:rsidR="00AD79F9" w:rsidRDefault="006007CD">
      <w:pPr>
        <w:spacing w:line="360" w:lineRule="auto"/>
        <w:jc w:val="both"/>
        <w:rPr>
          <w:b/>
        </w:rPr>
      </w:pPr>
      <w:r>
        <w:rPr>
          <w:b/>
        </w:rPr>
        <w:t>Harriet’s Actus Reus</w:t>
      </w:r>
    </w:p>
    <w:p w14:paraId="00000025" w14:textId="77777777" w:rsidR="00AD79F9" w:rsidRDefault="006007CD">
      <w:pPr>
        <w:spacing w:line="360" w:lineRule="auto"/>
        <w:jc w:val="both"/>
      </w:pPr>
      <w:r>
        <w:lastRenderedPageBreak/>
        <w:t>a. Administering a Noxious Substance: Harriet committed thi</w:t>
      </w:r>
      <w:r>
        <w:t>s offence by spiking Harriet's drink with vodka without her knowledge or consent.</w:t>
      </w:r>
    </w:p>
    <w:p w14:paraId="00000026" w14:textId="77777777" w:rsidR="00AD79F9" w:rsidRDefault="006007CD">
      <w:pPr>
        <w:spacing w:line="360" w:lineRule="auto"/>
        <w:jc w:val="both"/>
      </w:pPr>
      <w:r>
        <w:t>b. Assault: Harriet engaged in physical violence by hitting another guest, Daniel, in the face, resulting in a broken cheekbone.</w:t>
      </w:r>
    </w:p>
    <w:p w14:paraId="00000027" w14:textId="77777777" w:rsidR="00AD79F9" w:rsidRDefault="00AD79F9">
      <w:pPr>
        <w:spacing w:line="360" w:lineRule="auto"/>
        <w:jc w:val="both"/>
      </w:pPr>
    </w:p>
    <w:p w14:paraId="00000028" w14:textId="77777777" w:rsidR="00AD79F9" w:rsidRDefault="006007CD">
      <w:pPr>
        <w:spacing w:line="360" w:lineRule="auto"/>
        <w:jc w:val="both"/>
        <w:rPr>
          <w:b/>
        </w:rPr>
      </w:pPr>
      <w:r>
        <w:rPr>
          <w:b/>
        </w:rPr>
        <w:t>Analysis</w:t>
      </w:r>
    </w:p>
    <w:p w14:paraId="00000029" w14:textId="77777777" w:rsidR="00AD79F9" w:rsidRDefault="006007CD">
      <w:pPr>
        <w:spacing w:line="360" w:lineRule="auto"/>
        <w:jc w:val="both"/>
      </w:pPr>
      <w:r>
        <w:t>Understanding the fact that Harriet</w:t>
      </w:r>
      <w:r>
        <w:t xml:space="preserve"> was under the influence of drugs being spiked by Leon, the accused can be Leon also here since the drug was spiked by Leon resulting in aggressive behaviour by Harriet leading to physical violence on Daniel. Under these circumstances, Daniel can also regi</w:t>
      </w:r>
      <w:r>
        <w:t xml:space="preserve">ster a complaint against  Harriet and Leon and can claim compensation. </w:t>
      </w:r>
    </w:p>
    <w:p w14:paraId="0000002A" w14:textId="77777777" w:rsidR="00AD79F9" w:rsidRDefault="00AD79F9">
      <w:pPr>
        <w:spacing w:line="360" w:lineRule="auto"/>
        <w:jc w:val="both"/>
      </w:pPr>
    </w:p>
    <w:p w14:paraId="0000002B" w14:textId="77777777" w:rsidR="00AD79F9" w:rsidRDefault="006007CD">
      <w:pPr>
        <w:spacing w:line="360" w:lineRule="auto"/>
        <w:jc w:val="both"/>
        <w:rPr>
          <w:b/>
        </w:rPr>
      </w:pPr>
      <w:r>
        <w:rPr>
          <w:b/>
        </w:rPr>
        <w:t>Harriet’s Mens Rea</w:t>
      </w:r>
    </w:p>
    <w:p w14:paraId="0000002C" w14:textId="77777777" w:rsidR="00AD79F9" w:rsidRDefault="006007CD">
      <w:pPr>
        <w:spacing w:line="360" w:lineRule="auto"/>
        <w:jc w:val="both"/>
      </w:pPr>
      <w:r>
        <w:t xml:space="preserve">a. Administering a Noxious Substance: Harriet's mens rea requirement involving this offence might differ depending on jurisdiction. Generally, she must have either </w:t>
      </w:r>
      <w:r>
        <w:t>intended to cause harm or been reckless as to the potential for harm by administering the spiked drink.</w:t>
      </w:r>
    </w:p>
    <w:p w14:paraId="0000002D" w14:textId="77777777" w:rsidR="00AD79F9" w:rsidRDefault="006007CD">
      <w:pPr>
        <w:spacing w:line="360" w:lineRule="auto"/>
        <w:jc w:val="both"/>
      </w:pPr>
      <w:r>
        <w:t>b. Assault: Harriet must have intended to cause Daniel harm or have acted recklessly in causing the injury.</w:t>
      </w:r>
    </w:p>
    <w:p w14:paraId="0000002E" w14:textId="77777777" w:rsidR="00AD79F9" w:rsidRDefault="00AD79F9">
      <w:pPr>
        <w:spacing w:line="360" w:lineRule="auto"/>
        <w:jc w:val="both"/>
      </w:pPr>
    </w:p>
    <w:p w14:paraId="0000002F" w14:textId="77777777" w:rsidR="00AD79F9" w:rsidRDefault="006007CD">
      <w:pPr>
        <w:spacing w:line="360" w:lineRule="auto"/>
        <w:jc w:val="both"/>
        <w:rPr>
          <w:b/>
        </w:rPr>
      </w:pPr>
      <w:r>
        <w:rPr>
          <w:b/>
        </w:rPr>
        <w:t>Analysis</w:t>
      </w:r>
    </w:p>
    <w:p w14:paraId="00000030" w14:textId="77777777" w:rsidR="00AD79F9" w:rsidRDefault="006007CD">
      <w:pPr>
        <w:spacing w:line="360" w:lineRule="auto"/>
        <w:jc w:val="both"/>
      </w:pPr>
      <w:r>
        <w:t xml:space="preserve">It is essential to understand the </w:t>
      </w:r>
      <w:r>
        <w:t>root cause of the situation which can help the accused (</w:t>
      </w:r>
      <w:r>
        <w:rPr>
          <w:sz w:val="20"/>
          <w:szCs w:val="20"/>
        </w:rPr>
        <w:t>Jones, 2022)</w:t>
      </w:r>
      <w:r>
        <w:t>. Based on other case studies, it can be considered that the individual who spiked the drink is more likely to be accused, which is Leon in this case. However, it can also be considered th</w:t>
      </w:r>
      <w:r>
        <w:t xml:space="preserve">at Harriet took advantage of the spiked drink and hit Daniel intentionally in the hope that she might be considered for being hallucinating. </w:t>
      </w:r>
    </w:p>
    <w:p w14:paraId="00000031" w14:textId="77777777" w:rsidR="00AD79F9" w:rsidRDefault="00AD79F9">
      <w:pPr>
        <w:spacing w:line="360" w:lineRule="auto"/>
        <w:jc w:val="both"/>
      </w:pPr>
    </w:p>
    <w:p w14:paraId="00000032" w14:textId="77777777" w:rsidR="00AD79F9" w:rsidRDefault="006007CD">
      <w:pPr>
        <w:spacing w:line="360" w:lineRule="auto"/>
        <w:jc w:val="both"/>
        <w:rPr>
          <w:b/>
        </w:rPr>
      </w:pPr>
      <w:r>
        <w:rPr>
          <w:b/>
        </w:rPr>
        <w:t>Possible Defences</w:t>
      </w:r>
    </w:p>
    <w:p w14:paraId="00000033" w14:textId="77777777" w:rsidR="00AD79F9" w:rsidRDefault="006007CD">
      <w:pPr>
        <w:spacing w:line="360" w:lineRule="auto"/>
        <w:jc w:val="both"/>
      </w:pPr>
      <w:r>
        <w:t>a. Mistake of Fact: Harriet may argue that she mistakenly believed Harriet would not suffer any</w:t>
      </w:r>
      <w:r>
        <w:t xml:space="preserve"> harmful effects from consuming alcohol due to her allergy.</w:t>
      </w:r>
    </w:p>
    <w:p w14:paraId="00000034" w14:textId="77777777" w:rsidR="00AD79F9" w:rsidRDefault="006007CD">
      <w:pPr>
        <w:spacing w:line="360" w:lineRule="auto"/>
        <w:jc w:val="both"/>
      </w:pPr>
      <w:r>
        <w:t xml:space="preserve">b. Intoxication: If Harriet can establish that her actions were a result of involuntary intoxication or that she lacked the required mens rea due to voluntary intoxication, she may be able to use </w:t>
      </w:r>
      <w:r>
        <w:t>this defence.</w:t>
      </w:r>
    </w:p>
    <w:p w14:paraId="00000035" w14:textId="77777777" w:rsidR="00AD79F9" w:rsidRDefault="00AD79F9">
      <w:pPr>
        <w:spacing w:line="360" w:lineRule="auto"/>
        <w:jc w:val="both"/>
      </w:pPr>
    </w:p>
    <w:p w14:paraId="00000036" w14:textId="77777777" w:rsidR="00AD79F9" w:rsidRDefault="006007CD">
      <w:pPr>
        <w:spacing w:line="360" w:lineRule="auto"/>
        <w:jc w:val="both"/>
      </w:pPr>
      <w:r>
        <w:br w:type="page"/>
      </w:r>
    </w:p>
    <w:p w14:paraId="00000037" w14:textId="77777777" w:rsidR="00AD79F9" w:rsidRDefault="006007CD">
      <w:pPr>
        <w:spacing w:line="360" w:lineRule="auto"/>
        <w:jc w:val="both"/>
        <w:rPr>
          <w:b/>
        </w:rPr>
      </w:pPr>
      <w:r>
        <w:rPr>
          <w:b/>
        </w:rPr>
        <w:lastRenderedPageBreak/>
        <w:t>Analysis</w:t>
      </w:r>
    </w:p>
    <w:p w14:paraId="00000038" w14:textId="77777777" w:rsidR="00AD79F9" w:rsidRDefault="006007CD">
      <w:pPr>
        <w:spacing w:line="360" w:lineRule="auto"/>
        <w:jc w:val="both"/>
      </w:pPr>
      <w:r>
        <w:t>Although the possible defences can be considered as an argument in the scenario. The chances of debating in favour of the situation can be dicey as it is not favourable for the accused since the crime was intentional and can be traced easily (</w:t>
      </w:r>
      <w:r>
        <w:rPr>
          <w:sz w:val="20"/>
          <w:szCs w:val="20"/>
        </w:rPr>
        <w:t>McAra and McV</w:t>
      </w:r>
      <w:r>
        <w:rPr>
          <w:sz w:val="20"/>
          <w:szCs w:val="20"/>
        </w:rPr>
        <w:t>ie, 2022)</w:t>
      </w:r>
      <w:r>
        <w:t>. Hence, it can be taken into consideration that the situation can be against the accused. Paula and Harriet may be able to raise certain defences depending on the circumstances. Paula could potentially argue that she did not intend to permanently</w:t>
      </w:r>
      <w:r>
        <w:t xml:space="preserve"> deprive Christine of her handbag if she returned it later. This defence is known as the claim of right, where someone genuinely believes they have a right to the property and intend to return it (</w:t>
      </w:r>
      <w:r>
        <w:rPr>
          <w:sz w:val="20"/>
          <w:szCs w:val="20"/>
        </w:rPr>
        <w:t>Zeoli et al., 2023)</w:t>
      </w:r>
      <w:r>
        <w:t>. As for Harriet, she may be able to raise the defence of intoxication if she can prove that she was not aware of Leon's actions in spiking  her drink. This defence could reduce her criminal liability if she was unaware of what she was doing due to being i</w:t>
      </w:r>
      <w:r>
        <w:t>ntoxicated. It should be noted that the specific laws and available defences may vary depending on the jurisdiction in which the events took place. It is advisable for Paula and Harriet to consult with a criminal defence attorney to get accurate advice bas</w:t>
      </w:r>
      <w:r>
        <w:t>ed on the relevant laws in their area.</w:t>
      </w:r>
    </w:p>
    <w:p w14:paraId="00000039" w14:textId="77777777" w:rsidR="00AD79F9" w:rsidRDefault="00AD79F9">
      <w:pPr>
        <w:spacing w:line="360" w:lineRule="auto"/>
        <w:jc w:val="both"/>
      </w:pPr>
    </w:p>
    <w:p w14:paraId="0000003A" w14:textId="77777777" w:rsidR="00AD79F9" w:rsidRDefault="006007CD">
      <w:pPr>
        <w:spacing w:line="360" w:lineRule="auto"/>
        <w:jc w:val="both"/>
        <w:rPr>
          <w:b/>
        </w:rPr>
      </w:pPr>
      <w:r>
        <w:rPr>
          <w:b/>
        </w:rPr>
        <w:t>Conclusion</w:t>
      </w:r>
    </w:p>
    <w:p w14:paraId="0000003B" w14:textId="77777777" w:rsidR="00AD79F9" w:rsidRDefault="006007CD">
      <w:pPr>
        <w:spacing w:line="360" w:lineRule="auto"/>
        <w:jc w:val="both"/>
      </w:pPr>
      <w:r>
        <w:t xml:space="preserve">In conclusion, both Paula and Harriet potentially face criminal liability for their actions in the scenario above. Paula may be liable for theft, while Harriet may face charges for administering a noxious </w:t>
      </w:r>
      <w:r>
        <w:t xml:space="preserve">substance and assault. However, it is important to note that any potential defences raised by both individuals may affect their criminal liability. It is advisable for Paula and Harriet to consult legal professionals to assess their potential defences and </w:t>
      </w:r>
      <w:r>
        <w:t>criminal liability for the offences committed. Based on the discussion it can be stated that with the help of other cases, Paula might be at fault and Harriet as well. The learner also discussed the situation of Daniel and Leon to bring out a better unders</w:t>
      </w:r>
      <w:r>
        <w:t xml:space="preserve">tanding of the scenario. </w:t>
      </w:r>
    </w:p>
    <w:p w14:paraId="0000003C" w14:textId="77777777" w:rsidR="00AD79F9" w:rsidRDefault="006007CD">
      <w:pPr>
        <w:spacing w:line="360" w:lineRule="auto"/>
        <w:jc w:val="both"/>
      </w:pPr>
      <w:r>
        <w:br w:type="page"/>
      </w:r>
    </w:p>
    <w:p w14:paraId="0000003D" w14:textId="77777777" w:rsidR="00AD79F9" w:rsidRDefault="006007CD">
      <w:pPr>
        <w:spacing w:line="360" w:lineRule="auto"/>
        <w:jc w:val="both"/>
        <w:rPr>
          <w:b/>
        </w:rPr>
      </w:pPr>
      <w:r>
        <w:rPr>
          <w:b/>
        </w:rPr>
        <w:lastRenderedPageBreak/>
        <w:t>References</w:t>
      </w:r>
    </w:p>
    <w:p w14:paraId="0000003E" w14:textId="77777777" w:rsidR="00AD79F9" w:rsidRDefault="006007CD">
      <w:pPr>
        <w:spacing w:line="360" w:lineRule="auto"/>
        <w:jc w:val="both"/>
      </w:pPr>
      <w:r>
        <w:t xml:space="preserve">Blais, E., Brisson, J., Gagnon, F. and Lemay, S.A., 2022. Diverting people who use drugs from the criminal justice system: A systematic review of police-based diversion measures. </w:t>
      </w:r>
      <w:r>
        <w:rPr>
          <w:i/>
        </w:rPr>
        <w:t>International Journal of Drug Policy</w:t>
      </w:r>
      <w:r>
        <w:t xml:space="preserve">, </w:t>
      </w:r>
      <w:r>
        <w:rPr>
          <w:i/>
        </w:rPr>
        <w:t>105</w:t>
      </w:r>
      <w:r>
        <w:t>, p.103697.</w:t>
      </w:r>
    </w:p>
    <w:p w14:paraId="0000003F" w14:textId="77777777" w:rsidR="00AD79F9" w:rsidRDefault="006007CD">
      <w:pPr>
        <w:spacing w:line="360" w:lineRule="auto"/>
        <w:jc w:val="both"/>
      </w:pPr>
      <w:r>
        <w:t xml:space="preserve">Feinman, C., 1994. </w:t>
      </w:r>
      <w:r>
        <w:rPr>
          <w:i/>
        </w:rPr>
        <w:t>Women in the criminal justice system</w:t>
      </w:r>
      <w:r>
        <w:t>. ABC-CLIO.</w:t>
      </w:r>
    </w:p>
    <w:p w14:paraId="00000040" w14:textId="77777777" w:rsidR="00AD79F9" w:rsidRDefault="006007CD">
      <w:pPr>
        <w:spacing w:line="360" w:lineRule="auto"/>
        <w:jc w:val="both"/>
      </w:pPr>
      <w:r>
        <w:t xml:space="preserve">Jones, R., 2022. </w:t>
      </w:r>
      <w:r>
        <w:rPr>
          <w:i/>
        </w:rPr>
        <w:t>The Welsh Criminal Justice System</w:t>
      </w:r>
      <w:r>
        <w:t>. University of Wales Press.</w:t>
      </w:r>
    </w:p>
    <w:p w14:paraId="00000041" w14:textId="77777777" w:rsidR="00AD79F9" w:rsidRDefault="006007CD">
      <w:pPr>
        <w:spacing w:line="360" w:lineRule="auto"/>
        <w:jc w:val="both"/>
      </w:pPr>
      <w:r>
        <w:t>McAra, L. and McVie, S., 2022. Causes and impact of offending and criminal justice pathways: fo</w:t>
      </w:r>
      <w:r>
        <w:t>llow-up of the Edinburgh Study Cohort at age 35.</w:t>
      </w:r>
    </w:p>
    <w:p w14:paraId="00000042" w14:textId="77777777" w:rsidR="00AD79F9" w:rsidRDefault="006007CD">
      <w:pPr>
        <w:spacing w:line="360" w:lineRule="auto"/>
        <w:jc w:val="both"/>
      </w:pPr>
      <w:r>
        <w:t xml:space="preserve">Walters, M.A., 2022. Legislating for Hate Crime Globally: Putting “Social Justice” Into Practice, Part 2. In </w:t>
      </w:r>
      <w:r>
        <w:rPr>
          <w:i/>
        </w:rPr>
        <w:t>Criminalising Hate: Law as Social Justice Liberalism</w:t>
      </w:r>
      <w:r>
        <w:t xml:space="preserve"> (pp. 161-203). Cham: Springer International P</w:t>
      </w:r>
      <w:r>
        <w:t>ublishing.</w:t>
      </w:r>
    </w:p>
    <w:p w14:paraId="00000043" w14:textId="77777777" w:rsidR="00AD79F9" w:rsidRDefault="006007CD">
      <w:pPr>
        <w:spacing w:line="360" w:lineRule="auto"/>
        <w:jc w:val="both"/>
      </w:pPr>
      <w:r>
        <w:t xml:space="preserve">Zeoli, A.M., Kwiatkowski, C.C., Wallin, M.A. and Brown, K., 2023. Criminal histories of intimate partner homicide offenders. </w:t>
      </w:r>
      <w:r>
        <w:rPr>
          <w:i/>
        </w:rPr>
        <w:t>Homicide studies</w:t>
      </w:r>
      <w:r>
        <w:t xml:space="preserve">, </w:t>
      </w:r>
      <w:r>
        <w:rPr>
          <w:i/>
        </w:rPr>
        <w:t>27</w:t>
      </w:r>
      <w:r>
        <w:t>(2), pp.229-247.</w:t>
      </w:r>
    </w:p>
    <w:p w14:paraId="00000044" w14:textId="77777777" w:rsidR="00AD79F9" w:rsidRDefault="006007CD">
      <w:pPr>
        <w:spacing w:line="360" w:lineRule="auto"/>
        <w:jc w:val="both"/>
      </w:pPr>
      <w:r>
        <w:t>Zilka, M., Sargeant, H. and Weller, A., 2022, July. Transparency, governance and re</w:t>
      </w:r>
      <w:r>
        <w:t xml:space="preserve">gulation of algorithmic tools deployed in the criminal justice system: a UK case study. In </w:t>
      </w:r>
      <w:r>
        <w:rPr>
          <w:i/>
        </w:rPr>
        <w:t>Proceedings of the 2022 AAAI/ACM Conference on AI, Ethics, and Society</w:t>
      </w:r>
      <w:r>
        <w:t xml:space="preserve"> (pp. 880-889).</w:t>
      </w:r>
    </w:p>
    <w:p w14:paraId="00000045" w14:textId="77777777" w:rsidR="00AD79F9" w:rsidRDefault="00AD79F9">
      <w:pPr>
        <w:spacing w:line="360" w:lineRule="auto"/>
        <w:jc w:val="both"/>
      </w:pPr>
    </w:p>
    <w:p w14:paraId="00000046" w14:textId="77777777" w:rsidR="00AD79F9" w:rsidRDefault="00AD79F9">
      <w:pPr>
        <w:spacing w:line="360" w:lineRule="auto"/>
        <w:jc w:val="both"/>
      </w:pPr>
    </w:p>
    <w:sectPr w:rsidR="00AD79F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9F9"/>
    <w:rsid w:val="004334D7"/>
    <w:rsid w:val="00AD79F9"/>
    <w:rsid w:val="00AF0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83BDBD"/>
  <w15:docId w15:val="{751DA76B-CF22-4845-8A44-D53FD327F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1582</Words>
  <Characters>9018</Characters>
  <Application>Microsoft Office Word</Application>
  <DocSecurity>0</DocSecurity>
  <Lines>75</Lines>
  <Paragraphs>21</Paragraphs>
  <ScaleCrop>false</ScaleCrop>
  <Company/>
  <LinksUpToDate>false</LinksUpToDate>
  <CharactersWithSpaces>10579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horlescumirelaandreea@gmail.com</cp:lastModifiedBy>
  <cp:revision>2</cp:revision>
  <dcterms:created xsi:type="dcterms:W3CDTF">2023-07-07T19:25:00Z</dcterms:created>
  <dcterms:modified xsi:type="dcterms:W3CDTF">2023-07-07T19:25:00Z</dcterms:modified>
</cp:coreProperties>
</file>