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A2E2A5" w14:textId="77777777" w:rsidR="0005428A" w:rsidRDefault="0005428A" w:rsidP="0005428A">
      <w:pPr>
        <w:rPr>
          <w:rFonts w:cs="Times New Roman"/>
          <w:szCs w:val="24"/>
        </w:rPr>
      </w:pPr>
    </w:p>
    <w:p w14:paraId="52EBA863" w14:textId="77777777" w:rsidR="005C1D04" w:rsidRDefault="005E25D9" w:rsidP="005C1D04">
      <w:pPr>
        <w:pStyle w:val="Title"/>
      </w:pPr>
      <w:r w:rsidRPr="0005428A">
        <w:t>Accounting Fundamentals</w:t>
      </w:r>
    </w:p>
    <w:p w14:paraId="02341E1E" w14:textId="77777777" w:rsidR="005C1D04" w:rsidRDefault="005C1D04" w:rsidP="005C1D04">
      <w:pPr>
        <w:pStyle w:val="Title"/>
      </w:pPr>
    </w:p>
    <w:p w14:paraId="117481C1" w14:textId="6CC22DDE" w:rsidR="005C1D04" w:rsidRPr="005C1D04" w:rsidRDefault="005C1D04" w:rsidP="005C1D04">
      <w:pPr>
        <w:pStyle w:val="Title"/>
      </w:pPr>
      <w:r>
        <w:rPr>
          <w:sz w:val="40"/>
          <w:szCs w:val="36"/>
        </w:rPr>
        <w:t xml:space="preserve">Module code: </w:t>
      </w:r>
      <w:r w:rsidRPr="008165D2">
        <w:rPr>
          <w:sz w:val="40"/>
          <w:szCs w:val="36"/>
        </w:rPr>
        <w:t>LCBB400</w:t>
      </w:r>
      <w:r>
        <w:rPr>
          <w:sz w:val="40"/>
          <w:szCs w:val="36"/>
        </w:rPr>
        <w:t>1</w:t>
      </w:r>
    </w:p>
    <w:p w14:paraId="3DA2958A" w14:textId="4D9478B3" w:rsidR="005C1D04" w:rsidRDefault="005C1D04" w:rsidP="005C1D04">
      <w:pPr>
        <w:spacing w:line="259" w:lineRule="auto"/>
        <w:jc w:val="center"/>
        <w:rPr>
          <w:sz w:val="40"/>
          <w:szCs w:val="36"/>
        </w:rPr>
      </w:pPr>
      <w:r>
        <w:rPr>
          <w:sz w:val="40"/>
          <w:szCs w:val="36"/>
        </w:rPr>
        <w:t xml:space="preserve">Assessment Title: Assessment 1 </w:t>
      </w:r>
    </w:p>
    <w:p w14:paraId="6CC63A6B" w14:textId="77777777" w:rsidR="005C1D04" w:rsidRPr="005C1D04" w:rsidRDefault="005C1D04" w:rsidP="005C1D04">
      <w:pPr>
        <w:spacing w:line="259" w:lineRule="auto"/>
        <w:jc w:val="center"/>
        <w:rPr>
          <w:sz w:val="40"/>
          <w:szCs w:val="36"/>
          <w:lang w:val="en-GB"/>
        </w:rPr>
      </w:pPr>
      <w:r>
        <w:rPr>
          <w:sz w:val="40"/>
          <w:szCs w:val="36"/>
        </w:rPr>
        <w:t xml:space="preserve">Module Lecturer: </w:t>
      </w:r>
      <w:r w:rsidRPr="005C1D04">
        <w:rPr>
          <w:sz w:val="40"/>
          <w:szCs w:val="36"/>
          <w:lang w:val="en-GB"/>
        </w:rPr>
        <w:t xml:space="preserve">Winifred </w:t>
      </w:r>
      <w:proofErr w:type="spellStart"/>
      <w:r w:rsidRPr="005C1D04">
        <w:rPr>
          <w:sz w:val="40"/>
          <w:szCs w:val="36"/>
          <w:lang w:val="en-GB"/>
        </w:rPr>
        <w:t>Soribe</w:t>
      </w:r>
      <w:proofErr w:type="spellEnd"/>
    </w:p>
    <w:p w14:paraId="214FB377" w14:textId="0BBC08DF" w:rsidR="005C1D04" w:rsidRDefault="005C1D04" w:rsidP="005C1D04">
      <w:pPr>
        <w:spacing w:line="259" w:lineRule="auto"/>
        <w:jc w:val="center"/>
        <w:rPr>
          <w:sz w:val="40"/>
          <w:szCs w:val="36"/>
        </w:rPr>
      </w:pPr>
    </w:p>
    <w:p w14:paraId="09A49807" w14:textId="77777777" w:rsidR="005C1D04" w:rsidRDefault="005C1D04" w:rsidP="005C1D04">
      <w:pPr>
        <w:spacing w:line="259" w:lineRule="auto"/>
        <w:jc w:val="center"/>
        <w:rPr>
          <w:sz w:val="40"/>
          <w:szCs w:val="36"/>
        </w:rPr>
      </w:pPr>
      <w:r>
        <w:rPr>
          <w:sz w:val="40"/>
          <w:szCs w:val="36"/>
        </w:rPr>
        <w:t>Student Name: Georgiana Ilie</w:t>
      </w:r>
    </w:p>
    <w:p w14:paraId="0A68F613" w14:textId="77777777" w:rsidR="005C1D04" w:rsidRDefault="005C1D04" w:rsidP="005C1D04">
      <w:pPr>
        <w:spacing w:line="259" w:lineRule="auto"/>
        <w:jc w:val="center"/>
        <w:rPr>
          <w:sz w:val="40"/>
          <w:szCs w:val="36"/>
        </w:rPr>
      </w:pPr>
      <w:r>
        <w:rPr>
          <w:sz w:val="40"/>
          <w:szCs w:val="36"/>
        </w:rPr>
        <w:t>Student Code:2024158</w:t>
      </w:r>
    </w:p>
    <w:p w14:paraId="2763F459" w14:textId="77B4ECD9" w:rsidR="0005428A" w:rsidRPr="0005428A" w:rsidRDefault="0005428A" w:rsidP="0005428A">
      <w:pPr>
        <w:rPr>
          <w:rFonts w:cs="Times New Roman"/>
          <w:szCs w:val="24"/>
        </w:rPr>
      </w:pPr>
    </w:p>
    <w:sdt>
      <w:sdtPr>
        <w:rPr>
          <w:rFonts w:eastAsiaTheme="minorHAnsi" w:cstheme="minorBidi"/>
          <w:b w:val="0"/>
          <w:bCs w:val="0"/>
          <w:sz w:val="24"/>
          <w:szCs w:val="22"/>
        </w:rPr>
        <w:id w:val="19202273"/>
        <w:docPartObj>
          <w:docPartGallery w:val="Table of Contents"/>
          <w:docPartUnique/>
        </w:docPartObj>
      </w:sdtPr>
      <w:sdtEndPr/>
      <w:sdtContent>
        <w:p w14:paraId="40A1CB54" w14:textId="77777777" w:rsidR="0005428A" w:rsidRDefault="0005428A">
          <w:pPr>
            <w:pStyle w:val="TOCHeading"/>
          </w:pPr>
          <w:r>
            <w:t>Table of Contents</w:t>
          </w:r>
        </w:p>
        <w:p w14:paraId="1A023CEB" w14:textId="77777777" w:rsidR="00BF63A0" w:rsidRDefault="000A7650">
          <w:pPr>
            <w:pStyle w:val="TOC1"/>
            <w:tabs>
              <w:tab w:val="right" w:leader="dot" w:pos="9350"/>
            </w:tabs>
            <w:rPr>
              <w:rFonts w:asciiTheme="minorHAnsi" w:eastAsiaTheme="minorEastAsia" w:hAnsiTheme="minorHAnsi"/>
              <w:noProof/>
              <w:sz w:val="22"/>
            </w:rPr>
          </w:pPr>
          <w:r>
            <w:fldChar w:fldCharType="begin"/>
          </w:r>
          <w:r w:rsidR="0005428A">
            <w:instrText xml:space="preserve"> TOC \o "1-3" \h \z \u </w:instrText>
          </w:r>
          <w:r>
            <w:fldChar w:fldCharType="separate"/>
          </w:r>
          <w:hyperlink w:anchor="_Toc77431467" w:history="1">
            <w:r w:rsidR="00BF63A0" w:rsidRPr="002930B8">
              <w:rPr>
                <w:rStyle w:val="Hyperlink"/>
                <w:noProof/>
              </w:rPr>
              <w:t>Introduction</w:t>
            </w:r>
            <w:r w:rsidR="00BF63A0">
              <w:rPr>
                <w:noProof/>
                <w:webHidden/>
              </w:rPr>
              <w:tab/>
            </w:r>
            <w:r>
              <w:rPr>
                <w:noProof/>
                <w:webHidden/>
              </w:rPr>
              <w:fldChar w:fldCharType="begin"/>
            </w:r>
            <w:r w:rsidR="00BF63A0">
              <w:rPr>
                <w:noProof/>
                <w:webHidden/>
              </w:rPr>
              <w:instrText xml:space="preserve"> PAGEREF _Toc77431467 \h </w:instrText>
            </w:r>
            <w:r>
              <w:rPr>
                <w:noProof/>
                <w:webHidden/>
              </w:rPr>
            </w:r>
            <w:r>
              <w:rPr>
                <w:noProof/>
                <w:webHidden/>
              </w:rPr>
              <w:fldChar w:fldCharType="separate"/>
            </w:r>
            <w:r w:rsidR="00BF63A0">
              <w:rPr>
                <w:noProof/>
                <w:webHidden/>
              </w:rPr>
              <w:t>3</w:t>
            </w:r>
            <w:r>
              <w:rPr>
                <w:noProof/>
                <w:webHidden/>
              </w:rPr>
              <w:fldChar w:fldCharType="end"/>
            </w:r>
          </w:hyperlink>
        </w:p>
        <w:p w14:paraId="62E7D052" w14:textId="77777777" w:rsidR="00BF63A0" w:rsidRDefault="00E72207">
          <w:pPr>
            <w:pStyle w:val="TOC1"/>
            <w:tabs>
              <w:tab w:val="right" w:leader="dot" w:pos="9350"/>
            </w:tabs>
            <w:rPr>
              <w:rFonts w:asciiTheme="minorHAnsi" w:eastAsiaTheme="minorEastAsia" w:hAnsiTheme="minorHAnsi"/>
              <w:noProof/>
              <w:sz w:val="22"/>
            </w:rPr>
          </w:pPr>
          <w:hyperlink w:anchor="_Toc77431468" w:history="1">
            <w:r w:rsidR="00BF63A0" w:rsidRPr="002930B8">
              <w:rPr>
                <w:rStyle w:val="Hyperlink"/>
                <w:noProof/>
              </w:rPr>
              <w:t>Question 1</w:t>
            </w:r>
            <w:r w:rsidR="00BF63A0">
              <w:rPr>
                <w:noProof/>
                <w:webHidden/>
              </w:rPr>
              <w:tab/>
            </w:r>
            <w:r w:rsidR="000A7650">
              <w:rPr>
                <w:noProof/>
                <w:webHidden/>
              </w:rPr>
              <w:fldChar w:fldCharType="begin"/>
            </w:r>
            <w:r w:rsidR="00BF63A0">
              <w:rPr>
                <w:noProof/>
                <w:webHidden/>
              </w:rPr>
              <w:instrText xml:space="preserve"> PAGEREF _Toc77431468 \h </w:instrText>
            </w:r>
            <w:r w:rsidR="000A7650">
              <w:rPr>
                <w:noProof/>
                <w:webHidden/>
              </w:rPr>
            </w:r>
            <w:r w:rsidR="000A7650">
              <w:rPr>
                <w:noProof/>
                <w:webHidden/>
              </w:rPr>
              <w:fldChar w:fldCharType="separate"/>
            </w:r>
            <w:r w:rsidR="00BF63A0">
              <w:rPr>
                <w:noProof/>
                <w:webHidden/>
              </w:rPr>
              <w:t>4</w:t>
            </w:r>
            <w:r w:rsidR="000A7650">
              <w:rPr>
                <w:noProof/>
                <w:webHidden/>
              </w:rPr>
              <w:fldChar w:fldCharType="end"/>
            </w:r>
          </w:hyperlink>
        </w:p>
        <w:p w14:paraId="722FC888" w14:textId="77777777" w:rsidR="00BF63A0" w:rsidRDefault="00E72207">
          <w:pPr>
            <w:pStyle w:val="TOC1"/>
            <w:tabs>
              <w:tab w:val="right" w:leader="dot" w:pos="9350"/>
            </w:tabs>
            <w:rPr>
              <w:rFonts w:asciiTheme="minorHAnsi" w:eastAsiaTheme="minorEastAsia" w:hAnsiTheme="minorHAnsi"/>
              <w:noProof/>
              <w:sz w:val="22"/>
            </w:rPr>
          </w:pPr>
          <w:hyperlink w:anchor="_Toc77431469" w:history="1">
            <w:r w:rsidR="00BF63A0" w:rsidRPr="002930B8">
              <w:rPr>
                <w:rStyle w:val="Hyperlink"/>
                <w:noProof/>
              </w:rPr>
              <w:t>Question 2</w:t>
            </w:r>
            <w:r w:rsidR="00BF63A0">
              <w:rPr>
                <w:noProof/>
                <w:webHidden/>
              </w:rPr>
              <w:tab/>
            </w:r>
            <w:r w:rsidR="000A7650">
              <w:rPr>
                <w:noProof/>
                <w:webHidden/>
              </w:rPr>
              <w:fldChar w:fldCharType="begin"/>
            </w:r>
            <w:r w:rsidR="00BF63A0">
              <w:rPr>
                <w:noProof/>
                <w:webHidden/>
              </w:rPr>
              <w:instrText xml:space="preserve"> PAGEREF _Toc77431469 \h </w:instrText>
            </w:r>
            <w:r w:rsidR="000A7650">
              <w:rPr>
                <w:noProof/>
                <w:webHidden/>
              </w:rPr>
            </w:r>
            <w:r w:rsidR="000A7650">
              <w:rPr>
                <w:noProof/>
                <w:webHidden/>
              </w:rPr>
              <w:fldChar w:fldCharType="separate"/>
            </w:r>
            <w:r w:rsidR="00BF63A0">
              <w:rPr>
                <w:noProof/>
                <w:webHidden/>
              </w:rPr>
              <w:t>8</w:t>
            </w:r>
            <w:r w:rsidR="000A7650">
              <w:rPr>
                <w:noProof/>
                <w:webHidden/>
              </w:rPr>
              <w:fldChar w:fldCharType="end"/>
            </w:r>
          </w:hyperlink>
        </w:p>
        <w:p w14:paraId="2E2CF514" w14:textId="77777777" w:rsidR="00BF63A0" w:rsidRDefault="00E72207">
          <w:pPr>
            <w:pStyle w:val="TOC1"/>
            <w:tabs>
              <w:tab w:val="right" w:leader="dot" w:pos="9350"/>
            </w:tabs>
            <w:rPr>
              <w:rFonts w:asciiTheme="minorHAnsi" w:eastAsiaTheme="minorEastAsia" w:hAnsiTheme="minorHAnsi"/>
              <w:noProof/>
              <w:sz w:val="22"/>
            </w:rPr>
          </w:pPr>
          <w:hyperlink w:anchor="_Toc77431470" w:history="1">
            <w:r w:rsidR="00BF63A0" w:rsidRPr="002930B8">
              <w:rPr>
                <w:rStyle w:val="Hyperlink"/>
                <w:noProof/>
              </w:rPr>
              <w:t>Conclusion</w:t>
            </w:r>
            <w:r w:rsidR="00BF63A0">
              <w:rPr>
                <w:noProof/>
                <w:webHidden/>
              </w:rPr>
              <w:tab/>
            </w:r>
            <w:r w:rsidR="000A7650">
              <w:rPr>
                <w:noProof/>
                <w:webHidden/>
              </w:rPr>
              <w:fldChar w:fldCharType="begin"/>
            </w:r>
            <w:r w:rsidR="00BF63A0">
              <w:rPr>
                <w:noProof/>
                <w:webHidden/>
              </w:rPr>
              <w:instrText xml:space="preserve"> PAGEREF _Toc77431470 \h </w:instrText>
            </w:r>
            <w:r w:rsidR="000A7650">
              <w:rPr>
                <w:noProof/>
                <w:webHidden/>
              </w:rPr>
            </w:r>
            <w:r w:rsidR="000A7650">
              <w:rPr>
                <w:noProof/>
                <w:webHidden/>
              </w:rPr>
              <w:fldChar w:fldCharType="separate"/>
            </w:r>
            <w:r w:rsidR="00BF63A0">
              <w:rPr>
                <w:noProof/>
                <w:webHidden/>
              </w:rPr>
              <w:t>14</w:t>
            </w:r>
            <w:r w:rsidR="000A7650">
              <w:rPr>
                <w:noProof/>
                <w:webHidden/>
              </w:rPr>
              <w:fldChar w:fldCharType="end"/>
            </w:r>
          </w:hyperlink>
        </w:p>
        <w:p w14:paraId="0DC2DADB" w14:textId="77777777" w:rsidR="00BF63A0" w:rsidRDefault="00E72207">
          <w:pPr>
            <w:pStyle w:val="TOC1"/>
            <w:tabs>
              <w:tab w:val="right" w:leader="dot" w:pos="9350"/>
            </w:tabs>
            <w:rPr>
              <w:rFonts w:asciiTheme="minorHAnsi" w:eastAsiaTheme="minorEastAsia" w:hAnsiTheme="minorHAnsi"/>
              <w:noProof/>
              <w:sz w:val="22"/>
            </w:rPr>
          </w:pPr>
          <w:hyperlink w:anchor="_Toc77431471" w:history="1">
            <w:r w:rsidR="00BF63A0" w:rsidRPr="002930B8">
              <w:rPr>
                <w:rStyle w:val="Hyperlink"/>
                <w:noProof/>
              </w:rPr>
              <w:t>References</w:t>
            </w:r>
            <w:r w:rsidR="00BF63A0">
              <w:rPr>
                <w:noProof/>
                <w:webHidden/>
              </w:rPr>
              <w:tab/>
            </w:r>
            <w:r w:rsidR="000A7650">
              <w:rPr>
                <w:noProof/>
                <w:webHidden/>
              </w:rPr>
              <w:fldChar w:fldCharType="begin"/>
            </w:r>
            <w:r w:rsidR="00BF63A0">
              <w:rPr>
                <w:noProof/>
                <w:webHidden/>
              </w:rPr>
              <w:instrText xml:space="preserve"> PAGEREF _Toc77431471 \h </w:instrText>
            </w:r>
            <w:r w:rsidR="000A7650">
              <w:rPr>
                <w:noProof/>
                <w:webHidden/>
              </w:rPr>
            </w:r>
            <w:r w:rsidR="000A7650">
              <w:rPr>
                <w:noProof/>
                <w:webHidden/>
              </w:rPr>
              <w:fldChar w:fldCharType="separate"/>
            </w:r>
            <w:r w:rsidR="00BF63A0">
              <w:rPr>
                <w:noProof/>
                <w:webHidden/>
              </w:rPr>
              <w:t>15</w:t>
            </w:r>
            <w:r w:rsidR="000A7650">
              <w:rPr>
                <w:noProof/>
                <w:webHidden/>
              </w:rPr>
              <w:fldChar w:fldCharType="end"/>
            </w:r>
          </w:hyperlink>
        </w:p>
        <w:p w14:paraId="0752CE31" w14:textId="77777777" w:rsidR="0005428A" w:rsidRDefault="000A7650">
          <w:r>
            <w:fldChar w:fldCharType="end"/>
          </w:r>
        </w:p>
        <w:p w14:paraId="0EBCDDFC" w14:textId="77777777" w:rsidR="00F8786E" w:rsidRPr="00604372" w:rsidRDefault="0005428A" w:rsidP="00604372">
          <w:pPr>
            <w:spacing w:line="276" w:lineRule="auto"/>
            <w:jc w:val="left"/>
          </w:pPr>
          <w:r>
            <w:br w:type="page"/>
          </w:r>
        </w:p>
      </w:sdtContent>
    </w:sdt>
    <w:p w14:paraId="7E9CB827" w14:textId="77777777" w:rsidR="00CD1089" w:rsidRPr="0005428A" w:rsidRDefault="00CD1089" w:rsidP="0005428A">
      <w:pPr>
        <w:pStyle w:val="Heading1"/>
      </w:pPr>
      <w:bookmarkStart w:id="0" w:name="_Toc77431467"/>
      <w:r w:rsidRPr="0005428A">
        <w:lastRenderedPageBreak/>
        <w:t>Introduction</w:t>
      </w:r>
      <w:bookmarkEnd w:id="0"/>
    </w:p>
    <w:p w14:paraId="5D51A56E" w14:textId="17689199" w:rsidR="00CD1089" w:rsidRPr="0005428A" w:rsidRDefault="00CD1089" w:rsidP="0005428A">
      <w:pPr>
        <w:rPr>
          <w:rFonts w:cs="Times New Roman"/>
          <w:szCs w:val="24"/>
        </w:rPr>
      </w:pPr>
      <w:r w:rsidRPr="0005428A">
        <w:rPr>
          <w:rFonts w:cs="Times New Roman"/>
          <w:szCs w:val="24"/>
        </w:rPr>
        <w:t xml:space="preserve">This report will </w:t>
      </w:r>
      <w:r w:rsidR="00906EEB" w:rsidRPr="0005428A">
        <w:rPr>
          <w:rFonts w:cs="Times New Roman"/>
          <w:szCs w:val="24"/>
        </w:rPr>
        <w:t>consist</w:t>
      </w:r>
      <w:r w:rsidRPr="0005428A">
        <w:rPr>
          <w:rFonts w:cs="Times New Roman"/>
          <w:szCs w:val="24"/>
        </w:rPr>
        <w:t xml:space="preserve"> </w:t>
      </w:r>
      <w:r w:rsidR="00604372">
        <w:rPr>
          <w:rFonts w:cs="Times New Roman"/>
          <w:szCs w:val="24"/>
        </w:rPr>
        <w:t xml:space="preserve">of </w:t>
      </w:r>
      <w:r w:rsidRPr="0005428A">
        <w:rPr>
          <w:rFonts w:cs="Times New Roman"/>
          <w:szCs w:val="24"/>
        </w:rPr>
        <w:t>the calcula</w:t>
      </w:r>
      <w:r w:rsidR="00842953" w:rsidRPr="0005428A">
        <w:rPr>
          <w:rFonts w:cs="Times New Roman"/>
          <w:szCs w:val="24"/>
        </w:rPr>
        <w:t xml:space="preserve">tion of financial statements </w:t>
      </w:r>
      <w:r w:rsidR="00906EEB" w:rsidRPr="0005428A">
        <w:rPr>
          <w:rFonts w:cs="Times New Roman"/>
          <w:szCs w:val="24"/>
        </w:rPr>
        <w:t>i.e.,</w:t>
      </w:r>
      <w:r w:rsidR="00842953" w:rsidRPr="0005428A">
        <w:rPr>
          <w:rFonts w:cs="Times New Roman"/>
          <w:szCs w:val="24"/>
        </w:rPr>
        <w:t xml:space="preserve"> profit and loss account and balance sheet.</w:t>
      </w:r>
      <w:r w:rsidR="00A16623" w:rsidRPr="0005428A">
        <w:rPr>
          <w:rFonts w:cs="Times New Roman"/>
          <w:szCs w:val="24"/>
        </w:rPr>
        <w:t xml:space="preserve"> Furthermore, it will also include the assumptions and footnotes </w:t>
      </w:r>
      <w:r w:rsidR="00254165" w:rsidRPr="0005428A">
        <w:rPr>
          <w:rFonts w:cs="Times New Roman"/>
          <w:szCs w:val="24"/>
        </w:rPr>
        <w:t xml:space="preserve">which will be </w:t>
      </w:r>
      <w:r w:rsidR="00A16623" w:rsidRPr="0005428A">
        <w:rPr>
          <w:rFonts w:cs="Times New Roman"/>
          <w:szCs w:val="24"/>
        </w:rPr>
        <w:t>related to balance sheet and profit and loss account.</w:t>
      </w:r>
      <w:r w:rsidR="0054610A" w:rsidRPr="0005428A">
        <w:rPr>
          <w:rFonts w:cs="Times New Roman"/>
          <w:szCs w:val="24"/>
        </w:rPr>
        <w:t xml:space="preserve"> This report will also include the financial performance presentation of the company.</w:t>
      </w:r>
      <w:r w:rsidR="00842953" w:rsidRPr="0005428A">
        <w:rPr>
          <w:rFonts w:cs="Times New Roman"/>
          <w:szCs w:val="24"/>
        </w:rPr>
        <w:t xml:space="preserve"> In addition to this, it will also include the reason for matching balance sheet always. In the part two this report will consider the valuations and computation of ratios related to the company. It will include the numerous ratios like return on capital employed ratio, gearing ratio is the profitability ratio, current ratio shows the liquidity of the company, assets turnover ratio states that how efficiently or effecti</w:t>
      </w:r>
      <w:r w:rsidR="00786F88" w:rsidRPr="0005428A">
        <w:rPr>
          <w:rFonts w:cs="Times New Roman"/>
          <w:szCs w:val="24"/>
        </w:rPr>
        <w:t>vely company uses their fixed assets</w:t>
      </w:r>
      <w:r w:rsidR="00842953" w:rsidRPr="0005428A">
        <w:rPr>
          <w:rFonts w:cs="Times New Roman"/>
          <w:szCs w:val="24"/>
        </w:rPr>
        <w:t xml:space="preserve">, return on equity ratio, net profit margin ratio, debtor collection period represent the number of days company had to convert </w:t>
      </w:r>
      <w:r w:rsidR="00906EEB" w:rsidRPr="0005428A">
        <w:rPr>
          <w:rFonts w:cs="Times New Roman"/>
          <w:szCs w:val="24"/>
        </w:rPr>
        <w:t>receivables</w:t>
      </w:r>
      <w:r w:rsidR="00842953" w:rsidRPr="0005428A">
        <w:rPr>
          <w:rFonts w:cs="Times New Roman"/>
          <w:szCs w:val="24"/>
        </w:rPr>
        <w:t xml:space="preserve"> into cash and earnings per share of the company.</w:t>
      </w:r>
      <w:r w:rsidR="00786F88" w:rsidRPr="0005428A">
        <w:rPr>
          <w:rFonts w:cs="Times New Roman"/>
          <w:szCs w:val="24"/>
        </w:rPr>
        <w:t xml:space="preserve"> Apart from this, this report will consider the reason for increasing or decreasing</w:t>
      </w:r>
      <w:r w:rsidR="001A0BDC" w:rsidRPr="0005428A">
        <w:rPr>
          <w:rFonts w:cs="Times New Roman"/>
          <w:szCs w:val="24"/>
        </w:rPr>
        <w:t xml:space="preserve"> of</w:t>
      </w:r>
      <w:r w:rsidR="00786F88" w:rsidRPr="0005428A">
        <w:rPr>
          <w:rFonts w:cs="Times New Roman"/>
          <w:szCs w:val="24"/>
        </w:rPr>
        <w:t xml:space="preserve"> these ratios by using the financial statements </w:t>
      </w:r>
      <w:r w:rsidR="001A0BDC" w:rsidRPr="0005428A">
        <w:rPr>
          <w:rFonts w:cs="Times New Roman"/>
          <w:szCs w:val="24"/>
        </w:rPr>
        <w:t xml:space="preserve">which include balance sheet, income statement account, comprehensive income statement account and owner’s equity account </w:t>
      </w:r>
      <w:r w:rsidR="00786F88" w:rsidRPr="0005428A">
        <w:rPr>
          <w:rFonts w:cs="Times New Roman"/>
          <w:szCs w:val="24"/>
        </w:rPr>
        <w:t xml:space="preserve">of the company and the calculations of ratio related to the company. </w:t>
      </w:r>
    </w:p>
    <w:p w14:paraId="20445124" w14:textId="77777777" w:rsidR="00F8786E" w:rsidRPr="0005428A" w:rsidRDefault="00F8786E" w:rsidP="0005428A">
      <w:pPr>
        <w:rPr>
          <w:rFonts w:cs="Times New Roman"/>
          <w:szCs w:val="24"/>
        </w:rPr>
      </w:pPr>
      <w:r w:rsidRPr="0005428A">
        <w:rPr>
          <w:rFonts w:cs="Times New Roman"/>
          <w:szCs w:val="24"/>
        </w:rPr>
        <w:br w:type="page"/>
      </w:r>
    </w:p>
    <w:p w14:paraId="77E9A64B" w14:textId="77777777" w:rsidR="005E25D9" w:rsidRPr="0005428A" w:rsidRDefault="005E25D9" w:rsidP="00604372">
      <w:pPr>
        <w:pStyle w:val="Heading1"/>
      </w:pPr>
      <w:bookmarkStart w:id="1" w:name="_Toc77431468"/>
      <w:r w:rsidRPr="0005428A">
        <w:lastRenderedPageBreak/>
        <w:t>Question</w:t>
      </w:r>
      <w:r w:rsidR="00604372">
        <w:t xml:space="preserve"> </w:t>
      </w:r>
      <w:r w:rsidRPr="0005428A">
        <w:t>1</w:t>
      </w:r>
      <w:bookmarkEnd w:id="1"/>
    </w:p>
    <w:p w14:paraId="599D91BE" w14:textId="77777777" w:rsidR="005E25D9" w:rsidRPr="0005428A" w:rsidRDefault="00DC1974" w:rsidP="0005428A">
      <w:pPr>
        <w:rPr>
          <w:rFonts w:cs="Times New Roman"/>
          <w:b/>
          <w:szCs w:val="24"/>
        </w:rPr>
      </w:pPr>
      <w:r w:rsidRPr="0005428A">
        <w:rPr>
          <w:rFonts w:cs="Times New Roman"/>
          <w:b/>
          <w:szCs w:val="24"/>
        </w:rPr>
        <w:t>A):</w:t>
      </w:r>
    </w:p>
    <w:p w14:paraId="0CED01AA" w14:textId="77777777" w:rsidR="00A978DB" w:rsidRPr="0005428A" w:rsidRDefault="00A978DB" w:rsidP="0005428A">
      <w:pPr>
        <w:rPr>
          <w:rFonts w:cs="Times New Roman"/>
          <w:b/>
          <w:szCs w:val="24"/>
        </w:rPr>
      </w:pPr>
      <w:r w:rsidRPr="0005428A">
        <w:rPr>
          <w:rFonts w:cs="Times New Roman"/>
          <w:b/>
          <w:szCs w:val="24"/>
        </w:rPr>
        <w:t xml:space="preserve">Income Statement </w:t>
      </w:r>
      <w:r w:rsidRPr="0005428A">
        <w:rPr>
          <w:rFonts w:cs="Times New Roman"/>
          <w:b/>
          <w:caps/>
          <w:szCs w:val="24"/>
        </w:rPr>
        <w:t>A</w:t>
      </w:r>
      <w:r w:rsidRPr="0005428A">
        <w:rPr>
          <w:rFonts w:cs="Times New Roman"/>
          <w:b/>
          <w:szCs w:val="24"/>
        </w:rPr>
        <w:t xml:space="preserve">ccount </w:t>
      </w:r>
    </w:p>
    <w:tbl>
      <w:tblPr>
        <w:tblStyle w:val="TableGrid"/>
        <w:tblW w:w="0" w:type="auto"/>
        <w:tblLook w:val="04A0" w:firstRow="1" w:lastRow="0" w:firstColumn="1" w:lastColumn="0" w:noHBand="0" w:noVBand="1"/>
      </w:tblPr>
      <w:tblGrid>
        <w:gridCol w:w="5780"/>
        <w:gridCol w:w="1286"/>
        <w:gridCol w:w="2284"/>
      </w:tblGrid>
      <w:tr w:rsidR="00DC1974" w:rsidRPr="0005428A" w14:paraId="024C87C6" w14:textId="77777777" w:rsidTr="00DC1974">
        <w:trPr>
          <w:trHeight w:val="300"/>
        </w:trPr>
        <w:tc>
          <w:tcPr>
            <w:tcW w:w="11340" w:type="dxa"/>
            <w:gridSpan w:val="3"/>
            <w:noWrap/>
            <w:hideMark/>
          </w:tcPr>
          <w:p w14:paraId="7B658FDA" w14:textId="77777777" w:rsidR="00DC1974" w:rsidRPr="0005428A" w:rsidRDefault="00DC1974" w:rsidP="0005428A">
            <w:pPr>
              <w:rPr>
                <w:rFonts w:cs="Times New Roman"/>
                <w:b/>
                <w:bCs/>
                <w:szCs w:val="24"/>
              </w:rPr>
            </w:pPr>
            <w:r w:rsidRPr="0005428A">
              <w:rPr>
                <w:rFonts w:cs="Times New Roman"/>
                <w:b/>
                <w:bCs/>
                <w:szCs w:val="24"/>
              </w:rPr>
              <w:t>Profit and Loss Account for the year ending 31 January 2020 of Kedison Plc</w:t>
            </w:r>
          </w:p>
        </w:tc>
      </w:tr>
      <w:tr w:rsidR="00DC1974" w:rsidRPr="0005428A" w14:paraId="195D6109" w14:textId="77777777" w:rsidTr="00DC1974">
        <w:trPr>
          <w:trHeight w:val="300"/>
        </w:trPr>
        <w:tc>
          <w:tcPr>
            <w:tcW w:w="7052" w:type="dxa"/>
            <w:noWrap/>
            <w:hideMark/>
          </w:tcPr>
          <w:p w14:paraId="4D0167DB" w14:textId="77777777" w:rsidR="00DC1974" w:rsidRPr="0005428A" w:rsidRDefault="00DC1974" w:rsidP="0005428A">
            <w:pPr>
              <w:rPr>
                <w:rFonts w:cs="Times New Roman"/>
                <w:b/>
                <w:bCs/>
                <w:szCs w:val="24"/>
              </w:rPr>
            </w:pPr>
            <w:r w:rsidRPr="0005428A">
              <w:rPr>
                <w:rFonts w:cs="Times New Roman"/>
                <w:b/>
                <w:bCs/>
                <w:szCs w:val="24"/>
              </w:rPr>
              <w:t xml:space="preserve">Particulars </w:t>
            </w:r>
          </w:p>
        </w:tc>
        <w:tc>
          <w:tcPr>
            <w:tcW w:w="1531" w:type="dxa"/>
            <w:noWrap/>
            <w:hideMark/>
          </w:tcPr>
          <w:p w14:paraId="49FA2DDA" w14:textId="77777777" w:rsidR="00DC1974" w:rsidRPr="0005428A" w:rsidRDefault="00DC1974" w:rsidP="0005428A">
            <w:pPr>
              <w:rPr>
                <w:rFonts w:cs="Times New Roman"/>
                <w:szCs w:val="24"/>
              </w:rPr>
            </w:pPr>
          </w:p>
        </w:tc>
        <w:tc>
          <w:tcPr>
            <w:tcW w:w="2757" w:type="dxa"/>
            <w:noWrap/>
            <w:hideMark/>
          </w:tcPr>
          <w:p w14:paraId="1DBDE741" w14:textId="77777777" w:rsidR="00DC1974" w:rsidRPr="0005428A" w:rsidRDefault="00DC1974" w:rsidP="0005428A">
            <w:pPr>
              <w:rPr>
                <w:rFonts w:cs="Times New Roman"/>
                <w:b/>
                <w:bCs/>
                <w:szCs w:val="24"/>
              </w:rPr>
            </w:pPr>
            <w:r w:rsidRPr="0005428A">
              <w:rPr>
                <w:rFonts w:cs="Times New Roman"/>
                <w:b/>
                <w:bCs/>
                <w:szCs w:val="24"/>
              </w:rPr>
              <w:t>Amount in £</w:t>
            </w:r>
          </w:p>
        </w:tc>
      </w:tr>
      <w:tr w:rsidR="00DC1974" w:rsidRPr="0005428A" w14:paraId="517144D4" w14:textId="77777777" w:rsidTr="00DC1974">
        <w:trPr>
          <w:trHeight w:val="300"/>
        </w:trPr>
        <w:tc>
          <w:tcPr>
            <w:tcW w:w="7052" w:type="dxa"/>
            <w:noWrap/>
            <w:hideMark/>
          </w:tcPr>
          <w:p w14:paraId="2E60677E" w14:textId="77777777" w:rsidR="00DC1974" w:rsidRPr="0005428A" w:rsidRDefault="00DC1974" w:rsidP="0005428A">
            <w:pPr>
              <w:rPr>
                <w:rFonts w:cs="Times New Roman"/>
                <w:b/>
                <w:bCs/>
                <w:szCs w:val="24"/>
              </w:rPr>
            </w:pPr>
            <w:r w:rsidRPr="0005428A">
              <w:rPr>
                <w:rFonts w:cs="Times New Roman"/>
                <w:b/>
                <w:bCs/>
                <w:szCs w:val="24"/>
              </w:rPr>
              <w:t>Sales</w:t>
            </w:r>
          </w:p>
        </w:tc>
        <w:tc>
          <w:tcPr>
            <w:tcW w:w="1531" w:type="dxa"/>
            <w:noWrap/>
            <w:hideMark/>
          </w:tcPr>
          <w:p w14:paraId="436F22B7" w14:textId="77777777" w:rsidR="00DC1974" w:rsidRPr="0005428A" w:rsidRDefault="00DC1974" w:rsidP="0005428A">
            <w:pPr>
              <w:rPr>
                <w:rFonts w:cs="Times New Roman"/>
                <w:szCs w:val="24"/>
              </w:rPr>
            </w:pPr>
          </w:p>
        </w:tc>
        <w:tc>
          <w:tcPr>
            <w:tcW w:w="2757" w:type="dxa"/>
            <w:noWrap/>
            <w:hideMark/>
          </w:tcPr>
          <w:p w14:paraId="1993AD6F" w14:textId="77777777" w:rsidR="00DC1974" w:rsidRPr="0005428A" w:rsidRDefault="00DC1974" w:rsidP="0005428A">
            <w:pPr>
              <w:rPr>
                <w:rFonts w:cs="Times New Roman"/>
                <w:szCs w:val="24"/>
              </w:rPr>
            </w:pPr>
            <w:r w:rsidRPr="0005428A">
              <w:rPr>
                <w:rFonts w:cs="Times New Roman"/>
                <w:szCs w:val="24"/>
              </w:rPr>
              <w:t>826,650</w:t>
            </w:r>
          </w:p>
        </w:tc>
      </w:tr>
      <w:tr w:rsidR="00DC1974" w:rsidRPr="0005428A" w14:paraId="3C676103" w14:textId="77777777" w:rsidTr="00DC1974">
        <w:trPr>
          <w:trHeight w:val="300"/>
        </w:trPr>
        <w:tc>
          <w:tcPr>
            <w:tcW w:w="7052" w:type="dxa"/>
            <w:noWrap/>
            <w:hideMark/>
          </w:tcPr>
          <w:p w14:paraId="016A5A20" w14:textId="77777777" w:rsidR="00DC1974" w:rsidRPr="0005428A" w:rsidRDefault="00DC1974" w:rsidP="0005428A">
            <w:pPr>
              <w:rPr>
                <w:rFonts w:cs="Times New Roman"/>
                <w:szCs w:val="24"/>
              </w:rPr>
            </w:pPr>
            <w:r w:rsidRPr="0005428A">
              <w:rPr>
                <w:rFonts w:cs="Times New Roman"/>
                <w:szCs w:val="24"/>
              </w:rPr>
              <w:t>Add: accrued sales</w:t>
            </w:r>
          </w:p>
        </w:tc>
        <w:tc>
          <w:tcPr>
            <w:tcW w:w="1531" w:type="dxa"/>
            <w:noWrap/>
            <w:hideMark/>
          </w:tcPr>
          <w:p w14:paraId="681040AF" w14:textId="77777777" w:rsidR="00DC1974" w:rsidRPr="0005428A" w:rsidRDefault="00DC1974" w:rsidP="0005428A">
            <w:pPr>
              <w:rPr>
                <w:rFonts w:cs="Times New Roman"/>
                <w:szCs w:val="24"/>
              </w:rPr>
            </w:pPr>
          </w:p>
        </w:tc>
        <w:tc>
          <w:tcPr>
            <w:tcW w:w="2757" w:type="dxa"/>
            <w:noWrap/>
            <w:hideMark/>
          </w:tcPr>
          <w:p w14:paraId="528E6938" w14:textId="77777777" w:rsidR="00DC1974" w:rsidRPr="0005428A" w:rsidRDefault="00DC1974" w:rsidP="0005428A">
            <w:pPr>
              <w:rPr>
                <w:rFonts w:cs="Times New Roman"/>
                <w:szCs w:val="24"/>
              </w:rPr>
            </w:pPr>
            <w:r w:rsidRPr="0005428A">
              <w:rPr>
                <w:rFonts w:cs="Times New Roman"/>
                <w:szCs w:val="24"/>
              </w:rPr>
              <w:t>980</w:t>
            </w:r>
          </w:p>
        </w:tc>
      </w:tr>
      <w:tr w:rsidR="00DC1974" w:rsidRPr="0005428A" w14:paraId="2ECBCB5F" w14:textId="77777777" w:rsidTr="00DC1974">
        <w:trPr>
          <w:trHeight w:val="300"/>
        </w:trPr>
        <w:tc>
          <w:tcPr>
            <w:tcW w:w="7052" w:type="dxa"/>
            <w:noWrap/>
            <w:hideMark/>
          </w:tcPr>
          <w:p w14:paraId="6501777F" w14:textId="77777777" w:rsidR="00DC1974" w:rsidRPr="0005428A" w:rsidRDefault="00DC1974" w:rsidP="0005428A">
            <w:pPr>
              <w:rPr>
                <w:rFonts w:cs="Times New Roman"/>
                <w:b/>
                <w:bCs/>
                <w:szCs w:val="24"/>
              </w:rPr>
            </w:pPr>
            <w:r w:rsidRPr="0005428A">
              <w:rPr>
                <w:rFonts w:cs="Times New Roman"/>
                <w:b/>
                <w:bCs/>
                <w:szCs w:val="24"/>
              </w:rPr>
              <w:t>Net sales</w:t>
            </w:r>
          </w:p>
        </w:tc>
        <w:tc>
          <w:tcPr>
            <w:tcW w:w="1531" w:type="dxa"/>
            <w:noWrap/>
            <w:hideMark/>
          </w:tcPr>
          <w:p w14:paraId="045220F3" w14:textId="77777777" w:rsidR="00DC1974" w:rsidRPr="0005428A" w:rsidRDefault="00DC1974" w:rsidP="0005428A">
            <w:pPr>
              <w:rPr>
                <w:rFonts w:cs="Times New Roman"/>
                <w:szCs w:val="24"/>
              </w:rPr>
            </w:pPr>
          </w:p>
        </w:tc>
        <w:tc>
          <w:tcPr>
            <w:tcW w:w="2757" w:type="dxa"/>
            <w:noWrap/>
            <w:hideMark/>
          </w:tcPr>
          <w:p w14:paraId="5DC6CDA3" w14:textId="77777777" w:rsidR="00DC1974" w:rsidRPr="0005428A" w:rsidRDefault="00DC1974" w:rsidP="0005428A">
            <w:pPr>
              <w:rPr>
                <w:rFonts w:cs="Times New Roman"/>
                <w:szCs w:val="24"/>
              </w:rPr>
            </w:pPr>
            <w:r w:rsidRPr="0005428A">
              <w:rPr>
                <w:rFonts w:cs="Times New Roman"/>
                <w:szCs w:val="24"/>
              </w:rPr>
              <w:t>827,630</w:t>
            </w:r>
          </w:p>
        </w:tc>
      </w:tr>
      <w:tr w:rsidR="00DC1974" w:rsidRPr="0005428A" w14:paraId="1090C4D9" w14:textId="77777777" w:rsidTr="00DC1974">
        <w:trPr>
          <w:trHeight w:val="300"/>
        </w:trPr>
        <w:tc>
          <w:tcPr>
            <w:tcW w:w="7052" w:type="dxa"/>
            <w:noWrap/>
            <w:hideMark/>
          </w:tcPr>
          <w:p w14:paraId="5B45B73A" w14:textId="77777777" w:rsidR="00DC1974" w:rsidRPr="0005428A" w:rsidRDefault="00DC1974" w:rsidP="0005428A">
            <w:pPr>
              <w:rPr>
                <w:rFonts w:cs="Times New Roman"/>
                <w:szCs w:val="24"/>
              </w:rPr>
            </w:pPr>
            <w:r w:rsidRPr="0005428A">
              <w:rPr>
                <w:rFonts w:cs="Times New Roman"/>
                <w:szCs w:val="24"/>
              </w:rPr>
              <w:t>Less: cost of sales</w:t>
            </w:r>
          </w:p>
        </w:tc>
        <w:tc>
          <w:tcPr>
            <w:tcW w:w="1531" w:type="dxa"/>
            <w:noWrap/>
            <w:hideMark/>
          </w:tcPr>
          <w:p w14:paraId="1C93235C" w14:textId="77777777" w:rsidR="00DC1974" w:rsidRPr="0005428A" w:rsidRDefault="00DC1974" w:rsidP="0005428A">
            <w:pPr>
              <w:rPr>
                <w:rFonts w:cs="Times New Roman"/>
                <w:szCs w:val="24"/>
              </w:rPr>
            </w:pPr>
          </w:p>
        </w:tc>
        <w:tc>
          <w:tcPr>
            <w:tcW w:w="2757" w:type="dxa"/>
            <w:noWrap/>
            <w:hideMark/>
          </w:tcPr>
          <w:p w14:paraId="53C03A7E" w14:textId="77777777" w:rsidR="00DC1974" w:rsidRPr="0005428A" w:rsidRDefault="00DC1974" w:rsidP="0005428A">
            <w:pPr>
              <w:rPr>
                <w:rFonts w:cs="Times New Roman"/>
                <w:szCs w:val="24"/>
              </w:rPr>
            </w:pPr>
            <w:r w:rsidRPr="0005428A">
              <w:rPr>
                <w:rFonts w:cs="Times New Roman"/>
                <w:szCs w:val="24"/>
              </w:rPr>
              <w:t>578,650</w:t>
            </w:r>
          </w:p>
        </w:tc>
      </w:tr>
      <w:tr w:rsidR="00DC1974" w:rsidRPr="0005428A" w14:paraId="1BE3E8B4" w14:textId="77777777" w:rsidTr="00DC1974">
        <w:trPr>
          <w:trHeight w:val="300"/>
        </w:trPr>
        <w:tc>
          <w:tcPr>
            <w:tcW w:w="7052" w:type="dxa"/>
            <w:noWrap/>
            <w:hideMark/>
          </w:tcPr>
          <w:p w14:paraId="1CDC80D7" w14:textId="77777777" w:rsidR="00DC1974" w:rsidRPr="0005428A" w:rsidRDefault="00DC1974" w:rsidP="0005428A">
            <w:pPr>
              <w:rPr>
                <w:rFonts w:cs="Times New Roman"/>
                <w:b/>
                <w:bCs/>
                <w:szCs w:val="24"/>
              </w:rPr>
            </w:pPr>
            <w:r w:rsidRPr="0005428A">
              <w:rPr>
                <w:rFonts w:cs="Times New Roman"/>
                <w:b/>
                <w:bCs/>
                <w:szCs w:val="24"/>
              </w:rPr>
              <w:t>Gross profit</w:t>
            </w:r>
          </w:p>
        </w:tc>
        <w:tc>
          <w:tcPr>
            <w:tcW w:w="1531" w:type="dxa"/>
            <w:noWrap/>
            <w:hideMark/>
          </w:tcPr>
          <w:p w14:paraId="524780EF" w14:textId="77777777" w:rsidR="00DC1974" w:rsidRPr="0005428A" w:rsidRDefault="00DC1974" w:rsidP="0005428A">
            <w:pPr>
              <w:rPr>
                <w:rFonts w:cs="Times New Roman"/>
                <w:szCs w:val="24"/>
              </w:rPr>
            </w:pPr>
          </w:p>
        </w:tc>
        <w:tc>
          <w:tcPr>
            <w:tcW w:w="2757" w:type="dxa"/>
            <w:noWrap/>
            <w:hideMark/>
          </w:tcPr>
          <w:p w14:paraId="1C2A3FF2" w14:textId="77777777" w:rsidR="00DC1974" w:rsidRPr="0005428A" w:rsidRDefault="00DC1974" w:rsidP="0005428A">
            <w:pPr>
              <w:rPr>
                <w:rFonts w:cs="Times New Roman"/>
                <w:b/>
                <w:bCs/>
                <w:szCs w:val="24"/>
              </w:rPr>
            </w:pPr>
            <w:r w:rsidRPr="0005428A">
              <w:rPr>
                <w:rFonts w:cs="Times New Roman"/>
                <w:b/>
                <w:bCs/>
                <w:szCs w:val="24"/>
              </w:rPr>
              <w:t>248,980</w:t>
            </w:r>
          </w:p>
        </w:tc>
      </w:tr>
      <w:tr w:rsidR="00DC1974" w:rsidRPr="0005428A" w14:paraId="62B885D1" w14:textId="77777777" w:rsidTr="00DC1974">
        <w:trPr>
          <w:trHeight w:val="300"/>
        </w:trPr>
        <w:tc>
          <w:tcPr>
            <w:tcW w:w="7052" w:type="dxa"/>
            <w:noWrap/>
            <w:hideMark/>
          </w:tcPr>
          <w:p w14:paraId="1163074D" w14:textId="77777777" w:rsidR="00DC1974" w:rsidRPr="0005428A" w:rsidRDefault="00DC1974" w:rsidP="0005428A">
            <w:pPr>
              <w:rPr>
                <w:rFonts w:cs="Times New Roman"/>
                <w:b/>
                <w:bCs/>
                <w:szCs w:val="24"/>
              </w:rPr>
            </w:pPr>
            <w:r w:rsidRPr="0005428A">
              <w:rPr>
                <w:rFonts w:cs="Times New Roman"/>
                <w:b/>
                <w:bCs/>
                <w:szCs w:val="24"/>
              </w:rPr>
              <w:t>Less: Operating expenses</w:t>
            </w:r>
          </w:p>
        </w:tc>
        <w:tc>
          <w:tcPr>
            <w:tcW w:w="1531" w:type="dxa"/>
            <w:noWrap/>
            <w:hideMark/>
          </w:tcPr>
          <w:p w14:paraId="1F1BDA82" w14:textId="77777777" w:rsidR="00DC1974" w:rsidRPr="0005428A" w:rsidRDefault="00DC1974" w:rsidP="0005428A">
            <w:pPr>
              <w:rPr>
                <w:rFonts w:cs="Times New Roman"/>
                <w:szCs w:val="24"/>
              </w:rPr>
            </w:pPr>
          </w:p>
        </w:tc>
        <w:tc>
          <w:tcPr>
            <w:tcW w:w="2757" w:type="dxa"/>
            <w:noWrap/>
            <w:hideMark/>
          </w:tcPr>
          <w:p w14:paraId="0A9A7649" w14:textId="77777777" w:rsidR="00DC1974" w:rsidRPr="0005428A" w:rsidRDefault="00DC1974" w:rsidP="0005428A">
            <w:pPr>
              <w:rPr>
                <w:rFonts w:cs="Times New Roman"/>
                <w:szCs w:val="24"/>
              </w:rPr>
            </w:pPr>
          </w:p>
        </w:tc>
      </w:tr>
      <w:tr w:rsidR="00DC1974" w:rsidRPr="0005428A" w14:paraId="6EAEF0B3" w14:textId="77777777" w:rsidTr="00DC1974">
        <w:trPr>
          <w:trHeight w:val="300"/>
        </w:trPr>
        <w:tc>
          <w:tcPr>
            <w:tcW w:w="7052" w:type="dxa"/>
            <w:noWrap/>
            <w:hideMark/>
          </w:tcPr>
          <w:p w14:paraId="5BF27EB6" w14:textId="77777777" w:rsidR="00DC1974" w:rsidRPr="0005428A" w:rsidRDefault="00DC1974" w:rsidP="0005428A">
            <w:pPr>
              <w:rPr>
                <w:rFonts w:cs="Times New Roman"/>
                <w:szCs w:val="24"/>
              </w:rPr>
            </w:pPr>
            <w:r w:rsidRPr="0005428A">
              <w:rPr>
                <w:rFonts w:cs="Times New Roman"/>
                <w:szCs w:val="24"/>
              </w:rPr>
              <w:t>Outstanding commission</w:t>
            </w:r>
          </w:p>
        </w:tc>
        <w:tc>
          <w:tcPr>
            <w:tcW w:w="1531" w:type="dxa"/>
            <w:noWrap/>
            <w:hideMark/>
          </w:tcPr>
          <w:p w14:paraId="00F3F984" w14:textId="77777777" w:rsidR="00DC1974" w:rsidRPr="0005428A" w:rsidRDefault="00DC1974" w:rsidP="0005428A">
            <w:pPr>
              <w:rPr>
                <w:rFonts w:cs="Times New Roman"/>
                <w:szCs w:val="24"/>
              </w:rPr>
            </w:pPr>
            <w:r w:rsidRPr="0005428A">
              <w:rPr>
                <w:rFonts w:cs="Times New Roman"/>
                <w:szCs w:val="24"/>
              </w:rPr>
              <w:t>3,000</w:t>
            </w:r>
          </w:p>
        </w:tc>
        <w:tc>
          <w:tcPr>
            <w:tcW w:w="2757" w:type="dxa"/>
            <w:noWrap/>
            <w:hideMark/>
          </w:tcPr>
          <w:p w14:paraId="2AB7F7EC" w14:textId="77777777" w:rsidR="00DC1974" w:rsidRPr="0005428A" w:rsidRDefault="00DC1974" w:rsidP="0005428A">
            <w:pPr>
              <w:rPr>
                <w:rFonts w:cs="Times New Roman"/>
                <w:szCs w:val="24"/>
              </w:rPr>
            </w:pPr>
          </w:p>
        </w:tc>
      </w:tr>
      <w:tr w:rsidR="00DC1974" w:rsidRPr="0005428A" w14:paraId="7E982B71" w14:textId="77777777" w:rsidTr="00DC1974">
        <w:trPr>
          <w:trHeight w:val="300"/>
        </w:trPr>
        <w:tc>
          <w:tcPr>
            <w:tcW w:w="7052" w:type="dxa"/>
            <w:noWrap/>
            <w:hideMark/>
          </w:tcPr>
          <w:p w14:paraId="4854F1CF" w14:textId="77777777" w:rsidR="00DC1974" w:rsidRPr="0005428A" w:rsidRDefault="00DC1974" w:rsidP="0005428A">
            <w:pPr>
              <w:rPr>
                <w:rFonts w:cs="Times New Roman"/>
                <w:szCs w:val="24"/>
              </w:rPr>
            </w:pPr>
            <w:r w:rsidRPr="0005428A">
              <w:rPr>
                <w:rFonts w:cs="Times New Roman"/>
                <w:szCs w:val="24"/>
              </w:rPr>
              <w:t>Administrative expenses</w:t>
            </w:r>
          </w:p>
        </w:tc>
        <w:tc>
          <w:tcPr>
            <w:tcW w:w="1531" w:type="dxa"/>
            <w:noWrap/>
            <w:hideMark/>
          </w:tcPr>
          <w:p w14:paraId="7DCD6E48" w14:textId="77777777" w:rsidR="00DC1974" w:rsidRPr="0005428A" w:rsidRDefault="00DC1974" w:rsidP="0005428A">
            <w:pPr>
              <w:rPr>
                <w:rFonts w:cs="Times New Roman"/>
                <w:szCs w:val="24"/>
              </w:rPr>
            </w:pPr>
            <w:r w:rsidRPr="0005428A">
              <w:rPr>
                <w:rFonts w:cs="Times New Roman"/>
                <w:szCs w:val="24"/>
              </w:rPr>
              <w:t>30,000</w:t>
            </w:r>
          </w:p>
        </w:tc>
        <w:tc>
          <w:tcPr>
            <w:tcW w:w="2757" w:type="dxa"/>
            <w:noWrap/>
            <w:hideMark/>
          </w:tcPr>
          <w:p w14:paraId="4D0CC96D" w14:textId="77777777" w:rsidR="00DC1974" w:rsidRPr="0005428A" w:rsidRDefault="00DC1974" w:rsidP="0005428A">
            <w:pPr>
              <w:rPr>
                <w:rFonts w:cs="Times New Roman"/>
                <w:szCs w:val="24"/>
              </w:rPr>
            </w:pPr>
          </w:p>
        </w:tc>
      </w:tr>
      <w:tr w:rsidR="00DC1974" w:rsidRPr="0005428A" w14:paraId="3ED80DA3" w14:textId="77777777" w:rsidTr="00DC1974">
        <w:trPr>
          <w:trHeight w:val="300"/>
        </w:trPr>
        <w:tc>
          <w:tcPr>
            <w:tcW w:w="7052" w:type="dxa"/>
            <w:noWrap/>
            <w:hideMark/>
          </w:tcPr>
          <w:p w14:paraId="2EC78DE1" w14:textId="77777777" w:rsidR="00DC1974" w:rsidRPr="0005428A" w:rsidRDefault="00DC1974" w:rsidP="0005428A">
            <w:pPr>
              <w:rPr>
                <w:rFonts w:cs="Times New Roman"/>
                <w:szCs w:val="24"/>
              </w:rPr>
            </w:pPr>
            <w:r w:rsidRPr="0005428A">
              <w:rPr>
                <w:rFonts w:cs="Times New Roman"/>
                <w:szCs w:val="24"/>
              </w:rPr>
              <w:t>Distributions costs</w:t>
            </w:r>
          </w:p>
        </w:tc>
        <w:tc>
          <w:tcPr>
            <w:tcW w:w="1531" w:type="dxa"/>
            <w:noWrap/>
            <w:hideMark/>
          </w:tcPr>
          <w:p w14:paraId="389AC615" w14:textId="77777777" w:rsidR="00DC1974" w:rsidRPr="0005428A" w:rsidRDefault="00DC1974" w:rsidP="0005428A">
            <w:pPr>
              <w:rPr>
                <w:rFonts w:cs="Times New Roman"/>
                <w:szCs w:val="24"/>
              </w:rPr>
            </w:pPr>
            <w:r w:rsidRPr="0005428A">
              <w:rPr>
                <w:rFonts w:cs="Times New Roman"/>
                <w:szCs w:val="24"/>
              </w:rPr>
              <w:t>28,000</w:t>
            </w:r>
          </w:p>
        </w:tc>
        <w:tc>
          <w:tcPr>
            <w:tcW w:w="2757" w:type="dxa"/>
            <w:noWrap/>
            <w:hideMark/>
          </w:tcPr>
          <w:p w14:paraId="24ADE933" w14:textId="77777777" w:rsidR="00DC1974" w:rsidRPr="0005428A" w:rsidRDefault="00DC1974" w:rsidP="0005428A">
            <w:pPr>
              <w:rPr>
                <w:rFonts w:cs="Times New Roman"/>
                <w:szCs w:val="24"/>
              </w:rPr>
            </w:pPr>
          </w:p>
        </w:tc>
      </w:tr>
      <w:tr w:rsidR="00DC1974" w:rsidRPr="0005428A" w14:paraId="4D9012EF" w14:textId="77777777" w:rsidTr="00DC1974">
        <w:trPr>
          <w:trHeight w:val="300"/>
        </w:trPr>
        <w:tc>
          <w:tcPr>
            <w:tcW w:w="7052" w:type="dxa"/>
            <w:noWrap/>
            <w:hideMark/>
          </w:tcPr>
          <w:p w14:paraId="01900454" w14:textId="60B4120D" w:rsidR="00DC1974" w:rsidRPr="0005428A" w:rsidRDefault="00906EEB" w:rsidP="0005428A">
            <w:pPr>
              <w:rPr>
                <w:rFonts w:cs="Times New Roman"/>
                <w:szCs w:val="24"/>
              </w:rPr>
            </w:pPr>
            <w:r w:rsidRPr="0005428A">
              <w:rPr>
                <w:rFonts w:cs="Times New Roman"/>
                <w:szCs w:val="24"/>
              </w:rPr>
              <w:t>Directors’</w:t>
            </w:r>
            <w:r w:rsidR="00DC1974" w:rsidRPr="0005428A">
              <w:rPr>
                <w:rFonts w:cs="Times New Roman"/>
                <w:szCs w:val="24"/>
              </w:rPr>
              <w:t xml:space="preserve"> remuneration</w:t>
            </w:r>
          </w:p>
        </w:tc>
        <w:tc>
          <w:tcPr>
            <w:tcW w:w="1531" w:type="dxa"/>
            <w:noWrap/>
            <w:hideMark/>
          </w:tcPr>
          <w:p w14:paraId="0D02C364" w14:textId="77777777" w:rsidR="00DC1974" w:rsidRPr="0005428A" w:rsidRDefault="00DC1974" w:rsidP="0005428A">
            <w:pPr>
              <w:rPr>
                <w:rFonts w:cs="Times New Roman"/>
                <w:szCs w:val="24"/>
              </w:rPr>
            </w:pPr>
            <w:r w:rsidRPr="0005428A">
              <w:rPr>
                <w:rFonts w:cs="Times New Roman"/>
                <w:szCs w:val="24"/>
              </w:rPr>
              <w:t>5,000</w:t>
            </w:r>
          </w:p>
        </w:tc>
        <w:tc>
          <w:tcPr>
            <w:tcW w:w="2757" w:type="dxa"/>
            <w:noWrap/>
            <w:hideMark/>
          </w:tcPr>
          <w:p w14:paraId="3E0E81A3" w14:textId="77777777" w:rsidR="00DC1974" w:rsidRPr="0005428A" w:rsidRDefault="00DC1974" w:rsidP="0005428A">
            <w:pPr>
              <w:rPr>
                <w:rFonts w:cs="Times New Roman"/>
                <w:szCs w:val="24"/>
              </w:rPr>
            </w:pPr>
            <w:r w:rsidRPr="0005428A">
              <w:rPr>
                <w:rFonts w:cs="Times New Roman"/>
                <w:szCs w:val="24"/>
              </w:rPr>
              <w:t>66,000</w:t>
            </w:r>
          </w:p>
        </w:tc>
      </w:tr>
      <w:tr w:rsidR="00DC1974" w:rsidRPr="0005428A" w14:paraId="21594C6A" w14:textId="77777777" w:rsidTr="00DC1974">
        <w:trPr>
          <w:trHeight w:val="300"/>
        </w:trPr>
        <w:tc>
          <w:tcPr>
            <w:tcW w:w="7052" w:type="dxa"/>
            <w:noWrap/>
            <w:hideMark/>
          </w:tcPr>
          <w:p w14:paraId="2B332C59" w14:textId="77777777" w:rsidR="00DC1974" w:rsidRPr="0005428A" w:rsidRDefault="00DC1974" w:rsidP="0005428A">
            <w:pPr>
              <w:rPr>
                <w:rFonts w:cs="Times New Roman"/>
                <w:b/>
                <w:bCs/>
                <w:szCs w:val="24"/>
              </w:rPr>
            </w:pPr>
            <w:r w:rsidRPr="0005428A">
              <w:rPr>
                <w:rFonts w:cs="Times New Roman"/>
                <w:b/>
                <w:bCs/>
                <w:szCs w:val="24"/>
              </w:rPr>
              <w:t>Earnings before interest and tax</w:t>
            </w:r>
          </w:p>
        </w:tc>
        <w:tc>
          <w:tcPr>
            <w:tcW w:w="1531" w:type="dxa"/>
            <w:noWrap/>
            <w:hideMark/>
          </w:tcPr>
          <w:p w14:paraId="65391DC8" w14:textId="77777777" w:rsidR="00DC1974" w:rsidRPr="0005428A" w:rsidRDefault="00DC1974" w:rsidP="0005428A">
            <w:pPr>
              <w:rPr>
                <w:rFonts w:cs="Times New Roman"/>
                <w:szCs w:val="24"/>
              </w:rPr>
            </w:pPr>
          </w:p>
        </w:tc>
        <w:tc>
          <w:tcPr>
            <w:tcW w:w="2757" w:type="dxa"/>
            <w:noWrap/>
            <w:hideMark/>
          </w:tcPr>
          <w:p w14:paraId="5B387E7C" w14:textId="77777777" w:rsidR="00DC1974" w:rsidRPr="0005428A" w:rsidRDefault="00DC1974" w:rsidP="0005428A">
            <w:pPr>
              <w:rPr>
                <w:rFonts w:cs="Times New Roman"/>
                <w:b/>
                <w:bCs/>
                <w:szCs w:val="24"/>
              </w:rPr>
            </w:pPr>
            <w:r w:rsidRPr="0005428A">
              <w:rPr>
                <w:rFonts w:cs="Times New Roman"/>
                <w:b/>
                <w:bCs/>
                <w:szCs w:val="24"/>
              </w:rPr>
              <w:t>182,980</w:t>
            </w:r>
          </w:p>
        </w:tc>
      </w:tr>
      <w:tr w:rsidR="00DC1974" w:rsidRPr="0005428A" w14:paraId="359ADAC2" w14:textId="77777777" w:rsidTr="00DC1974">
        <w:trPr>
          <w:trHeight w:val="300"/>
        </w:trPr>
        <w:tc>
          <w:tcPr>
            <w:tcW w:w="7052" w:type="dxa"/>
            <w:noWrap/>
            <w:hideMark/>
          </w:tcPr>
          <w:p w14:paraId="79D55186" w14:textId="77777777" w:rsidR="00DC1974" w:rsidRPr="0005428A" w:rsidRDefault="00DC1974" w:rsidP="0005428A">
            <w:pPr>
              <w:rPr>
                <w:rFonts w:cs="Times New Roman"/>
                <w:szCs w:val="24"/>
              </w:rPr>
            </w:pPr>
            <w:r w:rsidRPr="0005428A">
              <w:rPr>
                <w:rFonts w:cs="Times New Roman"/>
                <w:szCs w:val="24"/>
              </w:rPr>
              <w:t>Less: Interest paid</w:t>
            </w:r>
          </w:p>
        </w:tc>
        <w:tc>
          <w:tcPr>
            <w:tcW w:w="1531" w:type="dxa"/>
            <w:noWrap/>
            <w:hideMark/>
          </w:tcPr>
          <w:p w14:paraId="07A58BC7" w14:textId="77777777" w:rsidR="00DC1974" w:rsidRPr="0005428A" w:rsidRDefault="00DC1974" w:rsidP="0005428A">
            <w:pPr>
              <w:rPr>
                <w:rFonts w:cs="Times New Roman"/>
                <w:szCs w:val="24"/>
              </w:rPr>
            </w:pPr>
          </w:p>
        </w:tc>
        <w:tc>
          <w:tcPr>
            <w:tcW w:w="2757" w:type="dxa"/>
            <w:noWrap/>
            <w:hideMark/>
          </w:tcPr>
          <w:p w14:paraId="74EFFBC6" w14:textId="77777777" w:rsidR="00DC1974" w:rsidRPr="0005428A" w:rsidRDefault="00DC1974" w:rsidP="0005428A">
            <w:pPr>
              <w:rPr>
                <w:rFonts w:cs="Times New Roman"/>
                <w:szCs w:val="24"/>
              </w:rPr>
            </w:pPr>
            <w:r w:rsidRPr="0005428A">
              <w:rPr>
                <w:rFonts w:cs="Times New Roman"/>
                <w:szCs w:val="24"/>
              </w:rPr>
              <w:t>2,000</w:t>
            </w:r>
          </w:p>
        </w:tc>
      </w:tr>
      <w:tr w:rsidR="00DC1974" w:rsidRPr="0005428A" w14:paraId="3CA04F04" w14:textId="77777777" w:rsidTr="00DC1974">
        <w:trPr>
          <w:trHeight w:val="300"/>
        </w:trPr>
        <w:tc>
          <w:tcPr>
            <w:tcW w:w="7052" w:type="dxa"/>
            <w:noWrap/>
            <w:hideMark/>
          </w:tcPr>
          <w:p w14:paraId="10C719D3" w14:textId="77777777" w:rsidR="00DC1974" w:rsidRPr="0005428A" w:rsidRDefault="00DC1974" w:rsidP="0005428A">
            <w:pPr>
              <w:rPr>
                <w:rFonts w:cs="Times New Roman"/>
                <w:b/>
                <w:bCs/>
                <w:szCs w:val="24"/>
              </w:rPr>
            </w:pPr>
            <w:r w:rsidRPr="0005428A">
              <w:rPr>
                <w:rFonts w:cs="Times New Roman"/>
                <w:b/>
                <w:bCs/>
                <w:szCs w:val="24"/>
              </w:rPr>
              <w:t>Earnings after tax</w:t>
            </w:r>
          </w:p>
        </w:tc>
        <w:tc>
          <w:tcPr>
            <w:tcW w:w="1531" w:type="dxa"/>
            <w:noWrap/>
            <w:hideMark/>
          </w:tcPr>
          <w:p w14:paraId="413662DC" w14:textId="77777777" w:rsidR="00DC1974" w:rsidRPr="0005428A" w:rsidRDefault="00DC1974" w:rsidP="0005428A">
            <w:pPr>
              <w:rPr>
                <w:rFonts w:cs="Times New Roman"/>
                <w:szCs w:val="24"/>
              </w:rPr>
            </w:pPr>
          </w:p>
        </w:tc>
        <w:tc>
          <w:tcPr>
            <w:tcW w:w="2757" w:type="dxa"/>
            <w:noWrap/>
            <w:hideMark/>
          </w:tcPr>
          <w:p w14:paraId="5E7B5608" w14:textId="77777777" w:rsidR="00DC1974" w:rsidRPr="0005428A" w:rsidRDefault="00DC1974" w:rsidP="0005428A">
            <w:pPr>
              <w:rPr>
                <w:rFonts w:cs="Times New Roman"/>
                <w:b/>
                <w:bCs/>
                <w:szCs w:val="24"/>
              </w:rPr>
            </w:pPr>
            <w:r w:rsidRPr="0005428A">
              <w:rPr>
                <w:rFonts w:cs="Times New Roman"/>
                <w:b/>
                <w:bCs/>
                <w:szCs w:val="24"/>
              </w:rPr>
              <w:t>180,980</w:t>
            </w:r>
          </w:p>
        </w:tc>
      </w:tr>
      <w:tr w:rsidR="00DC1974" w:rsidRPr="0005428A" w14:paraId="3679E168" w14:textId="77777777" w:rsidTr="00DC1974">
        <w:trPr>
          <w:trHeight w:val="300"/>
        </w:trPr>
        <w:tc>
          <w:tcPr>
            <w:tcW w:w="7052" w:type="dxa"/>
            <w:noWrap/>
            <w:hideMark/>
          </w:tcPr>
          <w:p w14:paraId="6D042BAF" w14:textId="77777777" w:rsidR="00DC1974" w:rsidRPr="0005428A" w:rsidRDefault="00DC1974" w:rsidP="0005428A">
            <w:pPr>
              <w:rPr>
                <w:rFonts w:cs="Times New Roman"/>
                <w:szCs w:val="24"/>
              </w:rPr>
            </w:pPr>
            <w:r w:rsidRPr="0005428A">
              <w:rPr>
                <w:rFonts w:cs="Times New Roman"/>
                <w:szCs w:val="24"/>
              </w:rPr>
              <w:t>Less: tax</w:t>
            </w:r>
          </w:p>
        </w:tc>
        <w:tc>
          <w:tcPr>
            <w:tcW w:w="1531" w:type="dxa"/>
            <w:noWrap/>
            <w:hideMark/>
          </w:tcPr>
          <w:p w14:paraId="540CD39B" w14:textId="77777777" w:rsidR="00DC1974" w:rsidRPr="0005428A" w:rsidRDefault="00DC1974" w:rsidP="0005428A">
            <w:pPr>
              <w:rPr>
                <w:rFonts w:cs="Times New Roman"/>
                <w:szCs w:val="24"/>
              </w:rPr>
            </w:pPr>
          </w:p>
        </w:tc>
        <w:tc>
          <w:tcPr>
            <w:tcW w:w="2757" w:type="dxa"/>
            <w:noWrap/>
            <w:hideMark/>
          </w:tcPr>
          <w:p w14:paraId="0B1EC50B" w14:textId="77777777" w:rsidR="00DC1974" w:rsidRPr="0005428A" w:rsidRDefault="00DC1974" w:rsidP="0005428A">
            <w:pPr>
              <w:rPr>
                <w:rFonts w:cs="Times New Roman"/>
                <w:szCs w:val="24"/>
              </w:rPr>
            </w:pPr>
            <w:r w:rsidRPr="0005428A">
              <w:rPr>
                <w:rFonts w:cs="Times New Roman"/>
                <w:szCs w:val="24"/>
              </w:rPr>
              <w:t>68,000</w:t>
            </w:r>
          </w:p>
        </w:tc>
      </w:tr>
      <w:tr w:rsidR="00DC1974" w:rsidRPr="0005428A" w14:paraId="68CD9ED5" w14:textId="77777777" w:rsidTr="00DC1974">
        <w:trPr>
          <w:trHeight w:val="300"/>
        </w:trPr>
        <w:tc>
          <w:tcPr>
            <w:tcW w:w="7052" w:type="dxa"/>
            <w:noWrap/>
            <w:hideMark/>
          </w:tcPr>
          <w:p w14:paraId="7CC92546" w14:textId="77777777" w:rsidR="00DC1974" w:rsidRPr="0005428A" w:rsidRDefault="00DC1974" w:rsidP="0005428A">
            <w:pPr>
              <w:rPr>
                <w:rFonts w:cs="Times New Roman"/>
                <w:b/>
                <w:bCs/>
                <w:szCs w:val="24"/>
              </w:rPr>
            </w:pPr>
            <w:r w:rsidRPr="0005428A">
              <w:rPr>
                <w:rFonts w:cs="Times New Roman"/>
                <w:b/>
                <w:bCs/>
                <w:szCs w:val="24"/>
              </w:rPr>
              <w:t>Net profit after tax</w:t>
            </w:r>
          </w:p>
        </w:tc>
        <w:tc>
          <w:tcPr>
            <w:tcW w:w="1531" w:type="dxa"/>
            <w:noWrap/>
            <w:hideMark/>
          </w:tcPr>
          <w:p w14:paraId="4BA7EE1B" w14:textId="77777777" w:rsidR="00DC1974" w:rsidRPr="0005428A" w:rsidRDefault="00DC1974" w:rsidP="0005428A">
            <w:pPr>
              <w:rPr>
                <w:rFonts w:cs="Times New Roman"/>
                <w:szCs w:val="24"/>
              </w:rPr>
            </w:pPr>
          </w:p>
        </w:tc>
        <w:tc>
          <w:tcPr>
            <w:tcW w:w="2757" w:type="dxa"/>
            <w:noWrap/>
            <w:hideMark/>
          </w:tcPr>
          <w:p w14:paraId="04666F6F" w14:textId="77777777" w:rsidR="00DC1974" w:rsidRPr="0005428A" w:rsidRDefault="00DC1974" w:rsidP="0005428A">
            <w:pPr>
              <w:rPr>
                <w:rFonts w:cs="Times New Roman"/>
                <w:b/>
                <w:bCs/>
                <w:szCs w:val="24"/>
              </w:rPr>
            </w:pPr>
            <w:r w:rsidRPr="0005428A">
              <w:rPr>
                <w:rFonts w:cs="Times New Roman"/>
                <w:b/>
                <w:bCs/>
                <w:szCs w:val="24"/>
              </w:rPr>
              <w:t>112,980</w:t>
            </w:r>
          </w:p>
        </w:tc>
      </w:tr>
      <w:tr w:rsidR="00DC1974" w:rsidRPr="0005428A" w14:paraId="35B5B4FC" w14:textId="77777777" w:rsidTr="00DC1974">
        <w:trPr>
          <w:trHeight w:val="300"/>
        </w:trPr>
        <w:tc>
          <w:tcPr>
            <w:tcW w:w="7052" w:type="dxa"/>
            <w:noWrap/>
            <w:hideMark/>
          </w:tcPr>
          <w:p w14:paraId="33534359" w14:textId="77777777" w:rsidR="00DC1974" w:rsidRPr="0005428A" w:rsidRDefault="00DC1974" w:rsidP="0005428A">
            <w:pPr>
              <w:rPr>
                <w:rFonts w:cs="Times New Roman"/>
                <w:szCs w:val="24"/>
              </w:rPr>
            </w:pPr>
            <w:r w:rsidRPr="0005428A">
              <w:rPr>
                <w:rFonts w:cs="Times New Roman"/>
                <w:szCs w:val="24"/>
              </w:rPr>
              <w:t>Less: ordinary dividend paid</w:t>
            </w:r>
          </w:p>
        </w:tc>
        <w:tc>
          <w:tcPr>
            <w:tcW w:w="1531" w:type="dxa"/>
            <w:noWrap/>
            <w:hideMark/>
          </w:tcPr>
          <w:p w14:paraId="1C4B6B60" w14:textId="77777777" w:rsidR="00DC1974" w:rsidRPr="0005428A" w:rsidRDefault="00DC1974" w:rsidP="0005428A">
            <w:pPr>
              <w:rPr>
                <w:rFonts w:cs="Times New Roman"/>
                <w:szCs w:val="24"/>
              </w:rPr>
            </w:pPr>
            <w:r w:rsidRPr="0005428A">
              <w:rPr>
                <w:rFonts w:cs="Times New Roman"/>
                <w:szCs w:val="24"/>
              </w:rPr>
              <w:t>20,000</w:t>
            </w:r>
          </w:p>
        </w:tc>
        <w:tc>
          <w:tcPr>
            <w:tcW w:w="2757" w:type="dxa"/>
            <w:noWrap/>
            <w:hideMark/>
          </w:tcPr>
          <w:p w14:paraId="146304A4" w14:textId="77777777" w:rsidR="00DC1974" w:rsidRPr="0005428A" w:rsidRDefault="00DC1974" w:rsidP="0005428A">
            <w:pPr>
              <w:rPr>
                <w:rFonts w:cs="Times New Roman"/>
                <w:szCs w:val="24"/>
              </w:rPr>
            </w:pPr>
          </w:p>
        </w:tc>
      </w:tr>
      <w:tr w:rsidR="00DC1974" w:rsidRPr="0005428A" w14:paraId="37D0823D" w14:textId="77777777" w:rsidTr="00DC1974">
        <w:trPr>
          <w:trHeight w:val="300"/>
        </w:trPr>
        <w:tc>
          <w:tcPr>
            <w:tcW w:w="7052" w:type="dxa"/>
            <w:noWrap/>
            <w:hideMark/>
          </w:tcPr>
          <w:p w14:paraId="16ED043C" w14:textId="77777777" w:rsidR="00DC1974" w:rsidRPr="0005428A" w:rsidRDefault="00DC1974" w:rsidP="0005428A">
            <w:pPr>
              <w:rPr>
                <w:rFonts w:cs="Times New Roman"/>
                <w:szCs w:val="24"/>
              </w:rPr>
            </w:pPr>
            <w:r w:rsidRPr="0005428A">
              <w:rPr>
                <w:rFonts w:cs="Times New Roman"/>
                <w:szCs w:val="24"/>
              </w:rPr>
              <w:t>Less: preference dividend paid</w:t>
            </w:r>
          </w:p>
        </w:tc>
        <w:tc>
          <w:tcPr>
            <w:tcW w:w="1531" w:type="dxa"/>
            <w:noWrap/>
            <w:hideMark/>
          </w:tcPr>
          <w:p w14:paraId="1DC83FBA" w14:textId="77777777" w:rsidR="00DC1974" w:rsidRPr="0005428A" w:rsidRDefault="00DC1974" w:rsidP="0005428A">
            <w:pPr>
              <w:rPr>
                <w:rFonts w:cs="Times New Roman"/>
                <w:szCs w:val="24"/>
              </w:rPr>
            </w:pPr>
            <w:r w:rsidRPr="0005428A">
              <w:rPr>
                <w:rFonts w:cs="Times New Roman"/>
                <w:szCs w:val="24"/>
              </w:rPr>
              <w:t>30,000</w:t>
            </w:r>
          </w:p>
        </w:tc>
        <w:tc>
          <w:tcPr>
            <w:tcW w:w="2757" w:type="dxa"/>
            <w:noWrap/>
            <w:hideMark/>
          </w:tcPr>
          <w:p w14:paraId="26417274" w14:textId="77777777" w:rsidR="00DC1974" w:rsidRPr="0005428A" w:rsidRDefault="00DC1974" w:rsidP="0005428A">
            <w:pPr>
              <w:rPr>
                <w:rFonts w:cs="Times New Roman"/>
                <w:szCs w:val="24"/>
              </w:rPr>
            </w:pPr>
            <w:r w:rsidRPr="0005428A">
              <w:rPr>
                <w:rFonts w:cs="Times New Roman"/>
                <w:szCs w:val="24"/>
              </w:rPr>
              <w:t>50,000</w:t>
            </w:r>
          </w:p>
        </w:tc>
      </w:tr>
      <w:tr w:rsidR="00DC1974" w:rsidRPr="0005428A" w14:paraId="0FA282AF" w14:textId="77777777" w:rsidTr="00DC1974">
        <w:trPr>
          <w:trHeight w:val="300"/>
        </w:trPr>
        <w:tc>
          <w:tcPr>
            <w:tcW w:w="7052" w:type="dxa"/>
            <w:noWrap/>
            <w:hideMark/>
          </w:tcPr>
          <w:p w14:paraId="55213D8B" w14:textId="77777777" w:rsidR="00DC1974" w:rsidRPr="0005428A" w:rsidRDefault="00DC1974" w:rsidP="0005428A">
            <w:pPr>
              <w:rPr>
                <w:rFonts w:cs="Times New Roman"/>
                <w:b/>
                <w:bCs/>
                <w:szCs w:val="24"/>
              </w:rPr>
            </w:pPr>
            <w:r w:rsidRPr="0005428A">
              <w:rPr>
                <w:rFonts w:cs="Times New Roman"/>
                <w:b/>
                <w:bCs/>
                <w:szCs w:val="24"/>
              </w:rPr>
              <w:t>Retained earnings of Kedison Plc</w:t>
            </w:r>
          </w:p>
        </w:tc>
        <w:tc>
          <w:tcPr>
            <w:tcW w:w="1531" w:type="dxa"/>
            <w:noWrap/>
            <w:hideMark/>
          </w:tcPr>
          <w:p w14:paraId="7742E019" w14:textId="77777777" w:rsidR="00DC1974" w:rsidRPr="0005428A" w:rsidRDefault="00DC1974" w:rsidP="0005428A">
            <w:pPr>
              <w:rPr>
                <w:rFonts w:cs="Times New Roman"/>
                <w:szCs w:val="24"/>
              </w:rPr>
            </w:pPr>
            <w:r w:rsidRPr="0005428A">
              <w:rPr>
                <w:rFonts w:cs="Times New Roman"/>
                <w:szCs w:val="24"/>
              </w:rPr>
              <w:t> </w:t>
            </w:r>
          </w:p>
        </w:tc>
        <w:tc>
          <w:tcPr>
            <w:tcW w:w="2757" w:type="dxa"/>
            <w:noWrap/>
            <w:hideMark/>
          </w:tcPr>
          <w:p w14:paraId="5B9C20C8" w14:textId="77777777" w:rsidR="00DC1974" w:rsidRPr="0005428A" w:rsidRDefault="00DC1974" w:rsidP="0005428A">
            <w:pPr>
              <w:rPr>
                <w:rFonts w:cs="Times New Roman"/>
                <w:b/>
                <w:bCs/>
                <w:szCs w:val="24"/>
              </w:rPr>
            </w:pPr>
            <w:r w:rsidRPr="0005428A">
              <w:rPr>
                <w:rFonts w:cs="Times New Roman"/>
                <w:b/>
                <w:bCs/>
                <w:szCs w:val="24"/>
              </w:rPr>
              <w:t>62,980</w:t>
            </w:r>
          </w:p>
        </w:tc>
      </w:tr>
    </w:tbl>
    <w:p w14:paraId="687C27DF" w14:textId="77777777" w:rsidR="00DC1974" w:rsidRPr="0005428A" w:rsidRDefault="00DC1974" w:rsidP="0005428A">
      <w:pPr>
        <w:rPr>
          <w:rFonts w:cs="Times New Roman"/>
          <w:szCs w:val="24"/>
        </w:rPr>
      </w:pPr>
    </w:p>
    <w:p w14:paraId="7E128DF8" w14:textId="77777777" w:rsidR="005E25D9" w:rsidRPr="0005428A" w:rsidRDefault="00A978DB" w:rsidP="0005428A">
      <w:pPr>
        <w:rPr>
          <w:rFonts w:cs="Times New Roman"/>
          <w:b/>
          <w:szCs w:val="24"/>
        </w:rPr>
      </w:pPr>
      <w:r w:rsidRPr="0005428A">
        <w:rPr>
          <w:rFonts w:cs="Times New Roman"/>
          <w:b/>
          <w:szCs w:val="24"/>
        </w:rPr>
        <w:t>Balance Sheet</w:t>
      </w:r>
    </w:p>
    <w:tbl>
      <w:tblPr>
        <w:tblW w:w="5000" w:type="pct"/>
        <w:tblLook w:val="04A0" w:firstRow="1" w:lastRow="0" w:firstColumn="1" w:lastColumn="0" w:noHBand="0" w:noVBand="1"/>
      </w:tblPr>
      <w:tblGrid>
        <w:gridCol w:w="5114"/>
        <w:gridCol w:w="2119"/>
        <w:gridCol w:w="2117"/>
      </w:tblGrid>
      <w:tr w:rsidR="00F054E0" w:rsidRPr="00F054E0" w14:paraId="4F1A9915" w14:textId="77777777" w:rsidTr="00EA46A7">
        <w:trPr>
          <w:trHeight w:val="300"/>
        </w:trPr>
        <w:tc>
          <w:tcPr>
            <w:tcW w:w="5000" w:type="pct"/>
            <w:gridSpan w:val="3"/>
            <w:tcBorders>
              <w:top w:val="single" w:sz="4" w:space="0" w:color="auto"/>
              <w:left w:val="single" w:sz="4" w:space="0" w:color="auto"/>
              <w:bottom w:val="single" w:sz="4" w:space="0" w:color="auto"/>
              <w:right w:val="single" w:sz="4" w:space="0" w:color="auto"/>
            </w:tcBorders>
            <w:shd w:val="clear" w:color="auto" w:fill="FFFFFF" w:themeFill="background1"/>
            <w:noWrap/>
            <w:vAlign w:val="bottom"/>
            <w:hideMark/>
          </w:tcPr>
          <w:p w14:paraId="28DD5BE1" w14:textId="77777777" w:rsidR="00F054E0" w:rsidRPr="00F054E0" w:rsidRDefault="00F054E0" w:rsidP="00F054E0">
            <w:pPr>
              <w:spacing w:after="0"/>
              <w:rPr>
                <w:rFonts w:eastAsia="Times New Roman" w:cs="Times New Roman"/>
                <w:b/>
                <w:bCs/>
                <w:color w:val="000000"/>
                <w:szCs w:val="24"/>
              </w:rPr>
            </w:pPr>
            <w:r w:rsidRPr="00F054E0">
              <w:rPr>
                <w:rFonts w:eastAsia="Times New Roman" w:cs="Times New Roman"/>
                <w:b/>
                <w:bCs/>
                <w:color w:val="000000"/>
                <w:szCs w:val="24"/>
              </w:rPr>
              <w:t>Balance Sheet as on 31 January 2020 of Kedison Plc</w:t>
            </w:r>
          </w:p>
        </w:tc>
      </w:tr>
      <w:tr w:rsidR="00F054E0" w:rsidRPr="00F054E0" w14:paraId="1158D2A1" w14:textId="77777777" w:rsidTr="00EA46A7">
        <w:trPr>
          <w:trHeight w:val="300"/>
        </w:trPr>
        <w:tc>
          <w:tcPr>
            <w:tcW w:w="2735" w:type="pct"/>
            <w:tcBorders>
              <w:top w:val="single" w:sz="4" w:space="0" w:color="auto"/>
              <w:left w:val="single" w:sz="4" w:space="0" w:color="auto"/>
              <w:bottom w:val="single" w:sz="4" w:space="0" w:color="auto"/>
              <w:right w:val="single" w:sz="4" w:space="0" w:color="auto"/>
            </w:tcBorders>
            <w:shd w:val="clear" w:color="auto" w:fill="FFFFFF" w:themeFill="background1"/>
            <w:noWrap/>
            <w:vAlign w:val="bottom"/>
            <w:hideMark/>
          </w:tcPr>
          <w:p w14:paraId="4A6FAC5F" w14:textId="77777777" w:rsidR="00F054E0" w:rsidRPr="00F054E0" w:rsidRDefault="00F054E0" w:rsidP="00F054E0">
            <w:pPr>
              <w:spacing w:after="0"/>
              <w:rPr>
                <w:rFonts w:eastAsia="Times New Roman" w:cs="Times New Roman"/>
                <w:b/>
                <w:bCs/>
                <w:color w:val="000000"/>
                <w:szCs w:val="24"/>
              </w:rPr>
            </w:pPr>
            <w:r w:rsidRPr="00F054E0">
              <w:rPr>
                <w:rFonts w:eastAsia="Times New Roman" w:cs="Times New Roman"/>
                <w:b/>
                <w:bCs/>
                <w:color w:val="000000"/>
                <w:szCs w:val="24"/>
              </w:rPr>
              <w:lastRenderedPageBreak/>
              <w:t>Assets</w:t>
            </w:r>
          </w:p>
        </w:tc>
        <w:tc>
          <w:tcPr>
            <w:tcW w:w="1133" w:type="pct"/>
            <w:tcBorders>
              <w:top w:val="single" w:sz="4" w:space="0" w:color="auto"/>
              <w:left w:val="nil"/>
              <w:bottom w:val="single" w:sz="4" w:space="0" w:color="auto"/>
              <w:right w:val="single" w:sz="4" w:space="0" w:color="auto"/>
            </w:tcBorders>
            <w:shd w:val="clear" w:color="auto" w:fill="FFFFFF" w:themeFill="background1"/>
            <w:noWrap/>
            <w:vAlign w:val="bottom"/>
            <w:hideMark/>
          </w:tcPr>
          <w:p w14:paraId="39348803" w14:textId="77777777" w:rsidR="00F054E0" w:rsidRPr="00F054E0" w:rsidRDefault="00F054E0" w:rsidP="00F054E0">
            <w:pPr>
              <w:spacing w:after="0"/>
              <w:rPr>
                <w:rFonts w:eastAsia="Times New Roman" w:cs="Times New Roman"/>
                <w:b/>
                <w:bCs/>
                <w:color w:val="000000"/>
                <w:szCs w:val="24"/>
              </w:rPr>
            </w:pPr>
            <w:r w:rsidRPr="00F054E0">
              <w:rPr>
                <w:rFonts w:eastAsia="Times New Roman" w:cs="Times New Roman"/>
                <w:b/>
                <w:bCs/>
                <w:color w:val="000000"/>
                <w:szCs w:val="24"/>
              </w:rPr>
              <w:t>Amount in £</w:t>
            </w:r>
          </w:p>
        </w:tc>
        <w:tc>
          <w:tcPr>
            <w:tcW w:w="1133" w:type="pct"/>
            <w:tcBorders>
              <w:top w:val="single" w:sz="4" w:space="0" w:color="auto"/>
              <w:left w:val="nil"/>
              <w:bottom w:val="single" w:sz="4" w:space="0" w:color="auto"/>
              <w:right w:val="single" w:sz="4" w:space="0" w:color="auto"/>
            </w:tcBorders>
            <w:shd w:val="clear" w:color="auto" w:fill="FFFFFF" w:themeFill="background1"/>
            <w:noWrap/>
            <w:vAlign w:val="bottom"/>
            <w:hideMark/>
          </w:tcPr>
          <w:p w14:paraId="2F52AA37" w14:textId="77777777" w:rsidR="00F054E0" w:rsidRPr="00F054E0" w:rsidRDefault="00F054E0" w:rsidP="00F054E0">
            <w:pPr>
              <w:spacing w:after="0"/>
              <w:rPr>
                <w:rFonts w:eastAsia="Times New Roman" w:cs="Times New Roman"/>
                <w:b/>
                <w:bCs/>
                <w:color w:val="000000"/>
                <w:szCs w:val="24"/>
              </w:rPr>
            </w:pPr>
            <w:r w:rsidRPr="00F054E0">
              <w:rPr>
                <w:rFonts w:eastAsia="Times New Roman" w:cs="Times New Roman"/>
                <w:b/>
                <w:bCs/>
                <w:color w:val="000000"/>
                <w:szCs w:val="24"/>
              </w:rPr>
              <w:t>Amount in £</w:t>
            </w:r>
          </w:p>
        </w:tc>
      </w:tr>
      <w:tr w:rsidR="00F054E0" w:rsidRPr="00F054E0" w14:paraId="6070DDB8" w14:textId="77777777" w:rsidTr="00EA46A7">
        <w:trPr>
          <w:trHeight w:val="300"/>
        </w:trPr>
        <w:tc>
          <w:tcPr>
            <w:tcW w:w="2735" w:type="pct"/>
            <w:tcBorders>
              <w:top w:val="nil"/>
              <w:left w:val="single" w:sz="4" w:space="0" w:color="auto"/>
              <w:bottom w:val="single" w:sz="4" w:space="0" w:color="auto"/>
              <w:right w:val="single" w:sz="4" w:space="0" w:color="auto"/>
            </w:tcBorders>
            <w:shd w:val="clear" w:color="auto" w:fill="FFFFFF" w:themeFill="background1"/>
            <w:noWrap/>
            <w:vAlign w:val="bottom"/>
            <w:hideMark/>
          </w:tcPr>
          <w:p w14:paraId="17952B61" w14:textId="130F794B" w:rsidR="00F054E0" w:rsidRPr="00F054E0" w:rsidRDefault="00EA46A7" w:rsidP="00F054E0">
            <w:pPr>
              <w:spacing w:after="0"/>
              <w:rPr>
                <w:rFonts w:eastAsia="Times New Roman" w:cs="Times New Roman"/>
                <w:color w:val="000000"/>
                <w:szCs w:val="24"/>
              </w:rPr>
            </w:pPr>
            <w:r w:rsidRPr="00F054E0">
              <w:rPr>
                <w:rFonts w:eastAsia="Times New Roman" w:cs="Times New Roman"/>
                <w:color w:val="000000"/>
                <w:szCs w:val="24"/>
              </w:rPr>
              <w:t>Non</w:t>
            </w:r>
            <w:r>
              <w:rPr>
                <w:rFonts w:eastAsia="Times New Roman" w:cs="Times New Roman"/>
                <w:color w:val="000000"/>
                <w:szCs w:val="24"/>
              </w:rPr>
              <w:t>-</w:t>
            </w:r>
            <w:r w:rsidRPr="00F054E0">
              <w:rPr>
                <w:rFonts w:eastAsia="Times New Roman" w:cs="Times New Roman"/>
                <w:color w:val="000000"/>
                <w:szCs w:val="24"/>
              </w:rPr>
              <w:t>current</w:t>
            </w:r>
            <w:r w:rsidR="00F054E0" w:rsidRPr="00F054E0">
              <w:rPr>
                <w:rFonts w:eastAsia="Times New Roman" w:cs="Times New Roman"/>
                <w:color w:val="000000"/>
                <w:szCs w:val="24"/>
              </w:rPr>
              <w:t xml:space="preserve"> assets</w:t>
            </w:r>
          </w:p>
        </w:tc>
        <w:tc>
          <w:tcPr>
            <w:tcW w:w="1133" w:type="pct"/>
            <w:tcBorders>
              <w:top w:val="nil"/>
              <w:left w:val="nil"/>
              <w:bottom w:val="single" w:sz="4" w:space="0" w:color="auto"/>
              <w:right w:val="single" w:sz="4" w:space="0" w:color="auto"/>
            </w:tcBorders>
            <w:shd w:val="clear" w:color="auto" w:fill="FFFFFF" w:themeFill="background1"/>
            <w:noWrap/>
            <w:vAlign w:val="bottom"/>
            <w:hideMark/>
          </w:tcPr>
          <w:p w14:paraId="50ADE741"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c>
          <w:tcPr>
            <w:tcW w:w="1133" w:type="pct"/>
            <w:tcBorders>
              <w:top w:val="nil"/>
              <w:left w:val="nil"/>
              <w:bottom w:val="single" w:sz="4" w:space="0" w:color="auto"/>
              <w:right w:val="single" w:sz="4" w:space="0" w:color="auto"/>
            </w:tcBorders>
            <w:shd w:val="clear" w:color="auto" w:fill="FFFFFF" w:themeFill="background1"/>
            <w:noWrap/>
            <w:vAlign w:val="bottom"/>
            <w:hideMark/>
          </w:tcPr>
          <w:p w14:paraId="3A8D793D"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r>
      <w:tr w:rsidR="00F054E0" w:rsidRPr="00F054E0" w14:paraId="53E0C4E7" w14:textId="77777777" w:rsidTr="00EA46A7">
        <w:trPr>
          <w:trHeight w:val="315"/>
        </w:trPr>
        <w:tc>
          <w:tcPr>
            <w:tcW w:w="2735" w:type="pct"/>
            <w:tcBorders>
              <w:top w:val="nil"/>
              <w:left w:val="single" w:sz="4" w:space="0" w:color="auto"/>
              <w:bottom w:val="single" w:sz="4" w:space="0" w:color="auto"/>
              <w:right w:val="single" w:sz="4" w:space="0" w:color="auto"/>
            </w:tcBorders>
            <w:shd w:val="clear" w:color="auto" w:fill="FFFFFF" w:themeFill="background1"/>
            <w:noWrap/>
            <w:vAlign w:val="bottom"/>
            <w:hideMark/>
          </w:tcPr>
          <w:p w14:paraId="64F6BD66"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Plant and equipment</w:t>
            </w:r>
          </w:p>
        </w:tc>
        <w:tc>
          <w:tcPr>
            <w:tcW w:w="1133" w:type="pct"/>
            <w:tcBorders>
              <w:top w:val="nil"/>
              <w:left w:val="nil"/>
              <w:bottom w:val="single" w:sz="4" w:space="0" w:color="auto"/>
              <w:right w:val="single" w:sz="4" w:space="0" w:color="auto"/>
            </w:tcBorders>
            <w:shd w:val="clear" w:color="auto" w:fill="FFFFFF" w:themeFill="background1"/>
            <w:noWrap/>
            <w:vAlign w:val="bottom"/>
            <w:hideMark/>
          </w:tcPr>
          <w:p w14:paraId="68CCDEEC"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632,730</w:t>
            </w:r>
          </w:p>
        </w:tc>
        <w:tc>
          <w:tcPr>
            <w:tcW w:w="1133" w:type="pct"/>
            <w:tcBorders>
              <w:top w:val="nil"/>
              <w:left w:val="nil"/>
              <w:bottom w:val="single" w:sz="4" w:space="0" w:color="auto"/>
              <w:right w:val="single" w:sz="4" w:space="0" w:color="auto"/>
            </w:tcBorders>
            <w:shd w:val="clear" w:color="auto" w:fill="FFFFFF" w:themeFill="background1"/>
            <w:noWrap/>
            <w:vAlign w:val="bottom"/>
            <w:hideMark/>
          </w:tcPr>
          <w:p w14:paraId="16910104"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r>
      <w:tr w:rsidR="00F054E0" w:rsidRPr="00F054E0" w14:paraId="560F88B6" w14:textId="77777777" w:rsidTr="00EA46A7">
        <w:trPr>
          <w:trHeight w:val="315"/>
        </w:trPr>
        <w:tc>
          <w:tcPr>
            <w:tcW w:w="2735" w:type="pct"/>
            <w:tcBorders>
              <w:top w:val="nil"/>
              <w:left w:val="single" w:sz="4" w:space="0" w:color="auto"/>
              <w:bottom w:val="single" w:sz="4" w:space="0" w:color="auto"/>
              <w:right w:val="single" w:sz="4" w:space="0" w:color="auto"/>
            </w:tcBorders>
            <w:shd w:val="clear" w:color="auto" w:fill="FFFFFF" w:themeFill="background1"/>
            <w:noWrap/>
            <w:hideMark/>
          </w:tcPr>
          <w:p w14:paraId="70EEB293" w14:textId="77777777" w:rsidR="00F054E0" w:rsidRPr="00F054E0" w:rsidRDefault="00F054E0" w:rsidP="00F054E0">
            <w:pPr>
              <w:spacing w:after="0"/>
              <w:rPr>
                <w:rFonts w:eastAsia="Times New Roman" w:cs="Times New Roman"/>
                <w:b/>
                <w:bCs/>
                <w:color w:val="000000"/>
                <w:szCs w:val="24"/>
              </w:rPr>
            </w:pPr>
            <w:r w:rsidRPr="00F054E0">
              <w:rPr>
                <w:rFonts w:eastAsia="Times New Roman" w:cs="Times New Roman"/>
                <w:b/>
                <w:bCs/>
                <w:color w:val="000000"/>
                <w:szCs w:val="24"/>
              </w:rPr>
              <w:t>Total noncurrent assets</w:t>
            </w:r>
          </w:p>
        </w:tc>
        <w:tc>
          <w:tcPr>
            <w:tcW w:w="1133" w:type="pct"/>
            <w:tcBorders>
              <w:top w:val="nil"/>
              <w:left w:val="nil"/>
              <w:bottom w:val="single" w:sz="4" w:space="0" w:color="auto"/>
              <w:right w:val="single" w:sz="4" w:space="0" w:color="auto"/>
            </w:tcBorders>
            <w:shd w:val="clear" w:color="auto" w:fill="FFFFFF" w:themeFill="background1"/>
            <w:noWrap/>
            <w:vAlign w:val="bottom"/>
            <w:hideMark/>
          </w:tcPr>
          <w:p w14:paraId="10459762"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c>
          <w:tcPr>
            <w:tcW w:w="1133" w:type="pct"/>
            <w:tcBorders>
              <w:top w:val="nil"/>
              <w:left w:val="nil"/>
              <w:bottom w:val="single" w:sz="4" w:space="0" w:color="auto"/>
              <w:right w:val="single" w:sz="4" w:space="0" w:color="auto"/>
            </w:tcBorders>
            <w:shd w:val="clear" w:color="auto" w:fill="FFFFFF" w:themeFill="background1"/>
            <w:noWrap/>
            <w:vAlign w:val="bottom"/>
            <w:hideMark/>
          </w:tcPr>
          <w:p w14:paraId="58CD4651" w14:textId="77777777" w:rsidR="00F054E0" w:rsidRPr="00F054E0" w:rsidRDefault="00F054E0" w:rsidP="00F054E0">
            <w:pPr>
              <w:spacing w:after="0"/>
              <w:rPr>
                <w:rFonts w:eastAsia="Times New Roman" w:cs="Times New Roman"/>
                <w:b/>
                <w:bCs/>
                <w:color w:val="000000"/>
                <w:szCs w:val="24"/>
              </w:rPr>
            </w:pPr>
            <w:r w:rsidRPr="00F054E0">
              <w:rPr>
                <w:rFonts w:eastAsia="Times New Roman" w:cs="Times New Roman"/>
                <w:b/>
                <w:bCs/>
                <w:color w:val="000000"/>
                <w:szCs w:val="24"/>
              </w:rPr>
              <w:t>632,730</w:t>
            </w:r>
          </w:p>
        </w:tc>
      </w:tr>
      <w:tr w:rsidR="00F054E0" w:rsidRPr="00F054E0" w14:paraId="2E7DDD4E" w14:textId="77777777" w:rsidTr="00EA46A7">
        <w:trPr>
          <w:trHeight w:val="315"/>
        </w:trPr>
        <w:tc>
          <w:tcPr>
            <w:tcW w:w="2735" w:type="pct"/>
            <w:tcBorders>
              <w:top w:val="nil"/>
              <w:left w:val="single" w:sz="4" w:space="0" w:color="auto"/>
              <w:bottom w:val="single" w:sz="4" w:space="0" w:color="auto"/>
              <w:right w:val="single" w:sz="4" w:space="0" w:color="auto"/>
            </w:tcBorders>
            <w:shd w:val="clear" w:color="auto" w:fill="FFFFFF" w:themeFill="background1"/>
            <w:noWrap/>
            <w:hideMark/>
          </w:tcPr>
          <w:p w14:paraId="2CFC8E8D" w14:textId="77777777" w:rsidR="00F054E0" w:rsidRPr="00F054E0" w:rsidRDefault="00F054E0" w:rsidP="00F054E0">
            <w:pPr>
              <w:spacing w:after="0"/>
              <w:rPr>
                <w:rFonts w:eastAsia="Times New Roman" w:cs="Times New Roman"/>
                <w:b/>
                <w:bCs/>
                <w:color w:val="000000"/>
                <w:szCs w:val="24"/>
              </w:rPr>
            </w:pPr>
            <w:r w:rsidRPr="00F054E0">
              <w:rPr>
                <w:rFonts w:eastAsia="Times New Roman" w:cs="Times New Roman"/>
                <w:b/>
                <w:bCs/>
                <w:color w:val="000000"/>
                <w:szCs w:val="24"/>
              </w:rPr>
              <w:t>Current assets</w:t>
            </w:r>
          </w:p>
        </w:tc>
        <w:tc>
          <w:tcPr>
            <w:tcW w:w="1133" w:type="pct"/>
            <w:tcBorders>
              <w:top w:val="nil"/>
              <w:left w:val="nil"/>
              <w:bottom w:val="single" w:sz="4" w:space="0" w:color="auto"/>
              <w:right w:val="single" w:sz="4" w:space="0" w:color="auto"/>
            </w:tcBorders>
            <w:shd w:val="clear" w:color="auto" w:fill="FFFFFF" w:themeFill="background1"/>
            <w:noWrap/>
            <w:hideMark/>
          </w:tcPr>
          <w:p w14:paraId="6FF5884B"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c>
          <w:tcPr>
            <w:tcW w:w="1133" w:type="pct"/>
            <w:tcBorders>
              <w:top w:val="nil"/>
              <w:left w:val="nil"/>
              <w:bottom w:val="single" w:sz="4" w:space="0" w:color="auto"/>
              <w:right w:val="single" w:sz="4" w:space="0" w:color="auto"/>
            </w:tcBorders>
            <w:shd w:val="clear" w:color="auto" w:fill="FFFFFF" w:themeFill="background1"/>
            <w:noWrap/>
            <w:vAlign w:val="bottom"/>
            <w:hideMark/>
          </w:tcPr>
          <w:p w14:paraId="397A939E"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r>
      <w:tr w:rsidR="00F054E0" w:rsidRPr="00F054E0" w14:paraId="0420381C" w14:textId="77777777" w:rsidTr="00EA46A7">
        <w:trPr>
          <w:trHeight w:val="315"/>
        </w:trPr>
        <w:tc>
          <w:tcPr>
            <w:tcW w:w="2735" w:type="pct"/>
            <w:tcBorders>
              <w:top w:val="nil"/>
              <w:left w:val="single" w:sz="4" w:space="0" w:color="auto"/>
              <w:bottom w:val="single" w:sz="4" w:space="0" w:color="auto"/>
              <w:right w:val="single" w:sz="4" w:space="0" w:color="auto"/>
            </w:tcBorders>
            <w:shd w:val="clear" w:color="auto" w:fill="FFFFFF" w:themeFill="background1"/>
            <w:noWrap/>
            <w:hideMark/>
          </w:tcPr>
          <w:p w14:paraId="2D9FC910"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Cash and bank</w:t>
            </w:r>
          </w:p>
        </w:tc>
        <w:tc>
          <w:tcPr>
            <w:tcW w:w="1133" w:type="pct"/>
            <w:tcBorders>
              <w:top w:val="nil"/>
              <w:left w:val="nil"/>
              <w:bottom w:val="single" w:sz="4" w:space="0" w:color="auto"/>
              <w:right w:val="single" w:sz="4" w:space="0" w:color="auto"/>
            </w:tcBorders>
            <w:shd w:val="clear" w:color="auto" w:fill="FFFFFF" w:themeFill="background1"/>
            <w:noWrap/>
            <w:hideMark/>
          </w:tcPr>
          <w:p w14:paraId="65F1287A"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12,900</w:t>
            </w:r>
          </w:p>
        </w:tc>
        <w:tc>
          <w:tcPr>
            <w:tcW w:w="1133" w:type="pct"/>
            <w:tcBorders>
              <w:top w:val="nil"/>
              <w:left w:val="nil"/>
              <w:bottom w:val="single" w:sz="4" w:space="0" w:color="auto"/>
              <w:right w:val="single" w:sz="4" w:space="0" w:color="auto"/>
            </w:tcBorders>
            <w:shd w:val="clear" w:color="auto" w:fill="FFFFFF" w:themeFill="background1"/>
            <w:noWrap/>
            <w:vAlign w:val="bottom"/>
            <w:hideMark/>
          </w:tcPr>
          <w:p w14:paraId="6FAABCF7"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r>
      <w:tr w:rsidR="00F054E0" w:rsidRPr="00F054E0" w14:paraId="23BF82AF" w14:textId="77777777" w:rsidTr="00EA46A7">
        <w:trPr>
          <w:trHeight w:val="315"/>
        </w:trPr>
        <w:tc>
          <w:tcPr>
            <w:tcW w:w="2735" w:type="pct"/>
            <w:tcBorders>
              <w:top w:val="nil"/>
              <w:left w:val="single" w:sz="4" w:space="0" w:color="auto"/>
              <w:bottom w:val="single" w:sz="4" w:space="0" w:color="auto"/>
              <w:right w:val="single" w:sz="4" w:space="0" w:color="auto"/>
            </w:tcBorders>
            <w:shd w:val="clear" w:color="auto" w:fill="FFFFFF" w:themeFill="background1"/>
            <w:noWrap/>
            <w:hideMark/>
          </w:tcPr>
          <w:p w14:paraId="63153EB2"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Inventory</w:t>
            </w:r>
          </w:p>
        </w:tc>
        <w:tc>
          <w:tcPr>
            <w:tcW w:w="1133" w:type="pct"/>
            <w:tcBorders>
              <w:top w:val="nil"/>
              <w:left w:val="nil"/>
              <w:bottom w:val="single" w:sz="4" w:space="0" w:color="auto"/>
              <w:right w:val="single" w:sz="4" w:space="0" w:color="auto"/>
            </w:tcBorders>
            <w:shd w:val="clear" w:color="auto" w:fill="FFFFFF" w:themeFill="background1"/>
            <w:noWrap/>
            <w:hideMark/>
          </w:tcPr>
          <w:p w14:paraId="4113192B"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330,600</w:t>
            </w:r>
          </w:p>
        </w:tc>
        <w:tc>
          <w:tcPr>
            <w:tcW w:w="1133" w:type="pct"/>
            <w:tcBorders>
              <w:top w:val="nil"/>
              <w:left w:val="nil"/>
              <w:bottom w:val="single" w:sz="4" w:space="0" w:color="auto"/>
              <w:right w:val="single" w:sz="4" w:space="0" w:color="auto"/>
            </w:tcBorders>
            <w:shd w:val="clear" w:color="auto" w:fill="FFFFFF" w:themeFill="background1"/>
            <w:noWrap/>
            <w:vAlign w:val="bottom"/>
            <w:hideMark/>
          </w:tcPr>
          <w:p w14:paraId="14B94CAF"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r>
      <w:tr w:rsidR="00F054E0" w:rsidRPr="00F054E0" w14:paraId="0C8FEAF3" w14:textId="77777777" w:rsidTr="00EA46A7">
        <w:trPr>
          <w:trHeight w:val="315"/>
        </w:trPr>
        <w:tc>
          <w:tcPr>
            <w:tcW w:w="2735" w:type="pct"/>
            <w:tcBorders>
              <w:top w:val="nil"/>
              <w:left w:val="single" w:sz="4" w:space="0" w:color="auto"/>
              <w:bottom w:val="single" w:sz="4" w:space="0" w:color="auto"/>
              <w:right w:val="single" w:sz="4" w:space="0" w:color="auto"/>
            </w:tcBorders>
            <w:shd w:val="clear" w:color="auto" w:fill="FFFFFF" w:themeFill="background1"/>
            <w:noWrap/>
            <w:hideMark/>
          </w:tcPr>
          <w:p w14:paraId="05053464"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Accrued income</w:t>
            </w:r>
          </w:p>
        </w:tc>
        <w:tc>
          <w:tcPr>
            <w:tcW w:w="1133" w:type="pct"/>
            <w:tcBorders>
              <w:top w:val="nil"/>
              <w:left w:val="nil"/>
              <w:bottom w:val="single" w:sz="4" w:space="0" w:color="auto"/>
              <w:right w:val="single" w:sz="4" w:space="0" w:color="auto"/>
            </w:tcBorders>
            <w:shd w:val="clear" w:color="auto" w:fill="FFFFFF" w:themeFill="background1"/>
            <w:noWrap/>
            <w:hideMark/>
          </w:tcPr>
          <w:p w14:paraId="33B79860"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980</w:t>
            </w:r>
          </w:p>
        </w:tc>
        <w:tc>
          <w:tcPr>
            <w:tcW w:w="1133" w:type="pct"/>
            <w:tcBorders>
              <w:top w:val="nil"/>
              <w:left w:val="nil"/>
              <w:bottom w:val="single" w:sz="4" w:space="0" w:color="auto"/>
              <w:right w:val="single" w:sz="4" w:space="0" w:color="auto"/>
            </w:tcBorders>
            <w:shd w:val="clear" w:color="auto" w:fill="FFFFFF" w:themeFill="background1"/>
            <w:noWrap/>
            <w:vAlign w:val="bottom"/>
            <w:hideMark/>
          </w:tcPr>
          <w:p w14:paraId="255D6F9F"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r>
      <w:tr w:rsidR="00F054E0" w:rsidRPr="00F054E0" w14:paraId="26CFA0DD" w14:textId="77777777" w:rsidTr="00EA46A7">
        <w:trPr>
          <w:trHeight w:val="315"/>
        </w:trPr>
        <w:tc>
          <w:tcPr>
            <w:tcW w:w="2735" w:type="pct"/>
            <w:tcBorders>
              <w:top w:val="nil"/>
              <w:left w:val="single" w:sz="4" w:space="0" w:color="auto"/>
              <w:bottom w:val="single" w:sz="4" w:space="0" w:color="auto"/>
              <w:right w:val="single" w:sz="4" w:space="0" w:color="auto"/>
            </w:tcBorders>
            <w:shd w:val="clear" w:color="auto" w:fill="FFFFFF" w:themeFill="background1"/>
            <w:noWrap/>
            <w:hideMark/>
          </w:tcPr>
          <w:p w14:paraId="08352AFF"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Debtors</w:t>
            </w:r>
          </w:p>
        </w:tc>
        <w:tc>
          <w:tcPr>
            <w:tcW w:w="1133" w:type="pct"/>
            <w:tcBorders>
              <w:top w:val="nil"/>
              <w:left w:val="nil"/>
              <w:bottom w:val="single" w:sz="4" w:space="0" w:color="auto"/>
              <w:right w:val="single" w:sz="4" w:space="0" w:color="auto"/>
            </w:tcBorders>
            <w:shd w:val="clear" w:color="auto" w:fill="FFFFFF" w:themeFill="background1"/>
            <w:noWrap/>
            <w:hideMark/>
          </w:tcPr>
          <w:p w14:paraId="7ABF2D62"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170,125</w:t>
            </w:r>
          </w:p>
        </w:tc>
        <w:tc>
          <w:tcPr>
            <w:tcW w:w="1133" w:type="pct"/>
            <w:tcBorders>
              <w:top w:val="nil"/>
              <w:left w:val="nil"/>
              <w:bottom w:val="single" w:sz="4" w:space="0" w:color="auto"/>
              <w:right w:val="single" w:sz="4" w:space="0" w:color="auto"/>
            </w:tcBorders>
            <w:shd w:val="clear" w:color="auto" w:fill="FFFFFF" w:themeFill="background1"/>
            <w:noWrap/>
            <w:vAlign w:val="bottom"/>
            <w:hideMark/>
          </w:tcPr>
          <w:p w14:paraId="133D0403"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r>
      <w:tr w:rsidR="00F054E0" w:rsidRPr="00F054E0" w14:paraId="36688113" w14:textId="77777777" w:rsidTr="00EA46A7">
        <w:trPr>
          <w:trHeight w:val="315"/>
        </w:trPr>
        <w:tc>
          <w:tcPr>
            <w:tcW w:w="2735" w:type="pct"/>
            <w:tcBorders>
              <w:top w:val="nil"/>
              <w:left w:val="single" w:sz="4" w:space="0" w:color="auto"/>
              <w:bottom w:val="single" w:sz="4" w:space="0" w:color="auto"/>
              <w:right w:val="single" w:sz="4" w:space="0" w:color="auto"/>
            </w:tcBorders>
            <w:shd w:val="clear" w:color="auto" w:fill="FFFFFF" w:themeFill="background1"/>
            <w:noWrap/>
            <w:hideMark/>
          </w:tcPr>
          <w:p w14:paraId="065AF37D" w14:textId="77777777" w:rsidR="00F054E0" w:rsidRPr="00F054E0" w:rsidRDefault="00F054E0" w:rsidP="00F054E0">
            <w:pPr>
              <w:spacing w:after="0"/>
              <w:rPr>
                <w:rFonts w:eastAsia="Times New Roman" w:cs="Times New Roman"/>
                <w:b/>
                <w:bCs/>
                <w:color w:val="000000"/>
                <w:szCs w:val="24"/>
              </w:rPr>
            </w:pPr>
            <w:r w:rsidRPr="00F054E0">
              <w:rPr>
                <w:rFonts w:eastAsia="Times New Roman" w:cs="Times New Roman"/>
                <w:b/>
                <w:bCs/>
                <w:color w:val="000000"/>
                <w:szCs w:val="24"/>
              </w:rPr>
              <w:t>Total current assets</w:t>
            </w:r>
          </w:p>
        </w:tc>
        <w:tc>
          <w:tcPr>
            <w:tcW w:w="1133" w:type="pct"/>
            <w:tcBorders>
              <w:top w:val="nil"/>
              <w:left w:val="nil"/>
              <w:bottom w:val="single" w:sz="4" w:space="0" w:color="auto"/>
              <w:right w:val="single" w:sz="4" w:space="0" w:color="auto"/>
            </w:tcBorders>
            <w:shd w:val="clear" w:color="auto" w:fill="FFFFFF" w:themeFill="background1"/>
            <w:noWrap/>
            <w:hideMark/>
          </w:tcPr>
          <w:p w14:paraId="6A3BB489" w14:textId="77777777" w:rsidR="00F054E0" w:rsidRPr="00F054E0" w:rsidRDefault="00F054E0" w:rsidP="00F054E0">
            <w:pPr>
              <w:spacing w:after="0"/>
              <w:rPr>
                <w:rFonts w:eastAsia="Times New Roman" w:cs="Times New Roman"/>
                <w:b/>
                <w:bCs/>
                <w:color w:val="000000"/>
                <w:szCs w:val="24"/>
              </w:rPr>
            </w:pPr>
            <w:r w:rsidRPr="00F054E0">
              <w:rPr>
                <w:rFonts w:eastAsia="Times New Roman" w:cs="Times New Roman"/>
                <w:b/>
                <w:bCs/>
                <w:color w:val="000000"/>
                <w:szCs w:val="24"/>
              </w:rPr>
              <w:t> </w:t>
            </w:r>
          </w:p>
        </w:tc>
        <w:tc>
          <w:tcPr>
            <w:tcW w:w="1133" w:type="pct"/>
            <w:tcBorders>
              <w:top w:val="nil"/>
              <w:left w:val="nil"/>
              <w:bottom w:val="single" w:sz="4" w:space="0" w:color="auto"/>
              <w:right w:val="single" w:sz="4" w:space="0" w:color="auto"/>
            </w:tcBorders>
            <w:shd w:val="clear" w:color="auto" w:fill="FFFFFF" w:themeFill="background1"/>
            <w:noWrap/>
            <w:vAlign w:val="bottom"/>
            <w:hideMark/>
          </w:tcPr>
          <w:p w14:paraId="0F89D978" w14:textId="77777777" w:rsidR="00F054E0" w:rsidRPr="00F054E0" w:rsidRDefault="00F054E0" w:rsidP="00F054E0">
            <w:pPr>
              <w:spacing w:after="0"/>
              <w:rPr>
                <w:rFonts w:eastAsia="Times New Roman" w:cs="Times New Roman"/>
                <w:b/>
                <w:bCs/>
                <w:color w:val="000000"/>
                <w:szCs w:val="24"/>
              </w:rPr>
            </w:pPr>
            <w:r w:rsidRPr="00F054E0">
              <w:rPr>
                <w:rFonts w:eastAsia="Times New Roman" w:cs="Times New Roman"/>
                <w:b/>
                <w:bCs/>
                <w:color w:val="000000"/>
                <w:szCs w:val="24"/>
              </w:rPr>
              <w:t>514,605</w:t>
            </w:r>
          </w:p>
        </w:tc>
      </w:tr>
      <w:tr w:rsidR="00F054E0" w:rsidRPr="00F054E0" w14:paraId="4AE9B8A2" w14:textId="77777777" w:rsidTr="00EA46A7">
        <w:trPr>
          <w:trHeight w:val="300"/>
        </w:trPr>
        <w:tc>
          <w:tcPr>
            <w:tcW w:w="2735" w:type="pct"/>
            <w:tcBorders>
              <w:top w:val="nil"/>
              <w:left w:val="single" w:sz="4" w:space="0" w:color="auto"/>
              <w:bottom w:val="single" w:sz="4" w:space="0" w:color="auto"/>
              <w:right w:val="single" w:sz="4" w:space="0" w:color="auto"/>
            </w:tcBorders>
            <w:shd w:val="clear" w:color="auto" w:fill="FFFFFF" w:themeFill="background1"/>
            <w:noWrap/>
            <w:vAlign w:val="bottom"/>
            <w:hideMark/>
          </w:tcPr>
          <w:p w14:paraId="622C7D62"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c>
          <w:tcPr>
            <w:tcW w:w="1133" w:type="pct"/>
            <w:tcBorders>
              <w:top w:val="nil"/>
              <w:left w:val="nil"/>
              <w:bottom w:val="single" w:sz="4" w:space="0" w:color="auto"/>
              <w:right w:val="single" w:sz="4" w:space="0" w:color="auto"/>
            </w:tcBorders>
            <w:shd w:val="clear" w:color="auto" w:fill="FFFFFF" w:themeFill="background1"/>
            <w:noWrap/>
            <w:vAlign w:val="bottom"/>
            <w:hideMark/>
          </w:tcPr>
          <w:p w14:paraId="5FD2FD61"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c>
          <w:tcPr>
            <w:tcW w:w="1133" w:type="pct"/>
            <w:tcBorders>
              <w:top w:val="nil"/>
              <w:left w:val="nil"/>
              <w:bottom w:val="single" w:sz="4" w:space="0" w:color="auto"/>
              <w:right w:val="single" w:sz="4" w:space="0" w:color="auto"/>
            </w:tcBorders>
            <w:shd w:val="clear" w:color="auto" w:fill="FFFFFF" w:themeFill="background1"/>
            <w:noWrap/>
            <w:vAlign w:val="bottom"/>
            <w:hideMark/>
          </w:tcPr>
          <w:p w14:paraId="3C4F57D7"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r>
      <w:tr w:rsidR="00F054E0" w:rsidRPr="00F054E0" w14:paraId="1EF31BD5" w14:textId="77777777" w:rsidTr="00EA46A7">
        <w:trPr>
          <w:trHeight w:val="315"/>
        </w:trPr>
        <w:tc>
          <w:tcPr>
            <w:tcW w:w="2735" w:type="pct"/>
            <w:tcBorders>
              <w:top w:val="nil"/>
              <w:left w:val="single" w:sz="4" w:space="0" w:color="auto"/>
              <w:bottom w:val="single" w:sz="4" w:space="0" w:color="auto"/>
              <w:right w:val="single" w:sz="4" w:space="0" w:color="auto"/>
            </w:tcBorders>
            <w:shd w:val="clear" w:color="auto" w:fill="FFFFFF" w:themeFill="background1"/>
            <w:noWrap/>
            <w:hideMark/>
          </w:tcPr>
          <w:p w14:paraId="035CFD6A" w14:textId="77777777" w:rsidR="00F054E0" w:rsidRPr="00F054E0" w:rsidRDefault="00F054E0" w:rsidP="00F054E0">
            <w:pPr>
              <w:spacing w:after="0"/>
              <w:rPr>
                <w:rFonts w:eastAsia="Times New Roman" w:cs="Times New Roman"/>
                <w:b/>
                <w:bCs/>
                <w:color w:val="000000"/>
                <w:szCs w:val="24"/>
              </w:rPr>
            </w:pPr>
            <w:r w:rsidRPr="00F054E0">
              <w:rPr>
                <w:rFonts w:eastAsia="Times New Roman" w:cs="Times New Roman"/>
                <w:b/>
                <w:bCs/>
                <w:color w:val="000000"/>
                <w:szCs w:val="24"/>
              </w:rPr>
              <w:t>Total assets</w:t>
            </w:r>
          </w:p>
        </w:tc>
        <w:tc>
          <w:tcPr>
            <w:tcW w:w="1133" w:type="pct"/>
            <w:tcBorders>
              <w:top w:val="nil"/>
              <w:left w:val="nil"/>
              <w:bottom w:val="single" w:sz="4" w:space="0" w:color="auto"/>
              <w:right w:val="single" w:sz="4" w:space="0" w:color="auto"/>
            </w:tcBorders>
            <w:shd w:val="clear" w:color="auto" w:fill="FFFFFF" w:themeFill="background1"/>
            <w:noWrap/>
            <w:vAlign w:val="bottom"/>
            <w:hideMark/>
          </w:tcPr>
          <w:p w14:paraId="217287D4" w14:textId="77777777" w:rsidR="00F054E0" w:rsidRPr="00F054E0" w:rsidRDefault="00F054E0" w:rsidP="00F054E0">
            <w:pPr>
              <w:spacing w:after="0"/>
              <w:rPr>
                <w:rFonts w:eastAsia="Times New Roman" w:cs="Times New Roman"/>
                <w:b/>
                <w:bCs/>
                <w:color w:val="000000"/>
                <w:szCs w:val="24"/>
              </w:rPr>
            </w:pPr>
            <w:r w:rsidRPr="00F054E0">
              <w:rPr>
                <w:rFonts w:eastAsia="Times New Roman" w:cs="Times New Roman"/>
                <w:b/>
                <w:bCs/>
                <w:color w:val="000000"/>
                <w:szCs w:val="24"/>
              </w:rPr>
              <w:t> </w:t>
            </w:r>
          </w:p>
        </w:tc>
        <w:tc>
          <w:tcPr>
            <w:tcW w:w="1133" w:type="pct"/>
            <w:tcBorders>
              <w:top w:val="nil"/>
              <w:left w:val="nil"/>
              <w:bottom w:val="single" w:sz="4" w:space="0" w:color="auto"/>
              <w:right w:val="single" w:sz="4" w:space="0" w:color="auto"/>
            </w:tcBorders>
            <w:shd w:val="clear" w:color="auto" w:fill="FFFFFF" w:themeFill="background1"/>
            <w:noWrap/>
            <w:vAlign w:val="bottom"/>
            <w:hideMark/>
          </w:tcPr>
          <w:p w14:paraId="41D18BF5" w14:textId="77777777" w:rsidR="00F054E0" w:rsidRPr="00F054E0" w:rsidRDefault="00F054E0" w:rsidP="00F054E0">
            <w:pPr>
              <w:spacing w:after="0"/>
              <w:rPr>
                <w:rFonts w:eastAsia="Times New Roman" w:cs="Times New Roman"/>
                <w:b/>
                <w:bCs/>
                <w:color w:val="000000"/>
                <w:szCs w:val="24"/>
              </w:rPr>
            </w:pPr>
            <w:r w:rsidRPr="00F054E0">
              <w:rPr>
                <w:rFonts w:eastAsia="Times New Roman" w:cs="Times New Roman"/>
                <w:b/>
                <w:bCs/>
                <w:color w:val="000000"/>
                <w:szCs w:val="24"/>
              </w:rPr>
              <w:t>1,147,335</w:t>
            </w:r>
          </w:p>
        </w:tc>
      </w:tr>
      <w:tr w:rsidR="00F054E0" w:rsidRPr="00F054E0" w14:paraId="7BADA0F3" w14:textId="77777777" w:rsidTr="00EA46A7">
        <w:trPr>
          <w:trHeight w:val="300"/>
        </w:trPr>
        <w:tc>
          <w:tcPr>
            <w:tcW w:w="2735" w:type="pct"/>
            <w:tcBorders>
              <w:top w:val="nil"/>
              <w:left w:val="single" w:sz="4" w:space="0" w:color="auto"/>
              <w:bottom w:val="single" w:sz="4" w:space="0" w:color="auto"/>
              <w:right w:val="single" w:sz="4" w:space="0" w:color="auto"/>
            </w:tcBorders>
            <w:shd w:val="clear" w:color="auto" w:fill="FFFFFF" w:themeFill="background1"/>
            <w:noWrap/>
            <w:vAlign w:val="bottom"/>
            <w:hideMark/>
          </w:tcPr>
          <w:p w14:paraId="6F7F8E72"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c>
          <w:tcPr>
            <w:tcW w:w="1133" w:type="pct"/>
            <w:tcBorders>
              <w:top w:val="nil"/>
              <w:left w:val="nil"/>
              <w:bottom w:val="single" w:sz="4" w:space="0" w:color="auto"/>
              <w:right w:val="single" w:sz="4" w:space="0" w:color="auto"/>
            </w:tcBorders>
            <w:shd w:val="clear" w:color="auto" w:fill="FFFFFF" w:themeFill="background1"/>
            <w:noWrap/>
            <w:vAlign w:val="bottom"/>
            <w:hideMark/>
          </w:tcPr>
          <w:p w14:paraId="0B88A3FA"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c>
          <w:tcPr>
            <w:tcW w:w="1133" w:type="pct"/>
            <w:tcBorders>
              <w:top w:val="nil"/>
              <w:left w:val="nil"/>
              <w:bottom w:val="single" w:sz="4" w:space="0" w:color="auto"/>
              <w:right w:val="single" w:sz="4" w:space="0" w:color="auto"/>
            </w:tcBorders>
            <w:shd w:val="clear" w:color="auto" w:fill="FFFFFF" w:themeFill="background1"/>
            <w:noWrap/>
            <w:vAlign w:val="bottom"/>
            <w:hideMark/>
          </w:tcPr>
          <w:p w14:paraId="14076B57"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r>
      <w:tr w:rsidR="00F054E0" w:rsidRPr="00F054E0" w14:paraId="151A47DF" w14:textId="77777777" w:rsidTr="00EA46A7">
        <w:trPr>
          <w:trHeight w:val="300"/>
        </w:trPr>
        <w:tc>
          <w:tcPr>
            <w:tcW w:w="2735" w:type="pct"/>
            <w:tcBorders>
              <w:top w:val="nil"/>
              <w:left w:val="single" w:sz="4" w:space="0" w:color="auto"/>
              <w:bottom w:val="single" w:sz="4" w:space="0" w:color="auto"/>
              <w:right w:val="single" w:sz="4" w:space="0" w:color="auto"/>
            </w:tcBorders>
            <w:shd w:val="clear" w:color="auto" w:fill="FFFFFF" w:themeFill="background1"/>
            <w:noWrap/>
            <w:vAlign w:val="bottom"/>
            <w:hideMark/>
          </w:tcPr>
          <w:p w14:paraId="4F047AE5" w14:textId="77777777" w:rsidR="00F054E0" w:rsidRPr="00F054E0" w:rsidRDefault="00F054E0" w:rsidP="00F054E0">
            <w:pPr>
              <w:spacing w:after="0"/>
              <w:rPr>
                <w:rFonts w:eastAsia="Times New Roman" w:cs="Times New Roman"/>
                <w:b/>
                <w:bCs/>
                <w:color w:val="000000"/>
                <w:szCs w:val="24"/>
              </w:rPr>
            </w:pPr>
            <w:r w:rsidRPr="00F054E0">
              <w:rPr>
                <w:rFonts w:eastAsia="Times New Roman" w:cs="Times New Roman"/>
                <w:b/>
                <w:bCs/>
                <w:color w:val="000000"/>
                <w:szCs w:val="24"/>
              </w:rPr>
              <w:t>Liabilities</w:t>
            </w:r>
          </w:p>
        </w:tc>
        <w:tc>
          <w:tcPr>
            <w:tcW w:w="1133" w:type="pct"/>
            <w:tcBorders>
              <w:top w:val="nil"/>
              <w:left w:val="nil"/>
              <w:bottom w:val="single" w:sz="4" w:space="0" w:color="auto"/>
              <w:right w:val="single" w:sz="4" w:space="0" w:color="auto"/>
            </w:tcBorders>
            <w:shd w:val="clear" w:color="auto" w:fill="FFFFFF" w:themeFill="background1"/>
            <w:noWrap/>
            <w:vAlign w:val="bottom"/>
            <w:hideMark/>
          </w:tcPr>
          <w:p w14:paraId="79EB7D54"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c>
          <w:tcPr>
            <w:tcW w:w="1133" w:type="pct"/>
            <w:tcBorders>
              <w:top w:val="nil"/>
              <w:left w:val="nil"/>
              <w:bottom w:val="single" w:sz="4" w:space="0" w:color="auto"/>
              <w:right w:val="single" w:sz="4" w:space="0" w:color="auto"/>
            </w:tcBorders>
            <w:shd w:val="clear" w:color="auto" w:fill="FFFFFF" w:themeFill="background1"/>
            <w:noWrap/>
            <w:vAlign w:val="bottom"/>
            <w:hideMark/>
          </w:tcPr>
          <w:p w14:paraId="5A33ED0F"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r>
      <w:tr w:rsidR="00F054E0" w:rsidRPr="00F054E0" w14:paraId="38256D62" w14:textId="77777777" w:rsidTr="00EA46A7">
        <w:trPr>
          <w:trHeight w:val="315"/>
        </w:trPr>
        <w:tc>
          <w:tcPr>
            <w:tcW w:w="2735" w:type="pct"/>
            <w:tcBorders>
              <w:top w:val="nil"/>
              <w:left w:val="single" w:sz="4" w:space="0" w:color="auto"/>
              <w:bottom w:val="single" w:sz="4" w:space="0" w:color="auto"/>
              <w:right w:val="single" w:sz="4" w:space="0" w:color="auto"/>
            </w:tcBorders>
            <w:shd w:val="clear" w:color="auto" w:fill="FFFFFF" w:themeFill="background1"/>
            <w:noWrap/>
            <w:hideMark/>
          </w:tcPr>
          <w:p w14:paraId="2C43ED4F" w14:textId="77777777" w:rsidR="00F054E0" w:rsidRPr="00F054E0" w:rsidRDefault="00F054E0" w:rsidP="00F054E0">
            <w:pPr>
              <w:spacing w:after="0"/>
              <w:rPr>
                <w:rFonts w:eastAsia="Times New Roman" w:cs="Times New Roman"/>
                <w:b/>
                <w:bCs/>
                <w:color w:val="000000"/>
                <w:szCs w:val="24"/>
              </w:rPr>
            </w:pPr>
            <w:r w:rsidRPr="00F054E0">
              <w:rPr>
                <w:rFonts w:eastAsia="Times New Roman" w:cs="Times New Roman"/>
                <w:b/>
                <w:bCs/>
                <w:color w:val="000000"/>
                <w:szCs w:val="24"/>
              </w:rPr>
              <w:t>Current liabilities</w:t>
            </w:r>
          </w:p>
        </w:tc>
        <w:tc>
          <w:tcPr>
            <w:tcW w:w="1133" w:type="pct"/>
            <w:tcBorders>
              <w:top w:val="nil"/>
              <w:left w:val="nil"/>
              <w:bottom w:val="single" w:sz="4" w:space="0" w:color="auto"/>
              <w:right w:val="single" w:sz="4" w:space="0" w:color="auto"/>
            </w:tcBorders>
            <w:shd w:val="clear" w:color="auto" w:fill="FFFFFF" w:themeFill="background1"/>
            <w:noWrap/>
            <w:hideMark/>
          </w:tcPr>
          <w:p w14:paraId="44F3CB7D"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c>
          <w:tcPr>
            <w:tcW w:w="1133" w:type="pct"/>
            <w:tcBorders>
              <w:top w:val="nil"/>
              <w:left w:val="nil"/>
              <w:bottom w:val="single" w:sz="4" w:space="0" w:color="auto"/>
              <w:right w:val="single" w:sz="4" w:space="0" w:color="auto"/>
            </w:tcBorders>
            <w:shd w:val="clear" w:color="auto" w:fill="FFFFFF" w:themeFill="background1"/>
            <w:noWrap/>
            <w:vAlign w:val="bottom"/>
            <w:hideMark/>
          </w:tcPr>
          <w:p w14:paraId="57D24171"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r>
      <w:tr w:rsidR="00F054E0" w:rsidRPr="00F054E0" w14:paraId="282F5ABD" w14:textId="77777777" w:rsidTr="00EA46A7">
        <w:trPr>
          <w:trHeight w:val="315"/>
        </w:trPr>
        <w:tc>
          <w:tcPr>
            <w:tcW w:w="2735" w:type="pct"/>
            <w:tcBorders>
              <w:top w:val="nil"/>
              <w:left w:val="single" w:sz="4" w:space="0" w:color="auto"/>
              <w:bottom w:val="single" w:sz="4" w:space="0" w:color="auto"/>
              <w:right w:val="single" w:sz="4" w:space="0" w:color="auto"/>
            </w:tcBorders>
            <w:shd w:val="clear" w:color="auto" w:fill="FFFFFF" w:themeFill="background1"/>
            <w:noWrap/>
            <w:hideMark/>
          </w:tcPr>
          <w:p w14:paraId="0EE22092"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Creditors</w:t>
            </w:r>
          </w:p>
        </w:tc>
        <w:tc>
          <w:tcPr>
            <w:tcW w:w="1133" w:type="pct"/>
            <w:tcBorders>
              <w:top w:val="nil"/>
              <w:left w:val="nil"/>
              <w:bottom w:val="single" w:sz="4" w:space="0" w:color="auto"/>
              <w:right w:val="single" w:sz="4" w:space="0" w:color="auto"/>
            </w:tcBorders>
            <w:shd w:val="clear" w:color="auto" w:fill="FFFFFF" w:themeFill="background1"/>
            <w:noWrap/>
            <w:hideMark/>
          </w:tcPr>
          <w:p w14:paraId="14083DF5"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171,355</w:t>
            </w:r>
          </w:p>
        </w:tc>
        <w:tc>
          <w:tcPr>
            <w:tcW w:w="1133" w:type="pct"/>
            <w:tcBorders>
              <w:top w:val="nil"/>
              <w:left w:val="nil"/>
              <w:bottom w:val="single" w:sz="4" w:space="0" w:color="auto"/>
              <w:right w:val="single" w:sz="4" w:space="0" w:color="auto"/>
            </w:tcBorders>
            <w:shd w:val="clear" w:color="auto" w:fill="FFFFFF" w:themeFill="background1"/>
            <w:noWrap/>
            <w:vAlign w:val="bottom"/>
            <w:hideMark/>
          </w:tcPr>
          <w:p w14:paraId="1B3DAD55"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r>
      <w:tr w:rsidR="00F054E0" w:rsidRPr="00F054E0" w14:paraId="5815FC99" w14:textId="77777777" w:rsidTr="00EA46A7">
        <w:trPr>
          <w:trHeight w:val="315"/>
        </w:trPr>
        <w:tc>
          <w:tcPr>
            <w:tcW w:w="2735" w:type="pct"/>
            <w:tcBorders>
              <w:top w:val="nil"/>
              <w:left w:val="single" w:sz="4" w:space="0" w:color="auto"/>
              <w:bottom w:val="single" w:sz="4" w:space="0" w:color="auto"/>
              <w:right w:val="single" w:sz="4" w:space="0" w:color="auto"/>
            </w:tcBorders>
            <w:shd w:val="clear" w:color="auto" w:fill="FFFFFF" w:themeFill="background1"/>
            <w:noWrap/>
            <w:hideMark/>
          </w:tcPr>
          <w:p w14:paraId="3BB8DBBA"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Outstanding commission</w:t>
            </w:r>
          </w:p>
        </w:tc>
        <w:tc>
          <w:tcPr>
            <w:tcW w:w="1133" w:type="pct"/>
            <w:tcBorders>
              <w:top w:val="nil"/>
              <w:left w:val="nil"/>
              <w:bottom w:val="single" w:sz="4" w:space="0" w:color="auto"/>
              <w:right w:val="single" w:sz="4" w:space="0" w:color="auto"/>
            </w:tcBorders>
            <w:shd w:val="clear" w:color="auto" w:fill="FFFFFF" w:themeFill="background1"/>
            <w:noWrap/>
            <w:hideMark/>
          </w:tcPr>
          <w:p w14:paraId="3DD24AF5"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3,000</w:t>
            </w:r>
          </w:p>
        </w:tc>
        <w:tc>
          <w:tcPr>
            <w:tcW w:w="1133" w:type="pct"/>
            <w:tcBorders>
              <w:top w:val="nil"/>
              <w:left w:val="nil"/>
              <w:bottom w:val="single" w:sz="4" w:space="0" w:color="auto"/>
              <w:right w:val="single" w:sz="4" w:space="0" w:color="auto"/>
            </w:tcBorders>
            <w:shd w:val="clear" w:color="auto" w:fill="FFFFFF" w:themeFill="background1"/>
            <w:noWrap/>
            <w:vAlign w:val="bottom"/>
            <w:hideMark/>
          </w:tcPr>
          <w:p w14:paraId="4792716B"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r>
      <w:tr w:rsidR="00F054E0" w:rsidRPr="00F054E0" w14:paraId="337FEFC1" w14:textId="77777777" w:rsidTr="00EA46A7">
        <w:trPr>
          <w:trHeight w:val="315"/>
        </w:trPr>
        <w:tc>
          <w:tcPr>
            <w:tcW w:w="2735" w:type="pct"/>
            <w:tcBorders>
              <w:top w:val="nil"/>
              <w:left w:val="single" w:sz="4" w:space="0" w:color="auto"/>
              <w:bottom w:val="single" w:sz="4" w:space="0" w:color="auto"/>
              <w:right w:val="single" w:sz="4" w:space="0" w:color="auto"/>
            </w:tcBorders>
            <w:shd w:val="clear" w:color="auto" w:fill="FFFFFF" w:themeFill="background1"/>
            <w:noWrap/>
            <w:hideMark/>
          </w:tcPr>
          <w:p w14:paraId="5E88548B" w14:textId="77777777" w:rsidR="00F054E0" w:rsidRPr="00F054E0" w:rsidRDefault="00F054E0" w:rsidP="00F054E0">
            <w:pPr>
              <w:spacing w:after="0"/>
              <w:rPr>
                <w:rFonts w:eastAsia="Times New Roman" w:cs="Times New Roman"/>
                <w:b/>
                <w:bCs/>
                <w:color w:val="000000"/>
                <w:szCs w:val="24"/>
              </w:rPr>
            </w:pPr>
            <w:r w:rsidRPr="00F054E0">
              <w:rPr>
                <w:rFonts w:eastAsia="Times New Roman" w:cs="Times New Roman"/>
                <w:b/>
                <w:bCs/>
                <w:color w:val="000000"/>
                <w:szCs w:val="24"/>
              </w:rPr>
              <w:t>Total current liabilities</w:t>
            </w:r>
          </w:p>
        </w:tc>
        <w:tc>
          <w:tcPr>
            <w:tcW w:w="1133" w:type="pct"/>
            <w:tcBorders>
              <w:top w:val="nil"/>
              <w:left w:val="nil"/>
              <w:bottom w:val="single" w:sz="4" w:space="0" w:color="auto"/>
              <w:right w:val="single" w:sz="4" w:space="0" w:color="auto"/>
            </w:tcBorders>
            <w:shd w:val="clear" w:color="auto" w:fill="FFFFFF" w:themeFill="background1"/>
            <w:noWrap/>
            <w:hideMark/>
          </w:tcPr>
          <w:p w14:paraId="2F2045F8" w14:textId="77777777" w:rsidR="00F054E0" w:rsidRPr="00F054E0" w:rsidRDefault="00F054E0" w:rsidP="00F054E0">
            <w:pPr>
              <w:spacing w:after="0"/>
              <w:rPr>
                <w:rFonts w:eastAsia="Times New Roman" w:cs="Times New Roman"/>
                <w:b/>
                <w:bCs/>
                <w:color w:val="000000"/>
                <w:szCs w:val="24"/>
              </w:rPr>
            </w:pPr>
            <w:r w:rsidRPr="00F054E0">
              <w:rPr>
                <w:rFonts w:eastAsia="Times New Roman" w:cs="Times New Roman"/>
                <w:b/>
                <w:bCs/>
                <w:color w:val="000000"/>
                <w:szCs w:val="24"/>
              </w:rPr>
              <w:t> </w:t>
            </w:r>
          </w:p>
        </w:tc>
        <w:tc>
          <w:tcPr>
            <w:tcW w:w="1133" w:type="pct"/>
            <w:tcBorders>
              <w:top w:val="nil"/>
              <w:left w:val="nil"/>
              <w:bottom w:val="single" w:sz="4" w:space="0" w:color="auto"/>
              <w:right w:val="single" w:sz="4" w:space="0" w:color="auto"/>
            </w:tcBorders>
            <w:shd w:val="clear" w:color="auto" w:fill="FFFFFF" w:themeFill="background1"/>
            <w:noWrap/>
            <w:vAlign w:val="bottom"/>
            <w:hideMark/>
          </w:tcPr>
          <w:p w14:paraId="0428FD09" w14:textId="77777777" w:rsidR="00F054E0" w:rsidRPr="00F054E0" w:rsidRDefault="00F054E0" w:rsidP="00F054E0">
            <w:pPr>
              <w:spacing w:after="0"/>
              <w:rPr>
                <w:rFonts w:eastAsia="Times New Roman" w:cs="Times New Roman"/>
                <w:b/>
                <w:bCs/>
                <w:color w:val="000000"/>
                <w:szCs w:val="24"/>
              </w:rPr>
            </w:pPr>
            <w:r w:rsidRPr="00F054E0">
              <w:rPr>
                <w:rFonts w:eastAsia="Times New Roman" w:cs="Times New Roman"/>
                <w:b/>
                <w:bCs/>
                <w:color w:val="000000"/>
                <w:szCs w:val="24"/>
              </w:rPr>
              <w:t>174,355</w:t>
            </w:r>
          </w:p>
        </w:tc>
      </w:tr>
      <w:tr w:rsidR="00F054E0" w:rsidRPr="00F054E0" w14:paraId="14C87B1D" w14:textId="77777777" w:rsidTr="00EA46A7">
        <w:trPr>
          <w:trHeight w:val="300"/>
        </w:trPr>
        <w:tc>
          <w:tcPr>
            <w:tcW w:w="2735" w:type="pct"/>
            <w:tcBorders>
              <w:top w:val="nil"/>
              <w:left w:val="single" w:sz="4" w:space="0" w:color="auto"/>
              <w:bottom w:val="single" w:sz="4" w:space="0" w:color="auto"/>
              <w:right w:val="single" w:sz="4" w:space="0" w:color="auto"/>
            </w:tcBorders>
            <w:shd w:val="clear" w:color="auto" w:fill="FFFFFF" w:themeFill="background1"/>
            <w:noWrap/>
            <w:vAlign w:val="bottom"/>
            <w:hideMark/>
          </w:tcPr>
          <w:p w14:paraId="4E1D7C67"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c>
          <w:tcPr>
            <w:tcW w:w="1133" w:type="pct"/>
            <w:tcBorders>
              <w:top w:val="nil"/>
              <w:left w:val="nil"/>
              <w:bottom w:val="single" w:sz="4" w:space="0" w:color="auto"/>
              <w:right w:val="single" w:sz="4" w:space="0" w:color="auto"/>
            </w:tcBorders>
            <w:shd w:val="clear" w:color="auto" w:fill="FFFFFF" w:themeFill="background1"/>
            <w:noWrap/>
            <w:vAlign w:val="bottom"/>
            <w:hideMark/>
          </w:tcPr>
          <w:p w14:paraId="5C3A6B96"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c>
          <w:tcPr>
            <w:tcW w:w="1133" w:type="pct"/>
            <w:tcBorders>
              <w:top w:val="nil"/>
              <w:left w:val="nil"/>
              <w:bottom w:val="single" w:sz="4" w:space="0" w:color="auto"/>
              <w:right w:val="single" w:sz="4" w:space="0" w:color="auto"/>
            </w:tcBorders>
            <w:shd w:val="clear" w:color="auto" w:fill="FFFFFF" w:themeFill="background1"/>
            <w:noWrap/>
            <w:vAlign w:val="bottom"/>
            <w:hideMark/>
          </w:tcPr>
          <w:p w14:paraId="483E301C"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r>
      <w:tr w:rsidR="00F054E0" w:rsidRPr="00F054E0" w14:paraId="3C3CA9B8" w14:textId="77777777" w:rsidTr="00EA46A7">
        <w:trPr>
          <w:trHeight w:val="315"/>
        </w:trPr>
        <w:tc>
          <w:tcPr>
            <w:tcW w:w="2735" w:type="pct"/>
            <w:tcBorders>
              <w:top w:val="nil"/>
              <w:left w:val="single" w:sz="4" w:space="0" w:color="auto"/>
              <w:bottom w:val="single" w:sz="4" w:space="0" w:color="auto"/>
              <w:right w:val="single" w:sz="4" w:space="0" w:color="auto"/>
            </w:tcBorders>
            <w:shd w:val="clear" w:color="auto" w:fill="FFFFFF" w:themeFill="background1"/>
            <w:noWrap/>
            <w:hideMark/>
          </w:tcPr>
          <w:p w14:paraId="6A27D250" w14:textId="722B394E" w:rsidR="00F054E0" w:rsidRPr="00F054E0" w:rsidRDefault="00F054E0" w:rsidP="00F054E0">
            <w:pPr>
              <w:spacing w:after="0"/>
              <w:rPr>
                <w:rFonts w:eastAsia="Times New Roman" w:cs="Times New Roman"/>
                <w:b/>
                <w:bCs/>
                <w:color w:val="000000"/>
                <w:szCs w:val="24"/>
              </w:rPr>
            </w:pPr>
            <w:r w:rsidRPr="00F054E0">
              <w:rPr>
                <w:rFonts w:eastAsia="Times New Roman" w:cs="Times New Roman"/>
                <w:b/>
                <w:bCs/>
                <w:color w:val="000000"/>
                <w:szCs w:val="24"/>
              </w:rPr>
              <w:t>Non</w:t>
            </w:r>
            <w:r w:rsidR="00906EEB">
              <w:rPr>
                <w:rFonts w:eastAsia="Times New Roman" w:cs="Times New Roman"/>
                <w:b/>
                <w:bCs/>
                <w:color w:val="000000"/>
                <w:szCs w:val="24"/>
              </w:rPr>
              <w:t>-</w:t>
            </w:r>
            <w:r w:rsidRPr="00F054E0">
              <w:rPr>
                <w:rFonts w:eastAsia="Times New Roman" w:cs="Times New Roman"/>
                <w:b/>
                <w:bCs/>
                <w:color w:val="000000"/>
                <w:szCs w:val="24"/>
              </w:rPr>
              <w:t>current liabilities</w:t>
            </w:r>
          </w:p>
        </w:tc>
        <w:tc>
          <w:tcPr>
            <w:tcW w:w="1133" w:type="pct"/>
            <w:tcBorders>
              <w:top w:val="nil"/>
              <w:left w:val="nil"/>
              <w:bottom w:val="single" w:sz="4" w:space="0" w:color="auto"/>
              <w:right w:val="single" w:sz="4" w:space="0" w:color="auto"/>
            </w:tcBorders>
            <w:shd w:val="clear" w:color="auto" w:fill="FFFFFF" w:themeFill="background1"/>
            <w:noWrap/>
            <w:hideMark/>
          </w:tcPr>
          <w:p w14:paraId="14BC2B8B"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c>
          <w:tcPr>
            <w:tcW w:w="1133" w:type="pct"/>
            <w:tcBorders>
              <w:top w:val="nil"/>
              <w:left w:val="nil"/>
              <w:bottom w:val="single" w:sz="4" w:space="0" w:color="auto"/>
              <w:right w:val="single" w:sz="4" w:space="0" w:color="auto"/>
            </w:tcBorders>
            <w:shd w:val="clear" w:color="auto" w:fill="FFFFFF" w:themeFill="background1"/>
            <w:noWrap/>
            <w:vAlign w:val="bottom"/>
            <w:hideMark/>
          </w:tcPr>
          <w:p w14:paraId="11DF3D3B"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r>
      <w:tr w:rsidR="00F054E0" w:rsidRPr="00F054E0" w14:paraId="7E76649B" w14:textId="77777777" w:rsidTr="00EA46A7">
        <w:trPr>
          <w:trHeight w:val="315"/>
        </w:trPr>
        <w:tc>
          <w:tcPr>
            <w:tcW w:w="2735" w:type="pct"/>
            <w:tcBorders>
              <w:top w:val="nil"/>
              <w:left w:val="single" w:sz="4" w:space="0" w:color="auto"/>
              <w:bottom w:val="single" w:sz="4" w:space="0" w:color="auto"/>
              <w:right w:val="single" w:sz="4" w:space="0" w:color="auto"/>
            </w:tcBorders>
            <w:shd w:val="clear" w:color="auto" w:fill="FFFFFF" w:themeFill="background1"/>
            <w:noWrap/>
            <w:hideMark/>
          </w:tcPr>
          <w:p w14:paraId="7E47D4E7"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Debentures</w:t>
            </w:r>
          </w:p>
        </w:tc>
        <w:tc>
          <w:tcPr>
            <w:tcW w:w="1133" w:type="pct"/>
            <w:tcBorders>
              <w:top w:val="nil"/>
              <w:left w:val="nil"/>
              <w:bottom w:val="single" w:sz="4" w:space="0" w:color="auto"/>
              <w:right w:val="single" w:sz="4" w:space="0" w:color="auto"/>
            </w:tcBorders>
            <w:shd w:val="clear" w:color="auto" w:fill="FFFFFF" w:themeFill="background1"/>
            <w:noWrap/>
            <w:hideMark/>
          </w:tcPr>
          <w:p w14:paraId="24BF92B0"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100,000</w:t>
            </w:r>
          </w:p>
        </w:tc>
        <w:tc>
          <w:tcPr>
            <w:tcW w:w="1133" w:type="pct"/>
            <w:tcBorders>
              <w:top w:val="nil"/>
              <w:left w:val="nil"/>
              <w:bottom w:val="single" w:sz="4" w:space="0" w:color="auto"/>
              <w:right w:val="single" w:sz="4" w:space="0" w:color="auto"/>
            </w:tcBorders>
            <w:shd w:val="clear" w:color="auto" w:fill="FFFFFF" w:themeFill="background1"/>
            <w:noWrap/>
            <w:vAlign w:val="bottom"/>
            <w:hideMark/>
          </w:tcPr>
          <w:p w14:paraId="646B2BA6"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r>
      <w:tr w:rsidR="00F054E0" w:rsidRPr="00F054E0" w14:paraId="10581A41" w14:textId="77777777" w:rsidTr="00EA46A7">
        <w:trPr>
          <w:trHeight w:val="315"/>
        </w:trPr>
        <w:tc>
          <w:tcPr>
            <w:tcW w:w="2735" w:type="pct"/>
            <w:tcBorders>
              <w:top w:val="nil"/>
              <w:left w:val="single" w:sz="4" w:space="0" w:color="auto"/>
              <w:bottom w:val="single" w:sz="4" w:space="0" w:color="auto"/>
              <w:right w:val="single" w:sz="4" w:space="0" w:color="auto"/>
            </w:tcBorders>
            <w:shd w:val="clear" w:color="auto" w:fill="FFFFFF" w:themeFill="background1"/>
            <w:noWrap/>
            <w:hideMark/>
          </w:tcPr>
          <w:p w14:paraId="1EFE7E54" w14:textId="77777777" w:rsidR="00F054E0" w:rsidRPr="00F054E0" w:rsidRDefault="00F054E0" w:rsidP="00F054E0">
            <w:pPr>
              <w:spacing w:after="0"/>
              <w:rPr>
                <w:rFonts w:eastAsia="Times New Roman" w:cs="Times New Roman"/>
                <w:b/>
                <w:bCs/>
                <w:color w:val="000000"/>
                <w:szCs w:val="24"/>
              </w:rPr>
            </w:pPr>
            <w:r w:rsidRPr="00F054E0">
              <w:rPr>
                <w:rFonts w:eastAsia="Times New Roman" w:cs="Times New Roman"/>
                <w:b/>
                <w:bCs/>
                <w:color w:val="000000"/>
                <w:szCs w:val="24"/>
              </w:rPr>
              <w:t>Total noncurrent liabilities</w:t>
            </w:r>
          </w:p>
        </w:tc>
        <w:tc>
          <w:tcPr>
            <w:tcW w:w="1133" w:type="pct"/>
            <w:tcBorders>
              <w:top w:val="nil"/>
              <w:left w:val="nil"/>
              <w:bottom w:val="single" w:sz="4" w:space="0" w:color="auto"/>
              <w:right w:val="single" w:sz="4" w:space="0" w:color="auto"/>
            </w:tcBorders>
            <w:shd w:val="clear" w:color="auto" w:fill="FFFFFF" w:themeFill="background1"/>
            <w:noWrap/>
            <w:hideMark/>
          </w:tcPr>
          <w:p w14:paraId="24412546" w14:textId="77777777" w:rsidR="00F054E0" w:rsidRPr="00F054E0" w:rsidRDefault="00F054E0" w:rsidP="00F054E0">
            <w:pPr>
              <w:spacing w:after="0"/>
              <w:rPr>
                <w:rFonts w:eastAsia="Times New Roman" w:cs="Times New Roman"/>
                <w:b/>
                <w:bCs/>
                <w:color w:val="000000"/>
                <w:szCs w:val="24"/>
              </w:rPr>
            </w:pPr>
            <w:r w:rsidRPr="00F054E0">
              <w:rPr>
                <w:rFonts w:eastAsia="Times New Roman" w:cs="Times New Roman"/>
                <w:b/>
                <w:bCs/>
                <w:color w:val="000000"/>
                <w:szCs w:val="24"/>
              </w:rPr>
              <w:t> </w:t>
            </w:r>
          </w:p>
        </w:tc>
        <w:tc>
          <w:tcPr>
            <w:tcW w:w="1133" w:type="pct"/>
            <w:tcBorders>
              <w:top w:val="nil"/>
              <w:left w:val="nil"/>
              <w:bottom w:val="single" w:sz="4" w:space="0" w:color="auto"/>
              <w:right w:val="single" w:sz="4" w:space="0" w:color="auto"/>
            </w:tcBorders>
            <w:shd w:val="clear" w:color="auto" w:fill="FFFFFF" w:themeFill="background1"/>
            <w:noWrap/>
            <w:vAlign w:val="bottom"/>
            <w:hideMark/>
          </w:tcPr>
          <w:p w14:paraId="723FB037" w14:textId="77777777" w:rsidR="00F054E0" w:rsidRPr="00F054E0" w:rsidRDefault="00F054E0" w:rsidP="00F054E0">
            <w:pPr>
              <w:spacing w:after="0"/>
              <w:rPr>
                <w:rFonts w:eastAsia="Times New Roman" w:cs="Times New Roman"/>
                <w:b/>
                <w:bCs/>
                <w:color w:val="000000"/>
                <w:szCs w:val="24"/>
              </w:rPr>
            </w:pPr>
            <w:r w:rsidRPr="00F054E0">
              <w:rPr>
                <w:rFonts w:eastAsia="Times New Roman" w:cs="Times New Roman"/>
                <w:b/>
                <w:bCs/>
                <w:color w:val="000000"/>
                <w:szCs w:val="24"/>
              </w:rPr>
              <w:t>100,000</w:t>
            </w:r>
          </w:p>
        </w:tc>
      </w:tr>
      <w:tr w:rsidR="00F054E0" w:rsidRPr="00F054E0" w14:paraId="5873741E" w14:textId="77777777" w:rsidTr="00EA46A7">
        <w:trPr>
          <w:trHeight w:val="315"/>
        </w:trPr>
        <w:tc>
          <w:tcPr>
            <w:tcW w:w="2735" w:type="pct"/>
            <w:tcBorders>
              <w:top w:val="nil"/>
              <w:left w:val="single" w:sz="4" w:space="0" w:color="auto"/>
              <w:bottom w:val="single" w:sz="4" w:space="0" w:color="auto"/>
              <w:right w:val="single" w:sz="4" w:space="0" w:color="auto"/>
            </w:tcBorders>
            <w:shd w:val="clear" w:color="auto" w:fill="FFFFFF" w:themeFill="background1"/>
            <w:noWrap/>
            <w:vAlign w:val="bottom"/>
            <w:hideMark/>
          </w:tcPr>
          <w:p w14:paraId="1EF3F539"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c>
          <w:tcPr>
            <w:tcW w:w="1133" w:type="pct"/>
            <w:tcBorders>
              <w:top w:val="nil"/>
              <w:left w:val="nil"/>
              <w:bottom w:val="single" w:sz="4" w:space="0" w:color="auto"/>
              <w:right w:val="single" w:sz="4" w:space="0" w:color="auto"/>
            </w:tcBorders>
            <w:shd w:val="clear" w:color="auto" w:fill="FFFFFF" w:themeFill="background1"/>
            <w:noWrap/>
            <w:hideMark/>
          </w:tcPr>
          <w:p w14:paraId="10135BBC" w14:textId="77777777" w:rsidR="00F054E0" w:rsidRPr="00F054E0" w:rsidRDefault="00F054E0" w:rsidP="00F054E0">
            <w:pPr>
              <w:spacing w:after="0"/>
              <w:rPr>
                <w:rFonts w:eastAsia="Times New Roman" w:cs="Times New Roman"/>
                <w:b/>
                <w:bCs/>
                <w:color w:val="000000"/>
                <w:szCs w:val="24"/>
              </w:rPr>
            </w:pPr>
            <w:r w:rsidRPr="00F054E0">
              <w:rPr>
                <w:rFonts w:eastAsia="Times New Roman" w:cs="Times New Roman"/>
                <w:b/>
                <w:bCs/>
                <w:color w:val="000000"/>
                <w:szCs w:val="24"/>
              </w:rPr>
              <w:t> </w:t>
            </w:r>
          </w:p>
        </w:tc>
        <w:tc>
          <w:tcPr>
            <w:tcW w:w="1133" w:type="pct"/>
            <w:tcBorders>
              <w:top w:val="nil"/>
              <w:left w:val="nil"/>
              <w:bottom w:val="single" w:sz="4" w:space="0" w:color="auto"/>
              <w:right w:val="single" w:sz="4" w:space="0" w:color="auto"/>
            </w:tcBorders>
            <w:shd w:val="clear" w:color="auto" w:fill="FFFFFF" w:themeFill="background1"/>
            <w:noWrap/>
            <w:vAlign w:val="bottom"/>
            <w:hideMark/>
          </w:tcPr>
          <w:p w14:paraId="51B2EE79"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r>
      <w:tr w:rsidR="00F054E0" w:rsidRPr="00F054E0" w14:paraId="56575EAF" w14:textId="77777777" w:rsidTr="00EA46A7">
        <w:trPr>
          <w:trHeight w:val="300"/>
        </w:trPr>
        <w:tc>
          <w:tcPr>
            <w:tcW w:w="2735" w:type="pct"/>
            <w:tcBorders>
              <w:top w:val="nil"/>
              <w:left w:val="single" w:sz="4" w:space="0" w:color="auto"/>
              <w:bottom w:val="single" w:sz="4" w:space="0" w:color="auto"/>
              <w:right w:val="single" w:sz="4" w:space="0" w:color="auto"/>
            </w:tcBorders>
            <w:shd w:val="clear" w:color="auto" w:fill="FFFFFF" w:themeFill="background1"/>
            <w:noWrap/>
            <w:vAlign w:val="bottom"/>
            <w:hideMark/>
          </w:tcPr>
          <w:p w14:paraId="603A8CC5"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c>
          <w:tcPr>
            <w:tcW w:w="1133" w:type="pct"/>
            <w:tcBorders>
              <w:top w:val="nil"/>
              <w:left w:val="nil"/>
              <w:bottom w:val="single" w:sz="4" w:space="0" w:color="auto"/>
              <w:right w:val="single" w:sz="4" w:space="0" w:color="auto"/>
            </w:tcBorders>
            <w:shd w:val="clear" w:color="auto" w:fill="FFFFFF" w:themeFill="background1"/>
            <w:noWrap/>
            <w:vAlign w:val="bottom"/>
            <w:hideMark/>
          </w:tcPr>
          <w:p w14:paraId="413754A8"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c>
          <w:tcPr>
            <w:tcW w:w="1133" w:type="pct"/>
            <w:tcBorders>
              <w:top w:val="nil"/>
              <w:left w:val="nil"/>
              <w:bottom w:val="single" w:sz="4" w:space="0" w:color="auto"/>
              <w:right w:val="single" w:sz="4" w:space="0" w:color="auto"/>
            </w:tcBorders>
            <w:shd w:val="clear" w:color="auto" w:fill="FFFFFF" w:themeFill="background1"/>
            <w:noWrap/>
            <w:vAlign w:val="bottom"/>
            <w:hideMark/>
          </w:tcPr>
          <w:p w14:paraId="02B78AE0"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r>
      <w:tr w:rsidR="00F054E0" w:rsidRPr="00F054E0" w14:paraId="6C4925C1" w14:textId="77777777" w:rsidTr="00EA46A7">
        <w:trPr>
          <w:trHeight w:val="315"/>
        </w:trPr>
        <w:tc>
          <w:tcPr>
            <w:tcW w:w="2735" w:type="pct"/>
            <w:tcBorders>
              <w:top w:val="nil"/>
              <w:left w:val="single" w:sz="4" w:space="0" w:color="auto"/>
              <w:bottom w:val="single" w:sz="4" w:space="0" w:color="auto"/>
              <w:right w:val="single" w:sz="4" w:space="0" w:color="auto"/>
            </w:tcBorders>
            <w:shd w:val="clear" w:color="auto" w:fill="FFFFFF" w:themeFill="background1"/>
            <w:noWrap/>
            <w:hideMark/>
          </w:tcPr>
          <w:p w14:paraId="70D838F7" w14:textId="77777777" w:rsidR="00F054E0" w:rsidRPr="00F054E0" w:rsidRDefault="00F054E0" w:rsidP="00F054E0">
            <w:pPr>
              <w:spacing w:after="0"/>
              <w:rPr>
                <w:rFonts w:eastAsia="Times New Roman" w:cs="Times New Roman"/>
                <w:b/>
                <w:bCs/>
                <w:color w:val="000000"/>
                <w:szCs w:val="24"/>
              </w:rPr>
            </w:pPr>
            <w:r w:rsidRPr="00F054E0">
              <w:rPr>
                <w:rFonts w:eastAsia="Times New Roman" w:cs="Times New Roman"/>
                <w:b/>
                <w:bCs/>
                <w:color w:val="000000"/>
                <w:szCs w:val="24"/>
              </w:rPr>
              <w:t>Total liabilities</w:t>
            </w:r>
          </w:p>
        </w:tc>
        <w:tc>
          <w:tcPr>
            <w:tcW w:w="1133" w:type="pct"/>
            <w:tcBorders>
              <w:top w:val="nil"/>
              <w:left w:val="nil"/>
              <w:bottom w:val="single" w:sz="4" w:space="0" w:color="auto"/>
              <w:right w:val="single" w:sz="4" w:space="0" w:color="auto"/>
            </w:tcBorders>
            <w:shd w:val="clear" w:color="auto" w:fill="FFFFFF" w:themeFill="background1"/>
            <w:noWrap/>
            <w:vAlign w:val="bottom"/>
            <w:hideMark/>
          </w:tcPr>
          <w:p w14:paraId="320E40F6"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c>
          <w:tcPr>
            <w:tcW w:w="1133" w:type="pct"/>
            <w:tcBorders>
              <w:top w:val="nil"/>
              <w:left w:val="nil"/>
              <w:bottom w:val="single" w:sz="4" w:space="0" w:color="auto"/>
              <w:right w:val="single" w:sz="4" w:space="0" w:color="auto"/>
            </w:tcBorders>
            <w:shd w:val="clear" w:color="auto" w:fill="FFFFFF" w:themeFill="background1"/>
            <w:noWrap/>
            <w:vAlign w:val="bottom"/>
            <w:hideMark/>
          </w:tcPr>
          <w:p w14:paraId="67DEE020" w14:textId="77777777" w:rsidR="00F054E0" w:rsidRPr="00F054E0" w:rsidRDefault="00F054E0" w:rsidP="00F054E0">
            <w:pPr>
              <w:spacing w:after="0"/>
              <w:rPr>
                <w:rFonts w:eastAsia="Times New Roman" w:cs="Times New Roman"/>
                <w:b/>
                <w:bCs/>
                <w:color w:val="000000"/>
                <w:szCs w:val="24"/>
              </w:rPr>
            </w:pPr>
            <w:r w:rsidRPr="00F054E0">
              <w:rPr>
                <w:rFonts w:eastAsia="Times New Roman" w:cs="Times New Roman"/>
                <w:b/>
                <w:bCs/>
                <w:color w:val="000000"/>
                <w:szCs w:val="24"/>
              </w:rPr>
              <w:t>274,355</w:t>
            </w:r>
          </w:p>
        </w:tc>
      </w:tr>
      <w:tr w:rsidR="00F054E0" w:rsidRPr="00F054E0" w14:paraId="1295A7C8" w14:textId="77777777" w:rsidTr="00EA46A7">
        <w:trPr>
          <w:trHeight w:val="300"/>
        </w:trPr>
        <w:tc>
          <w:tcPr>
            <w:tcW w:w="2735" w:type="pct"/>
            <w:tcBorders>
              <w:top w:val="nil"/>
              <w:left w:val="single" w:sz="4" w:space="0" w:color="auto"/>
              <w:bottom w:val="single" w:sz="4" w:space="0" w:color="auto"/>
              <w:right w:val="single" w:sz="4" w:space="0" w:color="auto"/>
            </w:tcBorders>
            <w:shd w:val="clear" w:color="auto" w:fill="FFFFFF" w:themeFill="background1"/>
            <w:noWrap/>
            <w:vAlign w:val="bottom"/>
            <w:hideMark/>
          </w:tcPr>
          <w:p w14:paraId="4D3A602A"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c>
          <w:tcPr>
            <w:tcW w:w="1133" w:type="pct"/>
            <w:tcBorders>
              <w:top w:val="nil"/>
              <w:left w:val="nil"/>
              <w:bottom w:val="single" w:sz="4" w:space="0" w:color="auto"/>
              <w:right w:val="single" w:sz="4" w:space="0" w:color="auto"/>
            </w:tcBorders>
            <w:shd w:val="clear" w:color="auto" w:fill="FFFFFF" w:themeFill="background1"/>
            <w:noWrap/>
            <w:vAlign w:val="bottom"/>
            <w:hideMark/>
          </w:tcPr>
          <w:p w14:paraId="5387F942"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c>
          <w:tcPr>
            <w:tcW w:w="1133" w:type="pct"/>
            <w:tcBorders>
              <w:top w:val="nil"/>
              <w:left w:val="nil"/>
              <w:bottom w:val="single" w:sz="4" w:space="0" w:color="auto"/>
              <w:right w:val="single" w:sz="4" w:space="0" w:color="auto"/>
            </w:tcBorders>
            <w:shd w:val="clear" w:color="auto" w:fill="FFFFFF" w:themeFill="background1"/>
            <w:noWrap/>
            <w:vAlign w:val="bottom"/>
            <w:hideMark/>
          </w:tcPr>
          <w:p w14:paraId="22723631"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r>
      <w:tr w:rsidR="00F054E0" w:rsidRPr="00F054E0" w14:paraId="736E3F48" w14:textId="77777777" w:rsidTr="00EA46A7">
        <w:trPr>
          <w:trHeight w:val="300"/>
        </w:trPr>
        <w:tc>
          <w:tcPr>
            <w:tcW w:w="2735" w:type="pct"/>
            <w:tcBorders>
              <w:top w:val="nil"/>
              <w:left w:val="single" w:sz="4" w:space="0" w:color="auto"/>
              <w:bottom w:val="single" w:sz="4" w:space="0" w:color="auto"/>
              <w:right w:val="single" w:sz="4" w:space="0" w:color="auto"/>
            </w:tcBorders>
            <w:shd w:val="clear" w:color="auto" w:fill="FFFFFF" w:themeFill="background1"/>
            <w:noWrap/>
            <w:vAlign w:val="bottom"/>
            <w:hideMark/>
          </w:tcPr>
          <w:p w14:paraId="12525D0E" w14:textId="77777777" w:rsidR="00F054E0" w:rsidRPr="00F054E0" w:rsidRDefault="00F054E0" w:rsidP="00F054E0">
            <w:pPr>
              <w:spacing w:after="0"/>
              <w:rPr>
                <w:rFonts w:eastAsia="Times New Roman" w:cs="Times New Roman"/>
                <w:b/>
                <w:bCs/>
                <w:color w:val="000000"/>
                <w:szCs w:val="24"/>
              </w:rPr>
            </w:pPr>
            <w:r w:rsidRPr="00F054E0">
              <w:rPr>
                <w:rFonts w:eastAsia="Times New Roman" w:cs="Times New Roman"/>
                <w:b/>
                <w:bCs/>
                <w:color w:val="000000"/>
                <w:szCs w:val="24"/>
              </w:rPr>
              <w:t>Net assets</w:t>
            </w:r>
          </w:p>
        </w:tc>
        <w:tc>
          <w:tcPr>
            <w:tcW w:w="1133" w:type="pct"/>
            <w:tcBorders>
              <w:top w:val="nil"/>
              <w:left w:val="nil"/>
              <w:bottom w:val="single" w:sz="4" w:space="0" w:color="auto"/>
              <w:right w:val="single" w:sz="4" w:space="0" w:color="auto"/>
            </w:tcBorders>
            <w:shd w:val="clear" w:color="auto" w:fill="FFFFFF" w:themeFill="background1"/>
            <w:noWrap/>
            <w:vAlign w:val="bottom"/>
            <w:hideMark/>
          </w:tcPr>
          <w:p w14:paraId="7CC89ACE" w14:textId="77777777" w:rsidR="00F054E0" w:rsidRPr="00F054E0" w:rsidRDefault="00F054E0" w:rsidP="00F054E0">
            <w:pPr>
              <w:spacing w:after="0"/>
              <w:rPr>
                <w:rFonts w:eastAsia="Times New Roman" w:cs="Times New Roman"/>
                <w:b/>
                <w:bCs/>
                <w:color w:val="000000"/>
                <w:szCs w:val="24"/>
              </w:rPr>
            </w:pPr>
            <w:r w:rsidRPr="00F054E0">
              <w:rPr>
                <w:rFonts w:eastAsia="Times New Roman" w:cs="Times New Roman"/>
                <w:b/>
                <w:bCs/>
                <w:color w:val="000000"/>
                <w:szCs w:val="24"/>
              </w:rPr>
              <w:t> </w:t>
            </w:r>
          </w:p>
        </w:tc>
        <w:tc>
          <w:tcPr>
            <w:tcW w:w="1133" w:type="pct"/>
            <w:tcBorders>
              <w:top w:val="nil"/>
              <w:left w:val="nil"/>
              <w:bottom w:val="single" w:sz="4" w:space="0" w:color="auto"/>
              <w:right w:val="single" w:sz="4" w:space="0" w:color="auto"/>
            </w:tcBorders>
            <w:shd w:val="clear" w:color="auto" w:fill="FFFFFF" w:themeFill="background1"/>
            <w:noWrap/>
            <w:vAlign w:val="bottom"/>
            <w:hideMark/>
          </w:tcPr>
          <w:p w14:paraId="36E7BDEF" w14:textId="77777777" w:rsidR="00F054E0" w:rsidRPr="00F054E0" w:rsidRDefault="00F054E0" w:rsidP="00F054E0">
            <w:pPr>
              <w:spacing w:after="0"/>
              <w:rPr>
                <w:rFonts w:eastAsia="Times New Roman" w:cs="Times New Roman"/>
                <w:b/>
                <w:bCs/>
                <w:color w:val="000000"/>
                <w:szCs w:val="24"/>
              </w:rPr>
            </w:pPr>
            <w:r w:rsidRPr="00F054E0">
              <w:rPr>
                <w:rFonts w:eastAsia="Times New Roman" w:cs="Times New Roman"/>
                <w:b/>
                <w:bCs/>
                <w:color w:val="000000"/>
                <w:szCs w:val="24"/>
              </w:rPr>
              <w:t>872,980</w:t>
            </w:r>
          </w:p>
        </w:tc>
      </w:tr>
      <w:tr w:rsidR="00F054E0" w:rsidRPr="00F054E0" w14:paraId="4CF8020D" w14:textId="77777777" w:rsidTr="00EA46A7">
        <w:trPr>
          <w:trHeight w:val="300"/>
        </w:trPr>
        <w:tc>
          <w:tcPr>
            <w:tcW w:w="2735" w:type="pct"/>
            <w:tcBorders>
              <w:top w:val="nil"/>
              <w:left w:val="single" w:sz="4" w:space="0" w:color="auto"/>
              <w:bottom w:val="single" w:sz="4" w:space="0" w:color="auto"/>
              <w:right w:val="single" w:sz="4" w:space="0" w:color="auto"/>
            </w:tcBorders>
            <w:shd w:val="clear" w:color="auto" w:fill="FFFFFF" w:themeFill="background1"/>
            <w:noWrap/>
            <w:vAlign w:val="bottom"/>
            <w:hideMark/>
          </w:tcPr>
          <w:p w14:paraId="677E959B"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c>
          <w:tcPr>
            <w:tcW w:w="1133" w:type="pct"/>
            <w:tcBorders>
              <w:top w:val="nil"/>
              <w:left w:val="nil"/>
              <w:bottom w:val="single" w:sz="4" w:space="0" w:color="auto"/>
              <w:right w:val="single" w:sz="4" w:space="0" w:color="auto"/>
            </w:tcBorders>
            <w:shd w:val="clear" w:color="auto" w:fill="FFFFFF" w:themeFill="background1"/>
            <w:noWrap/>
            <w:vAlign w:val="bottom"/>
            <w:hideMark/>
          </w:tcPr>
          <w:p w14:paraId="7E3E3D3D"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c>
          <w:tcPr>
            <w:tcW w:w="1133" w:type="pct"/>
            <w:tcBorders>
              <w:top w:val="nil"/>
              <w:left w:val="nil"/>
              <w:bottom w:val="single" w:sz="4" w:space="0" w:color="auto"/>
              <w:right w:val="single" w:sz="4" w:space="0" w:color="auto"/>
            </w:tcBorders>
            <w:shd w:val="clear" w:color="auto" w:fill="FFFFFF" w:themeFill="background1"/>
            <w:noWrap/>
            <w:vAlign w:val="bottom"/>
            <w:hideMark/>
          </w:tcPr>
          <w:p w14:paraId="34C03683"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r>
      <w:tr w:rsidR="00F054E0" w:rsidRPr="00F054E0" w14:paraId="69D5D860" w14:textId="77777777" w:rsidTr="00535FF4">
        <w:trPr>
          <w:trHeight w:val="300"/>
        </w:trPr>
        <w:tc>
          <w:tcPr>
            <w:tcW w:w="2735" w:type="pct"/>
            <w:tcBorders>
              <w:top w:val="nil"/>
              <w:left w:val="single" w:sz="4" w:space="0" w:color="auto"/>
              <w:bottom w:val="single" w:sz="4" w:space="0" w:color="auto"/>
              <w:right w:val="single" w:sz="4" w:space="0" w:color="auto"/>
            </w:tcBorders>
            <w:shd w:val="clear" w:color="auto" w:fill="FFFFFF" w:themeFill="background1"/>
            <w:noWrap/>
            <w:vAlign w:val="bottom"/>
            <w:hideMark/>
          </w:tcPr>
          <w:p w14:paraId="61738AFB" w14:textId="77777777" w:rsidR="00F054E0" w:rsidRPr="00F054E0" w:rsidRDefault="00F054E0" w:rsidP="00F054E0">
            <w:pPr>
              <w:spacing w:after="0"/>
              <w:rPr>
                <w:rFonts w:eastAsia="Times New Roman" w:cs="Times New Roman"/>
                <w:b/>
                <w:bCs/>
                <w:color w:val="000000"/>
                <w:szCs w:val="24"/>
              </w:rPr>
            </w:pPr>
            <w:r w:rsidRPr="00F054E0">
              <w:rPr>
                <w:rFonts w:eastAsia="Times New Roman" w:cs="Times New Roman"/>
                <w:b/>
                <w:bCs/>
                <w:color w:val="000000"/>
                <w:szCs w:val="24"/>
              </w:rPr>
              <w:t>Equity</w:t>
            </w:r>
          </w:p>
        </w:tc>
        <w:tc>
          <w:tcPr>
            <w:tcW w:w="1133" w:type="pct"/>
            <w:tcBorders>
              <w:top w:val="nil"/>
              <w:left w:val="nil"/>
              <w:bottom w:val="single" w:sz="4" w:space="0" w:color="auto"/>
              <w:right w:val="single" w:sz="4" w:space="0" w:color="auto"/>
            </w:tcBorders>
            <w:shd w:val="clear" w:color="auto" w:fill="FFFFFF" w:themeFill="background1"/>
            <w:noWrap/>
            <w:vAlign w:val="bottom"/>
            <w:hideMark/>
          </w:tcPr>
          <w:p w14:paraId="28A7AC5B"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c>
          <w:tcPr>
            <w:tcW w:w="1133" w:type="pct"/>
            <w:tcBorders>
              <w:top w:val="nil"/>
              <w:left w:val="nil"/>
              <w:bottom w:val="single" w:sz="4" w:space="0" w:color="auto"/>
              <w:right w:val="single" w:sz="4" w:space="0" w:color="auto"/>
            </w:tcBorders>
            <w:shd w:val="clear" w:color="auto" w:fill="FFFFFF" w:themeFill="background1"/>
            <w:noWrap/>
            <w:vAlign w:val="bottom"/>
            <w:hideMark/>
          </w:tcPr>
          <w:p w14:paraId="438BEB7C"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r>
      <w:tr w:rsidR="00F054E0" w:rsidRPr="00F054E0" w14:paraId="238D81AF" w14:textId="77777777" w:rsidTr="00535FF4">
        <w:trPr>
          <w:trHeight w:val="315"/>
        </w:trPr>
        <w:tc>
          <w:tcPr>
            <w:tcW w:w="2735" w:type="pct"/>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4BDABD08"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lastRenderedPageBreak/>
              <w:t>Equity stock</w:t>
            </w:r>
          </w:p>
        </w:tc>
        <w:tc>
          <w:tcPr>
            <w:tcW w:w="1133" w:type="pct"/>
            <w:tcBorders>
              <w:top w:val="single" w:sz="4" w:space="0" w:color="auto"/>
              <w:left w:val="nil"/>
              <w:bottom w:val="single" w:sz="4" w:space="0" w:color="auto"/>
              <w:right w:val="single" w:sz="4" w:space="0" w:color="auto"/>
            </w:tcBorders>
            <w:shd w:val="clear" w:color="auto" w:fill="FFFFFF" w:themeFill="background1"/>
            <w:noWrap/>
            <w:hideMark/>
          </w:tcPr>
          <w:p w14:paraId="2192B3CD"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610,000</w:t>
            </w:r>
          </w:p>
        </w:tc>
        <w:tc>
          <w:tcPr>
            <w:tcW w:w="1133" w:type="pct"/>
            <w:tcBorders>
              <w:top w:val="single" w:sz="4" w:space="0" w:color="auto"/>
              <w:left w:val="nil"/>
              <w:bottom w:val="single" w:sz="4" w:space="0" w:color="auto"/>
              <w:right w:val="single" w:sz="4" w:space="0" w:color="auto"/>
            </w:tcBorders>
            <w:shd w:val="clear" w:color="auto" w:fill="FFFFFF" w:themeFill="background1"/>
            <w:noWrap/>
            <w:vAlign w:val="bottom"/>
            <w:hideMark/>
          </w:tcPr>
          <w:p w14:paraId="1408756D"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r>
      <w:tr w:rsidR="00F054E0" w:rsidRPr="00F054E0" w14:paraId="46F173E2" w14:textId="77777777" w:rsidTr="00535FF4">
        <w:trPr>
          <w:trHeight w:val="315"/>
        </w:trPr>
        <w:tc>
          <w:tcPr>
            <w:tcW w:w="2735" w:type="pct"/>
            <w:tcBorders>
              <w:top w:val="single" w:sz="4" w:space="0" w:color="auto"/>
              <w:left w:val="single" w:sz="4" w:space="0" w:color="auto"/>
              <w:bottom w:val="single" w:sz="4" w:space="0" w:color="auto"/>
              <w:right w:val="single" w:sz="4" w:space="0" w:color="auto"/>
            </w:tcBorders>
            <w:shd w:val="clear" w:color="auto" w:fill="FFFFFF" w:themeFill="background1"/>
            <w:noWrap/>
            <w:hideMark/>
          </w:tcPr>
          <w:p w14:paraId="06B4DB10"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Retained Earnings</w:t>
            </w:r>
          </w:p>
        </w:tc>
        <w:tc>
          <w:tcPr>
            <w:tcW w:w="1133" w:type="pct"/>
            <w:tcBorders>
              <w:top w:val="single" w:sz="4" w:space="0" w:color="auto"/>
              <w:left w:val="nil"/>
              <w:bottom w:val="single" w:sz="4" w:space="0" w:color="auto"/>
              <w:right w:val="single" w:sz="4" w:space="0" w:color="auto"/>
            </w:tcBorders>
            <w:shd w:val="clear" w:color="auto" w:fill="FFFFFF" w:themeFill="background1"/>
            <w:noWrap/>
            <w:hideMark/>
          </w:tcPr>
          <w:p w14:paraId="6344A909"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262,980</w:t>
            </w:r>
          </w:p>
        </w:tc>
        <w:tc>
          <w:tcPr>
            <w:tcW w:w="1133" w:type="pct"/>
            <w:tcBorders>
              <w:top w:val="single" w:sz="4" w:space="0" w:color="auto"/>
              <w:left w:val="nil"/>
              <w:bottom w:val="single" w:sz="4" w:space="0" w:color="auto"/>
              <w:right w:val="single" w:sz="4" w:space="0" w:color="auto"/>
            </w:tcBorders>
            <w:shd w:val="clear" w:color="auto" w:fill="FFFFFF" w:themeFill="background1"/>
            <w:noWrap/>
            <w:vAlign w:val="bottom"/>
            <w:hideMark/>
          </w:tcPr>
          <w:p w14:paraId="5C15AF43" w14:textId="77777777" w:rsidR="00F054E0" w:rsidRPr="00F054E0" w:rsidRDefault="00F054E0" w:rsidP="00F054E0">
            <w:pPr>
              <w:spacing w:after="0"/>
              <w:rPr>
                <w:rFonts w:eastAsia="Times New Roman" w:cs="Times New Roman"/>
                <w:color w:val="000000"/>
                <w:szCs w:val="24"/>
              </w:rPr>
            </w:pPr>
            <w:r w:rsidRPr="00F054E0">
              <w:rPr>
                <w:rFonts w:eastAsia="Times New Roman" w:cs="Times New Roman"/>
                <w:color w:val="000000"/>
                <w:szCs w:val="24"/>
              </w:rPr>
              <w:t> </w:t>
            </w:r>
          </w:p>
        </w:tc>
      </w:tr>
      <w:tr w:rsidR="00F054E0" w:rsidRPr="00F054E0" w14:paraId="5B851904" w14:textId="77777777" w:rsidTr="00535FF4">
        <w:trPr>
          <w:trHeight w:val="65"/>
        </w:trPr>
        <w:tc>
          <w:tcPr>
            <w:tcW w:w="2735" w:type="pct"/>
            <w:tcBorders>
              <w:top w:val="single" w:sz="4" w:space="0" w:color="auto"/>
              <w:left w:val="single" w:sz="4" w:space="0" w:color="auto"/>
              <w:bottom w:val="single" w:sz="4" w:space="0" w:color="auto"/>
              <w:right w:val="single" w:sz="4" w:space="0" w:color="auto"/>
            </w:tcBorders>
            <w:shd w:val="clear" w:color="auto" w:fill="FFFFFF" w:themeFill="background1"/>
            <w:noWrap/>
            <w:vAlign w:val="bottom"/>
            <w:hideMark/>
          </w:tcPr>
          <w:p w14:paraId="37F77713" w14:textId="77777777" w:rsidR="00F054E0" w:rsidRPr="00F054E0" w:rsidRDefault="00F054E0" w:rsidP="00F054E0">
            <w:pPr>
              <w:spacing w:after="0"/>
              <w:rPr>
                <w:rFonts w:eastAsia="Times New Roman" w:cs="Times New Roman"/>
                <w:b/>
                <w:bCs/>
                <w:color w:val="000000"/>
                <w:szCs w:val="24"/>
              </w:rPr>
            </w:pPr>
            <w:r w:rsidRPr="00F054E0">
              <w:rPr>
                <w:rFonts w:eastAsia="Times New Roman" w:cs="Times New Roman"/>
                <w:b/>
                <w:bCs/>
                <w:color w:val="000000"/>
                <w:szCs w:val="24"/>
              </w:rPr>
              <w:t>Total Equity</w:t>
            </w:r>
          </w:p>
        </w:tc>
        <w:tc>
          <w:tcPr>
            <w:tcW w:w="1133" w:type="pct"/>
            <w:tcBorders>
              <w:top w:val="single" w:sz="4" w:space="0" w:color="auto"/>
              <w:left w:val="nil"/>
              <w:bottom w:val="single" w:sz="4" w:space="0" w:color="auto"/>
              <w:right w:val="single" w:sz="4" w:space="0" w:color="auto"/>
            </w:tcBorders>
            <w:shd w:val="clear" w:color="auto" w:fill="FFFFFF" w:themeFill="background1"/>
            <w:noWrap/>
            <w:vAlign w:val="bottom"/>
            <w:hideMark/>
          </w:tcPr>
          <w:p w14:paraId="2B9FE2CE" w14:textId="77777777" w:rsidR="00F054E0" w:rsidRPr="00F054E0" w:rsidRDefault="00F054E0" w:rsidP="00F054E0">
            <w:pPr>
              <w:spacing w:after="0"/>
              <w:rPr>
                <w:rFonts w:eastAsia="Times New Roman" w:cs="Times New Roman"/>
                <w:b/>
                <w:bCs/>
                <w:color w:val="000000"/>
                <w:szCs w:val="24"/>
              </w:rPr>
            </w:pPr>
            <w:r w:rsidRPr="00F054E0">
              <w:rPr>
                <w:rFonts w:eastAsia="Times New Roman" w:cs="Times New Roman"/>
                <w:b/>
                <w:bCs/>
                <w:color w:val="000000"/>
                <w:szCs w:val="24"/>
              </w:rPr>
              <w:t> </w:t>
            </w:r>
          </w:p>
        </w:tc>
        <w:tc>
          <w:tcPr>
            <w:tcW w:w="1133" w:type="pct"/>
            <w:tcBorders>
              <w:top w:val="single" w:sz="4" w:space="0" w:color="auto"/>
              <w:left w:val="nil"/>
              <w:bottom w:val="single" w:sz="4" w:space="0" w:color="auto"/>
              <w:right w:val="single" w:sz="4" w:space="0" w:color="auto"/>
            </w:tcBorders>
            <w:shd w:val="clear" w:color="auto" w:fill="FFFFFF" w:themeFill="background1"/>
            <w:noWrap/>
            <w:vAlign w:val="bottom"/>
            <w:hideMark/>
          </w:tcPr>
          <w:p w14:paraId="2FCCB694" w14:textId="77777777" w:rsidR="00F054E0" w:rsidRPr="00F054E0" w:rsidRDefault="00F054E0" w:rsidP="00F054E0">
            <w:pPr>
              <w:spacing w:after="0"/>
              <w:rPr>
                <w:rFonts w:eastAsia="Times New Roman" w:cs="Times New Roman"/>
                <w:b/>
                <w:bCs/>
                <w:color w:val="000000"/>
                <w:szCs w:val="24"/>
              </w:rPr>
            </w:pPr>
            <w:r w:rsidRPr="00F054E0">
              <w:rPr>
                <w:rFonts w:eastAsia="Times New Roman" w:cs="Times New Roman"/>
                <w:b/>
                <w:bCs/>
                <w:color w:val="000000"/>
                <w:szCs w:val="24"/>
              </w:rPr>
              <w:t>872,980</w:t>
            </w:r>
          </w:p>
        </w:tc>
      </w:tr>
    </w:tbl>
    <w:p w14:paraId="1C1D92B6" w14:textId="77777777" w:rsidR="00F8786E" w:rsidRPr="0005428A" w:rsidRDefault="00F8786E" w:rsidP="0005428A">
      <w:pPr>
        <w:rPr>
          <w:rFonts w:cs="Times New Roman"/>
          <w:b/>
          <w:szCs w:val="24"/>
        </w:rPr>
      </w:pPr>
    </w:p>
    <w:p w14:paraId="359204F1" w14:textId="77777777" w:rsidR="00254165" w:rsidRPr="0005428A" w:rsidRDefault="00254165" w:rsidP="0005428A">
      <w:pPr>
        <w:rPr>
          <w:rFonts w:cs="Times New Roman"/>
          <w:b/>
          <w:szCs w:val="24"/>
        </w:rPr>
      </w:pPr>
      <w:r w:rsidRPr="0005428A">
        <w:rPr>
          <w:rFonts w:cs="Times New Roman"/>
          <w:b/>
          <w:szCs w:val="24"/>
        </w:rPr>
        <w:t>Footnotes</w:t>
      </w:r>
    </w:p>
    <w:p w14:paraId="3DD46D90" w14:textId="77777777" w:rsidR="00254165" w:rsidRPr="0005428A" w:rsidRDefault="00254165" w:rsidP="0005428A">
      <w:pPr>
        <w:pStyle w:val="ListParagraph"/>
        <w:numPr>
          <w:ilvl w:val="0"/>
          <w:numId w:val="2"/>
        </w:numPr>
        <w:spacing w:line="360" w:lineRule="auto"/>
        <w:jc w:val="both"/>
        <w:rPr>
          <w:rFonts w:ascii="Times New Roman" w:hAnsi="Times New Roman" w:cs="Times New Roman"/>
          <w:sz w:val="24"/>
          <w:szCs w:val="24"/>
        </w:rPr>
      </w:pPr>
      <w:r w:rsidRPr="0005428A">
        <w:rPr>
          <w:rFonts w:ascii="Times New Roman" w:hAnsi="Times New Roman" w:cs="Times New Roman"/>
          <w:sz w:val="24"/>
          <w:szCs w:val="24"/>
        </w:rPr>
        <w:t>Accrued sales of goods are added to the sales in the income statement account which was valued at pound 980.</w:t>
      </w:r>
    </w:p>
    <w:p w14:paraId="197C0941" w14:textId="10FC69FA" w:rsidR="00254165" w:rsidRPr="0005428A" w:rsidRDefault="00254165" w:rsidP="0005428A">
      <w:pPr>
        <w:pStyle w:val="ListParagraph"/>
        <w:numPr>
          <w:ilvl w:val="0"/>
          <w:numId w:val="2"/>
        </w:numPr>
        <w:spacing w:line="360" w:lineRule="auto"/>
        <w:jc w:val="both"/>
        <w:rPr>
          <w:rFonts w:ascii="Times New Roman" w:hAnsi="Times New Roman" w:cs="Times New Roman"/>
          <w:sz w:val="24"/>
          <w:szCs w:val="24"/>
        </w:rPr>
      </w:pPr>
      <w:r w:rsidRPr="0005428A">
        <w:rPr>
          <w:rFonts w:ascii="Times New Roman" w:hAnsi="Times New Roman" w:cs="Times New Roman"/>
          <w:sz w:val="24"/>
          <w:szCs w:val="24"/>
        </w:rPr>
        <w:t xml:space="preserve">Preference </w:t>
      </w:r>
      <w:r w:rsidR="00906EEB" w:rsidRPr="0005428A">
        <w:rPr>
          <w:rFonts w:ascii="Times New Roman" w:hAnsi="Times New Roman" w:cs="Times New Roman"/>
          <w:sz w:val="24"/>
          <w:szCs w:val="24"/>
        </w:rPr>
        <w:t>shares</w:t>
      </w:r>
      <w:r w:rsidRPr="0005428A">
        <w:rPr>
          <w:rFonts w:ascii="Times New Roman" w:hAnsi="Times New Roman" w:cs="Times New Roman"/>
          <w:sz w:val="24"/>
          <w:szCs w:val="24"/>
        </w:rPr>
        <w:t xml:space="preserve"> are added to the equity in the balance sheet while calculating share capital.</w:t>
      </w:r>
    </w:p>
    <w:p w14:paraId="467BB138" w14:textId="4BA6EE81" w:rsidR="0054610A" w:rsidRPr="0005428A" w:rsidRDefault="00711D52" w:rsidP="0005428A">
      <w:pPr>
        <w:rPr>
          <w:rFonts w:cs="Times New Roman"/>
          <w:szCs w:val="24"/>
        </w:rPr>
      </w:pPr>
      <w:r w:rsidRPr="0005428A">
        <w:rPr>
          <w:rFonts w:cs="Times New Roman"/>
          <w:szCs w:val="24"/>
        </w:rPr>
        <w:t>Income statement accounts and balance sheet shows the financial performance of the Kedison Plc. Profit for the year ending 2020 of Kedison Plc was £ 62,980. The total Retained earnings of the Kedison Plc were £ 262,980. Noncurrent liabilities are more than noncurrent assets</w:t>
      </w:r>
      <w:r w:rsidR="0054610A" w:rsidRPr="0005428A">
        <w:rPr>
          <w:rFonts w:cs="Times New Roman"/>
          <w:szCs w:val="24"/>
        </w:rPr>
        <w:t xml:space="preserve"> of Kedison Plc</w:t>
      </w:r>
      <w:r w:rsidRPr="0005428A">
        <w:rPr>
          <w:rFonts w:cs="Times New Roman"/>
          <w:szCs w:val="24"/>
        </w:rPr>
        <w:t xml:space="preserve"> </w:t>
      </w:r>
      <w:r w:rsidR="0054610A" w:rsidRPr="0005428A">
        <w:rPr>
          <w:rFonts w:cs="Times New Roman"/>
          <w:szCs w:val="24"/>
        </w:rPr>
        <w:t>whereas</w:t>
      </w:r>
      <w:r w:rsidRPr="0005428A">
        <w:rPr>
          <w:rFonts w:cs="Times New Roman"/>
          <w:szCs w:val="24"/>
        </w:rPr>
        <w:t xml:space="preserve"> current assets are more than current liabilities </w:t>
      </w:r>
      <w:r w:rsidR="0054610A" w:rsidRPr="0005428A">
        <w:rPr>
          <w:rFonts w:cs="Times New Roman"/>
          <w:szCs w:val="24"/>
        </w:rPr>
        <w:t xml:space="preserve">of Kedison Plc. Payables are also more than debtors which shows that Kedison Plc purchased material or goods on credit instead of cash. The capital contributed by the shareholder of Kedison Plc was £ 610,000. Formula for calculating net profit was revenue </w:t>
      </w:r>
      <w:r w:rsidR="00EA46A7">
        <w:rPr>
          <w:rFonts w:cs="Times New Roman"/>
          <w:szCs w:val="24"/>
        </w:rPr>
        <w:t>minus</w:t>
      </w:r>
      <w:r w:rsidR="0054610A" w:rsidRPr="0005428A">
        <w:rPr>
          <w:rFonts w:cs="Times New Roman"/>
          <w:szCs w:val="24"/>
        </w:rPr>
        <w:t xml:space="preserve"> total expenses are considered here. Total dividend paid by the </w:t>
      </w:r>
      <w:r w:rsidR="0005428A" w:rsidRPr="0005428A">
        <w:rPr>
          <w:rFonts w:cs="Times New Roman"/>
          <w:szCs w:val="24"/>
        </w:rPr>
        <w:t>Kedison Plc was £ 50,000 to its both preference and ordinary shareholder.</w:t>
      </w:r>
    </w:p>
    <w:p w14:paraId="124A8A70" w14:textId="77777777" w:rsidR="005E25D9" w:rsidRPr="0005428A" w:rsidRDefault="00DC1974" w:rsidP="0005428A">
      <w:pPr>
        <w:rPr>
          <w:rFonts w:cs="Times New Roman"/>
          <w:b/>
          <w:szCs w:val="24"/>
        </w:rPr>
      </w:pPr>
      <w:r w:rsidRPr="0005428A">
        <w:rPr>
          <w:rFonts w:cs="Times New Roman"/>
          <w:b/>
          <w:szCs w:val="24"/>
        </w:rPr>
        <w:t>B):</w:t>
      </w:r>
    </w:p>
    <w:p w14:paraId="50AD9D0A" w14:textId="77EFE95F" w:rsidR="00D36BF2" w:rsidRPr="0005428A" w:rsidRDefault="00A978DB" w:rsidP="0005428A">
      <w:pPr>
        <w:rPr>
          <w:rFonts w:cs="Times New Roman"/>
          <w:szCs w:val="24"/>
        </w:rPr>
      </w:pPr>
      <w:r w:rsidRPr="0005428A">
        <w:rPr>
          <w:rFonts w:cs="Times New Roman"/>
          <w:szCs w:val="24"/>
        </w:rPr>
        <w:t xml:space="preserve">Balance sheet refers to the financial position of the company.  The balance sheets always show the assets will be equivalent to shareholder capital and liabilities. The balance sheets involve assets which gives the economic future benefits, liabilities that company </w:t>
      </w:r>
      <w:r w:rsidR="00906EEB" w:rsidRPr="0005428A">
        <w:rPr>
          <w:rFonts w:cs="Times New Roman"/>
          <w:szCs w:val="24"/>
        </w:rPr>
        <w:t>must</w:t>
      </w:r>
      <w:r w:rsidRPr="0005428A">
        <w:rPr>
          <w:rFonts w:cs="Times New Roman"/>
          <w:szCs w:val="24"/>
        </w:rPr>
        <w:t xml:space="preserve"> be paid in nearer future and the share capital which represent the retained earnings and capital contributed by shareholders</w:t>
      </w:r>
      <w:r w:rsidR="00F707F9" w:rsidRPr="0005428A">
        <w:rPr>
          <w:rFonts w:cs="Times New Roman"/>
          <w:szCs w:val="24"/>
        </w:rPr>
        <w:t xml:space="preserve"> (Johnson, 2017)</w:t>
      </w:r>
      <w:r w:rsidRPr="0005428A">
        <w:rPr>
          <w:rFonts w:cs="Times New Roman"/>
          <w:szCs w:val="24"/>
        </w:rPr>
        <w:t>.</w:t>
      </w:r>
      <w:r w:rsidR="004259CB" w:rsidRPr="0005428A">
        <w:rPr>
          <w:rFonts w:cs="Times New Roman"/>
          <w:szCs w:val="24"/>
        </w:rPr>
        <w:t xml:space="preserve"> </w:t>
      </w:r>
    </w:p>
    <w:p w14:paraId="2F6E64DF" w14:textId="7A026191" w:rsidR="00A978DB" w:rsidRPr="0005428A" w:rsidRDefault="004259CB" w:rsidP="0005428A">
      <w:pPr>
        <w:rPr>
          <w:rFonts w:cs="Times New Roman"/>
          <w:szCs w:val="24"/>
        </w:rPr>
      </w:pPr>
      <w:r w:rsidRPr="0005428A">
        <w:rPr>
          <w:rFonts w:cs="Times New Roman"/>
          <w:szCs w:val="24"/>
        </w:rPr>
        <w:t xml:space="preserve">The </w:t>
      </w:r>
      <w:r w:rsidR="00D36BF2" w:rsidRPr="0005428A">
        <w:rPr>
          <w:rFonts w:cs="Times New Roman"/>
          <w:szCs w:val="24"/>
        </w:rPr>
        <w:t xml:space="preserve">major reason behind the balance of balance sheet because it’s </w:t>
      </w:r>
      <w:r w:rsidR="00EA46A7" w:rsidRPr="0005428A">
        <w:rPr>
          <w:rFonts w:cs="Times New Roman"/>
          <w:szCs w:val="24"/>
        </w:rPr>
        <w:t>followed</w:t>
      </w:r>
      <w:r w:rsidR="00D36BF2" w:rsidRPr="0005428A">
        <w:rPr>
          <w:rFonts w:cs="Times New Roman"/>
          <w:szCs w:val="24"/>
        </w:rPr>
        <w:t xml:space="preserve"> the fundamental principle of accounting i.e. double entry. This accounting process recognized all the activities in at least 2 diverse accounts. </w:t>
      </w:r>
      <w:r w:rsidR="00906EEB" w:rsidRPr="0005428A">
        <w:rPr>
          <w:rFonts w:cs="Times New Roman"/>
          <w:szCs w:val="24"/>
        </w:rPr>
        <w:t>Therefore,</w:t>
      </w:r>
      <w:r w:rsidR="00D36BF2" w:rsidRPr="0005428A">
        <w:rPr>
          <w:rFonts w:cs="Times New Roman"/>
          <w:szCs w:val="24"/>
        </w:rPr>
        <w:t xml:space="preserve"> it does also ensure that entries are correct or consistent. </w:t>
      </w:r>
    </w:p>
    <w:p w14:paraId="3920897E" w14:textId="13CBB809" w:rsidR="005E25D9" w:rsidRPr="0005428A" w:rsidRDefault="00344D25" w:rsidP="0005428A">
      <w:pPr>
        <w:rPr>
          <w:rFonts w:cs="Times New Roman"/>
          <w:szCs w:val="24"/>
        </w:rPr>
      </w:pPr>
      <w:r w:rsidRPr="0005428A">
        <w:rPr>
          <w:rFonts w:cs="Times New Roman"/>
          <w:szCs w:val="24"/>
        </w:rPr>
        <w:lastRenderedPageBreak/>
        <w:t xml:space="preserve">For </w:t>
      </w:r>
      <w:r w:rsidR="00906EEB" w:rsidRPr="0005428A">
        <w:rPr>
          <w:rFonts w:cs="Times New Roman"/>
          <w:szCs w:val="24"/>
        </w:rPr>
        <w:t>example,</w:t>
      </w:r>
      <w:r w:rsidR="00CD1089" w:rsidRPr="0005428A">
        <w:rPr>
          <w:rFonts w:cs="Times New Roman"/>
          <w:szCs w:val="24"/>
        </w:rPr>
        <w:t xml:space="preserve"> if company decided that they would </w:t>
      </w:r>
      <w:r w:rsidR="00906EEB" w:rsidRPr="0005428A">
        <w:rPr>
          <w:rFonts w:cs="Times New Roman"/>
          <w:szCs w:val="24"/>
        </w:rPr>
        <w:t>sell</w:t>
      </w:r>
      <w:r w:rsidR="00CD1089" w:rsidRPr="0005428A">
        <w:rPr>
          <w:rFonts w:cs="Times New Roman"/>
          <w:szCs w:val="24"/>
        </w:rPr>
        <w:t xml:space="preserve"> office equipment for worth £ 50,000. In this scenario company assets account would be go down by £ 50,000 </w:t>
      </w:r>
      <w:r w:rsidR="00906EEB" w:rsidRPr="0005428A">
        <w:rPr>
          <w:rFonts w:cs="Times New Roman"/>
          <w:szCs w:val="24"/>
        </w:rPr>
        <w:t>whereas</w:t>
      </w:r>
      <w:r w:rsidR="00CD1089" w:rsidRPr="0005428A">
        <w:rPr>
          <w:rFonts w:cs="Times New Roman"/>
          <w:szCs w:val="24"/>
        </w:rPr>
        <w:t xml:space="preserve"> cash account of the company goes up by £ 50,000, so by this way balance sheet balanced.</w:t>
      </w:r>
    </w:p>
    <w:p w14:paraId="30476F61" w14:textId="65F8F2A7" w:rsidR="008A3A62" w:rsidRPr="0005428A" w:rsidRDefault="008A3A62" w:rsidP="0005428A">
      <w:pPr>
        <w:rPr>
          <w:rFonts w:cs="Times New Roman"/>
          <w:szCs w:val="24"/>
        </w:rPr>
      </w:pPr>
      <w:r w:rsidRPr="0005428A">
        <w:rPr>
          <w:rFonts w:cs="Times New Roman"/>
          <w:szCs w:val="24"/>
        </w:rPr>
        <w:t xml:space="preserve">Assets are fore most important part of balance sheet. Assets include two types of assets first one current </w:t>
      </w:r>
      <w:r w:rsidR="00906EEB" w:rsidRPr="0005428A">
        <w:rPr>
          <w:rFonts w:cs="Times New Roman"/>
          <w:szCs w:val="24"/>
        </w:rPr>
        <w:t>asset</w:t>
      </w:r>
      <w:r w:rsidR="00906EEB">
        <w:rPr>
          <w:rFonts w:cs="Times New Roman"/>
          <w:szCs w:val="24"/>
        </w:rPr>
        <w:t xml:space="preserve">s </w:t>
      </w:r>
      <w:r w:rsidRPr="0005428A">
        <w:rPr>
          <w:rFonts w:cs="Times New Roman"/>
          <w:szCs w:val="24"/>
        </w:rPr>
        <w:t xml:space="preserve">and another one is noncurrent assets. Current assets represent those assets which are to be transformed into cash within one year or one operation cycle whichever is greater. </w:t>
      </w:r>
      <w:r w:rsidR="005068E0" w:rsidRPr="0005428A">
        <w:rPr>
          <w:rFonts w:cs="Times New Roman"/>
          <w:szCs w:val="24"/>
        </w:rPr>
        <w:t>Current assets include</w:t>
      </w:r>
      <w:r w:rsidRPr="0005428A">
        <w:rPr>
          <w:rFonts w:cs="Times New Roman"/>
          <w:szCs w:val="24"/>
        </w:rPr>
        <w:t xml:space="preserve"> inventory, accounts receivables, prepaid expenses</w:t>
      </w:r>
      <w:r w:rsidR="00E90CD6">
        <w:rPr>
          <w:rFonts w:cs="Times New Roman"/>
          <w:szCs w:val="24"/>
        </w:rPr>
        <w:t xml:space="preserve">, </w:t>
      </w:r>
      <w:r w:rsidRPr="0005428A">
        <w:rPr>
          <w:rFonts w:cs="Times New Roman"/>
          <w:szCs w:val="24"/>
        </w:rPr>
        <w:t xml:space="preserve">cash </w:t>
      </w:r>
      <w:r w:rsidR="005068E0" w:rsidRPr="0005428A">
        <w:rPr>
          <w:rFonts w:cs="Times New Roman"/>
          <w:szCs w:val="24"/>
        </w:rPr>
        <w:t xml:space="preserve">and cash </w:t>
      </w:r>
      <w:r w:rsidRPr="0005428A">
        <w:rPr>
          <w:rFonts w:cs="Times New Roman"/>
          <w:szCs w:val="24"/>
        </w:rPr>
        <w:t>equivalents</w:t>
      </w:r>
      <w:r w:rsidR="00711D52" w:rsidRPr="0005428A">
        <w:rPr>
          <w:rFonts w:cs="Times New Roman"/>
          <w:szCs w:val="24"/>
        </w:rPr>
        <w:t xml:space="preserve"> (Leonard, 2018)</w:t>
      </w:r>
      <w:r w:rsidRPr="0005428A">
        <w:rPr>
          <w:rFonts w:cs="Times New Roman"/>
          <w:szCs w:val="24"/>
        </w:rPr>
        <w:t xml:space="preserve">. </w:t>
      </w:r>
      <w:r w:rsidR="005068E0" w:rsidRPr="0005428A">
        <w:rPr>
          <w:rFonts w:cs="Times New Roman"/>
          <w:szCs w:val="24"/>
        </w:rPr>
        <w:t xml:space="preserve">Noncurrent assets represent the </w:t>
      </w:r>
      <w:r w:rsidR="00E90CD6" w:rsidRPr="0005428A">
        <w:rPr>
          <w:rFonts w:cs="Times New Roman"/>
          <w:szCs w:val="24"/>
        </w:rPr>
        <w:t>long-term</w:t>
      </w:r>
      <w:r w:rsidR="005068E0" w:rsidRPr="0005428A">
        <w:rPr>
          <w:rFonts w:cs="Times New Roman"/>
          <w:szCs w:val="24"/>
        </w:rPr>
        <w:t xml:space="preserve"> assets of the </w:t>
      </w:r>
      <w:r w:rsidR="00E90CD6" w:rsidRPr="0005428A">
        <w:rPr>
          <w:rFonts w:cs="Times New Roman"/>
          <w:szCs w:val="24"/>
        </w:rPr>
        <w:t>organization,</w:t>
      </w:r>
      <w:r w:rsidR="005068E0" w:rsidRPr="0005428A">
        <w:rPr>
          <w:rFonts w:cs="Times New Roman"/>
          <w:szCs w:val="24"/>
        </w:rPr>
        <w:t xml:space="preserve"> and which are to be transformed into cash more than a year. Noncurrent assets include plant and machinery, land and building, fixed assets and trademarks.</w:t>
      </w:r>
    </w:p>
    <w:p w14:paraId="3F88B674" w14:textId="7EC0FB79" w:rsidR="005068E0" w:rsidRPr="0005428A" w:rsidRDefault="005068E0" w:rsidP="0005428A">
      <w:pPr>
        <w:rPr>
          <w:rFonts w:cs="Times New Roman"/>
          <w:szCs w:val="24"/>
        </w:rPr>
      </w:pPr>
      <w:r w:rsidRPr="0005428A">
        <w:rPr>
          <w:rFonts w:cs="Times New Roman"/>
          <w:szCs w:val="24"/>
        </w:rPr>
        <w:t xml:space="preserve">Liabilities are the component of balance </w:t>
      </w:r>
      <w:r w:rsidR="00E90CD6" w:rsidRPr="0005428A">
        <w:rPr>
          <w:rFonts w:cs="Times New Roman"/>
          <w:szCs w:val="24"/>
        </w:rPr>
        <w:t>sheet,</w:t>
      </w:r>
      <w:r w:rsidRPr="0005428A">
        <w:rPr>
          <w:rFonts w:cs="Times New Roman"/>
          <w:szCs w:val="24"/>
        </w:rPr>
        <w:t xml:space="preserve"> and it is the obligation of the company. Liabilities include two types of liabilities first one current liabilities and another one is noncurrent liabilities. Current liabilities represent those liabilities which are to be paid in one year or one operation cycle whichever is greater. Current liabilities include creditors, outstanding expenses, and </w:t>
      </w:r>
      <w:r w:rsidR="00E90CD6" w:rsidRPr="0005428A">
        <w:rPr>
          <w:rFonts w:cs="Times New Roman"/>
          <w:szCs w:val="24"/>
        </w:rPr>
        <w:t>short-term</w:t>
      </w:r>
      <w:r w:rsidRPr="0005428A">
        <w:rPr>
          <w:rFonts w:cs="Times New Roman"/>
          <w:szCs w:val="24"/>
        </w:rPr>
        <w:t xml:space="preserve"> loan and notes payables. Noncurrent liabilities represent the </w:t>
      </w:r>
      <w:r w:rsidR="00E90CD6" w:rsidRPr="0005428A">
        <w:rPr>
          <w:rFonts w:cs="Times New Roman"/>
          <w:szCs w:val="24"/>
        </w:rPr>
        <w:t>long-term</w:t>
      </w:r>
      <w:r w:rsidRPr="0005428A">
        <w:rPr>
          <w:rFonts w:cs="Times New Roman"/>
          <w:szCs w:val="24"/>
        </w:rPr>
        <w:t xml:space="preserve"> financing or debt of the </w:t>
      </w:r>
      <w:r w:rsidR="00E90CD6" w:rsidRPr="0005428A">
        <w:rPr>
          <w:rFonts w:cs="Times New Roman"/>
          <w:szCs w:val="24"/>
        </w:rPr>
        <w:t>organization,</w:t>
      </w:r>
      <w:r w:rsidRPr="0005428A">
        <w:rPr>
          <w:rFonts w:cs="Times New Roman"/>
          <w:szCs w:val="24"/>
        </w:rPr>
        <w:t xml:space="preserve"> and which are to be paid in more than a year. Noncurrent liabilities include long term debt and loans</w:t>
      </w:r>
      <w:r w:rsidR="00711D52" w:rsidRPr="0005428A">
        <w:rPr>
          <w:rFonts w:cs="Times New Roman"/>
          <w:szCs w:val="24"/>
        </w:rPr>
        <w:t xml:space="preserve"> (</w:t>
      </w:r>
      <w:proofErr w:type="spellStart"/>
      <w:r w:rsidR="00711D52" w:rsidRPr="0005428A">
        <w:rPr>
          <w:rFonts w:cs="Times New Roman"/>
          <w:color w:val="222222"/>
          <w:szCs w:val="24"/>
          <w:shd w:val="clear" w:color="auto" w:fill="FFFFFF"/>
        </w:rPr>
        <w:t>Kevorkova</w:t>
      </w:r>
      <w:proofErr w:type="spellEnd"/>
      <w:r w:rsidR="00711D52" w:rsidRPr="0005428A">
        <w:rPr>
          <w:rFonts w:cs="Times New Roman"/>
          <w:color w:val="222222"/>
          <w:szCs w:val="24"/>
          <w:shd w:val="clear" w:color="auto" w:fill="FFFFFF"/>
        </w:rPr>
        <w:t xml:space="preserve"> et al., 2019)</w:t>
      </w:r>
      <w:r w:rsidRPr="0005428A">
        <w:rPr>
          <w:rFonts w:cs="Times New Roman"/>
          <w:szCs w:val="24"/>
        </w:rPr>
        <w:t>.</w:t>
      </w:r>
    </w:p>
    <w:p w14:paraId="7ACC4E4A" w14:textId="4998FA6D" w:rsidR="005068E0" w:rsidRPr="0005428A" w:rsidRDefault="005068E0" w:rsidP="0005428A">
      <w:pPr>
        <w:rPr>
          <w:rFonts w:cs="Times New Roman"/>
          <w:szCs w:val="24"/>
        </w:rPr>
      </w:pPr>
      <w:r w:rsidRPr="0005428A">
        <w:rPr>
          <w:rFonts w:cs="Times New Roman"/>
          <w:szCs w:val="24"/>
        </w:rPr>
        <w:t xml:space="preserve">Shareholders’ capital </w:t>
      </w:r>
      <w:r w:rsidR="00A16623" w:rsidRPr="0005428A">
        <w:rPr>
          <w:rFonts w:cs="Times New Roman"/>
          <w:szCs w:val="24"/>
        </w:rPr>
        <w:t xml:space="preserve">includes the </w:t>
      </w:r>
      <w:r w:rsidRPr="0005428A">
        <w:rPr>
          <w:rFonts w:cs="Times New Roman"/>
          <w:szCs w:val="24"/>
        </w:rPr>
        <w:t xml:space="preserve">retained </w:t>
      </w:r>
      <w:r w:rsidR="00E90CD6" w:rsidRPr="0005428A">
        <w:rPr>
          <w:rFonts w:cs="Times New Roman"/>
          <w:szCs w:val="24"/>
        </w:rPr>
        <w:t>earnings,</w:t>
      </w:r>
      <w:r w:rsidR="00A16623" w:rsidRPr="0005428A">
        <w:rPr>
          <w:rFonts w:cs="Times New Roman"/>
          <w:szCs w:val="24"/>
        </w:rPr>
        <w:t xml:space="preserve"> and it refers to the part of the net profit which is not distributed in shareholder as dividend and instead of this it can be used by company in reinvest purpose</w:t>
      </w:r>
      <w:r w:rsidR="00F707F9" w:rsidRPr="0005428A">
        <w:rPr>
          <w:rFonts w:cs="Times New Roman"/>
          <w:szCs w:val="24"/>
        </w:rPr>
        <w:t xml:space="preserve"> (</w:t>
      </w:r>
      <w:r w:rsidR="00F707F9" w:rsidRPr="0005428A">
        <w:rPr>
          <w:rFonts w:cs="Times New Roman"/>
          <w:szCs w:val="24"/>
          <w:shd w:val="clear" w:color="auto" w:fill="FFFFFF"/>
        </w:rPr>
        <w:t xml:space="preserve">Ball et </w:t>
      </w:r>
      <w:r w:rsidR="00E90CD6" w:rsidRPr="0005428A">
        <w:rPr>
          <w:rFonts w:cs="Times New Roman"/>
          <w:szCs w:val="24"/>
          <w:shd w:val="clear" w:color="auto" w:fill="FFFFFF"/>
        </w:rPr>
        <w:t>al.</w:t>
      </w:r>
      <w:r w:rsidR="00F707F9" w:rsidRPr="0005428A">
        <w:rPr>
          <w:rFonts w:cs="Times New Roman"/>
          <w:szCs w:val="24"/>
          <w:shd w:val="clear" w:color="auto" w:fill="FFFFFF"/>
        </w:rPr>
        <w:t>, 2020)</w:t>
      </w:r>
      <w:r w:rsidR="00A16623" w:rsidRPr="0005428A">
        <w:rPr>
          <w:rFonts w:cs="Times New Roman"/>
          <w:szCs w:val="24"/>
        </w:rPr>
        <w:t xml:space="preserve">. And it also includes share capital that is contributed by the shareholder of the company. Shareholder shows the net value of a business and helps in to estimate or evaluate financial health of the company. </w:t>
      </w:r>
    </w:p>
    <w:p w14:paraId="0AE45809" w14:textId="77777777" w:rsidR="00F8786E" w:rsidRPr="0005428A" w:rsidRDefault="00F8786E" w:rsidP="0005428A">
      <w:pPr>
        <w:rPr>
          <w:rFonts w:cs="Times New Roman"/>
          <w:szCs w:val="24"/>
        </w:rPr>
      </w:pPr>
      <w:r w:rsidRPr="0005428A">
        <w:rPr>
          <w:rFonts w:cs="Times New Roman"/>
          <w:szCs w:val="24"/>
        </w:rPr>
        <w:br w:type="page"/>
      </w:r>
    </w:p>
    <w:p w14:paraId="7511FB27" w14:textId="77777777" w:rsidR="00DC1974" w:rsidRPr="0005428A" w:rsidRDefault="00DC1974" w:rsidP="00604372">
      <w:pPr>
        <w:pStyle w:val="Heading1"/>
      </w:pPr>
      <w:bookmarkStart w:id="2" w:name="_Toc77431469"/>
      <w:r w:rsidRPr="0005428A">
        <w:lastRenderedPageBreak/>
        <w:t>Question 2</w:t>
      </w:r>
      <w:bookmarkEnd w:id="2"/>
    </w:p>
    <w:p w14:paraId="4DDCF59D" w14:textId="77777777" w:rsidR="0005428A" w:rsidRPr="0005428A" w:rsidRDefault="00DC1974" w:rsidP="0005428A">
      <w:pPr>
        <w:rPr>
          <w:rFonts w:cs="Times New Roman"/>
          <w:szCs w:val="24"/>
        </w:rPr>
      </w:pPr>
      <w:r w:rsidRPr="0005428A">
        <w:rPr>
          <w:rFonts w:cs="Times New Roman"/>
          <w:b/>
          <w:szCs w:val="24"/>
        </w:rPr>
        <w:t>A):</w:t>
      </w:r>
      <w:r w:rsidRPr="0005428A">
        <w:rPr>
          <w:rFonts w:cs="Times New Roman"/>
          <w:szCs w:val="24"/>
        </w:rPr>
        <w:t xml:space="preserve"> </w:t>
      </w:r>
    </w:p>
    <w:p w14:paraId="30C757FC" w14:textId="77777777" w:rsidR="00DC1974" w:rsidRPr="0005428A" w:rsidRDefault="00DC1974" w:rsidP="0005428A">
      <w:pPr>
        <w:rPr>
          <w:rFonts w:cs="Times New Roman"/>
          <w:szCs w:val="24"/>
        </w:rPr>
      </w:pPr>
      <w:r w:rsidRPr="0005428A">
        <w:rPr>
          <w:rFonts w:cs="Times New Roman"/>
          <w:szCs w:val="24"/>
        </w:rPr>
        <w:t>Financial ratios are very important tools and technique which help the company or the management to analysis the financial performance and the position of the company so that they can invest the process to the same and increase the interest income of the company (Wood, 2019).</w:t>
      </w:r>
    </w:p>
    <w:tbl>
      <w:tblPr>
        <w:tblW w:w="5000" w:type="pct"/>
        <w:tblLook w:val="04A0" w:firstRow="1" w:lastRow="0" w:firstColumn="1" w:lastColumn="0" w:noHBand="0" w:noVBand="1"/>
      </w:tblPr>
      <w:tblGrid>
        <w:gridCol w:w="2609"/>
        <w:gridCol w:w="3434"/>
        <w:gridCol w:w="2253"/>
        <w:gridCol w:w="1054"/>
      </w:tblGrid>
      <w:tr w:rsidR="00DC1974" w:rsidRPr="0005428A" w14:paraId="5F742C2E" w14:textId="77777777" w:rsidTr="00DC1974">
        <w:trPr>
          <w:trHeight w:val="29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A87311E" w14:textId="77777777" w:rsidR="00DC1974" w:rsidRPr="0005428A" w:rsidRDefault="00DC1974" w:rsidP="0005428A">
            <w:pPr>
              <w:spacing w:after="0"/>
              <w:rPr>
                <w:rFonts w:eastAsia="Times New Roman" w:cs="Times New Roman"/>
                <w:b/>
                <w:bCs/>
                <w:color w:val="000000"/>
                <w:szCs w:val="24"/>
              </w:rPr>
            </w:pPr>
            <w:r w:rsidRPr="0005428A">
              <w:rPr>
                <w:rFonts w:eastAsia="Times New Roman" w:cs="Times New Roman"/>
                <w:b/>
                <w:bCs/>
                <w:color w:val="000000"/>
                <w:szCs w:val="24"/>
              </w:rPr>
              <w:t>A):</w:t>
            </w:r>
            <w:r w:rsidR="0005428A" w:rsidRPr="0005428A">
              <w:rPr>
                <w:rFonts w:eastAsia="Times New Roman" w:cs="Times New Roman"/>
                <w:b/>
                <w:bCs/>
                <w:color w:val="000000"/>
                <w:szCs w:val="24"/>
              </w:rPr>
              <w:t xml:space="preserve"> </w:t>
            </w:r>
            <w:r w:rsidRPr="0005428A">
              <w:rPr>
                <w:rFonts w:eastAsia="Times New Roman" w:cs="Times New Roman"/>
                <w:b/>
                <w:bCs/>
                <w:color w:val="000000"/>
                <w:szCs w:val="24"/>
              </w:rPr>
              <w:t xml:space="preserve"> Financial ratios</w:t>
            </w:r>
          </w:p>
        </w:tc>
      </w:tr>
      <w:tr w:rsidR="00DC1974" w:rsidRPr="0005428A" w14:paraId="7D6FEAAB"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06CFCA37"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1):</w:t>
            </w:r>
          </w:p>
        </w:tc>
        <w:tc>
          <w:tcPr>
            <w:tcW w:w="1972" w:type="pct"/>
            <w:tcBorders>
              <w:top w:val="nil"/>
              <w:left w:val="nil"/>
              <w:bottom w:val="single" w:sz="4" w:space="0" w:color="auto"/>
              <w:right w:val="single" w:sz="4" w:space="0" w:color="auto"/>
            </w:tcBorders>
            <w:shd w:val="clear" w:color="auto" w:fill="auto"/>
            <w:noWrap/>
            <w:vAlign w:val="bottom"/>
            <w:hideMark/>
          </w:tcPr>
          <w:p w14:paraId="6C8D49DD"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035791BC"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517E82E2"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6B06E365"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498AA8C4" w14:textId="77777777" w:rsidR="00DC1974" w:rsidRPr="0005428A" w:rsidRDefault="00DC1974" w:rsidP="0005428A">
            <w:pPr>
              <w:spacing w:after="0"/>
              <w:rPr>
                <w:rFonts w:eastAsia="Times New Roman" w:cs="Times New Roman"/>
                <w:b/>
                <w:bCs/>
                <w:color w:val="000000"/>
                <w:szCs w:val="24"/>
              </w:rPr>
            </w:pPr>
            <w:r w:rsidRPr="0005428A">
              <w:rPr>
                <w:rFonts w:eastAsia="Times New Roman" w:cs="Times New Roman"/>
                <w:b/>
                <w:bCs/>
                <w:color w:val="000000"/>
                <w:szCs w:val="24"/>
              </w:rPr>
              <w:t>Return on Capital employed</w:t>
            </w:r>
          </w:p>
        </w:tc>
        <w:tc>
          <w:tcPr>
            <w:tcW w:w="1972" w:type="pct"/>
            <w:tcBorders>
              <w:top w:val="nil"/>
              <w:left w:val="nil"/>
              <w:bottom w:val="single" w:sz="4" w:space="0" w:color="auto"/>
              <w:right w:val="single" w:sz="4" w:space="0" w:color="auto"/>
            </w:tcBorders>
            <w:shd w:val="clear" w:color="auto" w:fill="auto"/>
            <w:noWrap/>
            <w:vAlign w:val="bottom"/>
            <w:hideMark/>
          </w:tcPr>
          <w:p w14:paraId="677950C6"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341CB983"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4D059A8D"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44F43E63"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024E812C"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Formula:</w:t>
            </w:r>
          </w:p>
        </w:tc>
        <w:tc>
          <w:tcPr>
            <w:tcW w:w="1972" w:type="pct"/>
            <w:tcBorders>
              <w:top w:val="nil"/>
              <w:left w:val="nil"/>
              <w:bottom w:val="single" w:sz="4" w:space="0" w:color="auto"/>
              <w:right w:val="single" w:sz="4" w:space="0" w:color="auto"/>
            </w:tcBorders>
            <w:shd w:val="clear" w:color="auto" w:fill="auto"/>
            <w:noWrap/>
            <w:vAlign w:val="bottom"/>
            <w:hideMark/>
          </w:tcPr>
          <w:p w14:paraId="18BE229E"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EBIT/Equity + Long term liability</w:t>
            </w:r>
          </w:p>
        </w:tc>
        <w:tc>
          <w:tcPr>
            <w:tcW w:w="1207" w:type="pct"/>
            <w:tcBorders>
              <w:top w:val="nil"/>
              <w:left w:val="nil"/>
              <w:bottom w:val="single" w:sz="4" w:space="0" w:color="auto"/>
              <w:right w:val="single" w:sz="4" w:space="0" w:color="auto"/>
            </w:tcBorders>
            <w:shd w:val="clear" w:color="auto" w:fill="auto"/>
            <w:noWrap/>
            <w:vAlign w:val="bottom"/>
            <w:hideMark/>
          </w:tcPr>
          <w:p w14:paraId="5142D2A1"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0B97430F"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786031D2"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690A2EAF"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2020</w:t>
            </w:r>
          </w:p>
        </w:tc>
        <w:tc>
          <w:tcPr>
            <w:tcW w:w="1972" w:type="pct"/>
            <w:tcBorders>
              <w:top w:val="nil"/>
              <w:left w:val="nil"/>
              <w:bottom w:val="single" w:sz="4" w:space="0" w:color="auto"/>
              <w:right w:val="single" w:sz="4" w:space="0" w:color="auto"/>
            </w:tcBorders>
            <w:shd w:val="clear" w:color="auto" w:fill="auto"/>
            <w:noWrap/>
            <w:vAlign w:val="bottom"/>
            <w:hideMark/>
          </w:tcPr>
          <w:p w14:paraId="46ADDDCB"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17229601"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2019</w:t>
            </w:r>
          </w:p>
        </w:tc>
        <w:tc>
          <w:tcPr>
            <w:tcW w:w="614" w:type="pct"/>
            <w:tcBorders>
              <w:top w:val="nil"/>
              <w:left w:val="nil"/>
              <w:bottom w:val="single" w:sz="4" w:space="0" w:color="auto"/>
              <w:right w:val="single" w:sz="4" w:space="0" w:color="auto"/>
            </w:tcBorders>
            <w:shd w:val="clear" w:color="auto" w:fill="auto"/>
            <w:noWrap/>
            <w:vAlign w:val="bottom"/>
            <w:hideMark/>
          </w:tcPr>
          <w:p w14:paraId="24E1755D"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4522594D"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1D64389B"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EBIT</w:t>
            </w:r>
          </w:p>
        </w:tc>
        <w:tc>
          <w:tcPr>
            <w:tcW w:w="1972" w:type="pct"/>
            <w:tcBorders>
              <w:top w:val="nil"/>
              <w:left w:val="nil"/>
              <w:bottom w:val="single" w:sz="4" w:space="0" w:color="auto"/>
              <w:right w:val="single" w:sz="4" w:space="0" w:color="auto"/>
            </w:tcBorders>
            <w:shd w:val="clear" w:color="auto" w:fill="auto"/>
            <w:noWrap/>
            <w:vAlign w:val="bottom"/>
            <w:hideMark/>
          </w:tcPr>
          <w:p w14:paraId="28DC5AC4"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805</w:t>
            </w:r>
          </w:p>
        </w:tc>
        <w:tc>
          <w:tcPr>
            <w:tcW w:w="1207" w:type="pct"/>
            <w:tcBorders>
              <w:top w:val="nil"/>
              <w:left w:val="nil"/>
              <w:bottom w:val="single" w:sz="4" w:space="0" w:color="auto"/>
              <w:right w:val="single" w:sz="4" w:space="0" w:color="auto"/>
            </w:tcBorders>
            <w:shd w:val="clear" w:color="auto" w:fill="auto"/>
            <w:noWrap/>
            <w:vAlign w:val="bottom"/>
            <w:hideMark/>
          </w:tcPr>
          <w:p w14:paraId="2892DD7B"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EBIT</w:t>
            </w:r>
          </w:p>
        </w:tc>
        <w:tc>
          <w:tcPr>
            <w:tcW w:w="614" w:type="pct"/>
            <w:tcBorders>
              <w:top w:val="nil"/>
              <w:left w:val="nil"/>
              <w:bottom w:val="single" w:sz="4" w:space="0" w:color="auto"/>
              <w:right w:val="single" w:sz="4" w:space="0" w:color="auto"/>
            </w:tcBorders>
            <w:shd w:val="clear" w:color="auto" w:fill="auto"/>
            <w:noWrap/>
            <w:vAlign w:val="bottom"/>
            <w:hideMark/>
          </w:tcPr>
          <w:p w14:paraId="25478E14"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700</w:t>
            </w:r>
          </w:p>
        </w:tc>
      </w:tr>
      <w:tr w:rsidR="00DC1974" w:rsidRPr="0005428A" w14:paraId="3AF0973A"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51C8B61D"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Equity</w:t>
            </w:r>
          </w:p>
        </w:tc>
        <w:tc>
          <w:tcPr>
            <w:tcW w:w="1972" w:type="pct"/>
            <w:tcBorders>
              <w:top w:val="nil"/>
              <w:left w:val="nil"/>
              <w:bottom w:val="single" w:sz="4" w:space="0" w:color="auto"/>
              <w:right w:val="single" w:sz="4" w:space="0" w:color="auto"/>
            </w:tcBorders>
            <w:shd w:val="clear" w:color="auto" w:fill="auto"/>
            <w:noWrap/>
            <w:vAlign w:val="bottom"/>
            <w:hideMark/>
          </w:tcPr>
          <w:p w14:paraId="1BFF59E5"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3088</w:t>
            </w:r>
          </w:p>
        </w:tc>
        <w:tc>
          <w:tcPr>
            <w:tcW w:w="1207" w:type="pct"/>
            <w:tcBorders>
              <w:top w:val="nil"/>
              <w:left w:val="nil"/>
              <w:bottom w:val="single" w:sz="4" w:space="0" w:color="auto"/>
              <w:right w:val="single" w:sz="4" w:space="0" w:color="auto"/>
            </w:tcBorders>
            <w:shd w:val="clear" w:color="auto" w:fill="auto"/>
            <w:noWrap/>
            <w:vAlign w:val="bottom"/>
            <w:hideMark/>
          </w:tcPr>
          <w:p w14:paraId="2E285420"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Equity</w:t>
            </w:r>
          </w:p>
        </w:tc>
        <w:tc>
          <w:tcPr>
            <w:tcW w:w="614" w:type="pct"/>
            <w:tcBorders>
              <w:top w:val="nil"/>
              <w:left w:val="nil"/>
              <w:bottom w:val="single" w:sz="4" w:space="0" w:color="auto"/>
              <w:right w:val="single" w:sz="4" w:space="0" w:color="auto"/>
            </w:tcBorders>
            <w:shd w:val="clear" w:color="auto" w:fill="auto"/>
            <w:noWrap/>
            <w:vAlign w:val="bottom"/>
            <w:hideMark/>
          </w:tcPr>
          <w:p w14:paraId="5C30105D"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2912</w:t>
            </w:r>
          </w:p>
        </w:tc>
      </w:tr>
      <w:tr w:rsidR="00DC1974" w:rsidRPr="0005428A" w14:paraId="1CE35120"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3AE664F0"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Long term liability</w:t>
            </w:r>
          </w:p>
        </w:tc>
        <w:tc>
          <w:tcPr>
            <w:tcW w:w="1972" w:type="pct"/>
            <w:tcBorders>
              <w:top w:val="nil"/>
              <w:left w:val="nil"/>
              <w:bottom w:val="single" w:sz="4" w:space="0" w:color="auto"/>
              <w:right w:val="single" w:sz="4" w:space="0" w:color="auto"/>
            </w:tcBorders>
            <w:shd w:val="clear" w:color="auto" w:fill="auto"/>
            <w:noWrap/>
            <w:vAlign w:val="bottom"/>
            <w:hideMark/>
          </w:tcPr>
          <w:p w14:paraId="33BB0F00"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4137</w:t>
            </w:r>
          </w:p>
        </w:tc>
        <w:tc>
          <w:tcPr>
            <w:tcW w:w="1207" w:type="pct"/>
            <w:tcBorders>
              <w:top w:val="nil"/>
              <w:left w:val="nil"/>
              <w:bottom w:val="single" w:sz="4" w:space="0" w:color="auto"/>
              <w:right w:val="single" w:sz="4" w:space="0" w:color="auto"/>
            </w:tcBorders>
            <w:shd w:val="clear" w:color="auto" w:fill="auto"/>
            <w:noWrap/>
            <w:vAlign w:val="bottom"/>
            <w:hideMark/>
          </w:tcPr>
          <w:p w14:paraId="2A3B353D"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Long term liability</w:t>
            </w:r>
          </w:p>
        </w:tc>
        <w:tc>
          <w:tcPr>
            <w:tcW w:w="614" w:type="pct"/>
            <w:tcBorders>
              <w:top w:val="nil"/>
              <w:left w:val="nil"/>
              <w:bottom w:val="single" w:sz="4" w:space="0" w:color="auto"/>
              <w:right w:val="single" w:sz="4" w:space="0" w:color="auto"/>
            </w:tcBorders>
            <w:shd w:val="clear" w:color="auto" w:fill="auto"/>
            <w:noWrap/>
            <w:vAlign w:val="bottom"/>
            <w:hideMark/>
          </w:tcPr>
          <w:p w14:paraId="3C762E84"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4129</w:t>
            </w:r>
          </w:p>
        </w:tc>
      </w:tr>
      <w:tr w:rsidR="00DC1974" w:rsidRPr="0005428A" w14:paraId="1BBCED23"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57AC03ED"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972" w:type="pct"/>
            <w:tcBorders>
              <w:top w:val="nil"/>
              <w:left w:val="nil"/>
              <w:bottom w:val="single" w:sz="4" w:space="0" w:color="auto"/>
              <w:right w:val="single" w:sz="4" w:space="0" w:color="auto"/>
            </w:tcBorders>
            <w:shd w:val="clear" w:color="auto" w:fill="auto"/>
            <w:noWrap/>
            <w:vAlign w:val="bottom"/>
            <w:hideMark/>
          </w:tcPr>
          <w:p w14:paraId="7D1F89FD"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3DFDA885"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4736C8AA"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19FACCB5"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39E22737" w14:textId="77777777" w:rsidR="00DC1974" w:rsidRPr="0005428A" w:rsidRDefault="00DC1974" w:rsidP="0005428A">
            <w:pPr>
              <w:spacing w:after="0"/>
              <w:rPr>
                <w:rFonts w:eastAsia="Times New Roman" w:cs="Times New Roman"/>
                <w:b/>
                <w:bCs/>
                <w:color w:val="000000"/>
                <w:szCs w:val="24"/>
              </w:rPr>
            </w:pPr>
            <w:r w:rsidRPr="0005428A">
              <w:rPr>
                <w:rFonts w:eastAsia="Times New Roman" w:cs="Times New Roman"/>
                <w:b/>
                <w:bCs/>
                <w:color w:val="000000"/>
                <w:szCs w:val="24"/>
              </w:rPr>
              <w:t xml:space="preserve">ROCE: </w:t>
            </w:r>
          </w:p>
        </w:tc>
        <w:tc>
          <w:tcPr>
            <w:tcW w:w="1972" w:type="pct"/>
            <w:tcBorders>
              <w:top w:val="nil"/>
              <w:left w:val="nil"/>
              <w:bottom w:val="single" w:sz="4" w:space="0" w:color="auto"/>
              <w:right w:val="single" w:sz="4" w:space="0" w:color="auto"/>
            </w:tcBorders>
            <w:shd w:val="clear" w:color="auto" w:fill="auto"/>
            <w:noWrap/>
            <w:vAlign w:val="bottom"/>
            <w:hideMark/>
          </w:tcPr>
          <w:p w14:paraId="3407381B" w14:textId="77777777" w:rsidR="00DC1974" w:rsidRPr="0005428A" w:rsidRDefault="00DC1974" w:rsidP="0005428A">
            <w:pPr>
              <w:spacing w:after="0"/>
              <w:rPr>
                <w:rFonts w:eastAsia="Times New Roman" w:cs="Times New Roman"/>
                <w:b/>
                <w:bCs/>
                <w:color w:val="000000"/>
                <w:szCs w:val="24"/>
              </w:rPr>
            </w:pPr>
            <w:r w:rsidRPr="0005428A">
              <w:rPr>
                <w:rFonts w:eastAsia="Times New Roman" w:cs="Times New Roman"/>
                <w:b/>
                <w:bCs/>
                <w:color w:val="000000"/>
                <w:szCs w:val="24"/>
              </w:rPr>
              <w:t>11.14%</w:t>
            </w:r>
          </w:p>
        </w:tc>
        <w:tc>
          <w:tcPr>
            <w:tcW w:w="1207" w:type="pct"/>
            <w:tcBorders>
              <w:top w:val="nil"/>
              <w:left w:val="nil"/>
              <w:bottom w:val="single" w:sz="4" w:space="0" w:color="auto"/>
              <w:right w:val="single" w:sz="4" w:space="0" w:color="auto"/>
            </w:tcBorders>
            <w:shd w:val="clear" w:color="auto" w:fill="auto"/>
            <w:noWrap/>
            <w:vAlign w:val="bottom"/>
            <w:hideMark/>
          </w:tcPr>
          <w:p w14:paraId="14003675" w14:textId="77777777" w:rsidR="00DC1974" w:rsidRPr="0005428A" w:rsidRDefault="00DC1974" w:rsidP="0005428A">
            <w:pPr>
              <w:spacing w:after="0"/>
              <w:rPr>
                <w:rFonts w:eastAsia="Times New Roman" w:cs="Times New Roman"/>
                <w:b/>
                <w:bCs/>
                <w:color w:val="000000"/>
                <w:szCs w:val="24"/>
              </w:rPr>
            </w:pPr>
            <w:r w:rsidRPr="0005428A">
              <w:rPr>
                <w:rFonts w:eastAsia="Times New Roman" w:cs="Times New Roman"/>
                <w:b/>
                <w:bCs/>
                <w:color w:val="000000"/>
                <w:szCs w:val="24"/>
              </w:rPr>
              <w:t xml:space="preserve">ROCE: </w:t>
            </w:r>
          </w:p>
        </w:tc>
        <w:tc>
          <w:tcPr>
            <w:tcW w:w="614" w:type="pct"/>
            <w:tcBorders>
              <w:top w:val="nil"/>
              <w:left w:val="nil"/>
              <w:bottom w:val="single" w:sz="4" w:space="0" w:color="auto"/>
              <w:right w:val="single" w:sz="4" w:space="0" w:color="auto"/>
            </w:tcBorders>
            <w:shd w:val="clear" w:color="auto" w:fill="auto"/>
            <w:noWrap/>
            <w:vAlign w:val="bottom"/>
            <w:hideMark/>
          </w:tcPr>
          <w:p w14:paraId="6735E764" w14:textId="77777777" w:rsidR="00DC1974" w:rsidRPr="0005428A" w:rsidRDefault="00DC1974" w:rsidP="0005428A">
            <w:pPr>
              <w:spacing w:after="0"/>
              <w:rPr>
                <w:rFonts w:eastAsia="Times New Roman" w:cs="Times New Roman"/>
                <w:b/>
                <w:bCs/>
                <w:color w:val="000000"/>
                <w:szCs w:val="24"/>
              </w:rPr>
            </w:pPr>
            <w:r w:rsidRPr="0005428A">
              <w:rPr>
                <w:rFonts w:eastAsia="Times New Roman" w:cs="Times New Roman"/>
                <w:b/>
                <w:bCs/>
                <w:color w:val="000000"/>
                <w:szCs w:val="24"/>
              </w:rPr>
              <w:t>9.94%</w:t>
            </w:r>
          </w:p>
        </w:tc>
      </w:tr>
      <w:tr w:rsidR="00DC1974" w:rsidRPr="0005428A" w14:paraId="541A9D7B"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458C0C60"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972" w:type="pct"/>
            <w:tcBorders>
              <w:top w:val="nil"/>
              <w:left w:val="nil"/>
              <w:bottom w:val="single" w:sz="4" w:space="0" w:color="auto"/>
              <w:right w:val="single" w:sz="4" w:space="0" w:color="auto"/>
            </w:tcBorders>
            <w:shd w:val="clear" w:color="auto" w:fill="auto"/>
            <w:noWrap/>
            <w:vAlign w:val="bottom"/>
            <w:hideMark/>
          </w:tcPr>
          <w:p w14:paraId="28C3A9CD"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7555D8AA"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7965DEA0"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5C4DDB90"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1C184D2E"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2):</w:t>
            </w:r>
          </w:p>
        </w:tc>
        <w:tc>
          <w:tcPr>
            <w:tcW w:w="1972" w:type="pct"/>
            <w:tcBorders>
              <w:top w:val="nil"/>
              <w:left w:val="nil"/>
              <w:bottom w:val="single" w:sz="4" w:space="0" w:color="auto"/>
              <w:right w:val="single" w:sz="4" w:space="0" w:color="auto"/>
            </w:tcBorders>
            <w:shd w:val="clear" w:color="auto" w:fill="auto"/>
            <w:noWrap/>
            <w:vAlign w:val="bottom"/>
            <w:hideMark/>
          </w:tcPr>
          <w:p w14:paraId="6B559ADA"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4E227F6D"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1C7F5789"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2CF2FF8F"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31ED1761" w14:textId="77777777" w:rsidR="00DC1974" w:rsidRPr="0005428A" w:rsidRDefault="00DC1974" w:rsidP="0005428A">
            <w:pPr>
              <w:spacing w:after="0"/>
              <w:rPr>
                <w:rFonts w:eastAsia="Times New Roman" w:cs="Times New Roman"/>
                <w:b/>
                <w:bCs/>
                <w:color w:val="000000"/>
                <w:szCs w:val="24"/>
              </w:rPr>
            </w:pPr>
            <w:r w:rsidRPr="0005428A">
              <w:rPr>
                <w:rFonts w:eastAsia="Times New Roman" w:cs="Times New Roman"/>
                <w:b/>
                <w:bCs/>
                <w:color w:val="000000"/>
                <w:szCs w:val="24"/>
              </w:rPr>
              <w:t>Return on Equity</w:t>
            </w:r>
          </w:p>
        </w:tc>
        <w:tc>
          <w:tcPr>
            <w:tcW w:w="1972" w:type="pct"/>
            <w:tcBorders>
              <w:top w:val="nil"/>
              <w:left w:val="nil"/>
              <w:bottom w:val="single" w:sz="4" w:space="0" w:color="auto"/>
              <w:right w:val="single" w:sz="4" w:space="0" w:color="auto"/>
            </w:tcBorders>
            <w:shd w:val="clear" w:color="auto" w:fill="auto"/>
            <w:noWrap/>
            <w:vAlign w:val="bottom"/>
            <w:hideMark/>
          </w:tcPr>
          <w:p w14:paraId="6FA6A593"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672AE13A"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730F4C67"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42A7A1F6"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0142D969"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Formula:</w:t>
            </w:r>
          </w:p>
        </w:tc>
        <w:tc>
          <w:tcPr>
            <w:tcW w:w="1972" w:type="pct"/>
            <w:tcBorders>
              <w:top w:val="nil"/>
              <w:left w:val="nil"/>
              <w:bottom w:val="single" w:sz="4" w:space="0" w:color="auto"/>
              <w:right w:val="single" w:sz="4" w:space="0" w:color="auto"/>
            </w:tcBorders>
            <w:shd w:val="clear" w:color="auto" w:fill="auto"/>
            <w:noWrap/>
            <w:vAlign w:val="bottom"/>
            <w:hideMark/>
          </w:tcPr>
          <w:p w14:paraId="7C9B370E"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Net income/Average equity</w:t>
            </w:r>
          </w:p>
        </w:tc>
        <w:tc>
          <w:tcPr>
            <w:tcW w:w="1207" w:type="pct"/>
            <w:tcBorders>
              <w:top w:val="nil"/>
              <w:left w:val="nil"/>
              <w:bottom w:val="single" w:sz="4" w:space="0" w:color="auto"/>
              <w:right w:val="single" w:sz="4" w:space="0" w:color="auto"/>
            </w:tcBorders>
            <w:shd w:val="clear" w:color="auto" w:fill="auto"/>
            <w:noWrap/>
            <w:vAlign w:val="bottom"/>
            <w:hideMark/>
          </w:tcPr>
          <w:p w14:paraId="699C10D7"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233EFE1F"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35BFF2F5"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33FD24C6"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2020</w:t>
            </w:r>
          </w:p>
        </w:tc>
        <w:tc>
          <w:tcPr>
            <w:tcW w:w="1972" w:type="pct"/>
            <w:tcBorders>
              <w:top w:val="nil"/>
              <w:left w:val="nil"/>
              <w:bottom w:val="single" w:sz="4" w:space="0" w:color="auto"/>
              <w:right w:val="single" w:sz="4" w:space="0" w:color="auto"/>
            </w:tcBorders>
            <w:shd w:val="clear" w:color="auto" w:fill="auto"/>
            <w:noWrap/>
            <w:vAlign w:val="bottom"/>
            <w:hideMark/>
          </w:tcPr>
          <w:p w14:paraId="11788192"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570F7602"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2019</w:t>
            </w:r>
          </w:p>
        </w:tc>
        <w:tc>
          <w:tcPr>
            <w:tcW w:w="614" w:type="pct"/>
            <w:tcBorders>
              <w:top w:val="nil"/>
              <w:left w:val="nil"/>
              <w:bottom w:val="single" w:sz="4" w:space="0" w:color="auto"/>
              <w:right w:val="single" w:sz="4" w:space="0" w:color="auto"/>
            </w:tcBorders>
            <w:shd w:val="clear" w:color="auto" w:fill="auto"/>
            <w:noWrap/>
            <w:vAlign w:val="bottom"/>
            <w:hideMark/>
          </w:tcPr>
          <w:p w14:paraId="072F1EDF"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3FE8C0B2"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1FD85F59"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Net income</w:t>
            </w:r>
          </w:p>
        </w:tc>
        <w:tc>
          <w:tcPr>
            <w:tcW w:w="1972" w:type="pct"/>
            <w:tcBorders>
              <w:top w:val="nil"/>
              <w:left w:val="nil"/>
              <w:bottom w:val="single" w:sz="4" w:space="0" w:color="auto"/>
              <w:right w:val="single" w:sz="4" w:space="0" w:color="auto"/>
            </w:tcBorders>
            <w:shd w:val="clear" w:color="auto" w:fill="auto"/>
            <w:noWrap/>
            <w:vAlign w:val="bottom"/>
            <w:hideMark/>
          </w:tcPr>
          <w:p w14:paraId="4ACE919A"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431</w:t>
            </w:r>
          </w:p>
        </w:tc>
        <w:tc>
          <w:tcPr>
            <w:tcW w:w="1207" w:type="pct"/>
            <w:tcBorders>
              <w:top w:val="nil"/>
              <w:left w:val="nil"/>
              <w:bottom w:val="single" w:sz="4" w:space="0" w:color="auto"/>
              <w:right w:val="single" w:sz="4" w:space="0" w:color="auto"/>
            </w:tcBorders>
            <w:shd w:val="clear" w:color="auto" w:fill="auto"/>
            <w:noWrap/>
            <w:vAlign w:val="bottom"/>
            <w:hideMark/>
          </w:tcPr>
          <w:p w14:paraId="71B4AA97"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Net income</w:t>
            </w:r>
          </w:p>
        </w:tc>
        <w:tc>
          <w:tcPr>
            <w:tcW w:w="614" w:type="pct"/>
            <w:tcBorders>
              <w:top w:val="nil"/>
              <w:left w:val="nil"/>
              <w:bottom w:val="single" w:sz="4" w:space="0" w:color="auto"/>
              <w:right w:val="single" w:sz="4" w:space="0" w:color="auto"/>
            </w:tcBorders>
            <w:shd w:val="clear" w:color="auto" w:fill="auto"/>
            <w:noWrap/>
            <w:vAlign w:val="bottom"/>
            <w:hideMark/>
          </w:tcPr>
          <w:p w14:paraId="3B016767"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366</w:t>
            </w:r>
          </w:p>
        </w:tc>
      </w:tr>
      <w:tr w:rsidR="00DC1974" w:rsidRPr="0005428A" w14:paraId="2556B094"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5F35442E"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Average equity</w:t>
            </w:r>
          </w:p>
        </w:tc>
        <w:tc>
          <w:tcPr>
            <w:tcW w:w="1972" w:type="pct"/>
            <w:tcBorders>
              <w:top w:val="nil"/>
              <w:left w:val="nil"/>
              <w:bottom w:val="single" w:sz="4" w:space="0" w:color="auto"/>
              <w:right w:val="single" w:sz="4" w:space="0" w:color="auto"/>
            </w:tcBorders>
            <w:shd w:val="clear" w:color="auto" w:fill="auto"/>
            <w:noWrap/>
            <w:vAlign w:val="bottom"/>
            <w:hideMark/>
          </w:tcPr>
          <w:p w14:paraId="1985788C"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3088</w:t>
            </w:r>
          </w:p>
        </w:tc>
        <w:tc>
          <w:tcPr>
            <w:tcW w:w="1207" w:type="pct"/>
            <w:tcBorders>
              <w:top w:val="nil"/>
              <w:left w:val="nil"/>
              <w:bottom w:val="single" w:sz="4" w:space="0" w:color="auto"/>
              <w:right w:val="single" w:sz="4" w:space="0" w:color="auto"/>
            </w:tcBorders>
            <w:shd w:val="clear" w:color="auto" w:fill="auto"/>
            <w:noWrap/>
            <w:vAlign w:val="bottom"/>
            <w:hideMark/>
          </w:tcPr>
          <w:p w14:paraId="306E528D"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Average equity</w:t>
            </w:r>
          </w:p>
        </w:tc>
        <w:tc>
          <w:tcPr>
            <w:tcW w:w="614" w:type="pct"/>
            <w:tcBorders>
              <w:top w:val="nil"/>
              <w:left w:val="nil"/>
              <w:bottom w:val="single" w:sz="4" w:space="0" w:color="auto"/>
              <w:right w:val="single" w:sz="4" w:space="0" w:color="auto"/>
            </w:tcBorders>
            <w:shd w:val="clear" w:color="auto" w:fill="auto"/>
            <w:noWrap/>
            <w:vAlign w:val="bottom"/>
            <w:hideMark/>
          </w:tcPr>
          <w:p w14:paraId="1361ADD6"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2912</w:t>
            </w:r>
          </w:p>
        </w:tc>
      </w:tr>
      <w:tr w:rsidR="00DC1974" w:rsidRPr="0005428A" w14:paraId="16AB96EE"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09C0DC56"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972" w:type="pct"/>
            <w:tcBorders>
              <w:top w:val="nil"/>
              <w:left w:val="nil"/>
              <w:bottom w:val="single" w:sz="4" w:space="0" w:color="auto"/>
              <w:right w:val="single" w:sz="4" w:space="0" w:color="auto"/>
            </w:tcBorders>
            <w:shd w:val="clear" w:color="auto" w:fill="auto"/>
            <w:noWrap/>
            <w:vAlign w:val="bottom"/>
            <w:hideMark/>
          </w:tcPr>
          <w:p w14:paraId="46D1760E"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6CAAD45F"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70A21FD1"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695E5DAD"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4FC9E1A1"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Return on equity</w:t>
            </w:r>
          </w:p>
        </w:tc>
        <w:tc>
          <w:tcPr>
            <w:tcW w:w="1972" w:type="pct"/>
            <w:tcBorders>
              <w:top w:val="nil"/>
              <w:left w:val="nil"/>
              <w:bottom w:val="single" w:sz="4" w:space="0" w:color="auto"/>
              <w:right w:val="single" w:sz="4" w:space="0" w:color="auto"/>
            </w:tcBorders>
            <w:shd w:val="clear" w:color="auto" w:fill="auto"/>
            <w:noWrap/>
            <w:vAlign w:val="bottom"/>
            <w:hideMark/>
          </w:tcPr>
          <w:p w14:paraId="0EE1CE09"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13.96%</w:t>
            </w:r>
          </w:p>
        </w:tc>
        <w:tc>
          <w:tcPr>
            <w:tcW w:w="1207" w:type="pct"/>
            <w:tcBorders>
              <w:top w:val="nil"/>
              <w:left w:val="nil"/>
              <w:bottom w:val="single" w:sz="4" w:space="0" w:color="auto"/>
              <w:right w:val="single" w:sz="4" w:space="0" w:color="auto"/>
            </w:tcBorders>
            <w:shd w:val="clear" w:color="auto" w:fill="auto"/>
            <w:noWrap/>
            <w:vAlign w:val="bottom"/>
            <w:hideMark/>
          </w:tcPr>
          <w:p w14:paraId="07A9DC01"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Return on equity</w:t>
            </w:r>
          </w:p>
        </w:tc>
        <w:tc>
          <w:tcPr>
            <w:tcW w:w="614" w:type="pct"/>
            <w:tcBorders>
              <w:top w:val="nil"/>
              <w:left w:val="nil"/>
              <w:bottom w:val="single" w:sz="4" w:space="0" w:color="auto"/>
              <w:right w:val="single" w:sz="4" w:space="0" w:color="auto"/>
            </w:tcBorders>
            <w:shd w:val="clear" w:color="auto" w:fill="auto"/>
            <w:noWrap/>
            <w:vAlign w:val="bottom"/>
            <w:hideMark/>
          </w:tcPr>
          <w:p w14:paraId="1A69D6B3"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12.57%</w:t>
            </w:r>
          </w:p>
        </w:tc>
      </w:tr>
      <w:tr w:rsidR="00DC1974" w:rsidRPr="0005428A" w14:paraId="7AD5ECFE" w14:textId="77777777" w:rsidTr="00535FF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643CAF14"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972" w:type="pct"/>
            <w:tcBorders>
              <w:top w:val="nil"/>
              <w:left w:val="nil"/>
              <w:bottom w:val="single" w:sz="4" w:space="0" w:color="auto"/>
              <w:right w:val="single" w:sz="4" w:space="0" w:color="auto"/>
            </w:tcBorders>
            <w:shd w:val="clear" w:color="auto" w:fill="auto"/>
            <w:noWrap/>
            <w:vAlign w:val="bottom"/>
            <w:hideMark/>
          </w:tcPr>
          <w:p w14:paraId="07158E6D"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61059E3F"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2F94CF00"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57E362E7" w14:textId="77777777" w:rsidTr="00535FF4">
        <w:trPr>
          <w:trHeight w:val="290"/>
        </w:trPr>
        <w:tc>
          <w:tcPr>
            <w:tcW w:w="1206"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BF1BCBD"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lastRenderedPageBreak/>
              <w:t xml:space="preserve">3): </w:t>
            </w:r>
          </w:p>
        </w:tc>
        <w:tc>
          <w:tcPr>
            <w:tcW w:w="1972" w:type="pct"/>
            <w:tcBorders>
              <w:top w:val="single" w:sz="4" w:space="0" w:color="auto"/>
              <w:left w:val="nil"/>
              <w:bottom w:val="single" w:sz="4" w:space="0" w:color="auto"/>
              <w:right w:val="single" w:sz="4" w:space="0" w:color="auto"/>
            </w:tcBorders>
            <w:shd w:val="clear" w:color="auto" w:fill="auto"/>
            <w:noWrap/>
            <w:vAlign w:val="bottom"/>
            <w:hideMark/>
          </w:tcPr>
          <w:p w14:paraId="03E2913B"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single" w:sz="4" w:space="0" w:color="auto"/>
              <w:left w:val="nil"/>
              <w:bottom w:val="single" w:sz="4" w:space="0" w:color="auto"/>
              <w:right w:val="single" w:sz="4" w:space="0" w:color="auto"/>
            </w:tcBorders>
            <w:shd w:val="clear" w:color="auto" w:fill="auto"/>
            <w:noWrap/>
            <w:vAlign w:val="bottom"/>
            <w:hideMark/>
          </w:tcPr>
          <w:p w14:paraId="25EA2D92"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single" w:sz="4" w:space="0" w:color="auto"/>
              <w:left w:val="nil"/>
              <w:bottom w:val="single" w:sz="4" w:space="0" w:color="auto"/>
              <w:right w:val="single" w:sz="4" w:space="0" w:color="auto"/>
            </w:tcBorders>
            <w:shd w:val="clear" w:color="auto" w:fill="auto"/>
            <w:noWrap/>
            <w:vAlign w:val="bottom"/>
            <w:hideMark/>
          </w:tcPr>
          <w:p w14:paraId="23E3092A"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0C747322"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49561F2B" w14:textId="77777777" w:rsidR="00DC1974" w:rsidRPr="0005428A" w:rsidRDefault="00DC1974" w:rsidP="0005428A">
            <w:pPr>
              <w:spacing w:after="0"/>
              <w:rPr>
                <w:rFonts w:eastAsia="Times New Roman" w:cs="Times New Roman"/>
                <w:b/>
                <w:bCs/>
                <w:color w:val="000000"/>
                <w:szCs w:val="24"/>
              </w:rPr>
            </w:pPr>
            <w:r w:rsidRPr="0005428A">
              <w:rPr>
                <w:rFonts w:eastAsia="Times New Roman" w:cs="Times New Roman"/>
                <w:b/>
                <w:bCs/>
                <w:color w:val="000000"/>
                <w:szCs w:val="24"/>
              </w:rPr>
              <w:t>Earnings per share</w:t>
            </w:r>
          </w:p>
        </w:tc>
        <w:tc>
          <w:tcPr>
            <w:tcW w:w="1972" w:type="pct"/>
            <w:tcBorders>
              <w:top w:val="nil"/>
              <w:left w:val="nil"/>
              <w:bottom w:val="single" w:sz="4" w:space="0" w:color="auto"/>
              <w:right w:val="single" w:sz="4" w:space="0" w:color="auto"/>
            </w:tcBorders>
            <w:shd w:val="clear" w:color="auto" w:fill="auto"/>
            <w:noWrap/>
            <w:vAlign w:val="bottom"/>
            <w:hideMark/>
          </w:tcPr>
          <w:p w14:paraId="07F69A01"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1A7EC2A0"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0BFD38B0"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71362980"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6A71A5DB"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Formula:</w:t>
            </w:r>
          </w:p>
        </w:tc>
        <w:tc>
          <w:tcPr>
            <w:tcW w:w="1972" w:type="pct"/>
            <w:tcBorders>
              <w:top w:val="nil"/>
              <w:left w:val="nil"/>
              <w:bottom w:val="single" w:sz="4" w:space="0" w:color="auto"/>
              <w:right w:val="single" w:sz="4" w:space="0" w:color="auto"/>
            </w:tcBorders>
            <w:shd w:val="clear" w:color="auto" w:fill="auto"/>
            <w:noWrap/>
            <w:vAlign w:val="bottom"/>
            <w:hideMark/>
          </w:tcPr>
          <w:p w14:paraId="24F4BFD7"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Net income/number of share outstanding</w:t>
            </w:r>
          </w:p>
        </w:tc>
        <w:tc>
          <w:tcPr>
            <w:tcW w:w="1207" w:type="pct"/>
            <w:tcBorders>
              <w:top w:val="nil"/>
              <w:left w:val="nil"/>
              <w:bottom w:val="single" w:sz="4" w:space="0" w:color="auto"/>
              <w:right w:val="single" w:sz="4" w:space="0" w:color="auto"/>
            </w:tcBorders>
            <w:shd w:val="clear" w:color="auto" w:fill="auto"/>
            <w:noWrap/>
            <w:vAlign w:val="bottom"/>
            <w:hideMark/>
          </w:tcPr>
          <w:p w14:paraId="5C70698E"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5F8E4D3E"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4CF1C705"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45E2F582"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2020</w:t>
            </w:r>
          </w:p>
        </w:tc>
        <w:tc>
          <w:tcPr>
            <w:tcW w:w="1972" w:type="pct"/>
            <w:tcBorders>
              <w:top w:val="nil"/>
              <w:left w:val="nil"/>
              <w:bottom w:val="single" w:sz="4" w:space="0" w:color="auto"/>
              <w:right w:val="single" w:sz="4" w:space="0" w:color="auto"/>
            </w:tcBorders>
            <w:shd w:val="clear" w:color="auto" w:fill="auto"/>
            <w:noWrap/>
            <w:vAlign w:val="bottom"/>
            <w:hideMark/>
          </w:tcPr>
          <w:p w14:paraId="2EF1462F"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791E3743"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2019</w:t>
            </w:r>
          </w:p>
        </w:tc>
        <w:tc>
          <w:tcPr>
            <w:tcW w:w="614" w:type="pct"/>
            <w:tcBorders>
              <w:top w:val="nil"/>
              <w:left w:val="nil"/>
              <w:bottom w:val="single" w:sz="4" w:space="0" w:color="auto"/>
              <w:right w:val="single" w:sz="4" w:space="0" w:color="auto"/>
            </w:tcBorders>
            <w:shd w:val="clear" w:color="auto" w:fill="auto"/>
            <w:noWrap/>
            <w:vAlign w:val="bottom"/>
            <w:hideMark/>
          </w:tcPr>
          <w:p w14:paraId="173AFC67"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19179CC7"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726CEF38"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Net income</w:t>
            </w:r>
          </w:p>
        </w:tc>
        <w:tc>
          <w:tcPr>
            <w:tcW w:w="1972" w:type="pct"/>
            <w:tcBorders>
              <w:top w:val="nil"/>
              <w:left w:val="nil"/>
              <w:bottom w:val="single" w:sz="4" w:space="0" w:color="auto"/>
              <w:right w:val="single" w:sz="4" w:space="0" w:color="auto"/>
            </w:tcBorders>
            <w:shd w:val="clear" w:color="auto" w:fill="auto"/>
            <w:noWrap/>
            <w:vAlign w:val="bottom"/>
            <w:hideMark/>
          </w:tcPr>
          <w:p w14:paraId="58222078"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431</w:t>
            </w:r>
          </w:p>
        </w:tc>
        <w:tc>
          <w:tcPr>
            <w:tcW w:w="1207" w:type="pct"/>
            <w:tcBorders>
              <w:top w:val="nil"/>
              <w:left w:val="nil"/>
              <w:bottom w:val="single" w:sz="4" w:space="0" w:color="auto"/>
              <w:right w:val="single" w:sz="4" w:space="0" w:color="auto"/>
            </w:tcBorders>
            <w:shd w:val="clear" w:color="auto" w:fill="auto"/>
            <w:noWrap/>
            <w:vAlign w:val="bottom"/>
            <w:hideMark/>
          </w:tcPr>
          <w:p w14:paraId="30446F71"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Net income</w:t>
            </w:r>
          </w:p>
        </w:tc>
        <w:tc>
          <w:tcPr>
            <w:tcW w:w="614" w:type="pct"/>
            <w:tcBorders>
              <w:top w:val="nil"/>
              <w:left w:val="nil"/>
              <w:bottom w:val="single" w:sz="4" w:space="0" w:color="auto"/>
              <w:right w:val="single" w:sz="4" w:space="0" w:color="auto"/>
            </w:tcBorders>
            <w:shd w:val="clear" w:color="auto" w:fill="auto"/>
            <w:noWrap/>
            <w:vAlign w:val="bottom"/>
            <w:hideMark/>
          </w:tcPr>
          <w:p w14:paraId="4C73FF57"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366</w:t>
            </w:r>
          </w:p>
        </w:tc>
      </w:tr>
      <w:tr w:rsidR="00DC1974" w:rsidRPr="0005428A" w14:paraId="796506A9"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39E62E8C"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Share outstanding</w:t>
            </w:r>
          </w:p>
        </w:tc>
        <w:tc>
          <w:tcPr>
            <w:tcW w:w="1972" w:type="pct"/>
            <w:tcBorders>
              <w:top w:val="nil"/>
              <w:left w:val="nil"/>
              <w:bottom w:val="single" w:sz="4" w:space="0" w:color="auto"/>
              <w:right w:val="single" w:sz="4" w:space="0" w:color="auto"/>
            </w:tcBorders>
            <w:shd w:val="clear" w:color="auto" w:fill="auto"/>
            <w:noWrap/>
            <w:vAlign w:val="bottom"/>
            <w:hideMark/>
          </w:tcPr>
          <w:p w14:paraId="4E9489CC"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1536</w:t>
            </w:r>
          </w:p>
        </w:tc>
        <w:tc>
          <w:tcPr>
            <w:tcW w:w="1207" w:type="pct"/>
            <w:tcBorders>
              <w:top w:val="nil"/>
              <w:left w:val="nil"/>
              <w:bottom w:val="single" w:sz="4" w:space="0" w:color="auto"/>
              <w:right w:val="single" w:sz="4" w:space="0" w:color="auto"/>
            </w:tcBorders>
            <w:shd w:val="clear" w:color="auto" w:fill="auto"/>
            <w:noWrap/>
            <w:vAlign w:val="bottom"/>
            <w:hideMark/>
          </w:tcPr>
          <w:p w14:paraId="33774841"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Share outstanding</w:t>
            </w:r>
          </w:p>
        </w:tc>
        <w:tc>
          <w:tcPr>
            <w:tcW w:w="614" w:type="pct"/>
            <w:tcBorders>
              <w:top w:val="nil"/>
              <w:left w:val="nil"/>
              <w:bottom w:val="single" w:sz="4" w:space="0" w:color="auto"/>
              <w:right w:val="single" w:sz="4" w:space="0" w:color="auto"/>
            </w:tcBorders>
            <w:shd w:val="clear" w:color="auto" w:fill="auto"/>
            <w:noWrap/>
            <w:vAlign w:val="bottom"/>
            <w:hideMark/>
          </w:tcPr>
          <w:p w14:paraId="021BA3BC"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1200</w:t>
            </w:r>
          </w:p>
        </w:tc>
      </w:tr>
      <w:tr w:rsidR="00DC1974" w:rsidRPr="0005428A" w14:paraId="63E16FBF"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33BD7769"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972" w:type="pct"/>
            <w:tcBorders>
              <w:top w:val="nil"/>
              <w:left w:val="nil"/>
              <w:bottom w:val="single" w:sz="4" w:space="0" w:color="auto"/>
              <w:right w:val="single" w:sz="4" w:space="0" w:color="auto"/>
            </w:tcBorders>
            <w:shd w:val="clear" w:color="auto" w:fill="auto"/>
            <w:noWrap/>
            <w:vAlign w:val="bottom"/>
            <w:hideMark/>
          </w:tcPr>
          <w:p w14:paraId="069AC4D9"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7A7E7A2B"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6121AC72"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3EF5AA91"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5A88E686" w14:textId="77777777" w:rsidR="00DC1974" w:rsidRPr="0005428A" w:rsidRDefault="00DC1974" w:rsidP="0005428A">
            <w:pPr>
              <w:spacing w:after="0"/>
              <w:rPr>
                <w:rFonts w:eastAsia="Times New Roman" w:cs="Times New Roman"/>
                <w:b/>
                <w:bCs/>
                <w:color w:val="000000"/>
                <w:szCs w:val="24"/>
              </w:rPr>
            </w:pPr>
            <w:r w:rsidRPr="0005428A">
              <w:rPr>
                <w:rFonts w:eastAsia="Times New Roman" w:cs="Times New Roman"/>
                <w:b/>
                <w:bCs/>
                <w:color w:val="000000"/>
                <w:szCs w:val="24"/>
              </w:rPr>
              <w:t>EPS</w:t>
            </w:r>
          </w:p>
        </w:tc>
        <w:tc>
          <w:tcPr>
            <w:tcW w:w="1972" w:type="pct"/>
            <w:tcBorders>
              <w:top w:val="nil"/>
              <w:left w:val="nil"/>
              <w:bottom w:val="single" w:sz="4" w:space="0" w:color="auto"/>
              <w:right w:val="single" w:sz="4" w:space="0" w:color="auto"/>
            </w:tcBorders>
            <w:shd w:val="clear" w:color="auto" w:fill="auto"/>
            <w:noWrap/>
            <w:vAlign w:val="bottom"/>
            <w:hideMark/>
          </w:tcPr>
          <w:p w14:paraId="51009159" w14:textId="77777777" w:rsidR="00DC1974" w:rsidRPr="0005428A" w:rsidRDefault="00DC1974" w:rsidP="0005428A">
            <w:pPr>
              <w:spacing w:after="0"/>
              <w:rPr>
                <w:rFonts w:eastAsia="Times New Roman" w:cs="Times New Roman"/>
                <w:b/>
                <w:bCs/>
                <w:color w:val="000000"/>
                <w:szCs w:val="24"/>
              </w:rPr>
            </w:pPr>
            <w:r w:rsidRPr="0005428A">
              <w:rPr>
                <w:rFonts w:eastAsia="Times New Roman" w:cs="Times New Roman"/>
                <w:b/>
                <w:bCs/>
                <w:color w:val="000000"/>
                <w:szCs w:val="24"/>
              </w:rPr>
              <w:t>0.280599</w:t>
            </w:r>
          </w:p>
        </w:tc>
        <w:tc>
          <w:tcPr>
            <w:tcW w:w="1207" w:type="pct"/>
            <w:tcBorders>
              <w:top w:val="nil"/>
              <w:left w:val="nil"/>
              <w:bottom w:val="single" w:sz="4" w:space="0" w:color="auto"/>
              <w:right w:val="single" w:sz="4" w:space="0" w:color="auto"/>
            </w:tcBorders>
            <w:shd w:val="clear" w:color="auto" w:fill="auto"/>
            <w:noWrap/>
            <w:vAlign w:val="bottom"/>
            <w:hideMark/>
          </w:tcPr>
          <w:p w14:paraId="1DD4E80A" w14:textId="77777777" w:rsidR="00DC1974" w:rsidRPr="0005428A" w:rsidRDefault="00DC1974" w:rsidP="0005428A">
            <w:pPr>
              <w:spacing w:after="0"/>
              <w:rPr>
                <w:rFonts w:eastAsia="Times New Roman" w:cs="Times New Roman"/>
                <w:b/>
                <w:bCs/>
                <w:color w:val="000000"/>
                <w:szCs w:val="24"/>
              </w:rPr>
            </w:pPr>
            <w:r w:rsidRPr="0005428A">
              <w:rPr>
                <w:rFonts w:eastAsia="Times New Roman" w:cs="Times New Roman"/>
                <w:b/>
                <w:bCs/>
                <w:color w:val="000000"/>
                <w:szCs w:val="24"/>
              </w:rPr>
              <w:t>EPS</w:t>
            </w:r>
          </w:p>
        </w:tc>
        <w:tc>
          <w:tcPr>
            <w:tcW w:w="614" w:type="pct"/>
            <w:tcBorders>
              <w:top w:val="nil"/>
              <w:left w:val="nil"/>
              <w:bottom w:val="single" w:sz="4" w:space="0" w:color="auto"/>
              <w:right w:val="single" w:sz="4" w:space="0" w:color="auto"/>
            </w:tcBorders>
            <w:shd w:val="clear" w:color="auto" w:fill="auto"/>
            <w:noWrap/>
            <w:vAlign w:val="bottom"/>
            <w:hideMark/>
          </w:tcPr>
          <w:p w14:paraId="0BD67FE8" w14:textId="77777777" w:rsidR="00DC1974" w:rsidRPr="0005428A" w:rsidRDefault="00DC1974" w:rsidP="0005428A">
            <w:pPr>
              <w:spacing w:after="0"/>
              <w:rPr>
                <w:rFonts w:eastAsia="Times New Roman" w:cs="Times New Roman"/>
                <w:b/>
                <w:bCs/>
                <w:color w:val="000000"/>
                <w:szCs w:val="24"/>
              </w:rPr>
            </w:pPr>
            <w:r w:rsidRPr="0005428A">
              <w:rPr>
                <w:rFonts w:eastAsia="Times New Roman" w:cs="Times New Roman"/>
                <w:b/>
                <w:bCs/>
                <w:color w:val="000000"/>
                <w:szCs w:val="24"/>
              </w:rPr>
              <w:t>0.305</w:t>
            </w:r>
          </w:p>
        </w:tc>
      </w:tr>
      <w:tr w:rsidR="00DC1974" w:rsidRPr="0005428A" w14:paraId="2287D7DE"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719D5ADC"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972" w:type="pct"/>
            <w:tcBorders>
              <w:top w:val="nil"/>
              <w:left w:val="nil"/>
              <w:bottom w:val="single" w:sz="4" w:space="0" w:color="auto"/>
              <w:right w:val="single" w:sz="4" w:space="0" w:color="auto"/>
            </w:tcBorders>
            <w:shd w:val="clear" w:color="auto" w:fill="auto"/>
            <w:noWrap/>
            <w:vAlign w:val="bottom"/>
            <w:hideMark/>
          </w:tcPr>
          <w:p w14:paraId="3CB39020"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4FACEC2C"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37ED37F1"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31C846B4"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507125C8"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xml:space="preserve">4): </w:t>
            </w:r>
          </w:p>
        </w:tc>
        <w:tc>
          <w:tcPr>
            <w:tcW w:w="1972" w:type="pct"/>
            <w:tcBorders>
              <w:top w:val="nil"/>
              <w:left w:val="nil"/>
              <w:bottom w:val="single" w:sz="4" w:space="0" w:color="auto"/>
              <w:right w:val="single" w:sz="4" w:space="0" w:color="auto"/>
            </w:tcBorders>
            <w:shd w:val="clear" w:color="auto" w:fill="auto"/>
            <w:noWrap/>
            <w:vAlign w:val="bottom"/>
            <w:hideMark/>
          </w:tcPr>
          <w:p w14:paraId="1FC34419"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21182FC7"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37ED9DB7"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20666176"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6B4D3D55" w14:textId="77777777" w:rsidR="00DC1974" w:rsidRPr="0005428A" w:rsidRDefault="00DC1974" w:rsidP="0005428A">
            <w:pPr>
              <w:spacing w:after="0"/>
              <w:rPr>
                <w:rFonts w:eastAsia="Times New Roman" w:cs="Times New Roman"/>
                <w:b/>
                <w:color w:val="000000"/>
                <w:szCs w:val="24"/>
              </w:rPr>
            </w:pPr>
            <w:r w:rsidRPr="0005428A">
              <w:rPr>
                <w:rFonts w:eastAsia="Times New Roman" w:cs="Times New Roman"/>
                <w:b/>
                <w:color w:val="000000"/>
                <w:szCs w:val="24"/>
              </w:rPr>
              <w:t xml:space="preserve">Net profit margin </w:t>
            </w:r>
          </w:p>
        </w:tc>
        <w:tc>
          <w:tcPr>
            <w:tcW w:w="1972" w:type="pct"/>
            <w:tcBorders>
              <w:top w:val="nil"/>
              <w:left w:val="nil"/>
              <w:bottom w:val="single" w:sz="4" w:space="0" w:color="auto"/>
              <w:right w:val="single" w:sz="4" w:space="0" w:color="auto"/>
            </w:tcBorders>
            <w:shd w:val="clear" w:color="auto" w:fill="auto"/>
            <w:noWrap/>
            <w:vAlign w:val="bottom"/>
            <w:hideMark/>
          </w:tcPr>
          <w:p w14:paraId="0D36CCD5"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0A5CD109"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25CC0EF4"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1BD5079D"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12B5B5E6"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Formula:</w:t>
            </w:r>
          </w:p>
        </w:tc>
        <w:tc>
          <w:tcPr>
            <w:tcW w:w="1972" w:type="pct"/>
            <w:tcBorders>
              <w:top w:val="nil"/>
              <w:left w:val="nil"/>
              <w:bottom w:val="single" w:sz="4" w:space="0" w:color="auto"/>
              <w:right w:val="single" w:sz="4" w:space="0" w:color="auto"/>
            </w:tcBorders>
            <w:shd w:val="clear" w:color="auto" w:fill="auto"/>
            <w:noWrap/>
            <w:vAlign w:val="bottom"/>
            <w:hideMark/>
          </w:tcPr>
          <w:p w14:paraId="600FFDB6"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xml:space="preserve">Net income/revenue </w:t>
            </w:r>
          </w:p>
        </w:tc>
        <w:tc>
          <w:tcPr>
            <w:tcW w:w="1207" w:type="pct"/>
            <w:tcBorders>
              <w:top w:val="nil"/>
              <w:left w:val="nil"/>
              <w:bottom w:val="single" w:sz="4" w:space="0" w:color="auto"/>
              <w:right w:val="single" w:sz="4" w:space="0" w:color="auto"/>
            </w:tcBorders>
            <w:shd w:val="clear" w:color="auto" w:fill="auto"/>
            <w:noWrap/>
            <w:vAlign w:val="bottom"/>
            <w:hideMark/>
          </w:tcPr>
          <w:p w14:paraId="6085220E"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6E786559"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43A0CDBE"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5691C450"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2020</w:t>
            </w:r>
          </w:p>
        </w:tc>
        <w:tc>
          <w:tcPr>
            <w:tcW w:w="1972" w:type="pct"/>
            <w:tcBorders>
              <w:top w:val="nil"/>
              <w:left w:val="nil"/>
              <w:bottom w:val="single" w:sz="4" w:space="0" w:color="auto"/>
              <w:right w:val="single" w:sz="4" w:space="0" w:color="auto"/>
            </w:tcBorders>
            <w:shd w:val="clear" w:color="auto" w:fill="auto"/>
            <w:noWrap/>
            <w:vAlign w:val="bottom"/>
            <w:hideMark/>
          </w:tcPr>
          <w:p w14:paraId="31250655"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7470B97A"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2019</w:t>
            </w:r>
          </w:p>
        </w:tc>
        <w:tc>
          <w:tcPr>
            <w:tcW w:w="614" w:type="pct"/>
            <w:tcBorders>
              <w:top w:val="nil"/>
              <w:left w:val="nil"/>
              <w:bottom w:val="single" w:sz="4" w:space="0" w:color="auto"/>
              <w:right w:val="single" w:sz="4" w:space="0" w:color="auto"/>
            </w:tcBorders>
            <w:shd w:val="clear" w:color="auto" w:fill="auto"/>
            <w:noWrap/>
            <w:vAlign w:val="bottom"/>
            <w:hideMark/>
          </w:tcPr>
          <w:p w14:paraId="23886BEB"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0CB5C61D"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0B01D4C8"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Net profit</w:t>
            </w:r>
          </w:p>
        </w:tc>
        <w:tc>
          <w:tcPr>
            <w:tcW w:w="1972" w:type="pct"/>
            <w:tcBorders>
              <w:top w:val="nil"/>
              <w:left w:val="nil"/>
              <w:bottom w:val="single" w:sz="4" w:space="0" w:color="auto"/>
              <w:right w:val="single" w:sz="4" w:space="0" w:color="auto"/>
            </w:tcBorders>
            <w:shd w:val="clear" w:color="auto" w:fill="auto"/>
            <w:noWrap/>
            <w:vAlign w:val="bottom"/>
            <w:hideMark/>
          </w:tcPr>
          <w:p w14:paraId="604CBF91"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431</w:t>
            </w:r>
          </w:p>
        </w:tc>
        <w:tc>
          <w:tcPr>
            <w:tcW w:w="1207" w:type="pct"/>
            <w:tcBorders>
              <w:top w:val="nil"/>
              <w:left w:val="nil"/>
              <w:bottom w:val="single" w:sz="4" w:space="0" w:color="auto"/>
              <w:right w:val="single" w:sz="4" w:space="0" w:color="auto"/>
            </w:tcBorders>
            <w:shd w:val="clear" w:color="auto" w:fill="auto"/>
            <w:noWrap/>
            <w:vAlign w:val="bottom"/>
            <w:hideMark/>
          </w:tcPr>
          <w:p w14:paraId="7B5DFF61"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Net profit</w:t>
            </w:r>
          </w:p>
        </w:tc>
        <w:tc>
          <w:tcPr>
            <w:tcW w:w="614" w:type="pct"/>
            <w:tcBorders>
              <w:top w:val="nil"/>
              <w:left w:val="nil"/>
              <w:bottom w:val="single" w:sz="4" w:space="0" w:color="auto"/>
              <w:right w:val="single" w:sz="4" w:space="0" w:color="auto"/>
            </w:tcBorders>
            <w:shd w:val="clear" w:color="auto" w:fill="auto"/>
            <w:noWrap/>
            <w:vAlign w:val="bottom"/>
            <w:hideMark/>
          </w:tcPr>
          <w:p w14:paraId="601B270B"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366</w:t>
            </w:r>
          </w:p>
        </w:tc>
      </w:tr>
      <w:tr w:rsidR="00DC1974" w:rsidRPr="0005428A" w14:paraId="6FDB6710"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347DF657"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xml:space="preserve">Revenue </w:t>
            </w:r>
          </w:p>
        </w:tc>
        <w:tc>
          <w:tcPr>
            <w:tcW w:w="1972" w:type="pct"/>
            <w:tcBorders>
              <w:top w:val="nil"/>
              <w:left w:val="nil"/>
              <w:bottom w:val="single" w:sz="4" w:space="0" w:color="auto"/>
              <w:right w:val="single" w:sz="4" w:space="0" w:color="auto"/>
            </w:tcBorders>
            <w:shd w:val="clear" w:color="auto" w:fill="auto"/>
            <w:noWrap/>
            <w:vAlign w:val="bottom"/>
            <w:hideMark/>
          </w:tcPr>
          <w:p w14:paraId="5F603D19"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6738</w:t>
            </w:r>
          </w:p>
        </w:tc>
        <w:tc>
          <w:tcPr>
            <w:tcW w:w="1207" w:type="pct"/>
            <w:tcBorders>
              <w:top w:val="nil"/>
              <w:left w:val="nil"/>
              <w:bottom w:val="single" w:sz="4" w:space="0" w:color="auto"/>
              <w:right w:val="single" w:sz="4" w:space="0" w:color="auto"/>
            </w:tcBorders>
            <w:shd w:val="clear" w:color="auto" w:fill="auto"/>
            <w:noWrap/>
            <w:vAlign w:val="bottom"/>
            <w:hideMark/>
          </w:tcPr>
          <w:p w14:paraId="0A14CB97"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xml:space="preserve">Revenue </w:t>
            </w:r>
          </w:p>
        </w:tc>
        <w:tc>
          <w:tcPr>
            <w:tcW w:w="614" w:type="pct"/>
            <w:tcBorders>
              <w:top w:val="nil"/>
              <w:left w:val="nil"/>
              <w:bottom w:val="single" w:sz="4" w:space="0" w:color="auto"/>
              <w:right w:val="single" w:sz="4" w:space="0" w:color="auto"/>
            </w:tcBorders>
            <w:shd w:val="clear" w:color="auto" w:fill="auto"/>
            <w:noWrap/>
            <w:vAlign w:val="bottom"/>
            <w:hideMark/>
          </w:tcPr>
          <w:p w14:paraId="5AD31BB9"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6441</w:t>
            </w:r>
          </w:p>
        </w:tc>
      </w:tr>
      <w:tr w:rsidR="00DC1974" w:rsidRPr="0005428A" w14:paraId="2DAE5D0D"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4F0DCF5E"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972" w:type="pct"/>
            <w:tcBorders>
              <w:top w:val="nil"/>
              <w:left w:val="nil"/>
              <w:bottom w:val="single" w:sz="4" w:space="0" w:color="auto"/>
              <w:right w:val="single" w:sz="4" w:space="0" w:color="auto"/>
            </w:tcBorders>
            <w:shd w:val="clear" w:color="auto" w:fill="auto"/>
            <w:noWrap/>
            <w:vAlign w:val="bottom"/>
            <w:hideMark/>
          </w:tcPr>
          <w:p w14:paraId="5FD91B0B"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26EF634B"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48C0F61C"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219D16F8"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15347D23"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Net profit margin</w:t>
            </w:r>
          </w:p>
        </w:tc>
        <w:tc>
          <w:tcPr>
            <w:tcW w:w="1972" w:type="pct"/>
            <w:tcBorders>
              <w:top w:val="nil"/>
              <w:left w:val="nil"/>
              <w:bottom w:val="single" w:sz="4" w:space="0" w:color="auto"/>
              <w:right w:val="single" w:sz="4" w:space="0" w:color="auto"/>
            </w:tcBorders>
            <w:shd w:val="clear" w:color="auto" w:fill="auto"/>
            <w:noWrap/>
            <w:vAlign w:val="bottom"/>
            <w:hideMark/>
          </w:tcPr>
          <w:p w14:paraId="19B17126"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6.40%</w:t>
            </w:r>
          </w:p>
        </w:tc>
        <w:tc>
          <w:tcPr>
            <w:tcW w:w="1207" w:type="pct"/>
            <w:tcBorders>
              <w:top w:val="nil"/>
              <w:left w:val="nil"/>
              <w:bottom w:val="single" w:sz="4" w:space="0" w:color="auto"/>
              <w:right w:val="single" w:sz="4" w:space="0" w:color="auto"/>
            </w:tcBorders>
            <w:shd w:val="clear" w:color="auto" w:fill="auto"/>
            <w:noWrap/>
            <w:vAlign w:val="bottom"/>
            <w:hideMark/>
          </w:tcPr>
          <w:p w14:paraId="474E7294"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Net profit margin</w:t>
            </w:r>
          </w:p>
        </w:tc>
        <w:tc>
          <w:tcPr>
            <w:tcW w:w="614" w:type="pct"/>
            <w:tcBorders>
              <w:top w:val="nil"/>
              <w:left w:val="nil"/>
              <w:bottom w:val="single" w:sz="4" w:space="0" w:color="auto"/>
              <w:right w:val="single" w:sz="4" w:space="0" w:color="auto"/>
            </w:tcBorders>
            <w:shd w:val="clear" w:color="auto" w:fill="auto"/>
            <w:noWrap/>
            <w:vAlign w:val="bottom"/>
            <w:hideMark/>
          </w:tcPr>
          <w:p w14:paraId="278E8550"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5.68%</w:t>
            </w:r>
          </w:p>
        </w:tc>
      </w:tr>
      <w:tr w:rsidR="00DC1974" w:rsidRPr="0005428A" w14:paraId="40E27901"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2286F7D2"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972" w:type="pct"/>
            <w:tcBorders>
              <w:top w:val="nil"/>
              <w:left w:val="nil"/>
              <w:bottom w:val="single" w:sz="4" w:space="0" w:color="auto"/>
              <w:right w:val="single" w:sz="4" w:space="0" w:color="auto"/>
            </w:tcBorders>
            <w:shd w:val="clear" w:color="auto" w:fill="auto"/>
            <w:noWrap/>
            <w:vAlign w:val="bottom"/>
            <w:hideMark/>
          </w:tcPr>
          <w:p w14:paraId="2EDDF0F5"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1371AD4A"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0B11B1E6"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09CC5A33"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4B48FAE6"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xml:space="preserve">5): </w:t>
            </w:r>
          </w:p>
        </w:tc>
        <w:tc>
          <w:tcPr>
            <w:tcW w:w="1972" w:type="pct"/>
            <w:tcBorders>
              <w:top w:val="nil"/>
              <w:left w:val="nil"/>
              <w:bottom w:val="single" w:sz="4" w:space="0" w:color="auto"/>
              <w:right w:val="single" w:sz="4" w:space="0" w:color="auto"/>
            </w:tcBorders>
            <w:shd w:val="clear" w:color="auto" w:fill="auto"/>
            <w:noWrap/>
            <w:vAlign w:val="bottom"/>
            <w:hideMark/>
          </w:tcPr>
          <w:p w14:paraId="49CE13BC"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01D7E665"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52AE7506"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5EB3E9A1"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7FAD1A09" w14:textId="77777777" w:rsidR="00DC1974" w:rsidRPr="0005428A" w:rsidRDefault="00DC1974" w:rsidP="0005428A">
            <w:pPr>
              <w:spacing w:after="0"/>
              <w:rPr>
                <w:rFonts w:eastAsia="Times New Roman" w:cs="Times New Roman"/>
                <w:b/>
                <w:bCs/>
                <w:color w:val="000000"/>
                <w:szCs w:val="24"/>
              </w:rPr>
            </w:pPr>
            <w:r w:rsidRPr="0005428A">
              <w:rPr>
                <w:rFonts w:eastAsia="Times New Roman" w:cs="Times New Roman"/>
                <w:b/>
                <w:bCs/>
                <w:color w:val="000000"/>
                <w:szCs w:val="24"/>
              </w:rPr>
              <w:t>Asset turnover ratio:</w:t>
            </w:r>
          </w:p>
        </w:tc>
        <w:tc>
          <w:tcPr>
            <w:tcW w:w="1972" w:type="pct"/>
            <w:tcBorders>
              <w:top w:val="nil"/>
              <w:left w:val="nil"/>
              <w:bottom w:val="single" w:sz="4" w:space="0" w:color="auto"/>
              <w:right w:val="single" w:sz="4" w:space="0" w:color="auto"/>
            </w:tcBorders>
            <w:shd w:val="clear" w:color="auto" w:fill="auto"/>
            <w:noWrap/>
            <w:vAlign w:val="bottom"/>
            <w:hideMark/>
          </w:tcPr>
          <w:p w14:paraId="2ECCBE5C"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7FAFA942"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10FD4104"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75E142B6"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3716A1A7"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Formula:</w:t>
            </w:r>
          </w:p>
        </w:tc>
        <w:tc>
          <w:tcPr>
            <w:tcW w:w="1972" w:type="pct"/>
            <w:tcBorders>
              <w:top w:val="nil"/>
              <w:left w:val="nil"/>
              <w:bottom w:val="single" w:sz="4" w:space="0" w:color="auto"/>
              <w:right w:val="single" w:sz="4" w:space="0" w:color="auto"/>
            </w:tcBorders>
            <w:shd w:val="clear" w:color="auto" w:fill="auto"/>
            <w:noWrap/>
            <w:vAlign w:val="bottom"/>
            <w:hideMark/>
          </w:tcPr>
          <w:p w14:paraId="7A44472D"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Revenue/ average total assets</w:t>
            </w:r>
          </w:p>
        </w:tc>
        <w:tc>
          <w:tcPr>
            <w:tcW w:w="1207" w:type="pct"/>
            <w:tcBorders>
              <w:top w:val="nil"/>
              <w:left w:val="nil"/>
              <w:bottom w:val="single" w:sz="4" w:space="0" w:color="auto"/>
              <w:right w:val="single" w:sz="4" w:space="0" w:color="auto"/>
            </w:tcBorders>
            <w:shd w:val="clear" w:color="auto" w:fill="auto"/>
            <w:noWrap/>
            <w:vAlign w:val="bottom"/>
            <w:hideMark/>
          </w:tcPr>
          <w:p w14:paraId="286B7C70"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3E91AE87"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694A13A1"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5DC93FDE"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2020</w:t>
            </w:r>
          </w:p>
        </w:tc>
        <w:tc>
          <w:tcPr>
            <w:tcW w:w="1972" w:type="pct"/>
            <w:tcBorders>
              <w:top w:val="nil"/>
              <w:left w:val="nil"/>
              <w:bottom w:val="single" w:sz="4" w:space="0" w:color="auto"/>
              <w:right w:val="single" w:sz="4" w:space="0" w:color="auto"/>
            </w:tcBorders>
            <w:shd w:val="clear" w:color="auto" w:fill="auto"/>
            <w:noWrap/>
            <w:vAlign w:val="bottom"/>
            <w:hideMark/>
          </w:tcPr>
          <w:p w14:paraId="0CA41C51"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0EDEFBC9"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2019</w:t>
            </w:r>
          </w:p>
        </w:tc>
        <w:tc>
          <w:tcPr>
            <w:tcW w:w="614" w:type="pct"/>
            <w:tcBorders>
              <w:top w:val="nil"/>
              <w:left w:val="nil"/>
              <w:bottom w:val="single" w:sz="4" w:space="0" w:color="auto"/>
              <w:right w:val="single" w:sz="4" w:space="0" w:color="auto"/>
            </w:tcBorders>
            <w:shd w:val="clear" w:color="auto" w:fill="auto"/>
            <w:noWrap/>
            <w:vAlign w:val="bottom"/>
            <w:hideMark/>
          </w:tcPr>
          <w:p w14:paraId="1B6E15E1"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7BCF9329"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59DFFED9"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Revenue</w:t>
            </w:r>
          </w:p>
        </w:tc>
        <w:tc>
          <w:tcPr>
            <w:tcW w:w="1972" w:type="pct"/>
            <w:tcBorders>
              <w:top w:val="nil"/>
              <w:left w:val="nil"/>
              <w:bottom w:val="single" w:sz="4" w:space="0" w:color="auto"/>
              <w:right w:val="single" w:sz="4" w:space="0" w:color="auto"/>
            </w:tcBorders>
            <w:shd w:val="clear" w:color="auto" w:fill="auto"/>
            <w:noWrap/>
            <w:vAlign w:val="bottom"/>
            <w:hideMark/>
          </w:tcPr>
          <w:p w14:paraId="0140B23D"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6738</w:t>
            </w:r>
          </w:p>
        </w:tc>
        <w:tc>
          <w:tcPr>
            <w:tcW w:w="1207" w:type="pct"/>
            <w:tcBorders>
              <w:top w:val="nil"/>
              <w:left w:val="nil"/>
              <w:bottom w:val="single" w:sz="4" w:space="0" w:color="auto"/>
              <w:right w:val="single" w:sz="4" w:space="0" w:color="auto"/>
            </w:tcBorders>
            <w:shd w:val="clear" w:color="auto" w:fill="auto"/>
            <w:noWrap/>
            <w:vAlign w:val="bottom"/>
            <w:hideMark/>
          </w:tcPr>
          <w:p w14:paraId="2A0274C0"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Revenue</w:t>
            </w:r>
          </w:p>
        </w:tc>
        <w:tc>
          <w:tcPr>
            <w:tcW w:w="614" w:type="pct"/>
            <w:tcBorders>
              <w:top w:val="nil"/>
              <w:left w:val="nil"/>
              <w:bottom w:val="single" w:sz="4" w:space="0" w:color="auto"/>
              <w:right w:val="single" w:sz="4" w:space="0" w:color="auto"/>
            </w:tcBorders>
            <w:shd w:val="clear" w:color="auto" w:fill="auto"/>
            <w:noWrap/>
            <w:vAlign w:val="bottom"/>
            <w:hideMark/>
          </w:tcPr>
          <w:p w14:paraId="3B45B222"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6441</w:t>
            </w:r>
          </w:p>
        </w:tc>
      </w:tr>
      <w:tr w:rsidR="00DC1974" w:rsidRPr="0005428A" w14:paraId="7CBF77D3"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654D7518"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Average total assets</w:t>
            </w:r>
          </w:p>
        </w:tc>
        <w:tc>
          <w:tcPr>
            <w:tcW w:w="1972" w:type="pct"/>
            <w:tcBorders>
              <w:top w:val="nil"/>
              <w:left w:val="nil"/>
              <w:bottom w:val="single" w:sz="4" w:space="0" w:color="auto"/>
              <w:right w:val="single" w:sz="4" w:space="0" w:color="auto"/>
            </w:tcBorders>
            <w:shd w:val="clear" w:color="auto" w:fill="auto"/>
            <w:noWrap/>
            <w:vAlign w:val="bottom"/>
            <w:hideMark/>
          </w:tcPr>
          <w:p w14:paraId="6791F474"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9736</w:t>
            </w:r>
          </w:p>
        </w:tc>
        <w:tc>
          <w:tcPr>
            <w:tcW w:w="1207" w:type="pct"/>
            <w:tcBorders>
              <w:top w:val="nil"/>
              <w:left w:val="nil"/>
              <w:bottom w:val="single" w:sz="4" w:space="0" w:color="auto"/>
              <w:right w:val="single" w:sz="4" w:space="0" w:color="auto"/>
            </w:tcBorders>
            <w:shd w:val="clear" w:color="auto" w:fill="auto"/>
            <w:noWrap/>
            <w:vAlign w:val="bottom"/>
            <w:hideMark/>
          </w:tcPr>
          <w:p w14:paraId="655C0511"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Average total assets</w:t>
            </w:r>
          </w:p>
        </w:tc>
        <w:tc>
          <w:tcPr>
            <w:tcW w:w="614" w:type="pct"/>
            <w:tcBorders>
              <w:top w:val="nil"/>
              <w:left w:val="nil"/>
              <w:bottom w:val="single" w:sz="4" w:space="0" w:color="auto"/>
              <w:right w:val="single" w:sz="4" w:space="0" w:color="auto"/>
            </w:tcBorders>
            <w:shd w:val="clear" w:color="auto" w:fill="auto"/>
            <w:noWrap/>
            <w:vAlign w:val="bottom"/>
            <w:hideMark/>
          </w:tcPr>
          <w:p w14:paraId="163B51D8"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10087</w:t>
            </w:r>
          </w:p>
        </w:tc>
      </w:tr>
      <w:tr w:rsidR="00DC1974" w:rsidRPr="0005428A" w14:paraId="5BB3AF22"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5864C7DF"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972" w:type="pct"/>
            <w:tcBorders>
              <w:top w:val="nil"/>
              <w:left w:val="nil"/>
              <w:bottom w:val="single" w:sz="4" w:space="0" w:color="auto"/>
              <w:right w:val="single" w:sz="4" w:space="0" w:color="auto"/>
            </w:tcBorders>
            <w:shd w:val="clear" w:color="auto" w:fill="auto"/>
            <w:noWrap/>
            <w:vAlign w:val="bottom"/>
            <w:hideMark/>
          </w:tcPr>
          <w:p w14:paraId="2D549758"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213EE2F0"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0494CE1C"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36ACF04F"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17529694" w14:textId="77777777" w:rsidR="00DC1974" w:rsidRPr="0005428A" w:rsidRDefault="00DC1974" w:rsidP="0005428A">
            <w:pPr>
              <w:spacing w:after="0"/>
              <w:rPr>
                <w:rFonts w:eastAsia="Times New Roman" w:cs="Times New Roman"/>
                <w:b/>
                <w:bCs/>
                <w:color w:val="000000"/>
                <w:szCs w:val="24"/>
              </w:rPr>
            </w:pPr>
            <w:r w:rsidRPr="0005428A">
              <w:rPr>
                <w:rFonts w:eastAsia="Times New Roman" w:cs="Times New Roman"/>
                <w:b/>
                <w:bCs/>
                <w:color w:val="000000"/>
                <w:szCs w:val="24"/>
              </w:rPr>
              <w:t>Assets turnover ratio</w:t>
            </w:r>
          </w:p>
        </w:tc>
        <w:tc>
          <w:tcPr>
            <w:tcW w:w="1972" w:type="pct"/>
            <w:tcBorders>
              <w:top w:val="nil"/>
              <w:left w:val="nil"/>
              <w:bottom w:val="single" w:sz="4" w:space="0" w:color="auto"/>
              <w:right w:val="single" w:sz="4" w:space="0" w:color="auto"/>
            </w:tcBorders>
            <w:shd w:val="clear" w:color="auto" w:fill="auto"/>
            <w:noWrap/>
            <w:vAlign w:val="bottom"/>
            <w:hideMark/>
          </w:tcPr>
          <w:p w14:paraId="56675C78" w14:textId="77777777" w:rsidR="00DC1974" w:rsidRPr="0005428A" w:rsidRDefault="00DC1974" w:rsidP="0005428A">
            <w:pPr>
              <w:spacing w:after="0"/>
              <w:rPr>
                <w:rFonts w:eastAsia="Times New Roman" w:cs="Times New Roman"/>
                <w:b/>
                <w:bCs/>
                <w:color w:val="000000"/>
                <w:szCs w:val="24"/>
              </w:rPr>
            </w:pPr>
            <w:r w:rsidRPr="0005428A">
              <w:rPr>
                <w:rFonts w:eastAsia="Times New Roman" w:cs="Times New Roman"/>
                <w:b/>
                <w:bCs/>
                <w:color w:val="000000"/>
                <w:szCs w:val="24"/>
              </w:rPr>
              <w:t>0.6920707</w:t>
            </w:r>
          </w:p>
        </w:tc>
        <w:tc>
          <w:tcPr>
            <w:tcW w:w="1207" w:type="pct"/>
            <w:tcBorders>
              <w:top w:val="nil"/>
              <w:left w:val="nil"/>
              <w:bottom w:val="single" w:sz="4" w:space="0" w:color="auto"/>
              <w:right w:val="single" w:sz="4" w:space="0" w:color="auto"/>
            </w:tcBorders>
            <w:shd w:val="clear" w:color="auto" w:fill="auto"/>
            <w:noWrap/>
            <w:vAlign w:val="bottom"/>
            <w:hideMark/>
          </w:tcPr>
          <w:p w14:paraId="565343FB" w14:textId="77777777" w:rsidR="00DC1974" w:rsidRPr="0005428A" w:rsidRDefault="00DC1974" w:rsidP="0005428A">
            <w:pPr>
              <w:spacing w:after="0"/>
              <w:rPr>
                <w:rFonts w:eastAsia="Times New Roman" w:cs="Times New Roman"/>
                <w:b/>
                <w:bCs/>
                <w:color w:val="000000"/>
                <w:szCs w:val="24"/>
              </w:rPr>
            </w:pPr>
            <w:r w:rsidRPr="0005428A">
              <w:rPr>
                <w:rFonts w:eastAsia="Times New Roman" w:cs="Times New Roman"/>
                <w:b/>
                <w:bCs/>
                <w:color w:val="000000"/>
                <w:szCs w:val="24"/>
              </w:rPr>
              <w:t>Assets turnover ratio</w:t>
            </w:r>
          </w:p>
        </w:tc>
        <w:tc>
          <w:tcPr>
            <w:tcW w:w="614" w:type="pct"/>
            <w:tcBorders>
              <w:top w:val="nil"/>
              <w:left w:val="nil"/>
              <w:bottom w:val="single" w:sz="4" w:space="0" w:color="auto"/>
              <w:right w:val="single" w:sz="4" w:space="0" w:color="auto"/>
            </w:tcBorders>
            <w:shd w:val="clear" w:color="auto" w:fill="auto"/>
            <w:noWrap/>
            <w:vAlign w:val="bottom"/>
            <w:hideMark/>
          </w:tcPr>
          <w:p w14:paraId="5363CC99" w14:textId="77777777" w:rsidR="00DC1974" w:rsidRPr="0005428A" w:rsidRDefault="00DC1974" w:rsidP="0005428A">
            <w:pPr>
              <w:spacing w:after="0"/>
              <w:rPr>
                <w:rFonts w:eastAsia="Times New Roman" w:cs="Times New Roman"/>
                <w:b/>
                <w:bCs/>
                <w:color w:val="000000"/>
                <w:szCs w:val="24"/>
              </w:rPr>
            </w:pPr>
            <w:r w:rsidRPr="0005428A">
              <w:rPr>
                <w:rFonts w:eastAsia="Times New Roman" w:cs="Times New Roman"/>
                <w:b/>
                <w:bCs/>
                <w:color w:val="000000"/>
                <w:szCs w:val="24"/>
              </w:rPr>
              <w:t>0.6385447</w:t>
            </w:r>
          </w:p>
        </w:tc>
      </w:tr>
      <w:tr w:rsidR="00DC1974" w:rsidRPr="0005428A" w14:paraId="168AC3E6" w14:textId="77777777" w:rsidTr="00535FF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238BE1AA"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972" w:type="pct"/>
            <w:tcBorders>
              <w:top w:val="nil"/>
              <w:left w:val="nil"/>
              <w:bottom w:val="single" w:sz="4" w:space="0" w:color="auto"/>
              <w:right w:val="single" w:sz="4" w:space="0" w:color="auto"/>
            </w:tcBorders>
            <w:shd w:val="clear" w:color="auto" w:fill="auto"/>
            <w:noWrap/>
            <w:vAlign w:val="bottom"/>
            <w:hideMark/>
          </w:tcPr>
          <w:p w14:paraId="485CFDDD"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3283EF96"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0A8B2157"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780BE330" w14:textId="77777777" w:rsidTr="00535FF4">
        <w:trPr>
          <w:trHeight w:val="290"/>
        </w:trPr>
        <w:tc>
          <w:tcPr>
            <w:tcW w:w="1206"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8A185B"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lastRenderedPageBreak/>
              <w:t xml:space="preserve">6): </w:t>
            </w:r>
          </w:p>
        </w:tc>
        <w:tc>
          <w:tcPr>
            <w:tcW w:w="1972" w:type="pct"/>
            <w:tcBorders>
              <w:top w:val="single" w:sz="4" w:space="0" w:color="auto"/>
              <w:left w:val="nil"/>
              <w:bottom w:val="single" w:sz="4" w:space="0" w:color="auto"/>
              <w:right w:val="single" w:sz="4" w:space="0" w:color="auto"/>
            </w:tcBorders>
            <w:shd w:val="clear" w:color="auto" w:fill="auto"/>
            <w:noWrap/>
            <w:vAlign w:val="bottom"/>
            <w:hideMark/>
          </w:tcPr>
          <w:p w14:paraId="20D5580B"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single" w:sz="4" w:space="0" w:color="auto"/>
              <w:left w:val="nil"/>
              <w:bottom w:val="single" w:sz="4" w:space="0" w:color="auto"/>
              <w:right w:val="single" w:sz="4" w:space="0" w:color="auto"/>
            </w:tcBorders>
            <w:shd w:val="clear" w:color="auto" w:fill="auto"/>
            <w:noWrap/>
            <w:vAlign w:val="bottom"/>
            <w:hideMark/>
          </w:tcPr>
          <w:p w14:paraId="339F5093"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single" w:sz="4" w:space="0" w:color="auto"/>
              <w:left w:val="nil"/>
              <w:bottom w:val="single" w:sz="4" w:space="0" w:color="auto"/>
              <w:right w:val="single" w:sz="4" w:space="0" w:color="auto"/>
            </w:tcBorders>
            <w:shd w:val="clear" w:color="auto" w:fill="auto"/>
            <w:noWrap/>
            <w:vAlign w:val="bottom"/>
            <w:hideMark/>
          </w:tcPr>
          <w:p w14:paraId="01E2E22F"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3F010099" w14:textId="77777777" w:rsidTr="00535FF4">
        <w:trPr>
          <w:trHeight w:val="290"/>
        </w:trPr>
        <w:tc>
          <w:tcPr>
            <w:tcW w:w="1206"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B179887" w14:textId="77777777" w:rsidR="00DC1974" w:rsidRPr="0005428A" w:rsidRDefault="00DC1974" w:rsidP="0005428A">
            <w:pPr>
              <w:spacing w:after="0"/>
              <w:rPr>
                <w:rFonts w:eastAsia="Times New Roman" w:cs="Times New Roman"/>
                <w:b/>
                <w:bCs/>
                <w:color w:val="000000"/>
                <w:szCs w:val="24"/>
              </w:rPr>
            </w:pPr>
            <w:r w:rsidRPr="0005428A">
              <w:rPr>
                <w:rFonts w:eastAsia="Times New Roman" w:cs="Times New Roman"/>
                <w:b/>
                <w:bCs/>
                <w:color w:val="000000"/>
                <w:szCs w:val="24"/>
              </w:rPr>
              <w:t>Stock holding days</w:t>
            </w:r>
          </w:p>
        </w:tc>
        <w:tc>
          <w:tcPr>
            <w:tcW w:w="1972" w:type="pct"/>
            <w:tcBorders>
              <w:top w:val="single" w:sz="4" w:space="0" w:color="auto"/>
              <w:left w:val="nil"/>
              <w:bottom w:val="single" w:sz="4" w:space="0" w:color="auto"/>
              <w:right w:val="single" w:sz="4" w:space="0" w:color="auto"/>
            </w:tcBorders>
            <w:shd w:val="clear" w:color="auto" w:fill="auto"/>
            <w:noWrap/>
            <w:vAlign w:val="bottom"/>
            <w:hideMark/>
          </w:tcPr>
          <w:p w14:paraId="53438022"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single" w:sz="4" w:space="0" w:color="auto"/>
              <w:left w:val="nil"/>
              <w:bottom w:val="single" w:sz="4" w:space="0" w:color="auto"/>
              <w:right w:val="single" w:sz="4" w:space="0" w:color="auto"/>
            </w:tcBorders>
            <w:shd w:val="clear" w:color="auto" w:fill="auto"/>
            <w:noWrap/>
            <w:vAlign w:val="bottom"/>
            <w:hideMark/>
          </w:tcPr>
          <w:p w14:paraId="5F977363"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single" w:sz="4" w:space="0" w:color="auto"/>
              <w:left w:val="nil"/>
              <w:bottom w:val="single" w:sz="4" w:space="0" w:color="auto"/>
              <w:right w:val="single" w:sz="4" w:space="0" w:color="auto"/>
            </w:tcBorders>
            <w:shd w:val="clear" w:color="auto" w:fill="auto"/>
            <w:noWrap/>
            <w:vAlign w:val="bottom"/>
            <w:hideMark/>
          </w:tcPr>
          <w:p w14:paraId="50329167"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101A38F1" w14:textId="77777777" w:rsidTr="00535FF4">
        <w:trPr>
          <w:trHeight w:val="290"/>
        </w:trPr>
        <w:tc>
          <w:tcPr>
            <w:tcW w:w="1206"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480C1CE"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Formula:</w:t>
            </w:r>
          </w:p>
        </w:tc>
        <w:tc>
          <w:tcPr>
            <w:tcW w:w="1972" w:type="pct"/>
            <w:tcBorders>
              <w:top w:val="single" w:sz="4" w:space="0" w:color="auto"/>
              <w:left w:val="nil"/>
              <w:bottom w:val="single" w:sz="4" w:space="0" w:color="auto"/>
              <w:right w:val="single" w:sz="4" w:space="0" w:color="auto"/>
            </w:tcBorders>
            <w:shd w:val="clear" w:color="auto" w:fill="auto"/>
            <w:noWrap/>
            <w:vAlign w:val="bottom"/>
            <w:hideMark/>
          </w:tcPr>
          <w:p w14:paraId="7A97B59A"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365/Inventory turnover ratio</w:t>
            </w:r>
          </w:p>
        </w:tc>
        <w:tc>
          <w:tcPr>
            <w:tcW w:w="1207" w:type="pct"/>
            <w:tcBorders>
              <w:top w:val="single" w:sz="4" w:space="0" w:color="auto"/>
              <w:left w:val="nil"/>
              <w:bottom w:val="single" w:sz="4" w:space="0" w:color="auto"/>
              <w:right w:val="single" w:sz="4" w:space="0" w:color="auto"/>
            </w:tcBorders>
            <w:shd w:val="clear" w:color="auto" w:fill="auto"/>
            <w:noWrap/>
            <w:vAlign w:val="bottom"/>
            <w:hideMark/>
          </w:tcPr>
          <w:p w14:paraId="291ED6DF"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single" w:sz="4" w:space="0" w:color="auto"/>
              <w:left w:val="nil"/>
              <w:bottom w:val="single" w:sz="4" w:space="0" w:color="auto"/>
              <w:right w:val="single" w:sz="4" w:space="0" w:color="auto"/>
            </w:tcBorders>
            <w:shd w:val="clear" w:color="auto" w:fill="auto"/>
            <w:noWrap/>
            <w:vAlign w:val="bottom"/>
            <w:hideMark/>
          </w:tcPr>
          <w:p w14:paraId="1F2601A7"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1AD07891"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59071DC9"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2020</w:t>
            </w:r>
          </w:p>
        </w:tc>
        <w:tc>
          <w:tcPr>
            <w:tcW w:w="1972" w:type="pct"/>
            <w:tcBorders>
              <w:top w:val="nil"/>
              <w:left w:val="nil"/>
              <w:bottom w:val="single" w:sz="4" w:space="0" w:color="auto"/>
              <w:right w:val="single" w:sz="4" w:space="0" w:color="auto"/>
            </w:tcBorders>
            <w:shd w:val="clear" w:color="auto" w:fill="auto"/>
            <w:noWrap/>
            <w:vAlign w:val="bottom"/>
            <w:hideMark/>
          </w:tcPr>
          <w:p w14:paraId="010E969E"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27B4E2C6"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2020</w:t>
            </w:r>
          </w:p>
        </w:tc>
        <w:tc>
          <w:tcPr>
            <w:tcW w:w="614" w:type="pct"/>
            <w:tcBorders>
              <w:top w:val="nil"/>
              <w:left w:val="nil"/>
              <w:bottom w:val="single" w:sz="4" w:space="0" w:color="auto"/>
              <w:right w:val="single" w:sz="4" w:space="0" w:color="auto"/>
            </w:tcBorders>
            <w:shd w:val="clear" w:color="auto" w:fill="auto"/>
            <w:noWrap/>
            <w:vAlign w:val="bottom"/>
            <w:hideMark/>
          </w:tcPr>
          <w:p w14:paraId="616C8252"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685E3FAE"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4AAE1CB4"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Average inventory</w:t>
            </w:r>
          </w:p>
        </w:tc>
        <w:tc>
          <w:tcPr>
            <w:tcW w:w="1972" w:type="pct"/>
            <w:tcBorders>
              <w:top w:val="nil"/>
              <w:left w:val="nil"/>
              <w:bottom w:val="single" w:sz="4" w:space="0" w:color="auto"/>
              <w:right w:val="single" w:sz="4" w:space="0" w:color="auto"/>
            </w:tcBorders>
            <w:shd w:val="clear" w:color="auto" w:fill="auto"/>
            <w:noWrap/>
            <w:vAlign w:val="bottom"/>
            <w:hideMark/>
          </w:tcPr>
          <w:p w14:paraId="149010EA"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708</w:t>
            </w:r>
          </w:p>
        </w:tc>
        <w:tc>
          <w:tcPr>
            <w:tcW w:w="1207" w:type="pct"/>
            <w:tcBorders>
              <w:top w:val="nil"/>
              <w:left w:val="nil"/>
              <w:bottom w:val="single" w:sz="4" w:space="0" w:color="auto"/>
              <w:right w:val="single" w:sz="4" w:space="0" w:color="auto"/>
            </w:tcBorders>
            <w:shd w:val="clear" w:color="auto" w:fill="auto"/>
            <w:noWrap/>
            <w:vAlign w:val="bottom"/>
            <w:hideMark/>
          </w:tcPr>
          <w:p w14:paraId="75E5AD95"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Average inventory</w:t>
            </w:r>
          </w:p>
        </w:tc>
        <w:tc>
          <w:tcPr>
            <w:tcW w:w="614" w:type="pct"/>
            <w:tcBorders>
              <w:top w:val="nil"/>
              <w:left w:val="nil"/>
              <w:bottom w:val="single" w:sz="4" w:space="0" w:color="auto"/>
              <w:right w:val="single" w:sz="4" w:space="0" w:color="auto"/>
            </w:tcBorders>
            <w:shd w:val="clear" w:color="auto" w:fill="auto"/>
            <w:noWrap/>
            <w:vAlign w:val="bottom"/>
            <w:hideMark/>
          </w:tcPr>
          <w:p w14:paraId="07411F66"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659</w:t>
            </w:r>
          </w:p>
        </w:tc>
      </w:tr>
      <w:tr w:rsidR="00DC1974" w:rsidRPr="0005428A" w14:paraId="7DF3A404"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02BDD5D3"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COGS</w:t>
            </w:r>
          </w:p>
        </w:tc>
        <w:tc>
          <w:tcPr>
            <w:tcW w:w="1972" w:type="pct"/>
            <w:tcBorders>
              <w:top w:val="nil"/>
              <w:left w:val="nil"/>
              <w:bottom w:val="single" w:sz="4" w:space="0" w:color="auto"/>
              <w:right w:val="single" w:sz="4" w:space="0" w:color="auto"/>
            </w:tcBorders>
            <w:shd w:val="clear" w:color="auto" w:fill="auto"/>
            <w:noWrap/>
            <w:vAlign w:val="bottom"/>
            <w:hideMark/>
          </w:tcPr>
          <w:p w14:paraId="47C0AA70"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3235</w:t>
            </w:r>
          </w:p>
        </w:tc>
        <w:tc>
          <w:tcPr>
            <w:tcW w:w="1207" w:type="pct"/>
            <w:tcBorders>
              <w:top w:val="nil"/>
              <w:left w:val="nil"/>
              <w:bottom w:val="single" w:sz="4" w:space="0" w:color="auto"/>
              <w:right w:val="single" w:sz="4" w:space="0" w:color="auto"/>
            </w:tcBorders>
            <w:shd w:val="clear" w:color="auto" w:fill="auto"/>
            <w:noWrap/>
            <w:vAlign w:val="bottom"/>
            <w:hideMark/>
          </w:tcPr>
          <w:p w14:paraId="455759AA"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COGS</w:t>
            </w:r>
          </w:p>
        </w:tc>
        <w:tc>
          <w:tcPr>
            <w:tcW w:w="614" w:type="pct"/>
            <w:tcBorders>
              <w:top w:val="nil"/>
              <w:left w:val="nil"/>
              <w:bottom w:val="single" w:sz="4" w:space="0" w:color="auto"/>
              <w:right w:val="single" w:sz="4" w:space="0" w:color="auto"/>
            </w:tcBorders>
            <w:shd w:val="clear" w:color="auto" w:fill="auto"/>
            <w:noWrap/>
            <w:vAlign w:val="bottom"/>
            <w:hideMark/>
          </w:tcPr>
          <w:p w14:paraId="4317AA78"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3096</w:t>
            </w:r>
          </w:p>
        </w:tc>
      </w:tr>
      <w:tr w:rsidR="00DC1974" w:rsidRPr="0005428A" w14:paraId="013B3375"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06E83946"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Inventory turnover ratio</w:t>
            </w:r>
          </w:p>
        </w:tc>
        <w:tc>
          <w:tcPr>
            <w:tcW w:w="1972" w:type="pct"/>
            <w:tcBorders>
              <w:top w:val="nil"/>
              <w:left w:val="nil"/>
              <w:bottom w:val="single" w:sz="4" w:space="0" w:color="auto"/>
              <w:right w:val="single" w:sz="4" w:space="0" w:color="auto"/>
            </w:tcBorders>
            <w:shd w:val="clear" w:color="auto" w:fill="auto"/>
            <w:noWrap/>
            <w:vAlign w:val="bottom"/>
            <w:hideMark/>
          </w:tcPr>
          <w:p w14:paraId="15E9E3CF"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4.569209</w:t>
            </w:r>
          </w:p>
        </w:tc>
        <w:tc>
          <w:tcPr>
            <w:tcW w:w="1207" w:type="pct"/>
            <w:tcBorders>
              <w:top w:val="nil"/>
              <w:left w:val="nil"/>
              <w:bottom w:val="single" w:sz="4" w:space="0" w:color="auto"/>
              <w:right w:val="single" w:sz="4" w:space="0" w:color="auto"/>
            </w:tcBorders>
            <w:shd w:val="clear" w:color="auto" w:fill="auto"/>
            <w:noWrap/>
            <w:vAlign w:val="bottom"/>
            <w:hideMark/>
          </w:tcPr>
          <w:p w14:paraId="48D54A93"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Inventory turnover ratio</w:t>
            </w:r>
          </w:p>
        </w:tc>
        <w:tc>
          <w:tcPr>
            <w:tcW w:w="614" w:type="pct"/>
            <w:tcBorders>
              <w:top w:val="nil"/>
              <w:left w:val="nil"/>
              <w:bottom w:val="single" w:sz="4" w:space="0" w:color="auto"/>
              <w:right w:val="single" w:sz="4" w:space="0" w:color="auto"/>
            </w:tcBorders>
            <w:shd w:val="clear" w:color="auto" w:fill="auto"/>
            <w:noWrap/>
            <w:vAlign w:val="bottom"/>
            <w:hideMark/>
          </w:tcPr>
          <w:p w14:paraId="399AC318"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4.6980273</w:t>
            </w:r>
          </w:p>
        </w:tc>
      </w:tr>
      <w:tr w:rsidR="00DC1974" w:rsidRPr="0005428A" w14:paraId="53B44243"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5731CAC5"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972" w:type="pct"/>
            <w:tcBorders>
              <w:top w:val="nil"/>
              <w:left w:val="nil"/>
              <w:bottom w:val="single" w:sz="4" w:space="0" w:color="auto"/>
              <w:right w:val="single" w:sz="4" w:space="0" w:color="auto"/>
            </w:tcBorders>
            <w:shd w:val="clear" w:color="auto" w:fill="auto"/>
            <w:noWrap/>
            <w:vAlign w:val="bottom"/>
            <w:hideMark/>
          </w:tcPr>
          <w:p w14:paraId="2C3CDB69"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35BA030B"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3C1383CE"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3AE1FBEA"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455EE8AB" w14:textId="77777777" w:rsidR="00DC1974" w:rsidRPr="0005428A" w:rsidRDefault="00DC1974" w:rsidP="0005428A">
            <w:pPr>
              <w:spacing w:after="0"/>
              <w:rPr>
                <w:rFonts w:eastAsia="Times New Roman" w:cs="Times New Roman"/>
                <w:b/>
                <w:bCs/>
                <w:color w:val="000000"/>
                <w:szCs w:val="24"/>
              </w:rPr>
            </w:pPr>
            <w:r w:rsidRPr="0005428A">
              <w:rPr>
                <w:rFonts w:eastAsia="Times New Roman" w:cs="Times New Roman"/>
                <w:b/>
                <w:bCs/>
                <w:color w:val="000000"/>
                <w:szCs w:val="24"/>
              </w:rPr>
              <w:t>Stock holding days</w:t>
            </w:r>
          </w:p>
        </w:tc>
        <w:tc>
          <w:tcPr>
            <w:tcW w:w="1972" w:type="pct"/>
            <w:tcBorders>
              <w:top w:val="nil"/>
              <w:left w:val="nil"/>
              <w:bottom w:val="single" w:sz="4" w:space="0" w:color="auto"/>
              <w:right w:val="single" w:sz="4" w:space="0" w:color="auto"/>
            </w:tcBorders>
            <w:shd w:val="clear" w:color="auto" w:fill="auto"/>
            <w:noWrap/>
            <w:vAlign w:val="bottom"/>
            <w:hideMark/>
          </w:tcPr>
          <w:p w14:paraId="6510CA46" w14:textId="77777777" w:rsidR="00DC1974" w:rsidRPr="0005428A" w:rsidRDefault="00DC1974" w:rsidP="0005428A">
            <w:pPr>
              <w:spacing w:after="0"/>
              <w:rPr>
                <w:rFonts w:eastAsia="Times New Roman" w:cs="Times New Roman"/>
                <w:b/>
                <w:bCs/>
                <w:color w:val="000000"/>
                <w:szCs w:val="24"/>
              </w:rPr>
            </w:pPr>
            <w:r w:rsidRPr="0005428A">
              <w:rPr>
                <w:rFonts w:eastAsia="Times New Roman" w:cs="Times New Roman"/>
                <w:b/>
                <w:bCs/>
                <w:color w:val="000000"/>
                <w:szCs w:val="24"/>
              </w:rPr>
              <w:t>79.882535</w:t>
            </w:r>
          </w:p>
        </w:tc>
        <w:tc>
          <w:tcPr>
            <w:tcW w:w="1207" w:type="pct"/>
            <w:tcBorders>
              <w:top w:val="nil"/>
              <w:left w:val="nil"/>
              <w:bottom w:val="single" w:sz="4" w:space="0" w:color="auto"/>
              <w:right w:val="single" w:sz="4" w:space="0" w:color="auto"/>
            </w:tcBorders>
            <w:shd w:val="clear" w:color="auto" w:fill="auto"/>
            <w:noWrap/>
            <w:vAlign w:val="bottom"/>
            <w:hideMark/>
          </w:tcPr>
          <w:p w14:paraId="502CDDAF" w14:textId="77777777" w:rsidR="00DC1974" w:rsidRPr="0005428A" w:rsidRDefault="00DC1974" w:rsidP="0005428A">
            <w:pPr>
              <w:spacing w:after="0"/>
              <w:rPr>
                <w:rFonts w:eastAsia="Times New Roman" w:cs="Times New Roman"/>
                <w:b/>
                <w:bCs/>
                <w:color w:val="000000"/>
                <w:szCs w:val="24"/>
              </w:rPr>
            </w:pPr>
            <w:r w:rsidRPr="0005428A">
              <w:rPr>
                <w:rFonts w:eastAsia="Times New Roman" w:cs="Times New Roman"/>
                <w:b/>
                <w:bCs/>
                <w:color w:val="000000"/>
                <w:szCs w:val="24"/>
              </w:rPr>
              <w:t>Stock holding days</w:t>
            </w:r>
          </w:p>
        </w:tc>
        <w:tc>
          <w:tcPr>
            <w:tcW w:w="614" w:type="pct"/>
            <w:tcBorders>
              <w:top w:val="nil"/>
              <w:left w:val="nil"/>
              <w:bottom w:val="single" w:sz="4" w:space="0" w:color="auto"/>
              <w:right w:val="single" w:sz="4" w:space="0" w:color="auto"/>
            </w:tcBorders>
            <w:shd w:val="clear" w:color="auto" w:fill="auto"/>
            <w:noWrap/>
            <w:vAlign w:val="bottom"/>
            <w:hideMark/>
          </w:tcPr>
          <w:p w14:paraId="64415EE2" w14:textId="77777777" w:rsidR="00DC1974" w:rsidRPr="0005428A" w:rsidRDefault="00DC1974" w:rsidP="0005428A">
            <w:pPr>
              <w:spacing w:after="0"/>
              <w:rPr>
                <w:rFonts w:eastAsia="Times New Roman" w:cs="Times New Roman"/>
                <w:b/>
                <w:bCs/>
                <w:color w:val="000000"/>
                <w:szCs w:val="24"/>
              </w:rPr>
            </w:pPr>
            <w:r w:rsidRPr="0005428A">
              <w:rPr>
                <w:rFonts w:eastAsia="Times New Roman" w:cs="Times New Roman"/>
                <w:b/>
                <w:bCs/>
                <w:color w:val="000000"/>
                <w:szCs w:val="24"/>
              </w:rPr>
              <w:t>77.692183</w:t>
            </w:r>
          </w:p>
        </w:tc>
      </w:tr>
      <w:tr w:rsidR="00DC1974" w:rsidRPr="0005428A" w14:paraId="6A09F3B1"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0A8A047F"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972" w:type="pct"/>
            <w:tcBorders>
              <w:top w:val="nil"/>
              <w:left w:val="nil"/>
              <w:bottom w:val="single" w:sz="4" w:space="0" w:color="auto"/>
              <w:right w:val="single" w:sz="4" w:space="0" w:color="auto"/>
            </w:tcBorders>
            <w:shd w:val="clear" w:color="auto" w:fill="auto"/>
            <w:noWrap/>
            <w:vAlign w:val="bottom"/>
            <w:hideMark/>
          </w:tcPr>
          <w:p w14:paraId="6BDB305C"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52DB2A6A"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3CF6FB0D"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3746284B"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1AD6C291"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xml:space="preserve">7): </w:t>
            </w:r>
          </w:p>
        </w:tc>
        <w:tc>
          <w:tcPr>
            <w:tcW w:w="1972" w:type="pct"/>
            <w:tcBorders>
              <w:top w:val="nil"/>
              <w:left w:val="nil"/>
              <w:bottom w:val="single" w:sz="4" w:space="0" w:color="auto"/>
              <w:right w:val="single" w:sz="4" w:space="0" w:color="auto"/>
            </w:tcBorders>
            <w:shd w:val="clear" w:color="auto" w:fill="auto"/>
            <w:noWrap/>
            <w:vAlign w:val="bottom"/>
            <w:hideMark/>
          </w:tcPr>
          <w:p w14:paraId="3BF2F26B"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724AC01F"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38B94984"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1EC22D25"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198488D6" w14:textId="77777777" w:rsidR="00DC1974" w:rsidRPr="0005428A" w:rsidRDefault="00DC1974" w:rsidP="0005428A">
            <w:pPr>
              <w:spacing w:after="0"/>
              <w:rPr>
                <w:rFonts w:eastAsia="Times New Roman" w:cs="Times New Roman"/>
                <w:b/>
                <w:bCs/>
                <w:color w:val="000000"/>
                <w:szCs w:val="24"/>
              </w:rPr>
            </w:pPr>
            <w:r w:rsidRPr="0005428A">
              <w:rPr>
                <w:rFonts w:eastAsia="Times New Roman" w:cs="Times New Roman"/>
                <w:b/>
                <w:bCs/>
                <w:color w:val="000000"/>
                <w:szCs w:val="24"/>
              </w:rPr>
              <w:t>Debtor collection period</w:t>
            </w:r>
          </w:p>
        </w:tc>
        <w:tc>
          <w:tcPr>
            <w:tcW w:w="1972" w:type="pct"/>
            <w:tcBorders>
              <w:top w:val="nil"/>
              <w:left w:val="nil"/>
              <w:bottom w:val="single" w:sz="4" w:space="0" w:color="auto"/>
              <w:right w:val="single" w:sz="4" w:space="0" w:color="auto"/>
            </w:tcBorders>
            <w:shd w:val="clear" w:color="auto" w:fill="auto"/>
            <w:noWrap/>
            <w:vAlign w:val="bottom"/>
            <w:hideMark/>
          </w:tcPr>
          <w:p w14:paraId="0C822714"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7821D99E"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45A67ACF"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1D2D1C21"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1A4AA508"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Formula:</w:t>
            </w:r>
          </w:p>
        </w:tc>
        <w:tc>
          <w:tcPr>
            <w:tcW w:w="1972" w:type="pct"/>
            <w:tcBorders>
              <w:top w:val="nil"/>
              <w:left w:val="nil"/>
              <w:bottom w:val="single" w:sz="4" w:space="0" w:color="auto"/>
              <w:right w:val="single" w:sz="4" w:space="0" w:color="auto"/>
            </w:tcBorders>
            <w:shd w:val="clear" w:color="auto" w:fill="auto"/>
            <w:noWrap/>
            <w:vAlign w:val="bottom"/>
            <w:hideMark/>
          </w:tcPr>
          <w:p w14:paraId="3CA9ED69"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365/receivable turnover ratio</w:t>
            </w:r>
          </w:p>
        </w:tc>
        <w:tc>
          <w:tcPr>
            <w:tcW w:w="1207" w:type="pct"/>
            <w:tcBorders>
              <w:top w:val="nil"/>
              <w:left w:val="nil"/>
              <w:bottom w:val="single" w:sz="4" w:space="0" w:color="auto"/>
              <w:right w:val="single" w:sz="4" w:space="0" w:color="auto"/>
            </w:tcBorders>
            <w:shd w:val="clear" w:color="auto" w:fill="auto"/>
            <w:noWrap/>
            <w:vAlign w:val="bottom"/>
            <w:hideMark/>
          </w:tcPr>
          <w:p w14:paraId="5E05B640"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1C2D9EAD"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1C57D1C5"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669CEA30"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2020</w:t>
            </w:r>
          </w:p>
        </w:tc>
        <w:tc>
          <w:tcPr>
            <w:tcW w:w="1972" w:type="pct"/>
            <w:tcBorders>
              <w:top w:val="nil"/>
              <w:left w:val="nil"/>
              <w:bottom w:val="single" w:sz="4" w:space="0" w:color="auto"/>
              <w:right w:val="single" w:sz="4" w:space="0" w:color="auto"/>
            </w:tcBorders>
            <w:shd w:val="clear" w:color="auto" w:fill="auto"/>
            <w:noWrap/>
            <w:vAlign w:val="bottom"/>
            <w:hideMark/>
          </w:tcPr>
          <w:p w14:paraId="2CD1293A"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6F275E39"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2019</w:t>
            </w:r>
          </w:p>
        </w:tc>
        <w:tc>
          <w:tcPr>
            <w:tcW w:w="614" w:type="pct"/>
            <w:tcBorders>
              <w:top w:val="nil"/>
              <w:left w:val="nil"/>
              <w:bottom w:val="single" w:sz="4" w:space="0" w:color="auto"/>
              <w:right w:val="single" w:sz="4" w:space="0" w:color="auto"/>
            </w:tcBorders>
            <w:shd w:val="clear" w:color="auto" w:fill="auto"/>
            <w:noWrap/>
            <w:vAlign w:val="bottom"/>
            <w:hideMark/>
          </w:tcPr>
          <w:p w14:paraId="5456ADD6"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35D4C85F"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70174309"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Average receivable</w:t>
            </w:r>
          </w:p>
        </w:tc>
        <w:tc>
          <w:tcPr>
            <w:tcW w:w="1972" w:type="pct"/>
            <w:tcBorders>
              <w:top w:val="nil"/>
              <w:left w:val="nil"/>
              <w:bottom w:val="single" w:sz="4" w:space="0" w:color="auto"/>
              <w:right w:val="single" w:sz="4" w:space="0" w:color="auto"/>
            </w:tcBorders>
            <w:shd w:val="clear" w:color="auto" w:fill="auto"/>
            <w:noWrap/>
            <w:vAlign w:val="bottom"/>
            <w:hideMark/>
          </w:tcPr>
          <w:p w14:paraId="4773B39E"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1249</w:t>
            </w:r>
          </w:p>
        </w:tc>
        <w:tc>
          <w:tcPr>
            <w:tcW w:w="1207" w:type="pct"/>
            <w:tcBorders>
              <w:top w:val="nil"/>
              <w:left w:val="nil"/>
              <w:bottom w:val="single" w:sz="4" w:space="0" w:color="auto"/>
              <w:right w:val="single" w:sz="4" w:space="0" w:color="auto"/>
            </w:tcBorders>
            <w:shd w:val="clear" w:color="auto" w:fill="auto"/>
            <w:noWrap/>
            <w:vAlign w:val="bottom"/>
            <w:hideMark/>
          </w:tcPr>
          <w:p w14:paraId="3CBE9E46"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Average receivable</w:t>
            </w:r>
          </w:p>
        </w:tc>
        <w:tc>
          <w:tcPr>
            <w:tcW w:w="614" w:type="pct"/>
            <w:tcBorders>
              <w:top w:val="nil"/>
              <w:left w:val="nil"/>
              <w:bottom w:val="single" w:sz="4" w:space="0" w:color="auto"/>
              <w:right w:val="single" w:sz="4" w:space="0" w:color="auto"/>
            </w:tcBorders>
            <w:shd w:val="clear" w:color="auto" w:fill="auto"/>
            <w:noWrap/>
            <w:vAlign w:val="bottom"/>
            <w:hideMark/>
          </w:tcPr>
          <w:p w14:paraId="77CAB027"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1287</w:t>
            </w:r>
          </w:p>
        </w:tc>
      </w:tr>
      <w:tr w:rsidR="00DC1974" w:rsidRPr="0005428A" w14:paraId="4CB21053"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3F17B642"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Net sales</w:t>
            </w:r>
          </w:p>
        </w:tc>
        <w:tc>
          <w:tcPr>
            <w:tcW w:w="1972" w:type="pct"/>
            <w:tcBorders>
              <w:top w:val="nil"/>
              <w:left w:val="nil"/>
              <w:bottom w:val="single" w:sz="4" w:space="0" w:color="auto"/>
              <w:right w:val="single" w:sz="4" w:space="0" w:color="auto"/>
            </w:tcBorders>
            <w:shd w:val="clear" w:color="auto" w:fill="auto"/>
            <w:noWrap/>
            <w:vAlign w:val="bottom"/>
            <w:hideMark/>
          </w:tcPr>
          <w:p w14:paraId="0BB7E256"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6738</w:t>
            </w:r>
          </w:p>
        </w:tc>
        <w:tc>
          <w:tcPr>
            <w:tcW w:w="1207" w:type="pct"/>
            <w:tcBorders>
              <w:top w:val="nil"/>
              <w:left w:val="nil"/>
              <w:bottom w:val="single" w:sz="4" w:space="0" w:color="auto"/>
              <w:right w:val="single" w:sz="4" w:space="0" w:color="auto"/>
            </w:tcBorders>
            <w:shd w:val="clear" w:color="auto" w:fill="auto"/>
            <w:noWrap/>
            <w:vAlign w:val="bottom"/>
            <w:hideMark/>
          </w:tcPr>
          <w:p w14:paraId="2872C759"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Net sales</w:t>
            </w:r>
          </w:p>
        </w:tc>
        <w:tc>
          <w:tcPr>
            <w:tcW w:w="614" w:type="pct"/>
            <w:tcBorders>
              <w:top w:val="nil"/>
              <w:left w:val="nil"/>
              <w:bottom w:val="single" w:sz="4" w:space="0" w:color="auto"/>
              <w:right w:val="single" w:sz="4" w:space="0" w:color="auto"/>
            </w:tcBorders>
            <w:shd w:val="clear" w:color="auto" w:fill="auto"/>
            <w:noWrap/>
            <w:vAlign w:val="bottom"/>
            <w:hideMark/>
          </w:tcPr>
          <w:p w14:paraId="56566D75"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6441</w:t>
            </w:r>
          </w:p>
        </w:tc>
      </w:tr>
      <w:tr w:rsidR="00DC1974" w:rsidRPr="0005428A" w14:paraId="705F7346"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66290C6D"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Receivable turnover ratio</w:t>
            </w:r>
          </w:p>
        </w:tc>
        <w:tc>
          <w:tcPr>
            <w:tcW w:w="1972" w:type="pct"/>
            <w:tcBorders>
              <w:top w:val="nil"/>
              <w:left w:val="nil"/>
              <w:bottom w:val="single" w:sz="4" w:space="0" w:color="auto"/>
              <w:right w:val="single" w:sz="4" w:space="0" w:color="auto"/>
            </w:tcBorders>
            <w:shd w:val="clear" w:color="auto" w:fill="auto"/>
            <w:noWrap/>
            <w:vAlign w:val="bottom"/>
            <w:hideMark/>
          </w:tcPr>
          <w:p w14:paraId="4FCEAE5A"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5.3947158</w:t>
            </w:r>
          </w:p>
        </w:tc>
        <w:tc>
          <w:tcPr>
            <w:tcW w:w="1207" w:type="pct"/>
            <w:tcBorders>
              <w:top w:val="nil"/>
              <w:left w:val="nil"/>
              <w:bottom w:val="single" w:sz="4" w:space="0" w:color="auto"/>
              <w:right w:val="single" w:sz="4" w:space="0" w:color="auto"/>
            </w:tcBorders>
            <w:shd w:val="clear" w:color="auto" w:fill="auto"/>
            <w:noWrap/>
            <w:vAlign w:val="bottom"/>
            <w:hideMark/>
          </w:tcPr>
          <w:p w14:paraId="47039D18"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xml:space="preserve">Receivable </w:t>
            </w:r>
            <w:r w:rsidR="00D22F17" w:rsidRPr="0005428A">
              <w:rPr>
                <w:rFonts w:eastAsia="Times New Roman" w:cs="Times New Roman"/>
                <w:color w:val="000000"/>
                <w:szCs w:val="24"/>
              </w:rPr>
              <w:t>turnover</w:t>
            </w:r>
            <w:r w:rsidRPr="0005428A">
              <w:rPr>
                <w:rFonts w:eastAsia="Times New Roman" w:cs="Times New Roman"/>
                <w:color w:val="000000"/>
                <w:szCs w:val="24"/>
              </w:rPr>
              <w:t xml:space="preserve"> ratio</w:t>
            </w:r>
          </w:p>
        </w:tc>
        <w:tc>
          <w:tcPr>
            <w:tcW w:w="614" w:type="pct"/>
            <w:tcBorders>
              <w:top w:val="nil"/>
              <w:left w:val="nil"/>
              <w:bottom w:val="single" w:sz="4" w:space="0" w:color="auto"/>
              <w:right w:val="single" w:sz="4" w:space="0" w:color="auto"/>
            </w:tcBorders>
            <w:shd w:val="clear" w:color="auto" w:fill="auto"/>
            <w:noWrap/>
            <w:vAlign w:val="bottom"/>
            <w:hideMark/>
          </w:tcPr>
          <w:p w14:paraId="70AE78DC"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5.004662</w:t>
            </w:r>
          </w:p>
        </w:tc>
      </w:tr>
      <w:tr w:rsidR="00DC1974" w:rsidRPr="0005428A" w14:paraId="58350255"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18D63F3D"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972" w:type="pct"/>
            <w:tcBorders>
              <w:top w:val="nil"/>
              <w:left w:val="nil"/>
              <w:bottom w:val="single" w:sz="4" w:space="0" w:color="auto"/>
              <w:right w:val="single" w:sz="4" w:space="0" w:color="auto"/>
            </w:tcBorders>
            <w:shd w:val="clear" w:color="auto" w:fill="auto"/>
            <w:noWrap/>
            <w:vAlign w:val="bottom"/>
            <w:hideMark/>
          </w:tcPr>
          <w:p w14:paraId="6E44D5E8"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61CF21CF"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6250FE34"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7EA8EBA7"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04A750DF" w14:textId="77777777" w:rsidR="00DC1974" w:rsidRPr="0005428A" w:rsidRDefault="00DC1974" w:rsidP="0005428A">
            <w:pPr>
              <w:spacing w:after="0"/>
              <w:rPr>
                <w:rFonts w:eastAsia="Times New Roman" w:cs="Times New Roman"/>
                <w:b/>
                <w:bCs/>
                <w:color w:val="000000"/>
                <w:szCs w:val="24"/>
              </w:rPr>
            </w:pPr>
            <w:r w:rsidRPr="0005428A">
              <w:rPr>
                <w:rFonts w:eastAsia="Times New Roman" w:cs="Times New Roman"/>
                <w:b/>
                <w:bCs/>
                <w:color w:val="000000"/>
                <w:szCs w:val="24"/>
              </w:rPr>
              <w:t>Debtor collection period</w:t>
            </w:r>
          </w:p>
        </w:tc>
        <w:tc>
          <w:tcPr>
            <w:tcW w:w="1972" w:type="pct"/>
            <w:tcBorders>
              <w:top w:val="nil"/>
              <w:left w:val="nil"/>
              <w:bottom w:val="single" w:sz="4" w:space="0" w:color="auto"/>
              <w:right w:val="single" w:sz="4" w:space="0" w:color="auto"/>
            </w:tcBorders>
            <w:shd w:val="clear" w:color="auto" w:fill="auto"/>
            <w:noWrap/>
            <w:vAlign w:val="bottom"/>
            <w:hideMark/>
          </w:tcPr>
          <w:p w14:paraId="21D63442" w14:textId="77777777" w:rsidR="00DC1974" w:rsidRPr="0005428A" w:rsidRDefault="00DC1974" w:rsidP="0005428A">
            <w:pPr>
              <w:spacing w:after="0"/>
              <w:rPr>
                <w:rFonts w:eastAsia="Times New Roman" w:cs="Times New Roman"/>
                <w:b/>
                <w:bCs/>
                <w:color w:val="000000"/>
                <w:szCs w:val="24"/>
              </w:rPr>
            </w:pPr>
            <w:r w:rsidRPr="0005428A">
              <w:rPr>
                <w:rFonts w:eastAsia="Times New Roman" w:cs="Times New Roman"/>
                <w:b/>
                <w:bCs/>
                <w:color w:val="000000"/>
                <w:szCs w:val="24"/>
              </w:rPr>
              <w:t>67.658801</w:t>
            </w:r>
          </w:p>
        </w:tc>
        <w:tc>
          <w:tcPr>
            <w:tcW w:w="1207" w:type="pct"/>
            <w:tcBorders>
              <w:top w:val="nil"/>
              <w:left w:val="nil"/>
              <w:bottom w:val="single" w:sz="4" w:space="0" w:color="auto"/>
              <w:right w:val="single" w:sz="4" w:space="0" w:color="auto"/>
            </w:tcBorders>
            <w:shd w:val="clear" w:color="auto" w:fill="auto"/>
            <w:noWrap/>
            <w:vAlign w:val="bottom"/>
            <w:hideMark/>
          </w:tcPr>
          <w:p w14:paraId="319F9920" w14:textId="77777777" w:rsidR="00DC1974" w:rsidRPr="0005428A" w:rsidRDefault="00DC1974" w:rsidP="0005428A">
            <w:pPr>
              <w:spacing w:after="0"/>
              <w:rPr>
                <w:rFonts w:eastAsia="Times New Roman" w:cs="Times New Roman"/>
                <w:b/>
                <w:bCs/>
                <w:color w:val="000000"/>
                <w:szCs w:val="24"/>
              </w:rPr>
            </w:pPr>
            <w:r w:rsidRPr="0005428A">
              <w:rPr>
                <w:rFonts w:eastAsia="Times New Roman" w:cs="Times New Roman"/>
                <w:b/>
                <w:bCs/>
                <w:color w:val="000000"/>
                <w:szCs w:val="24"/>
              </w:rPr>
              <w:t>Debtor collection period</w:t>
            </w:r>
          </w:p>
        </w:tc>
        <w:tc>
          <w:tcPr>
            <w:tcW w:w="614" w:type="pct"/>
            <w:tcBorders>
              <w:top w:val="nil"/>
              <w:left w:val="nil"/>
              <w:bottom w:val="single" w:sz="4" w:space="0" w:color="auto"/>
              <w:right w:val="single" w:sz="4" w:space="0" w:color="auto"/>
            </w:tcBorders>
            <w:shd w:val="clear" w:color="auto" w:fill="auto"/>
            <w:noWrap/>
            <w:vAlign w:val="bottom"/>
            <w:hideMark/>
          </w:tcPr>
          <w:p w14:paraId="52C22F99" w14:textId="77777777" w:rsidR="00DC1974" w:rsidRPr="0005428A" w:rsidRDefault="00DC1974" w:rsidP="0005428A">
            <w:pPr>
              <w:spacing w:after="0"/>
              <w:rPr>
                <w:rFonts w:eastAsia="Times New Roman" w:cs="Times New Roman"/>
                <w:b/>
                <w:bCs/>
                <w:color w:val="000000"/>
                <w:szCs w:val="24"/>
              </w:rPr>
            </w:pPr>
            <w:r w:rsidRPr="0005428A">
              <w:rPr>
                <w:rFonts w:eastAsia="Times New Roman" w:cs="Times New Roman"/>
                <w:b/>
                <w:bCs/>
                <w:color w:val="000000"/>
                <w:szCs w:val="24"/>
              </w:rPr>
              <w:t>72.931998</w:t>
            </w:r>
          </w:p>
        </w:tc>
      </w:tr>
      <w:tr w:rsidR="00DC1974" w:rsidRPr="0005428A" w14:paraId="0D5D9779"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3165552A"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972" w:type="pct"/>
            <w:tcBorders>
              <w:top w:val="nil"/>
              <w:left w:val="nil"/>
              <w:bottom w:val="single" w:sz="4" w:space="0" w:color="auto"/>
              <w:right w:val="single" w:sz="4" w:space="0" w:color="auto"/>
            </w:tcBorders>
            <w:shd w:val="clear" w:color="auto" w:fill="auto"/>
            <w:noWrap/>
            <w:vAlign w:val="bottom"/>
            <w:hideMark/>
          </w:tcPr>
          <w:p w14:paraId="1780EA87"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47B1EE58"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101193BE"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337B5C8C"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5A88C051"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xml:space="preserve">8): </w:t>
            </w:r>
          </w:p>
        </w:tc>
        <w:tc>
          <w:tcPr>
            <w:tcW w:w="1972" w:type="pct"/>
            <w:tcBorders>
              <w:top w:val="nil"/>
              <w:left w:val="nil"/>
              <w:bottom w:val="single" w:sz="4" w:space="0" w:color="auto"/>
              <w:right w:val="single" w:sz="4" w:space="0" w:color="auto"/>
            </w:tcBorders>
            <w:shd w:val="clear" w:color="auto" w:fill="auto"/>
            <w:noWrap/>
            <w:vAlign w:val="bottom"/>
            <w:hideMark/>
          </w:tcPr>
          <w:p w14:paraId="4B46C894"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7589B7D8"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3F5ED0C1"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5CA8B7A9"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1E9A37EF" w14:textId="77777777" w:rsidR="00DC1974" w:rsidRPr="0005428A" w:rsidRDefault="00DC1974" w:rsidP="0005428A">
            <w:pPr>
              <w:spacing w:after="0"/>
              <w:rPr>
                <w:rFonts w:eastAsia="Times New Roman" w:cs="Times New Roman"/>
                <w:b/>
                <w:bCs/>
                <w:color w:val="000000"/>
                <w:szCs w:val="24"/>
              </w:rPr>
            </w:pPr>
            <w:r w:rsidRPr="0005428A">
              <w:rPr>
                <w:rFonts w:eastAsia="Times New Roman" w:cs="Times New Roman"/>
                <w:b/>
                <w:bCs/>
                <w:color w:val="000000"/>
                <w:szCs w:val="24"/>
              </w:rPr>
              <w:t>Current ratio</w:t>
            </w:r>
          </w:p>
        </w:tc>
        <w:tc>
          <w:tcPr>
            <w:tcW w:w="1972" w:type="pct"/>
            <w:tcBorders>
              <w:top w:val="nil"/>
              <w:left w:val="nil"/>
              <w:bottom w:val="single" w:sz="4" w:space="0" w:color="auto"/>
              <w:right w:val="single" w:sz="4" w:space="0" w:color="auto"/>
            </w:tcBorders>
            <w:shd w:val="clear" w:color="auto" w:fill="auto"/>
            <w:noWrap/>
            <w:vAlign w:val="bottom"/>
            <w:hideMark/>
          </w:tcPr>
          <w:p w14:paraId="1D6093D5"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1D141B36"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2764AF60"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7B59A053"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4F9ABAAA"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Formula:</w:t>
            </w:r>
          </w:p>
        </w:tc>
        <w:tc>
          <w:tcPr>
            <w:tcW w:w="1972" w:type="pct"/>
            <w:tcBorders>
              <w:top w:val="nil"/>
              <w:left w:val="nil"/>
              <w:bottom w:val="single" w:sz="4" w:space="0" w:color="auto"/>
              <w:right w:val="single" w:sz="4" w:space="0" w:color="auto"/>
            </w:tcBorders>
            <w:shd w:val="clear" w:color="auto" w:fill="auto"/>
            <w:noWrap/>
            <w:vAlign w:val="bottom"/>
            <w:hideMark/>
          </w:tcPr>
          <w:p w14:paraId="7DF7F7A7"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Current assets/current liability</w:t>
            </w:r>
          </w:p>
        </w:tc>
        <w:tc>
          <w:tcPr>
            <w:tcW w:w="1207" w:type="pct"/>
            <w:tcBorders>
              <w:top w:val="nil"/>
              <w:left w:val="nil"/>
              <w:bottom w:val="single" w:sz="4" w:space="0" w:color="auto"/>
              <w:right w:val="single" w:sz="4" w:space="0" w:color="auto"/>
            </w:tcBorders>
            <w:shd w:val="clear" w:color="auto" w:fill="auto"/>
            <w:noWrap/>
            <w:vAlign w:val="bottom"/>
            <w:hideMark/>
          </w:tcPr>
          <w:p w14:paraId="2CE4B116"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5C6A76BA"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17B1A75C" w14:textId="77777777" w:rsidTr="00535FF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3868796D"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2020</w:t>
            </w:r>
          </w:p>
        </w:tc>
        <w:tc>
          <w:tcPr>
            <w:tcW w:w="1972" w:type="pct"/>
            <w:tcBorders>
              <w:top w:val="nil"/>
              <w:left w:val="nil"/>
              <w:bottom w:val="single" w:sz="4" w:space="0" w:color="auto"/>
              <w:right w:val="single" w:sz="4" w:space="0" w:color="auto"/>
            </w:tcBorders>
            <w:shd w:val="clear" w:color="auto" w:fill="auto"/>
            <w:noWrap/>
            <w:vAlign w:val="bottom"/>
            <w:hideMark/>
          </w:tcPr>
          <w:p w14:paraId="1B072C62"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7D3E60A6"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2019</w:t>
            </w:r>
          </w:p>
        </w:tc>
        <w:tc>
          <w:tcPr>
            <w:tcW w:w="614" w:type="pct"/>
            <w:tcBorders>
              <w:top w:val="nil"/>
              <w:left w:val="nil"/>
              <w:bottom w:val="single" w:sz="4" w:space="0" w:color="auto"/>
              <w:right w:val="single" w:sz="4" w:space="0" w:color="auto"/>
            </w:tcBorders>
            <w:shd w:val="clear" w:color="auto" w:fill="auto"/>
            <w:noWrap/>
            <w:vAlign w:val="bottom"/>
            <w:hideMark/>
          </w:tcPr>
          <w:p w14:paraId="5D0EB138"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0E149857" w14:textId="77777777" w:rsidTr="00535FF4">
        <w:trPr>
          <w:trHeight w:val="290"/>
        </w:trPr>
        <w:tc>
          <w:tcPr>
            <w:tcW w:w="1206"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56E2B1F"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lastRenderedPageBreak/>
              <w:t>Current assets</w:t>
            </w:r>
          </w:p>
        </w:tc>
        <w:tc>
          <w:tcPr>
            <w:tcW w:w="1972" w:type="pct"/>
            <w:tcBorders>
              <w:top w:val="single" w:sz="4" w:space="0" w:color="auto"/>
              <w:left w:val="nil"/>
              <w:bottom w:val="single" w:sz="4" w:space="0" w:color="auto"/>
              <w:right w:val="single" w:sz="4" w:space="0" w:color="auto"/>
            </w:tcBorders>
            <w:shd w:val="clear" w:color="auto" w:fill="auto"/>
            <w:noWrap/>
            <w:vAlign w:val="bottom"/>
            <w:hideMark/>
          </w:tcPr>
          <w:p w14:paraId="3E790EAA"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2303</w:t>
            </w:r>
          </w:p>
        </w:tc>
        <w:tc>
          <w:tcPr>
            <w:tcW w:w="1207" w:type="pct"/>
            <w:tcBorders>
              <w:top w:val="single" w:sz="4" w:space="0" w:color="auto"/>
              <w:left w:val="nil"/>
              <w:bottom w:val="single" w:sz="4" w:space="0" w:color="auto"/>
              <w:right w:val="single" w:sz="4" w:space="0" w:color="auto"/>
            </w:tcBorders>
            <w:shd w:val="clear" w:color="auto" w:fill="auto"/>
            <w:noWrap/>
            <w:vAlign w:val="bottom"/>
            <w:hideMark/>
          </w:tcPr>
          <w:p w14:paraId="453477C2"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Current assets</w:t>
            </w:r>
          </w:p>
        </w:tc>
        <w:tc>
          <w:tcPr>
            <w:tcW w:w="614" w:type="pct"/>
            <w:tcBorders>
              <w:top w:val="single" w:sz="4" w:space="0" w:color="auto"/>
              <w:left w:val="nil"/>
              <w:bottom w:val="single" w:sz="4" w:space="0" w:color="auto"/>
              <w:right w:val="single" w:sz="4" w:space="0" w:color="auto"/>
            </w:tcBorders>
            <w:shd w:val="clear" w:color="auto" w:fill="auto"/>
            <w:noWrap/>
            <w:vAlign w:val="bottom"/>
            <w:hideMark/>
          </w:tcPr>
          <w:p w14:paraId="08E32BD1"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2355</w:t>
            </w:r>
          </w:p>
        </w:tc>
      </w:tr>
      <w:tr w:rsidR="00DC1974" w:rsidRPr="0005428A" w14:paraId="6BE8985E"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472509E9"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Current liability</w:t>
            </w:r>
          </w:p>
        </w:tc>
        <w:tc>
          <w:tcPr>
            <w:tcW w:w="1972" w:type="pct"/>
            <w:tcBorders>
              <w:top w:val="nil"/>
              <w:left w:val="nil"/>
              <w:bottom w:val="single" w:sz="4" w:space="0" w:color="auto"/>
              <w:right w:val="single" w:sz="4" w:space="0" w:color="auto"/>
            </w:tcBorders>
            <w:shd w:val="clear" w:color="auto" w:fill="auto"/>
            <w:noWrap/>
            <w:vAlign w:val="bottom"/>
            <w:hideMark/>
          </w:tcPr>
          <w:p w14:paraId="72FA1458"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2511</w:t>
            </w:r>
          </w:p>
        </w:tc>
        <w:tc>
          <w:tcPr>
            <w:tcW w:w="1207" w:type="pct"/>
            <w:tcBorders>
              <w:top w:val="nil"/>
              <w:left w:val="nil"/>
              <w:bottom w:val="single" w:sz="4" w:space="0" w:color="auto"/>
              <w:right w:val="single" w:sz="4" w:space="0" w:color="auto"/>
            </w:tcBorders>
            <w:shd w:val="clear" w:color="auto" w:fill="auto"/>
            <w:noWrap/>
            <w:vAlign w:val="bottom"/>
            <w:hideMark/>
          </w:tcPr>
          <w:p w14:paraId="7EEB78F7"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Current liability</w:t>
            </w:r>
          </w:p>
        </w:tc>
        <w:tc>
          <w:tcPr>
            <w:tcW w:w="614" w:type="pct"/>
            <w:tcBorders>
              <w:top w:val="nil"/>
              <w:left w:val="nil"/>
              <w:bottom w:val="single" w:sz="4" w:space="0" w:color="auto"/>
              <w:right w:val="single" w:sz="4" w:space="0" w:color="auto"/>
            </w:tcBorders>
            <w:shd w:val="clear" w:color="auto" w:fill="auto"/>
            <w:noWrap/>
            <w:vAlign w:val="bottom"/>
            <w:hideMark/>
          </w:tcPr>
          <w:p w14:paraId="2A8C8575"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3046</w:t>
            </w:r>
          </w:p>
        </w:tc>
      </w:tr>
      <w:tr w:rsidR="00DC1974" w:rsidRPr="0005428A" w14:paraId="1C192790"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552A3732"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972" w:type="pct"/>
            <w:tcBorders>
              <w:top w:val="nil"/>
              <w:left w:val="nil"/>
              <w:bottom w:val="single" w:sz="4" w:space="0" w:color="auto"/>
              <w:right w:val="single" w:sz="4" w:space="0" w:color="auto"/>
            </w:tcBorders>
            <w:shd w:val="clear" w:color="auto" w:fill="auto"/>
            <w:noWrap/>
            <w:vAlign w:val="bottom"/>
            <w:hideMark/>
          </w:tcPr>
          <w:p w14:paraId="4F946C7A"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0C127311"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3AD5187C"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76160350"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0C0F82FA" w14:textId="77777777" w:rsidR="00DC1974" w:rsidRPr="0005428A" w:rsidRDefault="00DC1974" w:rsidP="0005428A">
            <w:pPr>
              <w:spacing w:after="0"/>
              <w:rPr>
                <w:rFonts w:eastAsia="Times New Roman" w:cs="Times New Roman"/>
                <w:b/>
                <w:bCs/>
                <w:color w:val="000000"/>
                <w:szCs w:val="24"/>
              </w:rPr>
            </w:pPr>
            <w:r w:rsidRPr="0005428A">
              <w:rPr>
                <w:rFonts w:eastAsia="Times New Roman" w:cs="Times New Roman"/>
                <w:b/>
                <w:bCs/>
                <w:color w:val="000000"/>
                <w:szCs w:val="24"/>
              </w:rPr>
              <w:t>Current ratio</w:t>
            </w:r>
          </w:p>
        </w:tc>
        <w:tc>
          <w:tcPr>
            <w:tcW w:w="1972" w:type="pct"/>
            <w:tcBorders>
              <w:top w:val="nil"/>
              <w:left w:val="nil"/>
              <w:bottom w:val="single" w:sz="4" w:space="0" w:color="auto"/>
              <w:right w:val="single" w:sz="4" w:space="0" w:color="auto"/>
            </w:tcBorders>
            <w:shd w:val="clear" w:color="auto" w:fill="auto"/>
            <w:noWrap/>
            <w:vAlign w:val="bottom"/>
            <w:hideMark/>
          </w:tcPr>
          <w:p w14:paraId="4A20651F" w14:textId="77777777" w:rsidR="00DC1974" w:rsidRPr="0005428A" w:rsidRDefault="00DC1974" w:rsidP="0005428A">
            <w:pPr>
              <w:spacing w:after="0"/>
              <w:rPr>
                <w:rFonts w:eastAsia="Times New Roman" w:cs="Times New Roman"/>
                <w:b/>
                <w:bCs/>
                <w:color w:val="000000"/>
                <w:szCs w:val="24"/>
              </w:rPr>
            </w:pPr>
            <w:r w:rsidRPr="0005428A">
              <w:rPr>
                <w:rFonts w:eastAsia="Times New Roman" w:cs="Times New Roman"/>
                <w:b/>
                <w:bCs/>
                <w:color w:val="000000"/>
                <w:szCs w:val="24"/>
              </w:rPr>
              <w:t>0.9171645</w:t>
            </w:r>
          </w:p>
        </w:tc>
        <w:tc>
          <w:tcPr>
            <w:tcW w:w="1207" w:type="pct"/>
            <w:tcBorders>
              <w:top w:val="nil"/>
              <w:left w:val="nil"/>
              <w:bottom w:val="single" w:sz="4" w:space="0" w:color="auto"/>
              <w:right w:val="single" w:sz="4" w:space="0" w:color="auto"/>
            </w:tcBorders>
            <w:shd w:val="clear" w:color="auto" w:fill="auto"/>
            <w:noWrap/>
            <w:vAlign w:val="bottom"/>
            <w:hideMark/>
          </w:tcPr>
          <w:p w14:paraId="57D427DC" w14:textId="77777777" w:rsidR="00DC1974" w:rsidRPr="0005428A" w:rsidRDefault="00DC1974" w:rsidP="0005428A">
            <w:pPr>
              <w:spacing w:after="0"/>
              <w:rPr>
                <w:rFonts w:eastAsia="Times New Roman" w:cs="Times New Roman"/>
                <w:b/>
                <w:bCs/>
                <w:color w:val="000000"/>
                <w:szCs w:val="24"/>
              </w:rPr>
            </w:pPr>
            <w:r w:rsidRPr="0005428A">
              <w:rPr>
                <w:rFonts w:eastAsia="Times New Roman" w:cs="Times New Roman"/>
                <w:b/>
                <w:bCs/>
                <w:color w:val="000000"/>
                <w:szCs w:val="24"/>
              </w:rPr>
              <w:t>Current ratio</w:t>
            </w:r>
          </w:p>
        </w:tc>
        <w:tc>
          <w:tcPr>
            <w:tcW w:w="614" w:type="pct"/>
            <w:tcBorders>
              <w:top w:val="nil"/>
              <w:left w:val="nil"/>
              <w:bottom w:val="single" w:sz="4" w:space="0" w:color="auto"/>
              <w:right w:val="single" w:sz="4" w:space="0" w:color="auto"/>
            </w:tcBorders>
            <w:shd w:val="clear" w:color="auto" w:fill="auto"/>
            <w:noWrap/>
            <w:vAlign w:val="bottom"/>
            <w:hideMark/>
          </w:tcPr>
          <w:p w14:paraId="0109F559" w14:textId="77777777" w:rsidR="00DC1974" w:rsidRPr="0005428A" w:rsidRDefault="00DC1974" w:rsidP="0005428A">
            <w:pPr>
              <w:spacing w:after="0"/>
              <w:rPr>
                <w:rFonts w:eastAsia="Times New Roman" w:cs="Times New Roman"/>
                <w:b/>
                <w:bCs/>
                <w:color w:val="000000"/>
                <w:szCs w:val="24"/>
              </w:rPr>
            </w:pPr>
            <w:r w:rsidRPr="0005428A">
              <w:rPr>
                <w:rFonts w:eastAsia="Times New Roman" w:cs="Times New Roman"/>
                <w:b/>
                <w:bCs/>
                <w:color w:val="000000"/>
                <w:szCs w:val="24"/>
              </w:rPr>
              <w:t>0.7731451</w:t>
            </w:r>
          </w:p>
        </w:tc>
      </w:tr>
      <w:tr w:rsidR="00DC1974" w:rsidRPr="0005428A" w14:paraId="7B5C1738"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458A05CE"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972" w:type="pct"/>
            <w:tcBorders>
              <w:top w:val="nil"/>
              <w:left w:val="nil"/>
              <w:bottom w:val="single" w:sz="4" w:space="0" w:color="auto"/>
              <w:right w:val="single" w:sz="4" w:space="0" w:color="auto"/>
            </w:tcBorders>
            <w:shd w:val="clear" w:color="auto" w:fill="auto"/>
            <w:noWrap/>
            <w:vAlign w:val="bottom"/>
            <w:hideMark/>
          </w:tcPr>
          <w:p w14:paraId="5B0D8ADF"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31958174"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4F93FCF5"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76F7FF31"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16F3C5D8"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xml:space="preserve">9): </w:t>
            </w:r>
          </w:p>
        </w:tc>
        <w:tc>
          <w:tcPr>
            <w:tcW w:w="1972" w:type="pct"/>
            <w:tcBorders>
              <w:top w:val="nil"/>
              <w:left w:val="nil"/>
              <w:bottom w:val="single" w:sz="4" w:space="0" w:color="auto"/>
              <w:right w:val="single" w:sz="4" w:space="0" w:color="auto"/>
            </w:tcBorders>
            <w:shd w:val="clear" w:color="auto" w:fill="auto"/>
            <w:noWrap/>
            <w:vAlign w:val="bottom"/>
            <w:hideMark/>
          </w:tcPr>
          <w:p w14:paraId="20F9A4BF"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2431EC7C"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2A4A1442"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0CAA49F9"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2305E520" w14:textId="77777777" w:rsidR="00DC1974" w:rsidRPr="0005428A" w:rsidRDefault="00DC1974" w:rsidP="0005428A">
            <w:pPr>
              <w:spacing w:after="0"/>
              <w:rPr>
                <w:rFonts w:eastAsia="Times New Roman" w:cs="Times New Roman"/>
                <w:b/>
                <w:bCs/>
                <w:color w:val="000000"/>
                <w:szCs w:val="24"/>
              </w:rPr>
            </w:pPr>
            <w:r w:rsidRPr="0005428A">
              <w:rPr>
                <w:rFonts w:eastAsia="Times New Roman" w:cs="Times New Roman"/>
                <w:b/>
                <w:bCs/>
                <w:color w:val="000000"/>
                <w:szCs w:val="24"/>
              </w:rPr>
              <w:t>Gearing ratio:</w:t>
            </w:r>
          </w:p>
        </w:tc>
        <w:tc>
          <w:tcPr>
            <w:tcW w:w="1972" w:type="pct"/>
            <w:tcBorders>
              <w:top w:val="nil"/>
              <w:left w:val="nil"/>
              <w:bottom w:val="single" w:sz="4" w:space="0" w:color="auto"/>
              <w:right w:val="single" w:sz="4" w:space="0" w:color="auto"/>
            </w:tcBorders>
            <w:shd w:val="clear" w:color="auto" w:fill="auto"/>
            <w:noWrap/>
            <w:vAlign w:val="bottom"/>
            <w:hideMark/>
          </w:tcPr>
          <w:p w14:paraId="3433CCE0"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42477575"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4A71D94D"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2611FAED"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7BE4979E"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Formula:</w:t>
            </w:r>
          </w:p>
        </w:tc>
        <w:tc>
          <w:tcPr>
            <w:tcW w:w="1972" w:type="pct"/>
            <w:tcBorders>
              <w:top w:val="nil"/>
              <w:left w:val="nil"/>
              <w:bottom w:val="single" w:sz="4" w:space="0" w:color="auto"/>
              <w:right w:val="single" w:sz="4" w:space="0" w:color="auto"/>
            </w:tcBorders>
            <w:shd w:val="clear" w:color="auto" w:fill="auto"/>
            <w:noWrap/>
            <w:vAlign w:val="bottom"/>
            <w:hideMark/>
          </w:tcPr>
          <w:p w14:paraId="0B997127"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Total debt/Total equity</w:t>
            </w:r>
          </w:p>
        </w:tc>
        <w:tc>
          <w:tcPr>
            <w:tcW w:w="1207" w:type="pct"/>
            <w:tcBorders>
              <w:top w:val="nil"/>
              <w:left w:val="nil"/>
              <w:bottom w:val="single" w:sz="4" w:space="0" w:color="auto"/>
              <w:right w:val="single" w:sz="4" w:space="0" w:color="auto"/>
            </w:tcBorders>
            <w:shd w:val="clear" w:color="auto" w:fill="auto"/>
            <w:noWrap/>
            <w:vAlign w:val="bottom"/>
            <w:hideMark/>
          </w:tcPr>
          <w:p w14:paraId="18969640"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640EC7C0"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34F00067"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1AD41856"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2020</w:t>
            </w:r>
          </w:p>
        </w:tc>
        <w:tc>
          <w:tcPr>
            <w:tcW w:w="1972" w:type="pct"/>
            <w:tcBorders>
              <w:top w:val="nil"/>
              <w:left w:val="nil"/>
              <w:bottom w:val="single" w:sz="4" w:space="0" w:color="auto"/>
              <w:right w:val="single" w:sz="4" w:space="0" w:color="auto"/>
            </w:tcBorders>
            <w:shd w:val="clear" w:color="auto" w:fill="auto"/>
            <w:noWrap/>
            <w:vAlign w:val="bottom"/>
            <w:hideMark/>
          </w:tcPr>
          <w:p w14:paraId="55B66499"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513E14C0"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2019</w:t>
            </w:r>
          </w:p>
        </w:tc>
        <w:tc>
          <w:tcPr>
            <w:tcW w:w="614" w:type="pct"/>
            <w:tcBorders>
              <w:top w:val="nil"/>
              <w:left w:val="nil"/>
              <w:bottom w:val="single" w:sz="4" w:space="0" w:color="auto"/>
              <w:right w:val="single" w:sz="4" w:space="0" w:color="auto"/>
            </w:tcBorders>
            <w:shd w:val="clear" w:color="auto" w:fill="auto"/>
            <w:noWrap/>
            <w:vAlign w:val="bottom"/>
            <w:hideMark/>
          </w:tcPr>
          <w:p w14:paraId="55AEFB6A"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749876E3"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764C42A9"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Total debt</w:t>
            </w:r>
          </w:p>
        </w:tc>
        <w:tc>
          <w:tcPr>
            <w:tcW w:w="1972" w:type="pct"/>
            <w:tcBorders>
              <w:top w:val="nil"/>
              <w:left w:val="nil"/>
              <w:bottom w:val="single" w:sz="4" w:space="0" w:color="auto"/>
              <w:right w:val="single" w:sz="4" w:space="0" w:color="auto"/>
            </w:tcBorders>
            <w:shd w:val="clear" w:color="auto" w:fill="auto"/>
            <w:noWrap/>
            <w:vAlign w:val="bottom"/>
            <w:hideMark/>
          </w:tcPr>
          <w:p w14:paraId="66A64607"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4137</w:t>
            </w:r>
          </w:p>
        </w:tc>
        <w:tc>
          <w:tcPr>
            <w:tcW w:w="1207" w:type="pct"/>
            <w:tcBorders>
              <w:top w:val="nil"/>
              <w:left w:val="nil"/>
              <w:bottom w:val="single" w:sz="4" w:space="0" w:color="auto"/>
              <w:right w:val="single" w:sz="4" w:space="0" w:color="auto"/>
            </w:tcBorders>
            <w:shd w:val="clear" w:color="auto" w:fill="auto"/>
            <w:noWrap/>
            <w:vAlign w:val="bottom"/>
            <w:hideMark/>
          </w:tcPr>
          <w:p w14:paraId="13D96578"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Total debt</w:t>
            </w:r>
          </w:p>
        </w:tc>
        <w:tc>
          <w:tcPr>
            <w:tcW w:w="614" w:type="pct"/>
            <w:tcBorders>
              <w:top w:val="nil"/>
              <w:left w:val="nil"/>
              <w:bottom w:val="single" w:sz="4" w:space="0" w:color="auto"/>
              <w:right w:val="single" w:sz="4" w:space="0" w:color="auto"/>
            </w:tcBorders>
            <w:shd w:val="clear" w:color="auto" w:fill="auto"/>
            <w:noWrap/>
            <w:vAlign w:val="bottom"/>
            <w:hideMark/>
          </w:tcPr>
          <w:p w14:paraId="161667CA"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4129</w:t>
            </w:r>
          </w:p>
        </w:tc>
      </w:tr>
      <w:tr w:rsidR="00DC1974" w:rsidRPr="0005428A" w14:paraId="48C459EA"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1815DFBF"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Total equity</w:t>
            </w:r>
          </w:p>
        </w:tc>
        <w:tc>
          <w:tcPr>
            <w:tcW w:w="1972" w:type="pct"/>
            <w:tcBorders>
              <w:top w:val="nil"/>
              <w:left w:val="nil"/>
              <w:bottom w:val="single" w:sz="4" w:space="0" w:color="auto"/>
              <w:right w:val="single" w:sz="4" w:space="0" w:color="auto"/>
            </w:tcBorders>
            <w:shd w:val="clear" w:color="auto" w:fill="auto"/>
            <w:noWrap/>
            <w:vAlign w:val="bottom"/>
            <w:hideMark/>
          </w:tcPr>
          <w:p w14:paraId="1A3570D7"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3088</w:t>
            </w:r>
          </w:p>
        </w:tc>
        <w:tc>
          <w:tcPr>
            <w:tcW w:w="1207" w:type="pct"/>
            <w:tcBorders>
              <w:top w:val="nil"/>
              <w:left w:val="nil"/>
              <w:bottom w:val="single" w:sz="4" w:space="0" w:color="auto"/>
              <w:right w:val="single" w:sz="4" w:space="0" w:color="auto"/>
            </w:tcBorders>
            <w:shd w:val="clear" w:color="auto" w:fill="auto"/>
            <w:noWrap/>
            <w:vAlign w:val="bottom"/>
            <w:hideMark/>
          </w:tcPr>
          <w:p w14:paraId="0F36A267"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Total equity</w:t>
            </w:r>
          </w:p>
        </w:tc>
        <w:tc>
          <w:tcPr>
            <w:tcW w:w="614" w:type="pct"/>
            <w:tcBorders>
              <w:top w:val="nil"/>
              <w:left w:val="nil"/>
              <w:bottom w:val="single" w:sz="4" w:space="0" w:color="auto"/>
              <w:right w:val="single" w:sz="4" w:space="0" w:color="auto"/>
            </w:tcBorders>
            <w:shd w:val="clear" w:color="auto" w:fill="auto"/>
            <w:noWrap/>
            <w:vAlign w:val="bottom"/>
            <w:hideMark/>
          </w:tcPr>
          <w:p w14:paraId="3E010908"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2912</w:t>
            </w:r>
          </w:p>
        </w:tc>
      </w:tr>
      <w:tr w:rsidR="00DC1974" w:rsidRPr="0005428A" w14:paraId="498063A1"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2FBA2FF7"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972" w:type="pct"/>
            <w:tcBorders>
              <w:top w:val="nil"/>
              <w:left w:val="nil"/>
              <w:bottom w:val="single" w:sz="4" w:space="0" w:color="auto"/>
              <w:right w:val="single" w:sz="4" w:space="0" w:color="auto"/>
            </w:tcBorders>
            <w:shd w:val="clear" w:color="auto" w:fill="auto"/>
            <w:noWrap/>
            <w:vAlign w:val="bottom"/>
            <w:hideMark/>
          </w:tcPr>
          <w:p w14:paraId="14CED4ED"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5DCB326E"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575A97DA"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520604D8"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5D7B04BB" w14:textId="77777777" w:rsidR="00DC1974" w:rsidRPr="0005428A" w:rsidRDefault="00DC1974" w:rsidP="0005428A">
            <w:pPr>
              <w:spacing w:after="0"/>
              <w:rPr>
                <w:rFonts w:eastAsia="Times New Roman" w:cs="Times New Roman"/>
                <w:b/>
                <w:bCs/>
                <w:color w:val="000000"/>
                <w:szCs w:val="24"/>
              </w:rPr>
            </w:pPr>
            <w:r w:rsidRPr="0005428A">
              <w:rPr>
                <w:rFonts w:eastAsia="Times New Roman" w:cs="Times New Roman"/>
                <w:b/>
                <w:bCs/>
                <w:color w:val="000000"/>
                <w:szCs w:val="24"/>
              </w:rPr>
              <w:t>Gearing ratio</w:t>
            </w:r>
          </w:p>
        </w:tc>
        <w:tc>
          <w:tcPr>
            <w:tcW w:w="1972" w:type="pct"/>
            <w:tcBorders>
              <w:top w:val="nil"/>
              <w:left w:val="nil"/>
              <w:bottom w:val="single" w:sz="4" w:space="0" w:color="auto"/>
              <w:right w:val="single" w:sz="4" w:space="0" w:color="auto"/>
            </w:tcBorders>
            <w:shd w:val="clear" w:color="auto" w:fill="auto"/>
            <w:noWrap/>
            <w:vAlign w:val="bottom"/>
            <w:hideMark/>
          </w:tcPr>
          <w:p w14:paraId="537173B1" w14:textId="77777777" w:rsidR="00DC1974" w:rsidRPr="0005428A" w:rsidRDefault="00DC1974" w:rsidP="0005428A">
            <w:pPr>
              <w:spacing w:after="0"/>
              <w:rPr>
                <w:rFonts w:eastAsia="Times New Roman" w:cs="Times New Roman"/>
                <w:b/>
                <w:bCs/>
                <w:color w:val="000000"/>
                <w:szCs w:val="24"/>
              </w:rPr>
            </w:pPr>
            <w:r w:rsidRPr="0005428A">
              <w:rPr>
                <w:rFonts w:eastAsia="Times New Roman" w:cs="Times New Roman"/>
                <w:b/>
                <w:bCs/>
                <w:color w:val="000000"/>
                <w:szCs w:val="24"/>
              </w:rPr>
              <w:t>1.3397021</w:t>
            </w:r>
          </w:p>
        </w:tc>
        <w:tc>
          <w:tcPr>
            <w:tcW w:w="1207" w:type="pct"/>
            <w:tcBorders>
              <w:top w:val="nil"/>
              <w:left w:val="nil"/>
              <w:bottom w:val="single" w:sz="4" w:space="0" w:color="auto"/>
              <w:right w:val="single" w:sz="4" w:space="0" w:color="auto"/>
            </w:tcBorders>
            <w:shd w:val="clear" w:color="auto" w:fill="auto"/>
            <w:noWrap/>
            <w:vAlign w:val="bottom"/>
            <w:hideMark/>
          </w:tcPr>
          <w:p w14:paraId="42702D82" w14:textId="77777777" w:rsidR="00DC1974" w:rsidRPr="0005428A" w:rsidRDefault="00DC1974" w:rsidP="0005428A">
            <w:pPr>
              <w:spacing w:after="0"/>
              <w:rPr>
                <w:rFonts w:eastAsia="Times New Roman" w:cs="Times New Roman"/>
                <w:b/>
                <w:bCs/>
                <w:color w:val="000000"/>
                <w:szCs w:val="24"/>
              </w:rPr>
            </w:pPr>
            <w:r w:rsidRPr="0005428A">
              <w:rPr>
                <w:rFonts w:eastAsia="Times New Roman" w:cs="Times New Roman"/>
                <w:b/>
                <w:bCs/>
                <w:color w:val="000000"/>
                <w:szCs w:val="24"/>
              </w:rPr>
              <w:t>Gearing ratio</w:t>
            </w:r>
          </w:p>
        </w:tc>
        <w:tc>
          <w:tcPr>
            <w:tcW w:w="614" w:type="pct"/>
            <w:tcBorders>
              <w:top w:val="nil"/>
              <w:left w:val="nil"/>
              <w:bottom w:val="single" w:sz="4" w:space="0" w:color="auto"/>
              <w:right w:val="single" w:sz="4" w:space="0" w:color="auto"/>
            </w:tcBorders>
            <w:shd w:val="clear" w:color="auto" w:fill="auto"/>
            <w:noWrap/>
            <w:vAlign w:val="bottom"/>
            <w:hideMark/>
          </w:tcPr>
          <w:p w14:paraId="648EB6C1" w14:textId="77777777" w:rsidR="00DC1974" w:rsidRPr="0005428A" w:rsidRDefault="00DC1974" w:rsidP="0005428A">
            <w:pPr>
              <w:spacing w:after="0"/>
              <w:rPr>
                <w:rFonts w:eastAsia="Times New Roman" w:cs="Times New Roman"/>
                <w:b/>
                <w:bCs/>
                <w:color w:val="000000"/>
                <w:szCs w:val="24"/>
              </w:rPr>
            </w:pPr>
            <w:r w:rsidRPr="0005428A">
              <w:rPr>
                <w:rFonts w:eastAsia="Times New Roman" w:cs="Times New Roman"/>
                <w:b/>
                <w:bCs/>
                <w:color w:val="000000"/>
                <w:szCs w:val="24"/>
              </w:rPr>
              <w:t>1.4179258</w:t>
            </w:r>
          </w:p>
        </w:tc>
      </w:tr>
      <w:tr w:rsidR="00DC1974" w:rsidRPr="0005428A" w14:paraId="2B6BE9D3"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4BF4C08A"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972" w:type="pct"/>
            <w:tcBorders>
              <w:top w:val="nil"/>
              <w:left w:val="nil"/>
              <w:bottom w:val="single" w:sz="4" w:space="0" w:color="auto"/>
              <w:right w:val="single" w:sz="4" w:space="0" w:color="auto"/>
            </w:tcBorders>
            <w:shd w:val="clear" w:color="auto" w:fill="auto"/>
            <w:noWrap/>
            <w:vAlign w:val="bottom"/>
            <w:hideMark/>
          </w:tcPr>
          <w:p w14:paraId="078B4175"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045AD862"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2C2BE7E4"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165C079D"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65F60EE1"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10):</w:t>
            </w:r>
          </w:p>
        </w:tc>
        <w:tc>
          <w:tcPr>
            <w:tcW w:w="1972" w:type="pct"/>
            <w:tcBorders>
              <w:top w:val="nil"/>
              <w:left w:val="nil"/>
              <w:bottom w:val="single" w:sz="4" w:space="0" w:color="auto"/>
              <w:right w:val="single" w:sz="4" w:space="0" w:color="auto"/>
            </w:tcBorders>
            <w:shd w:val="clear" w:color="auto" w:fill="auto"/>
            <w:noWrap/>
            <w:vAlign w:val="bottom"/>
            <w:hideMark/>
          </w:tcPr>
          <w:p w14:paraId="2BA5B5AA"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0F371221"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4EBF2785"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394ACA7F"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639CD3E5" w14:textId="77777777" w:rsidR="00DC1974" w:rsidRPr="0005428A" w:rsidRDefault="00DC1974" w:rsidP="0005428A">
            <w:pPr>
              <w:spacing w:after="0"/>
              <w:rPr>
                <w:rFonts w:eastAsia="Times New Roman" w:cs="Times New Roman"/>
                <w:b/>
                <w:bCs/>
                <w:color w:val="000000"/>
                <w:szCs w:val="24"/>
              </w:rPr>
            </w:pPr>
            <w:r w:rsidRPr="0005428A">
              <w:rPr>
                <w:rFonts w:eastAsia="Times New Roman" w:cs="Times New Roman"/>
                <w:b/>
                <w:bCs/>
                <w:color w:val="000000"/>
                <w:szCs w:val="24"/>
              </w:rPr>
              <w:t>Investor cover ratio</w:t>
            </w:r>
          </w:p>
        </w:tc>
        <w:tc>
          <w:tcPr>
            <w:tcW w:w="1972" w:type="pct"/>
            <w:tcBorders>
              <w:top w:val="nil"/>
              <w:left w:val="nil"/>
              <w:bottom w:val="single" w:sz="4" w:space="0" w:color="auto"/>
              <w:right w:val="single" w:sz="4" w:space="0" w:color="auto"/>
            </w:tcBorders>
            <w:shd w:val="clear" w:color="auto" w:fill="auto"/>
            <w:noWrap/>
            <w:vAlign w:val="bottom"/>
            <w:hideMark/>
          </w:tcPr>
          <w:p w14:paraId="1279EB6F"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6A49C2BC"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2AC09617"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15AAE8FF"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05473153"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Formula:</w:t>
            </w:r>
          </w:p>
        </w:tc>
        <w:tc>
          <w:tcPr>
            <w:tcW w:w="1972" w:type="pct"/>
            <w:tcBorders>
              <w:top w:val="nil"/>
              <w:left w:val="nil"/>
              <w:bottom w:val="single" w:sz="4" w:space="0" w:color="auto"/>
              <w:right w:val="single" w:sz="4" w:space="0" w:color="auto"/>
            </w:tcBorders>
            <w:shd w:val="clear" w:color="auto" w:fill="auto"/>
            <w:noWrap/>
            <w:vAlign w:val="bottom"/>
            <w:hideMark/>
          </w:tcPr>
          <w:p w14:paraId="173BDFB2"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Operating profit/dividend</w:t>
            </w:r>
          </w:p>
        </w:tc>
        <w:tc>
          <w:tcPr>
            <w:tcW w:w="1207" w:type="pct"/>
            <w:tcBorders>
              <w:top w:val="nil"/>
              <w:left w:val="nil"/>
              <w:bottom w:val="single" w:sz="4" w:space="0" w:color="auto"/>
              <w:right w:val="single" w:sz="4" w:space="0" w:color="auto"/>
            </w:tcBorders>
            <w:shd w:val="clear" w:color="auto" w:fill="auto"/>
            <w:noWrap/>
            <w:vAlign w:val="bottom"/>
            <w:hideMark/>
          </w:tcPr>
          <w:p w14:paraId="6F017F63"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2780DCFF"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0B215647"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58B9479E"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2020</w:t>
            </w:r>
          </w:p>
        </w:tc>
        <w:tc>
          <w:tcPr>
            <w:tcW w:w="1972" w:type="pct"/>
            <w:tcBorders>
              <w:top w:val="nil"/>
              <w:left w:val="nil"/>
              <w:bottom w:val="single" w:sz="4" w:space="0" w:color="auto"/>
              <w:right w:val="single" w:sz="4" w:space="0" w:color="auto"/>
            </w:tcBorders>
            <w:shd w:val="clear" w:color="auto" w:fill="auto"/>
            <w:noWrap/>
            <w:vAlign w:val="bottom"/>
            <w:hideMark/>
          </w:tcPr>
          <w:p w14:paraId="56FD4F17"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4ED00543"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2019</w:t>
            </w:r>
          </w:p>
        </w:tc>
        <w:tc>
          <w:tcPr>
            <w:tcW w:w="614" w:type="pct"/>
            <w:tcBorders>
              <w:top w:val="nil"/>
              <w:left w:val="nil"/>
              <w:bottom w:val="single" w:sz="4" w:space="0" w:color="auto"/>
              <w:right w:val="single" w:sz="4" w:space="0" w:color="auto"/>
            </w:tcBorders>
            <w:shd w:val="clear" w:color="auto" w:fill="auto"/>
            <w:noWrap/>
            <w:vAlign w:val="bottom"/>
            <w:hideMark/>
          </w:tcPr>
          <w:p w14:paraId="1D66C85D"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5BB92126"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18F7A801"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Operating profit</w:t>
            </w:r>
          </w:p>
        </w:tc>
        <w:tc>
          <w:tcPr>
            <w:tcW w:w="1972" w:type="pct"/>
            <w:tcBorders>
              <w:top w:val="nil"/>
              <w:left w:val="nil"/>
              <w:bottom w:val="single" w:sz="4" w:space="0" w:color="auto"/>
              <w:right w:val="single" w:sz="4" w:space="0" w:color="auto"/>
            </w:tcBorders>
            <w:shd w:val="clear" w:color="auto" w:fill="auto"/>
            <w:noWrap/>
            <w:vAlign w:val="bottom"/>
            <w:hideMark/>
          </w:tcPr>
          <w:p w14:paraId="6FF4E967"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805</w:t>
            </w:r>
          </w:p>
        </w:tc>
        <w:tc>
          <w:tcPr>
            <w:tcW w:w="1207" w:type="pct"/>
            <w:tcBorders>
              <w:top w:val="nil"/>
              <w:left w:val="nil"/>
              <w:bottom w:val="single" w:sz="4" w:space="0" w:color="auto"/>
              <w:right w:val="single" w:sz="4" w:space="0" w:color="auto"/>
            </w:tcBorders>
            <w:shd w:val="clear" w:color="auto" w:fill="auto"/>
            <w:noWrap/>
            <w:vAlign w:val="bottom"/>
            <w:hideMark/>
          </w:tcPr>
          <w:p w14:paraId="21AB19B8"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Operating profit</w:t>
            </w:r>
          </w:p>
        </w:tc>
        <w:tc>
          <w:tcPr>
            <w:tcW w:w="614" w:type="pct"/>
            <w:tcBorders>
              <w:top w:val="nil"/>
              <w:left w:val="nil"/>
              <w:bottom w:val="single" w:sz="4" w:space="0" w:color="auto"/>
              <w:right w:val="single" w:sz="4" w:space="0" w:color="auto"/>
            </w:tcBorders>
            <w:shd w:val="clear" w:color="auto" w:fill="auto"/>
            <w:noWrap/>
            <w:vAlign w:val="bottom"/>
            <w:hideMark/>
          </w:tcPr>
          <w:p w14:paraId="3C0660B7"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700</w:t>
            </w:r>
          </w:p>
        </w:tc>
      </w:tr>
      <w:tr w:rsidR="00DC1974" w:rsidRPr="0005428A" w14:paraId="1A149E60"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68399262"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Dividend</w:t>
            </w:r>
          </w:p>
        </w:tc>
        <w:tc>
          <w:tcPr>
            <w:tcW w:w="1972" w:type="pct"/>
            <w:tcBorders>
              <w:top w:val="nil"/>
              <w:left w:val="nil"/>
              <w:bottom w:val="single" w:sz="4" w:space="0" w:color="auto"/>
              <w:right w:val="single" w:sz="4" w:space="0" w:color="auto"/>
            </w:tcBorders>
            <w:shd w:val="clear" w:color="auto" w:fill="auto"/>
            <w:noWrap/>
            <w:vAlign w:val="bottom"/>
            <w:hideMark/>
          </w:tcPr>
          <w:p w14:paraId="03B1A2CE"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255</w:t>
            </w:r>
          </w:p>
        </w:tc>
        <w:tc>
          <w:tcPr>
            <w:tcW w:w="1207" w:type="pct"/>
            <w:tcBorders>
              <w:top w:val="nil"/>
              <w:left w:val="nil"/>
              <w:bottom w:val="single" w:sz="4" w:space="0" w:color="auto"/>
              <w:right w:val="single" w:sz="4" w:space="0" w:color="auto"/>
            </w:tcBorders>
            <w:shd w:val="clear" w:color="auto" w:fill="auto"/>
            <w:noWrap/>
            <w:vAlign w:val="bottom"/>
            <w:hideMark/>
          </w:tcPr>
          <w:p w14:paraId="50BF6D36"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Dividend</w:t>
            </w:r>
          </w:p>
        </w:tc>
        <w:tc>
          <w:tcPr>
            <w:tcW w:w="614" w:type="pct"/>
            <w:tcBorders>
              <w:top w:val="nil"/>
              <w:left w:val="nil"/>
              <w:bottom w:val="single" w:sz="4" w:space="0" w:color="auto"/>
              <w:right w:val="single" w:sz="4" w:space="0" w:color="auto"/>
            </w:tcBorders>
            <w:shd w:val="clear" w:color="auto" w:fill="auto"/>
            <w:noWrap/>
            <w:vAlign w:val="bottom"/>
            <w:hideMark/>
          </w:tcPr>
          <w:p w14:paraId="5ACD892E"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242</w:t>
            </w:r>
          </w:p>
        </w:tc>
      </w:tr>
      <w:tr w:rsidR="00DC1974" w:rsidRPr="0005428A" w14:paraId="08CCDB0D"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240C9B99"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972" w:type="pct"/>
            <w:tcBorders>
              <w:top w:val="nil"/>
              <w:left w:val="nil"/>
              <w:bottom w:val="single" w:sz="4" w:space="0" w:color="auto"/>
              <w:right w:val="single" w:sz="4" w:space="0" w:color="auto"/>
            </w:tcBorders>
            <w:shd w:val="clear" w:color="auto" w:fill="auto"/>
            <w:noWrap/>
            <w:vAlign w:val="bottom"/>
            <w:hideMark/>
          </w:tcPr>
          <w:p w14:paraId="12BA0471"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1207" w:type="pct"/>
            <w:tcBorders>
              <w:top w:val="nil"/>
              <w:left w:val="nil"/>
              <w:bottom w:val="single" w:sz="4" w:space="0" w:color="auto"/>
              <w:right w:val="single" w:sz="4" w:space="0" w:color="auto"/>
            </w:tcBorders>
            <w:shd w:val="clear" w:color="auto" w:fill="auto"/>
            <w:noWrap/>
            <w:vAlign w:val="bottom"/>
            <w:hideMark/>
          </w:tcPr>
          <w:p w14:paraId="05491DF3"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c>
          <w:tcPr>
            <w:tcW w:w="614" w:type="pct"/>
            <w:tcBorders>
              <w:top w:val="nil"/>
              <w:left w:val="nil"/>
              <w:bottom w:val="single" w:sz="4" w:space="0" w:color="auto"/>
              <w:right w:val="single" w:sz="4" w:space="0" w:color="auto"/>
            </w:tcBorders>
            <w:shd w:val="clear" w:color="auto" w:fill="auto"/>
            <w:noWrap/>
            <w:vAlign w:val="bottom"/>
            <w:hideMark/>
          </w:tcPr>
          <w:p w14:paraId="610E9DE9" w14:textId="77777777" w:rsidR="00DC1974" w:rsidRPr="0005428A" w:rsidRDefault="00DC1974" w:rsidP="0005428A">
            <w:pPr>
              <w:spacing w:after="0"/>
              <w:rPr>
                <w:rFonts w:eastAsia="Times New Roman" w:cs="Times New Roman"/>
                <w:color w:val="000000"/>
                <w:szCs w:val="24"/>
              </w:rPr>
            </w:pPr>
            <w:r w:rsidRPr="0005428A">
              <w:rPr>
                <w:rFonts w:eastAsia="Times New Roman" w:cs="Times New Roman"/>
                <w:color w:val="000000"/>
                <w:szCs w:val="24"/>
              </w:rPr>
              <w:t> </w:t>
            </w:r>
          </w:p>
        </w:tc>
      </w:tr>
      <w:tr w:rsidR="00DC1974" w:rsidRPr="0005428A" w14:paraId="40728EDE" w14:textId="77777777" w:rsidTr="00DC1974">
        <w:trPr>
          <w:trHeight w:val="290"/>
        </w:trPr>
        <w:tc>
          <w:tcPr>
            <w:tcW w:w="1206" w:type="pct"/>
            <w:tcBorders>
              <w:top w:val="nil"/>
              <w:left w:val="single" w:sz="4" w:space="0" w:color="auto"/>
              <w:bottom w:val="single" w:sz="4" w:space="0" w:color="auto"/>
              <w:right w:val="single" w:sz="4" w:space="0" w:color="auto"/>
            </w:tcBorders>
            <w:shd w:val="clear" w:color="auto" w:fill="auto"/>
            <w:noWrap/>
            <w:vAlign w:val="bottom"/>
            <w:hideMark/>
          </w:tcPr>
          <w:p w14:paraId="35FC2850" w14:textId="77777777" w:rsidR="00DC1974" w:rsidRPr="0005428A" w:rsidRDefault="00DC1974" w:rsidP="0005428A">
            <w:pPr>
              <w:spacing w:after="0"/>
              <w:rPr>
                <w:rFonts w:eastAsia="Times New Roman" w:cs="Times New Roman"/>
                <w:b/>
                <w:bCs/>
                <w:color w:val="000000"/>
                <w:szCs w:val="24"/>
              </w:rPr>
            </w:pPr>
            <w:r w:rsidRPr="0005428A">
              <w:rPr>
                <w:rFonts w:eastAsia="Times New Roman" w:cs="Times New Roman"/>
                <w:b/>
                <w:bCs/>
                <w:color w:val="000000"/>
                <w:szCs w:val="24"/>
              </w:rPr>
              <w:t>Investor cover ratio:</w:t>
            </w:r>
          </w:p>
        </w:tc>
        <w:tc>
          <w:tcPr>
            <w:tcW w:w="1972" w:type="pct"/>
            <w:tcBorders>
              <w:top w:val="nil"/>
              <w:left w:val="nil"/>
              <w:bottom w:val="single" w:sz="4" w:space="0" w:color="auto"/>
              <w:right w:val="single" w:sz="4" w:space="0" w:color="auto"/>
            </w:tcBorders>
            <w:shd w:val="clear" w:color="auto" w:fill="auto"/>
            <w:noWrap/>
            <w:vAlign w:val="bottom"/>
            <w:hideMark/>
          </w:tcPr>
          <w:p w14:paraId="25A34D72" w14:textId="77777777" w:rsidR="00DC1974" w:rsidRPr="0005428A" w:rsidRDefault="00DC1974" w:rsidP="0005428A">
            <w:pPr>
              <w:spacing w:after="0"/>
              <w:rPr>
                <w:rFonts w:eastAsia="Times New Roman" w:cs="Times New Roman"/>
                <w:b/>
                <w:bCs/>
                <w:color w:val="000000"/>
                <w:szCs w:val="24"/>
              </w:rPr>
            </w:pPr>
            <w:r w:rsidRPr="0005428A">
              <w:rPr>
                <w:rFonts w:eastAsia="Times New Roman" w:cs="Times New Roman"/>
                <w:b/>
                <w:bCs/>
                <w:color w:val="000000"/>
                <w:szCs w:val="24"/>
              </w:rPr>
              <w:t>3.1568627</w:t>
            </w:r>
          </w:p>
        </w:tc>
        <w:tc>
          <w:tcPr>
            <w:tcW w:w="1207" w:type="pct"/>
            <w:tcBorders>
              <w:top w:val="nil"/>
              <w:left w:val="nil"/>
              <w:bottom w:val="single" w:sz="4" w:space="0" w:color="auto"/>
              <w:right w:val="single" w:sz="4" w:space="0" w:color="auto"/>
            </w:tcBorders>
            <w:shd w:val="clear" w:color="auto" w:fill="auto"/>
            <w:noWrap/>
            <w:vAlign w:val="bottom"/>
            <w:hideMark/>
          </w:tcPr>
          <w:p w14:paraId="04DED3BA" w14:textId="77777777" w:rsidR="00DC1974" w:rsidRPr="0005428A" w:rsidRDefault="00DC1974" w:rsidP="0005428A">
            <w:pPr>
              <w:spacing w:after="0"/>
              <w:rPr>
                <w:rFonts w:eastAsia="Times New Roman" w:cs="Times New Roman"/>
                <w:b/>
                <w:bCs/>
                <w:color w:val="000000"/>
                <w:szCs w:val="24"/>
              </w:rPr>
            </w:pPr>
            <w:r w:rsidRPr="0005428A">
              <w:rPr>
                <w:rFonts w:eastAsia="Times New Roman" w:cs="Times New Roman"/>
                <w:b/>
                <w:bCs/>
                <w:color w:val="000000"/>
                <w:szCs w:val="24"/>
              </w:rPr>
              <w:t>Investor cover ratio:</w:t>
            </w:r>
          </w:p>
        </w:tc>
        <w:tc>
          <w:tcPr>
            <w:tcW w:w="614" w:type="pct"/>
            <w:tcBorders>
              <w:top w:val="nil"/>
              <w:left w:val="nil"/>
              <w:bottom w:val="single" w:sz="4" w:space="0" w:color="auto"/>
              <w:right w:val="single" w:sz="4" w:space="0" w:color="auto"/>
            </w:tcBorders>
            <w:shd w:val="clear" w:color="auto" w:fill="auto"/>
            <w:noWrap/>
            <w:vAlign w:val="bottom"/>
            <w:hideMark/>
          </w:tcPr>
          <w:p w14:paraId="736D3AB8" w14:textId="77777777" w:rsidR="00DC1974" w:rsidRPr="0005428A" w:rsidRDefault="00DC1974" w:rsidP="0005428A">
            <w:pPr>
              <w:spacing w:after="0"/>
              <w:rPr>
                <w:rFonts w:eastAsia="Times New Roman" w:cs="Times New Roman"/>
                <w:b/>
                <w:bCs/>
                <w:color w:val="000000"/>
                <w:szCs w:val="24"/>
              </w:rPr>
            </w:pPr>
            <w:r w:rsidRPr="0005428A">
              <w:rPr>
                <w:rFonts w:eastAsia="Times New Roman" w:cs="Times New Roman"/>
                <w:b/>
                <w:bCs/>
                <w:color w:val="000000"/>
                <w:szCs w:val="24"/>
              </w:rPr>
              <w:t>2.892562</w:t>
            </w:r>
          </w:p>
        </w:tc>
      </w:tr>
    </w:tbl>
    <w:p w14:paraId="05DFB564" w14:textId="77777777" w:rsidR="005068E0" w:rsidRPr="0005428A" w:rsidRDefault="005068E0" w:rsidP="0005428A">
      <w:pPr>
        <w:rPr>
          <w:rFonts w:cs="Times New Roman"/>
          <w:szCs w:val="24"/>
        </w:rPr>
      </w:pPr>
    </w:p>
    <w:p w14:paraId="723E6F87" w14:textId="77777777" w:rsidR="00DC1974" w:rsidRPr="0005428A" w:rsidRDefault="00DC1974" w:rsidP="0005428A">
      <w:pPr>
        <w:rPr>
          <w:rFonts w:cs="Times New Roman"/>
          <w:szCs w:val="24"/>
        </w:rPr>
      </w:pPr>
      <w:r w:rsidRPr="0005428A">
        <w:rPr>
          <w:rFonts w:cs="Times New Roman"/>
          <w:szCs w:val="24"/>
        </w:rPr>
        <w:t xml:space="preserve">B): Analysis of the financial performance and the position of Chocco PLC as per the calculation of the above ratios: </w:t>
      </w:r>
    </w:p>
    <w:p w14:paraId="604982B4" w14:textId="77777777" w:rsidR="00DC1974" w:rsidRPr="0005428A" w:rsidRDefault="00DC1974" w:rsidP="0005428A">
      <w:pPr>
        <w:pStyle w:val="ListParagraph"/>
        <w:numPr>
          <w:ilvl w:val="0"/>
          <w:numId w:val="1"/>
        </w:numPr>
        <w:spacing w:line="360" w:lineRule="auto"/>
        <w:jc w:val="both"/>
        <w:rPr>
          <w:rFonts w:ascii="Times New Roman" w:hAnsi="Times New Roman" w:cs="Times New Roman"/>
          <w:sz w:val="24"/>
          <w:szCs w:val="24"/>
        </w:rPr>
      </w:pPr>
      <w:r w:rsidRPr="0005428A">
        <w:rPr>
          <w:rFonts w:ascii="Times New Roman" w:hAnsi="Times New Roman" w:cs="Times New Roman"/>
          <w:b/>
          <w:sz w:val="24"/>
          <w:szCs w:val="24"/>
        </w:rPr>
        <w:lastRenderedPageBreak/>
        <w:t>Return on capital employed:</w:t>
      </w:r>
      <w:r w:rsidRPr="0005428A">
        <w:rPr>
          <w:rFonts w:ascii="Times New Roman" w:hAnsi="Times New Roman" w:cs="Times New Roman"/>
          <w:sz w:val="24"/>
          <w:szCs w:val="24"/>
        </w:rPr>
        <w:t xml:space="preserve"> This ratio measures the company’s ability to generate the profits with the money of the promoters. In the financial year 2019 the ratio was 9.94% and in financial year 2020 it was at 11.4% which is a good sign for the management of the company as this ratio is in </w:t>
      </w:r>
      <w:r w:rsidR="00D22F17" w:rsidRPr="0005428A">
        <w:rPr>
          <w:rFonts w:ascii="Times New Roman" w:hAnsi="Times New Roman" w:cs="Times New Roman"/>
          <w:sz w:val="24"/>
          <w:szCs w:val="24"/>
        </w:rPr>
        <w:t>an</w:t>
      </w:r>
      <w:r w:rsidRPr="0005428A">
        <w:rPr>
          <w:rFonts w:ascii="Times New Roman" w:hAnsi="Times New Roman" w:cs="Times New Roman"/>
          <w:sz w:val="24"/>
          <w:szCs w:val="24"/>
        </w:rPr>
        <w:t xml:space="preserve"> increasing trend. </w:t>
      </w:r>
    </w:p>
    <w:p w14:paraId="7F282C8C" w14:textId="77777777" w:rsidR="00DC1974" w:rsidRPr="0005428A" w:rsidRDefault="00DC1974" w:rsidP="0005428A">
      <w:pPr>
        <w:pStyle w:val="ListParagraph"/>
        <w:numPr>
          <w:ilvl w:val="0"/>
          <w:numId w:val="1"/>
        </w:numPr>
        <w:spacing w:line="360" w:lineRule="auto"/>
        <w:jc w:val="both"/>
        <w:rPr>
          <w:rFonts w:ascii="Times New Roman" w:hAnsi="Times New Roman" w:cs="Times New Roman"/>
          <w:sz w:val="24"/>
          <w:szCs w:val="24"/>
        </w:rPr>
      </w:pPr>
      <w:r w:rsidRPr="0005428A">
        <w:rPr>
          <w:rFonts w:ascii="Times New Roman" w:hAnsi="Times New Roman" w:cs="Times New Roman"/>
          <w:b/>
          <w:sz w:val="24"/>
          <w:szCs w:val="24"/>
        </w:rPr>
        <w:t>Return on equity:</w:t>
      </w:r>
      <w:r w:rsidRPr="0005428A">
        <w:rPr>
          <w:rFonts w:ascii="Times New Roman" w:hAnsi="Times New Roman" w:cs="Times New Roman"/>
          <w:sz w:val="24"/>
          <w:szCs w:val="24"/>
        </w:rPr>
        <w:t xml:space="preserve"> This ratio measures the company’s ability to generate the net income with the shareholders equity including the retained earnings as well. From financial year 2019 to financial year 2020, this ratio is also in the increasing trend which means that the profit generating capacity of the companies have improved (</w:t>
      </w:r>
      <w:proofErr w:type="spellStart"/>
      <w:r w:rsidRPr="0005428A">
        <w:rPr>
          <w:rFonts w:ascii="Times New Roman" w:hAnsi="Times New Roman" w:cs="Times New Roman"/>
          <w:color w:val="222222"/>
          <w:sz w:val="24"/>
          <w:szCs w:val="24"/>
          <w:shd w:val="clear" w:color="auto" w:fill="FFFFFF"/>
        </w:rPr>
        <w:t>Suryawan</w:t>
      </w:r>
      <w:proofErr w:type="spellEnd"/>
      <w:r w:rsidRPr="0005428A">
        <w:rPr>
          <w:rFonts w:ascii="Times New Roman" w:hAnsi="Times New Roman" w:cs="Times New Roman"/>
          <w:color w:val="222222"/>
          <w:sz w:val="24"/>
          <w:szCs w:val="24"/>
          <w:shd w:val="clear" w:color="auto" w:fill="FFFFFF"/>
        </w:rPr>
        <w:t>, 2017</w:t>
      </w:r>
      <w:r w:rsidRPr="0005428A">
        <w:rPr>
          <w:rFonts w:ascii="Times New Roman" w:hAnsi="Times New Roman" w:cs="Times New Roman"/>
          <w:sz w:val="24"/>
          <w:szCs w:val="24"/>
        </w:rPr>
        <w:t>).</w:t>
      </w:r>
    </w:p>
    <w:p w14:paraId="4341EC0C" w14:textId="77777777" w:rsidR="00DC1974" w:rsidRPr="0005428A" w:rsidRDefault="00DC1974" w:rsidP="0005428A">
      <w:pPr>
        <w:pStyle w:val="ListParagraph"/>
        <w:numPr>
          <w:ilvl w:val="0"/>
          <w:numId w:val="1"/>
        </w:numPr>
        <w:spacing w:line="360" w:lineRule="auto"/>
        <w:jc w:val="both"/>
        <w:rPr>
          <w:rFonts w:ascii="Times New Roman" w:hAnsi="Times New Roman" w:cs="Times New Roman"/>
          <w:sz w:val="24"/>
          <w:szCs w:val="24"/>
        </w:rPr>
      </w:pPr>
      <w:r w:rsidRPr="0005428A">
        <w:rPr>
          <w:rFonts w:ascii="Times New Roman" w:hAnsi="Times New Roman" w:cs="Times New Roman"/>
          <w:b/>
          <w:sz w:val="24"/>
          <w:szCs w:val="24"/>
        </w:rPr>
        <w:t xml:space="preserve">Earnings per share: </w:t>
      </w:r>
      <w:r w:rsidRPr="0005428A">
        <w:rPr>
          <w:rFonts w:ascii="Times New Roman" w:hAnsi="Times New Roman" w:cs="Times New Roman"/>
          <w:sz w:val="24"/>
          <w:szCs w:val="24"/>
        </w:rPr>
        <w:t xml:space="preserve">This ratio measures the earning that an investor can get from its one share. Highest ratio is good for the company. These ratios have decreased since 2019 which is not a good sign from the investor view point as it makes the company less attractive. </w:t>
      </w:r>
    </w:p>
    <w:p w14:paraId="5309657F" w14:textId="77777777" w:rsidR="00DC1974" w:rsidRPr="0005428A" w:rsidRDefault="00DC1974" w:rsidP="0005428A">
      <w:pPr>
        <w:pStyle w:val="ListParagraph"/>
        <w:numPr>
          <w:ilvl w:val="0"/>
          <w:numId w:val="1"/>
        </w:numPr>
        <w:spacing w:line="360" w:lineRule="auto"/>
        <w:jc w:val="both"/>
        <w:rPr>
          <w:rFonts w:ascii="Times New Roman" w:hAnsi="Times New Roman" w:cs="Times New Roman"/>
          <w:sz w:val="24"/>
          <w:szCs w:val="24"/>
        </w:rPr>
      </w:pPr>
      <w:r w:rsidRPr="0005428A">
        <w:rPr>
          <w:rFonts w:ascii="Times New Roman" w:hAnsi="Times New Roman" w:cs="Times New Roman"/>
          <w:b/>
          <w:sz w:val="24"/>
          <w:szCs w:val="24"/>
        </w:rPr>
        <w:t>Net profit margin:</w:t>
      </w:r>
      <w:r w:rsidRPr="0005428A">
        <w:rPr>
          <w:rFonts w:ascii="Times New Roman" w:hAnsi="Times New Roman" w:cs="Times New Roman"/>
          <w:sz w:val="24"/>
          <w:szCs w:val="24"/>
        </w:rPr>
        <w:t xml:space="preserve"> This ratio identifies the company’s ability to generate the net profit from its revenue from operations. </w:t>
      </w:r>
      <w:r w:rsidR="00F8786E" w:rsidRPr="0005428A">
        <w:rPr>
          <w:rFonts w:ascii="Times New Roman" w:hAnsi="Times New Roman" w:cs="Times New Roman"/>
          <w:sz w:val="24"/>
          <w:szCs w:val="24"/>
        </w:rPr>
        <w:t>These ratios of the company have</w:t>
      </w:r>
      <w:r w:rsidRPr="0005428A">
        <w:rPr>
          <w:rFonts w:ascii="Times New Roman" w:hAnsi="Times New Roman" w:cs="Times New Roman"/>
          <w:sz w:val="24"/>
          <w:szCs w:val="24"/>
        </w:rPr>
        <w:t xml:space="preserve"> increased from 2019 to financial year 2020 which is a god sign for the management of the company. In 2019 it was at 5.6% and in 2020 it is at 6.4%. (Leeds, 2019). </w:t>
      </w:r>
    </w:p>
    <w:p w14:paraId="2A878A83" w14:textId="77777777" w:rsidR="00DC1974" w:rsidRPr="0005428A" w:rsidRDefault="00DC1974" w:rsidP="0005428A">
      <w:pPr>
        <w:pStyle w:val="ListParagraph"/>
        <w:numPr>
          <w:ilvl w:val="0"/>
          <w:numId w:val="1"/>
        </w:numPr>
        <w:spacing w:line="360" w:lineRule="auto"/>
        <w:jc w:val="both"/>
        <w:rPr>
          <w:rFonts w:ascii="Times New Roman" w:hAnsi="Times New Roman" w:cs="Times New Roman"/>
          <w:sz w:val="24"/>
          <w:szCs w:val="24"/>
        </w:rPr>
      </w:pPr>
      <w:r w:rsidRPr="0005428A">
        <w:rPr>
          <w:rFonts w:ascii="Times New Roman" w:hAnsi="Times New Roman" w:cs="Times New Roman"/>
          <w:b/>
          <w:sz w:val="24"/>
          <w:szCs w:val="24"/>
        </w:rPr>
        <w:t>Assets turnover ratio:</w:t>
      </w:r>
      <w:r w:rsidRPr="0005428A">
        <w:rPr>
          <w:rFonts w:ascii="Times New Roman" w:hAnsi="Times New Roman" w:cs="Times New Roman"/>
          <w:sz w:val="24"/>
          <w:szCs w:val="24"/>
        </w:rPr>
        <w:t xml:space="preserve"> </w:t>
      </w:r>
      <w:r w:rsidR="00F70C36">
        <w:rPr>
          <w:rFonts w:ascii="Times New Roman" w:hAnsi="Times New Roman" w:cs="Times New Roman"/>
          <w:sz w:val="24"/>
          <w:szCs w:val="24"/>
        </w:rPr>
        <w:t xml:space="preserve">Asset turnover ratio is that </w:t>
      </w:r>
      <w:r w:rsidR="00545459">
        <w:rPr>
          <w:rFonts w:ascii="Times New Roman" w:hAnsi="Times New Roman" w:cs="Times New Roman"/>
          <w:sz w:val="24"/>
          <w:szCs w:val="24"/>
        </w:rPr>
        <w:t>efficiency</w:t>
      </w:r>
      <w:r w:rsidR="00F70C36">
        <w:rPr>
          <w:rFonts w:ascii="Times New Roman" w:hAnsi="Times New Roman" w:cs="Times New Roman"/>
          <w:sz w:val="24"/>
          <w:szCs w:val="24"/>
        </w:rPr>
        <w:t xml:space="preserve"> ratio which measures </w:t>
      </w:r>
      <w:r w:rsidRPr="0005428A">
        <w:rPr>
          <w:rFonts w:ascii="Times New Roman" w:hAnsi="Times New Roman" w:cs="Times New Roman"/>
          <w:sz w:val="24"/>
          <w:szCs w:val="24"/>
        </w:rPr>
        <w:t xml:space="preserve">the </w:t>
      </w:r>
      <w:r w:rsidR="00F70C36">
        <w:rPr>
          <w:rFonts w:ascii="Times New Roman" w:hAnsi="Times New Roman" w:cs="Times New Roman"/>
          <w:sz w:val="24"/>
          <w:szCs w:val="24"/>
        </w:rPr>
        <w:t>company’s capability to manage assets. It tells that how much return the company gets from using its assets.</w:t>
      </w:r>
      <w:r w:rsidRPr="0005428A">
        <w:rPr>
          <w:rFonts w:ascii="Times New Roman" w:hAnsi="Times New Roman" w:cs="Times New Roman"/>
          <w:sz w:val="24"/>
          <w:szCs w:val="24"/>
        </w:rPr>
        <w:t xml:space="preserve"> In financial year 2019, it was at 0.63 and in financial tear 2020 it was at 0.69. It has increased in past 1 year which is a good sign for the efficiency perspective (</w:t>
      </w:r>
      <w:r w:rsidRPr="0005428A">
        <w:rPr>
          <w:rFonts w:ascii="Times New Roman" w:hAnsi="Times New Roman" w:cs="Times New Roman"/>
          <w:color w:val="222222"/>
          <w:sz w:val="24"/>
          <w:szCs w:val="24"/>
          <w:shd w:val="clear" w:color="auto" w:fill="FFFFFF"/>
        </w:rPr>
        <w:t>Amanda, 2019</w:t>
      </w:r>
      <w:r w:rsidRPr="0005428A">
        <w:rPr>
          <w:rFonts w:ascii="Times New Roman" w:hAnsi="Times New Roman" w:cs="Times New Roman"/>
          <w:sz w:val="24"/>
          <w:szCs w:val="24"/>
        </w:rPr>
        <w:t>).</w:t>
      </w:r>
    </w:p>
    <w:p w14:paraId="2CD9811C" w14:textId="4192F469" w:rsidR="00DC1974" w:rsidRPr="0005428A" w:rsidRDefault="00DC1974" w:rsidP="0005428A">
      <w:pPr>
        <w:pStyle w:val="ListParagraph"/>
        <w:numPr>
          <w:ilvl w:val="0"/>
          <w:numId w:val="1"/>
        </w:numPr>
        <w:spacing w:line="360" w:lineRule="auto"/>
        <w:jc w:val="both"/>
        <w:rPr>
          <w:rFonts w:ascii="Times New Roman" w:hAnsi="Times New Roman" w:cs="Times New Roman"/>
          <w:sz w:val="24"/>
          <w:szCs w:val="24"/>
        </w:rPr>
      </w:pPr>
      <w:r w:rsidRPr="0005428A">
        <w:rPr>
          <w:rFonts w:ascii="Times New Roman" w:hAnsi="Times New Roman" w:cs="Times New Roman"/>
          <w:b/>
          <w:sz w:val="24"/>
          <w:szCs w:val="24"/>
        </w:rPr>
        <w:t xml:space="preserve">Stock holding period: </w:t>
      </w:r>
      <w:r w:rsidR="00F70C36">
        <w:rPr>
          <w:rFonts w:ascii="Times New Roman" w:hAnsi="Times New Roman" w:cs="Times New Roman"/>
          <w:sz w:val="24"/>
          <w:szCs w:val="24"/>
        </w:rPr>
        <w:t>Stock holding measure is that ratio which tells</w:t>
      </w:r>
      <w:r w:rsidRPr="0005428A">
        <w:rPr>
          <w:rFonts w:ascii="Times New Roman" w:hAnsi="Times New Roman" w:cs="Times New Roman"/>
          <w:sz w:val="24"/>
          <w:szCs w:val="24"/>
        </w:rPr>
        <w:t xml:space="preserve"> the number of days</w:t>
      </w:r>
      <w:r w:rsidR="00F70C36">
        <w:rPr>
          <w:rFonts w:ascii="Times New Roman" w:hAnsi="Times New Roman" w:cs="Times New Roman"/>
          <w:sz w:val="24"/>
          <w:szCs w:val="24"/>
        </w:rPr>
        <w:t xml:space="preserve"> taken by the company to convert inventory into cash. If ratio is</w:t>
      </w:r>
      <w:r w:rsidRPr="0005428A">
        <w:rPr>
          <w:rFonts w:ascii="Times New Roman" w:hAnsi="Times New Roman" w:cs="Times New Roman"/>
          <w:sz w:val="24"/>
          <w:szCs w:val="24"/>
        </w:rPr>
        <w:t xml:space="preserve"> high </w:t>
      </w:r>
      <w:r w:rsidR="00F70C36">
        <w:rPr>
          <w:rFonts w:ascii="Times New Roman" w:hAnsi="Times New Roman" w:cs="Times New Roman"/>
          <w:sz w:val="24"/>
          <w:szCs w:val="24"/>
        </w:rPr>
        <w:t>than it means</w:t>
      </w:r>
      <w:r w:rsidRPr="0005428A">
        <w:rPr>
          <w:rFonts w:ascii="Times New Roman" w:hAnsi="Times New Roman" w:cs="Times New Roman"/>
          <w:sz w:val="24"/>
          <w:szCs w:val="24"/>
        </w:rPr>
        <w:t xml:space="preserve"> that the company is taking </w:t>
      </w:r>
      <w:r w:rsidR="00F70C36">
        <w:rPr>
          <w:rFonts w:ascii="Times New Roman" w:hAnsi="Times New Roman" w:cs="Times New Roman"/>
          <w:sz w:val="24"/>
          <w:szCs w:val="24"/>
        </w:rPr>
        <w:t>good number of</w:t>
      </w:r>
      <w:r w:rsidRPr="0005428A">
        <w:rPr>
          <w:rFonts w:ascii="Times New Roman" w:hAnsi="Times New Roman" w:cs="Times New Roman"/>
          <w:sz w:val="24"/>
          <w:szCs w:val="24"/>
        </w:rPr>
        <w:t xml:space="preserve"> days to sell its inventory and it is not a good sign for the liquidity perspective and this is the case of Chocco plc </w:t>
      </w:r>
      <w:r w:rsidR="00F8786E" w:rsidRPr="0005428A">
        <w:rPr>
          <w:rFonts w:ascii="Times New Roman" w:hAnsi="Times New Roman" w:cs="Times New Roman"/>
          <w:sz w:val="24"/>
          <w:szCs w:val="24"/>
        </w:rPr>
        <w:t>Company</w:t>
      </w:r>
      <w:r w:rsidRPr="0005428A">
        <w:rPr>
          <w:rFonts w:ascii="Times New Roman" w:hAnsi="Times New Roman" w:cs="Times New Roman"/>
          <w:sz w:val="24"/>
          <w:szCs w:val="24"/>
        </w:rPr>
        <w:t xml:space="preserve">. Management should take some measures and should mitigate the impact of </w:t>
      </w:r>
      <w:r w:rsidR="00F8786E" w:rsidRPr="0005428A">
        <w:rPr>
          <w:rFonts w:ascii="Times New Roman" w:hAnsi="Times New Roman" w:cs="Times New Roman"/>
          <w:sz w:val="24"/>
          <w:szCs w:val="24"/>
        </w:rPr>
        <w:t>the</w:t>
      </w:r>
      <w:r w:rsidRPr="0005428A">
        <w:rPr>
          <w:rFonts w:ascii="Times New Roman" w:hAnsi="Times New Roman" w:cs="Times New Roman"/>
          <w:sz w:val="24"/>
          <w:szCs w:val="24"/>
        </w:rPr>
        <w:t xml:space="preserve"> issues on the business operations. </w:t>
      </w:r>
    </w:p>
    <w:p w14:paraId="2F3AC785" w14:textId="77777777" w:rsidR="00DC1974" w:rsidRPr="0005428A" w:rsidRDefault="00DC1974" w:rsidP="0005428A">
      <w:pPr>
        <w:pStyle w:val="ListParagraph"/>
        <w:numPr>
          <w:ilvl w:val="0"/>
          <w:numId w:val="1"/>
        </w:numPr>
        <w:spacing w:line="360" w:lineRule="auto"/>
        <w:jc w:val="both"/>
        <w:rPr>
          <w:rFonts w:ascii="Times New Roman" w:hAnsi="Times New Roman" w:cs="Times New Roman"/>
          <w:sz w:val="24"/>
          <w:szCs w:val="24"/>
        </w:rPr>
      </w:pPr>
      <w:r w:rsidRPr="0005428A">
        <w:rPr>
          <w:rFonts w:ascii="Times New Roman" w:hAnsi="Times New Roman" w:cs="Times New Roman"/>
          <w:b/>
          <w:sz w:val="24"/>
          <w:szCs w:val="24"/>
        </w:rPr>
        <w:t>Debtor collection period:</w:t>
      </w:r>
      <w:r w:rsidRPr="0005428A">
        <w:rPr>
          <w:rFonts w:ascii="Times New Roman" w:hAnsi="Times New Roman" w:cs="Times New Roman"/>
          <w:sz w:val="24"/>
          <w:szCs w:val="24"/>
        </w:rPr>
        <w:t xml:space="preserve"> This financial ratio measures the </w:t>
      </w:r>
      <w:r w:rsidR="00F8786E" w:rsidRPr="0005428A">
        <w:rPr>
          <w:rFonts w:ascii="Times New Roman" w:hAnsi="Times New Roman" w:cs="Times New Roman"/>
          <w:sz w:val="24"/>
          <w:szCs w:val="24"/>
        </w:rPr>
        <w:t>company’s</w:t>
      </w:r>
      <w:r w:rsidRPr="0005428A">
        <w:rPr>
          <w:rFonts w:ascii="Times New Roman" w:hAnsi="Times New Roman" w:cs="Times New Roman"/>
          <w:sz w:val="24"/>
          <w:szCs w:val="24"/>
        </w:rPr>
        <w:t xml:space="preserve"> ability or how much the management of the company </w:t>
      </w:r>
      <w:r w:rsidR="00F8786E" w:rsidRPr="0005428A">
        <w:rPr>
          <w:rFonts w:ascii="Times New Roman" w:hAnsi="Times New Roman" w:cs="Times New Roman"/>
          <w:sz w:val="24"/>
          <w:szCs w:val="24"/>
        </w:rPr>
        <w:t>is</w:t>
      </w:r>
      <w:r w:rsidRPr="0005428A">
        <w:rPr>
          <w:rFonts w:ascii="Times New Roman" w:hAnsi="Times New Roman" w:cs="Times New Roman"/>
          <w:sz w:val="24"/>
          <w:szCs w:val="24"/>
        </w:rPr>
        <w:t xml:space="preserve"> taking to collect the remaking payment from its debtor. If this ratio is increasing, it </w:t>
      </w:r>
      <w:r w:rsidR="00F8786E" w:rsidRPr="0005428A">
        <w:rPr>
          <w:rFonts w:ascii="Times New Roman" w:hAnsi="Times New Roman" w:cs="Times New Roman"/>
          <w:sz w:val="24"/>
          <w:szCs w:val="24"/>
        </w:rPr>
        <w:t>means</w:t>
      </w:r>
      <w:r w:rsidRPr="0005428A">
        <w:rPr>
          <w:rFonts w:ascii="Times New Roman" w:hAnsi="Times New Roman" w:cs="Times New Roman"/>
          <w:sz w:val="24"/>
          <w:szCs w:val="24"/>
        </w:rPr>
        <w:t xml:space="preserve"> that the </w:t>
      </w:r>
      <w:r w:rsidR="00F8786E" w:rsidRPr="0005428A">
        <w:rPr>
          <w:rFonts w:ascii="Times New Roman" w:hAnsi="Times New Roman" w:cs="Times New Roman"/>
          <w:sz w:val="24"/>
          <w:szCs w:val="24"/>
        </w:rPr>
        <w:t>company’s</w:t>
      </w:r>
      <w:r w:rsidRPr="0005428A">
        <w:rPr>
          <w:rFonts w:ascii="Times New Roman" w:hAnsi="Times New Roman" w:cs="Times New Roman"/>
          <w:sz w:val="24"/>
          <w:szCs w:val="24"/>
        </w:rPr>
        <w:t xml:space="preserve"> collection policy is not good and need some adjustment and this is the case of the company. In financial year 2019 the ratio was at 5 </w:t>
      </w:r>
      <w:r w:rsidRPr="0005428A">
        <w:rPr>
          <w:rFonts w:ascii="Times New Roman" w:hAnsi="Times New Roman" w:cs="Times New Roman"/>
          <w:sz w:val="24"/>
          <w:szCs w:val="24"/>
        </w:rPr>
        <w:lastRenderedPageBreak/>
        <w:t xml:space="preserve">days and in 2020 it is at 5.39 which is a warning sign from the liquidity perspective. The management should </w:t>
      </w:r>
      <w:r w:rsidR="00F8786E" w:rsidRPr="0005428A">
        <w:rPr>
          <w:rFonts w:ascii="Times New Roman" w:hAnsi="Times New Roman" w:cs="Times New Roman"/>
          <w:sz w:val="24"/>
          <w:szCs w:val="24"/>
        </w:rPr>
        <w:t>compare</w:t>
      </w:r>
      <w:r w:rsidRPr="0005428A">
        <w:rPr>
          <w:rFonts w:ascii="Times New Roman" w:hAnsi="Times New Roman" w:cs="Times New Roman"/>
          <w:sz w:val="24"/>
          <w:szCs w:val="24"/>
        </w:rPr>
        <w:t xml:space="preserve"> the same figure with the industry average. </w:t>
      </w:r>
    </w:p>
    <w:p w14:paraId="7D050391" w14:textId="236963F6" w:rsidR="00DC1974" w:rsidRPr="0005428A" w:rsidRDefault="00DC1974" w:rsidP="0005428A">
      <w:pPr>
        <w:pStyle w:val="ListParagraph"/>
        <w:numPr>
          <w:ilvl w:val="0"/>
          <w:numId w:val="1"/>
        </w:numPr>
        <w:spacing w:line="360" w:lineRule="auto"/>
        <w:jc w:val="both"/>
        <w:rPr>
          <w:rFonts w:ascii="Times New Roman" w:hAnsi="Times New Roman" w:cs="Times New Roman"/>
          <w:sz w:val="24"/>
          <w:szCs w:val="24"/>
        </w:rPr>
      </w:pPr>
      <w:r w:rsidRPr="0005428A">
        <w:rPr>
          <w:rFonts w:ascii="Times New Roman" w:hAnsi="Times New Roman" w:cs="Times New Roman"/>
          <w:b/>
          <w:sz w:val="24"/>
          <w:szCs w:val="24"/>
        </w:rPr>
        <w:t>Current ratio:</w:t>
      </w:r>
      <w:r w:rsidRPr="0005428A">
        <w:rPr>
          <w:rFonts w:ascii="Times New Roman" w:hAnsi="Times New Roman" w:cs="Times New Roman"/>
          <w:sz w:val="24"/>
          <w:szCs w:val="24"/>
        </w:rPr>
        <w:t xml:space="preserve"> This ratio measures the </w:t>
      </w:r>
      <w:r w:rsidR="00F8786E" w:rsidRPr="0005428A">
        <w:rPr>
          <w:rFonts w:ascii="Times New Roman" w:hAnsi="Times New Roman" w:cs="Times New Roman"/>
          <w:sz w:val="24"/>
          <w:szCs w:val="24"/>
        </w:rPr>
        <w:t>company’s</w:t>
      </w:r>
      <w:r w:rsidRPr="0005428A">
        <w:rPr>
          <w:rFonts w:ascii="Times New Roman" w:hAnsi="Times New Roman" w:cs="Times New Roman"/>
          <w:sz w:val="24"/>
          <w:szCs w:val="24"/>
        </w:rPr>
        <w:t xml:space="preserve"> ability to meet the short-term obligations. This ratio is in </w:t>
      </w:r>
      <w:r w:rsidR="00D22F17" w:rsidRPr="0005428A">
        <w:rPr>
          <w:rFonts w:ascii="Times New Roman" w:hAnsi="Times New Roman" w:cs="Times New Roman"/>
          <w:sz w:val="24"/>
          <w:szCs w:val="24"/>
        </w:rPr>
        <w:t>an</w:t>
      </w:r>
      <w:r w:rsidRPr="0005428A">
        <w:rPr>
          <w:rFonts w:ascii="Times New Roman" w:hAnsi="Times New Roman" w:cs="Times New Roman"/>
          <w:sz w:val="24"/>
          <w:szCs w:val="24"/>
        </w:rPr>
        <w:t xml:space="preserve"> increasing trend which means that the liquidity of the company </w:t>
      </w:r>
      <w:r w:rsidR="00D22F17" w:rsidRPr="0005428A">
        <w:rPr>
          <w:rFonts w:ascii="Times New Roman" w:hAnsi="Times New Roman" w:cs="Times New Roman"/>
          <w:sz w:val="24"/>
          <w:szCs w:val="24"/>
        </w:rPr>
        <w:t>has</w:t>
      </w:r>
      <w:r w:rsidRPr="0005428A">
        <w:rPr>
          <w:rFonts w:ascii="Times New Roman" w:hAnsi="Times New Roman" w:cs="Times New Roman"/>
          <w:sz w:val="24"/>
          <w:szCs w:val="24"/>
        </w:rPr>
        <w:t xml:space="preserve"> improved. The management or the analysts should </w:t>
      </w:r>
      <w:r w:rsidR="00E90CD6" w:rsidRPr="0005428A">
        <w:rPr>
          <w:rFonts w:ascii="Times New Roman" w:hAnsi="Times New Roman" w:cs="Times New Roman"/>
          <w:sz w:val="24"/>
          <w:szCs w:val="24"/>
        </w:rPr>
        <w:t>compare</w:t>
      </w:r>
      <w:r w:rsidRPr="0005428A">
        <w:rPr>
          <w:rFonts w:ascii="Times New Roman" w:hAnsi="Times New Roman" w:cs="Times New Roman"/>
          <w:sz w:val="24"/>
          <w:szCs w:val="24"/>
        </w:rPr>
        <w:t xml:space="preserve"> </w:t>
      </w:r>
      <w:r w:rsidR="00E90CD6" w:rsidRPr="0005428A">
        <w:rPr>
          <w:rFonts w:ascii="Times New Roman" w:hAnsi="Times New Roman" w:cs="Times New Roman"/>
          <w:sz w:val="24"/>
          <w:szCs w:val="24"/>
        </w:rPr>
        <w:t>these figures</w:t>
      </w:r>
      <w:r w:rsidRPr="0005428A">
        <w:rPr>
          <w:rFonts w:ascii="Times New Roman" w:hAnsi="Times New Roman" w:cs="Times New Roman"/>
          <w:sz w:val="24"/>
          <w:szCs w:val="24"/>
        </w:rPr>
        <w:t xml:space="preserve"> with the </w:t>
      </w:r>
      <w:r w:rsidR="00E90CD6" w:rsidRPr="0005428A">
        <w:rPr>
          <w:rFonts w:ascii="Times New Roman" w:hAnsi="Times New Roman" w:cs="Times New Roman"/>
          <w:sz w:val="24"/>
          <w:szCs w:val="24"/>
        </w:rPr>
        <w:t>peer’s</w:t>
      </w:r>
      <w:r w:rsidRPr="0005428A">
        <w:rPr>
          <w:rFonts w:ascii="Times New Roman" w:hAnsi="Times New Roman" w:cs="Times New Roman"/>
          <w:sz w:val="24"/>
          <w:szCs w:val="24"/>
        </w:rPr>
        <w:t xml:space="preserve"> companies operating in the same industry. Then the investor should </w:t>
      </w:r>
      <w:r w:rsidR="00F8786E" w:rsidRPr="0005428A">
        <w:rPr>
          <w:rFonts w:ascii="Times New Roman" w:hAnsi="Times New Roman" w:cs="Times New Roman"/>
          <w:sz w:val="24"/>
          <w:szCs w:val="24"/>
        </w:rPr>
        <w:t>that company which has</w:t>
      </w:r>
      <w:r w:rsidRPr="0005428A">
        <w:rPr>
          <w:rFonts w:ascii="Times New Roman" w:hAnsi="Times New Roman" w:cs="Times New Roman"/>
          <w:sz w:val="24"/>
          <w:szCs w:val="24"/>
        </w:rPr>
        <w:t xml:space="preserve"> the highest current ratio.</w:t>
      </w:r>
    </w:p>
    <w:p w14:paraId="4466D21A" w14:textId="5341512A" w:rsidR="00DC1974" w:rsidRPr="0005428A" w:rsidRDefault="00DC1974" w:rsidP="0005428A">
      <w:pPr>
        <w:pStyle w:val="ListParagraph"/>
        <w:numPr>
          <w:ilvl w:val="0"/>
          <w:numId w:val="1"/>
        </w:numPr>
        <w:spacing w:line="360" w:lineRule="auto"/>
        <w:jc w:val="both"/>
        <w:rPr>
          <w:rFonts w:ascii="Times New Roman" w:hAnsi="Times New Roman" w:cs="Times New Roman"/>
          <w:sz w:val="24"/>
          <w:szCs w:val="24"/>
        </w:rPr>
      </w:pPr>
      <w:r w:rsidRPr="0005428A">
        <w:rPr>
          <w:rFonts w:ascii="Times New Roman" w:hAnsi="Times New Roman" w:cs="Times New Roman"/>
          <w:b/>
          <w:sz w:val="24"/>
          <w:szCs w:val="24"/>
        </w:rPr>
        <w:t>Gearing ratio:</w:t>
      </w:r>
      <w:r w:rsidRPr="0005428A">
        <w:rPr>
          <w:rFonts w:ascii="Times New Roman" w:hAnsi="Times New Roman" w:cs="Times New Roman"/>
          <w:sz w:val="24"/>
          <w:szCs w:val="24"/>
        </w:rPr>
        <w:t xml:space="preserve"> </w:t>
      </w:r>
      <w:r w:rsidR="00E90CD6" w:rsidRPr="0005428A">
        <w:rPr>
          <w:rFonts w:ascii="Times New Roman" w:hAnsi="Times New Roman" w:cs="Times New Roman"/>
          <w:sz w:val="24"/>
          <w:szCs w:val="24"/>
        </w:rPr>
        <w:t>This ratio</w:t>
      </w:r>
      <w:r w:rsidRPr="0005428A">
        <w:rPr>
          <w:rFonts w:ascii="Times New Roman" w:hAnsi="Times New Roman" w:cs="Times New Roman"/>
          <w:sz w:val="24"/>
          <w:szCs w:val="24"/>
        </w:rPr>
        <w:t xml:space="preserve"> measures the </w:t>
      </w:r>
      <w:r w:rsidR="00F8786E" w:rsidRPr="0005428A">
        <w:rPr>
          <w:rFonts w:ascii="Times New Roman" w:hAnsi="Times New Roman" w:cs="Times New Roman"/>
          <w:sz w:val="24"/>
          <w:szCs w:val="24"/>
        </w:rPr>
        <w:t>company’s</w:t>
      </w:r>
      <w:r w:rsidRPr="0005428A">
        <w:rPr>
          <w:rFonts w:ascii="Times New Roman" w:hAnsi="Times New Roman" w:cs="Times New Roman"/>
          <w:sz w:val="24"/>
          <w:szCs w:val="24"/>
        </w:rPr>
        <w:t xml:space="preserve"> ability to meet the </w:t>
      </w:r>
      <w:r w:rsidR="00E90CD6" w:rsidRPr="0005428A">
        <w:rPr>
          <w:rFonts w:ascii="Times New Roman" w:hAnsi="Times New Roman" w:cs="Times New Roman"/>
          <w:sz w:val="24"/>
          <w:szCs w:val="24"/>
        </w:rPr>
        <w:t>long-term</w:t>
      </w:r>
      <w:r w:rsidRPr="0005428A">
        <w:rPr>
          <w:rFonts w:ascii="Times New Roman" w:hAnsi="Times New Roman" w:cs="Times New Roman"/>
          <w:sz w:val="24"/>
          <w:szCs w:val="24"/>
        </w:rPr>
        <w:t xml:space="preserve"> liability and it is very important financial ratio. This ratio is in decreasing trend which is a positive trend from the efficiency </w:t>
      </w:r>
      <w:r w:rsidR="00E90CD6" w:rsidRPr="0005428A">
        <w:rPr>
          <w:rFonts w:ascii="Times New Roman" w:hAnsi="Times New Roman" w:cs="Times New Roman"/>
          <w:sz w:val="24"/>
          <w:szCs w:val="24"/>
        </w:rPr>
        <w:t>viewpoint</w:t>
      </w:r>
      <w:r w:rsidRPr="0005428A">
        <w:rPr>
          <w:rFonts w:ascii="Times New Roman" w:hAnsi="Times New Roman" w:cs="Times New Roman"/>
          <w:sz w:val="24"/>
          <w:szCs w:val="24"/>
        </w:rPr>
        <w:t xml:space="preserve">. It </w:t>
      </w:r>
      <w:r w:rsidR="00E90CD6" w:rsidRPr="0005428A">
        <w:rPr>
          <w:rFonts w:ascii="Times New Roman" w:hAnsi="Times New Roman" w:cs="Times New Roman"/>
          <w:sz w:val="24"/>
          <w:szCs w:val="24"/>
        </w:rPr>
        <w:t>means</w:t>
      </w:r>
      <w:r w:rsidRPr="0005428A">
        <w:rPr>
          <w:rFonts w:ascii="Times New Roman" w:hAnsi="Times New Roman" w:cs="Times New Roman"/>
          <w:sz w:val="24"/>
          <w:szCs w:val="24"/>
        </w:rPr>
        <w:t xml:space="preserve"> as compares to the total equity, total debt of the company </w:t>
      </w:r>
      <w:r w:rsidR="00E90CD6" w:rsidRPr="0005428A">
        <w:rPr>
          <w:rFonts w:ascii="Times New Roman" w:hAnsi="Times New Roman" w:cs="Times New Roman"/>
          <w:sz w:val="24"/>
          <w:szCs w:val="24"/>
        </w:rPr>
        <w:t>has</w:t>
      </w:r>
      <w:r w:rsidRPr="0005428A">
        <w:rPr>
          <w:rFonts w:ascii="Times New Roman" w:hAnsi="Times New Roman" w:cs="Times New Roman"/>
          <w:sz w:val="24"/>
          <w:szCs w:val="24"/>
        </w:rPr>
        <w:t xml:space="preserve"> declined. </w:t>
      </w:r>
    </w:p>
    <w:p w14:paraId="3797162C" w14:textId="55398EDB" w:rsidR="00DC1974" w:rsidRPr="0005428A" w:rsidRDefault="00DC1974" w:rsidP="0005428A">
      <w:pPr>
        <w:pStyle w:val="ListParagraph"/>
        <w:numPr>
          <w:ilvl w:val="0"/>
          <w:numId w:val="1"/>
        </w:numPr>
        <w:spacing w:line="360" w:lineRule="auto"/>
        <w:jc w:val="both"/>
        <w:rPr>
          <w:rFonts w:ascii="Times New Roman" w:hAnsi="Times New Roman" w:cs="Times New Roman"/>
          <w:sz w:val="24"/>
          <w:szCs w:val="24"/>
        </w:rPr>
      </w:pPr>
      <w:r w:rsidRPr="0005428A">
        <w:rPr>
          <w:rFonts w:ascii="Times New Roman" w:hAnsi="Times New Roman" w:cs="Times New Roman"/>
          <w:b/>
          <w:sz w:val="24"/>
          <w:szCs w:val="24"/>
        </w:rPr>
        <w:t>Investor cover ratio:</w:t>
      </w:r>
      <w:r w:rsidRPr="0005428A">
        <w:rPr>
          <w:rFonts w:ascii="Times New Roman" w:hAnsi="Times New Roman" w:cs="Times New Roman"/>
          <w:sz w:val="24"/>
          <w:szCs w:val="24"/>
        </w:rPr>
        <w:t xml:space="preserve"> It measures the company’s ability to meet the dividend from the operating profit viewpoint. It has been seen that the ratio </w:t>
      </w:r>
      <w:r w:rsidR="00E90CD6" w:rsidRPr="0005428A">
        <w:rPr>
          <w:rFonts w:ascii="Times New Roman" w:hAnsi="Times New Roman" w:cs="Times New Roman"/>
          <w:sz w:val="24"/>
          <w:szCs w:val="24"/>
        </w:rPr>
        <w:t>has</w:t>
      </w:r>
      <w:r w:rsidRPr="0005428A">
        <w:rPr>
          <w:rFonts w:ascii="Times New Roman" w:hAnsi="Times New Roman" w:cs="Times New Roman"/>
          <w:sz w:val="24"/>
          <w:szCs w:val="24"/>
        </w:rPr>
        <w:t xml:space="preserve"> increased which means that the company is operating in the mature stage in which it pays the regular and the constant dividend (Bragg, 2021).</w:t>
      </w:r>
    </w:p>
    <w:p w14:paraId="3A3A70F3" w14:textId="3A1B6001" w:rsidR="00DC1974" w:rsidRPr="0005428A" w:rsidRDefault="00DC1974" w:rsidP="0005428A">
      <w:pPr>
        <w:rPr>
          <w:rFonts w:cs="Times New Roman"/>
          <w:szCs w:val="24"/>
        </w:rPr>
      </w:pPr>
      <w:r w:rsidRPr="0005428A">
        <w:rPr>
          <w:rFonts w:cs="Times New Roman"/>
          <w:szCs w:val="24"/>
        </w:rPr>
        <w:t xml:space="preserve">Financial performances are measured by the income statement </w:t>
      </w:r>
      <w:r w:rsidR="00E90CD6" w:rsidRPr="0005428A">
        <w:rPr>
          <w:rFonts w:cs="Times New Roman"/>
          <w:szCs w:val="24"/>
        </w:rPr>
        <w:t>ratios,</w:t>
      </w:r>
      <w:r w:rsidRPr="0005428A">
        <w:rPr>
          <w:rFonts w:cs="Times New Roman"/>
          <w:szCs w:val="24"/>
        </w:rPr>
        <w:t xml:space="preserve"> and it has been seen that the financial performance of the Chocc</w:t>
      </w:r>
      <w:r w:rsidR="00535FF4">
        <w:rPr>
          <w:rFonts w:cs="Times New Roman"/>
          <w:szCs w:val="24"/>
        </w:rPr>
        <w:t>o</w:t>
      </w:r>
      <w:r w:rsidRPr="0005428A">
        <w:rPr>
          <w:rFonts w:cs="Times New Roman"/>
          <w:szCs w:val="24"/>
        </w:rPr>
        <w:t xml:space="preserve"> company have increased from financial year 2019 to 2020 which is a very positive sign for the company’s management. However, financial positions as suggested by the balance sheet ratio have given the mixed result. Some ratios are in increasing trend which is a positive sign and some ratios are in a decreasing trend which is a warning sign for the management of the company. They should take some corrective and the timely steps to mitigate the impact of the working capital and the solvency issues on the business operations so that they can increases the efficacy and the profit ability power of the company. It has been seen from the </w:t>
      </w:r>
      <w:r w:rsidR="00F8786E" w:rsidRPr="0005428A">
        <w:rPr>
          <w:rFonts w:cs="Times New Roman"/>
          <w:szCs w:val="24"/>
        </w:rPr>
        <w:t xml:space="preserve">past 1 decade that </w:t>
      </w:r>
      <w:r w:rsidRPr="0005428A">
        <w:rPr>
          <w:rFonts w:cs="Times New Roman"/>
          <w:szCs w:val="24"/>
        </w:rPr>
        <w:t>with the help of the financial ratio, management have analysis various types of companies and invest in them. It also helps the corporate or the firm to raise the finance either from the debt or from the equity. However, the finance team of the company should know the advantages and the disadvantages of the finance source</w:t>
      </w:r>
      <w:r w:rsidR="00BF63A0">
        <w:rPr>
          <w:rFonts w:cs="Times New Roman"/>
          <w:szCs w:val="24"/>
        </w:rPr>
        <w:t xml:space="preserve">s from the equity and the debt </w:t>
      </w:r>
      <w:r w:rsidR="00BF63A0" w:rsidRPr="0005428A">
        <w:rPr>
          <w:rFonts w:cs="Times New Roman"/>
          <w:szCs w:val="24"/>
        </w:rPr>
        <w:t>(Leeds, 2019).</w:t>
      </w:r>
    </w:p>
    <w:p w14:paraId="6F0BE162" w14:textId="77777777" w:rsidR="00F8786E" w:rsidRPr="0005428A" w:rsidRDefault="00F8786E" w:rsidP="0005428A">
      <w:pPr>
        <w:rPr>
          <w:rFonts w:cs="Times New Roman"/>
          <w:szCs w:val="24"/>
        </w:rPr>
      </w:pPr>
    </w:p>
    <w:p w14:paraId="35D254E7" w14:textId="77777777" w:rsidR="00786F88" w:rsidRPr="0005428A" w:rsidRDefault="00786F88" w:rsidP="0005428A">
      <w:pPr>
        <w:pStyle w:val="Heading1"/>
      </w:pPr>
      <w:bookmarkStart w:id="3" w:name="_Toc77431470"/>
      <w:r w:rsidRPr="0005428A">
        <w:lastRenderedPageBreak/>
        <w:t>Conclusion</w:t>
      </w:r>
      <w:bookmarkEnd w:id="3"/>
    </w:p>
    <w:p w14:paraId="610FF5C3" w14:textId="77777777" w:rsidR="00786F88" w:rsidRPr="0005428A" w:rsidRDefault="00016C1E" w:rsidP="0005428A">
      <w:pPr>
        <w:rPr>
          <w:rFonts w:cs="Times New Roman"/>
          <w:szCs w:val="24"/>
        </w:rPr>
      </w:pPr>
      <w:r>
        <w:rPr>
          <w:rFonts w:cs="Times New Roman"/>
          <w:szCs w:val="24"/>
        </w:rPr>
        <w:t xml:space="preserve">This report </w:t>
      </w:r>
      <w:r w:rsidR="00786F88" w:rsidRPr="0005428A">
        <w:rPr>
          <w:rFonts w:cs="Times New Roman"/>
          <w:szCs w:val="24"/>
        </w:rPr>
        <w:t>emphasized on the computation and valuation of financial statements which include</w:t>
      </w:r>
      <w:r w:rsidR="007E3309" w:rsidRPr="0005428A">
        <w:rPr>
          <w:rFonts w:cs="Times New Roman"/>
          <w:szCs w:val="24"/>
        </w:rPr>
        <w:t>d the</w:t>
      </w:r>
      <w:r w:rsidR="00786F88" w:rsidRPr="0005428A">
        <w:rPr>
          <w:rFonts w:cs="Times New Roman"/>
          <w:szCs w:val="24"/>
        </w:rPr>
        <w:t xml:space="preserve"> profit and loss account and balance sheet. </w:t>
      </w:r>
      <w:r>
        <w:rPr>
          <w:rFonts w:cs="Times New Roman"/>
          <w:szCs w:val="24"/>
        </w:rPr>
        <w:t>In aid to this, this report</w:t>
      </w:r>
      <w:r w:rsidR="00A16623" w:rsidRPr="0005428A">
        <w:rPr>
          <w:rFonts w:cs="Times New Roman"/>
          <w:szCs w:val="24"/>
        </w:rPr>
        <w:t xml:space="preserve"> also considered the assumptions and footnotes which </w:t>
      </w:r>
      <w:r w:rsidR="00254165" w:rsidRPr="0005428A">
        <w:rPr>
          <w:rFonts w:cs="Times New Roman"/>
          <w:szCs w:val="24"/>
        </w:rPr>
        <w:t>were</w:t>
      </w:r>
      <w:r w:rsidR="00A16623" w:rsidRPr="0005428A">
        <w:rPr>
          <w:rFonts w:cs="Times New Roman"/>
          <w:szCs w:val="24"/>
        </w:rPr>
        <w:t xml:space="preserve"> associated with the balance sheet and profit and loss account.</w:t>
      </w:r>
      <w:r w:rsidR="0054610A" w:rsidRPr="0005428A">
        <w:rPr>
          <w:rFonts w:cs="Times New Roman"/>
          <w:szCs w:val="24"/>
        </w:rPr>
        <w:t xml:space="preserve"> This rep</w:t>
      </w:r>
      <w:r>
        <w:rPr>
          <w:rFonts w:cs="Times New Roman"/>
          <w:szCs w:val="24"/>
        </w:rPr>
        <w:t>ort</w:t>
      </w:r>
      <w:r w:rsidR="0054610A" w:rsidRPr="0005428A">
        <w:rPr>
          <w:rFonts w:cs="Times New Roman"/>
          <w:szCs w:val="24"/>
        </w:rPr>
        <w:t xml:space="preserve"> also included the explanation of financial statement of the company and explained the performance of the company.</w:t>
      </w:r>
      <w:r w:rsidR="00A16623" w:rsidRPr="0005428A">
        <w:rPr>
          <w:rFonts w:cs="Times New Roman"/>
          <w:szCs w:val="24"/>
        </w:rPr>
        <w:t xml:space="preserve"> </w:t>
      </w:r>
      <w:r w:rsidR="00786F88" w:rsidRPr="0005428A">
        <w:rPr>
          <w:rFonts w:cs="Times New Roman"/>
          <w:szCs w:val="24"/>
        </w:rPr>
        <w:t>In addition to this, i</w:t>
      </w:r>
      <w:r w:rsidR="007E3309" w:rsidRPr="0005428A">
        <w:rPr>
          <w:rFonts w:cs="Times New Roman"/>
          <w:szCs w:val="24"/>
        </w:rPr>
        <w:t>t was also considered</w:t>
      </w:r>
      <w:r w:rsidR="00786F88" w:rsidRPr="0005428A">
        <w:rPr>
          <w:rFonts w:cs="Times New Roman"/>
          <w:szCs w:val="24"/>
        </w:rPr>
        <w:t xml:space="preserve"> the </w:t>
      </w:r>
      <w:r w:rsidR="007E3309" w:rsidRPr="0005428A">
        <w:rPr>
          <w:rFonts w:cs="Times New Roman"/>
          <w:szCs w:val="24"/>
        </w:rPr>
        <w:t>basis</w:t>
      </w:r>
      <w:r w:rsidR="00786F88" w:rsidRPr="0005428A">
        <w:rPr>
          <w:rFonts w:cs="Times New Roman"/>
          <w:szCs w:val="24"/>
        </w:rPr>
        <w:t xml:space="preserve"> for </w:t>
      </w:r>
      <w:r w:rsidR="007E3309" w:rsidRPr="0005428A">
        <w:rPr>
          <w:rFonts w:cs="Times New Roman"/>
          <w:szCs w:val="24"/>
        </w:rPr>
        <w:t>harmonizing</w:t>
      </w:r>
      <w:r w:rsidR="00786F88" w:rsidRPr="0005428A">
        <w:rPr>
          <w:rFonts w:cs="Times New Roman"/>
          <w:szCs w:val="24"/>
        </w:rPr>
        <w:t xml:space="preserve"> balance sheet </w:t>
      </w:r>
      <w:r w:rsidR="007E3309" w:rsidRPr="0005428A">
        <w:rPr>
          <w:rFonts w:cs="Times New Roman"/>
          <w:szCs w:val="24"/>
        </w:rPr>
        <w:t>all the time</w:t>
      </w:r>
      <w:r>
        <w:rPr>
          <w:rFonts w:cs="Times New Roman"/>
          <w:szCs w:val="24"/>
        </w:rPr>
        <w:t>. In the part two this report</w:t>
      </w:r>
      <w:r w:rsidR="00786F88" w:rsidRPr="0005428A">
        <w:rPr>
          <w:rFonts w:cs="Times New Roman"/>
          <w:szCs w:val="24"/>
        </w:rPr>
        <w:t xml:space="preserve"> </w:t>
      </w:r>
      <w:r w:rsidR="007E3309" w:rsidRPr="0005428A">
        <w:rPr>
          <w:rFonts w:cs="Times New Roman"/>
          <w:szCs w:val="24"/>
        </w:rPr>
        <w:t>included</w:t>
      </w:r>
      <w:r w:rsidR="00786F88" w:rsidRPr="0005428A">
        <w:rPr>
          <w:rFonts w:cs="Times New Roman"/>
          <w:szCs w:val="24"/>
        </w:rPr>
        <w:t xml:space="preserve"> the valuations and </w:t>
      </w:r>
      <w:r w:rsidR="007E3309" w:rsidRPr="0005428A">
        <w:rPr>
          <w:rFonts w:cs="Times New Roman"/>
          <w:szCs w:val="24"/>
        </w:rPr>
        <w:t>calculation</w:t>
      </w:r>
      <w:r w:rsidR="00786F88" w:rsidRPr="0005428A">
        <w:rPr>
          <w:rFonts w:cs="Times New Roman"/>
          <w:szCs w:val="24"/>
        </w:rPr>
        <w:t xml:space="preserve"> of ratios </w:t>
      </w:r>
      <w:r w:rsidR="007E3309" w:rsidRPr="0005428A">
        <w:rPr>
          <w:rFonts w:cs="Times New Roman"/>
          <w:szCs w:val="24"/>
        </w:rPr>
        <w:t>associated</w:t>
      </w:r>
      <w:r w:rsidR="00786F88" w:rsidRPr="0005428A">
        <w:rPr>
          <w:rFonts w:cs="Times New Roman"/>
          <w:szCs w:val="24"/>
        </w:rPr>
        <w:t xml:space="preserve"> to the company. It </w:t>
      </w:r>
      <w:r w:rsidR="007E3309" w:rsidRPr="0005428A">
        <w:rPr>
          <w:rFonts w:cs="Times New Roman"/>
          <w:szCs w:val="24"/>
        </w:rPr>
        <w:t xml:space="preserve">included </w:t>
      </w:r>
      <w:r w:rsidR="00786F88" w:rsidRPr="0005428A">
        <w:rPr>
          <w:rFonts w:cs="Times New Roman"/>
          <w:szCs w:val="24"/>
        </w:rPr>
        <w:t xml:space="preserve">the </w:t>
      </w:r>
      <w:r w:rsidR="007E3309" w:rsidRPr="0005428A">
        <w:rPr>
          <w:rFonts w:cs="Times New Roman"/>
          <w:szCs w:val="24"/>
        </w:rPr>
        <w:t>abundant</w:t>
      </w:r>
      <w:r w:rsidR="00786F88" w:rsidRPr="0005428A">
        <w:rPr>
          <w:rFonts w:cs="Times New Roman"/>
          <w:szCs w:val="24"/>
        </w:rPr>
        <w:t xml:space="preserve"> ratios like gearing ratio is the profitability ratio, assets turnover ratio states that how </w:t>
      </w:r>
      <w:r w:rsidR="007E3309" w:rsidRPr="0005428A">
        <w:rPr>
          <w:rFonts w:cs="Times New Roman"/>
          <w:szCs w:val="24"/>
        </w:rPr>
        <w:t>resourcefully</w:t>
      </w:r>
      <w:r w:rsidR="00786F88" w:rsidRPr="0005428A">
        <w:rPr>
          <w:rFonts w:cs="Times New Roman"/>
          <w:szCs w:val="24"/>
        </w:rPr>
        <w:t xml:space="preserve"> or </w:t>
      </w:r>
      <w:r w:rsidR="007E3309" w:rsidRPr="0005428A">
        <w:rPr>
          <w:rFonts w:cs="Times New Roman"/>
          <w:szCs w:val="24"/>
        </w:rPr>
        <w:t>successfully company used</w:t>
      </w:r>
      <w:r w:rsidR="00786F88" w:rsidRPr="0005428A">
        <w:rPr>
          <w:rFonts w:cs="Times New Roman"/>
          <w:szCs w:val="24"/>
        </w:rPr>
        <w:t xml:space="preserve"> their fixed assets, </w:t>
      </w:r>
      <w:r w:rsidR="007E3309" w:rsidRPr="0005428A">
        <w:rPr>
          <w:rFonts w:cs="Times New Roman"/>
          <w:szCs w:val="24"/>
        </w:rPr>
        <w:t xml:space="preserve">current ratio shows the liquidity of the company, </w:t>
      </w:r>
      <w:r w:rsidR="00786F88" w:rsidRPr="0005428A">
        <w:rPr>
          <w:rFonts w:cs="Times New Roman"/>
          <w:szCs w:val="24"/>
        </w:rPr>
        <w:t>net profit margin ratio</w:t>
      </w:r>
      <w:r w:rsidR="007E3309" w:rsidRPr="0005428A">
        <w:rPr>
          <w:rFonts w:cs="Times New Roman"/>
          <w:szCs w:val="24"/>
        </w:rPr>
        <w:t xml:space="preserve"> reacted to the profitability ratio and this ratio considered very important for the company and investors point of view</w:t>
      </w:r>
      <w:r w:rsidR="00786F88" w:rsidRPr="0005428A">
        <w:rPr>
          <w:rFonts w:cs="Times New Roman"/>
          <w:szCs w:val="24"/>
        </w:rPr>
        <w:t xml:space="preserve">, </w:t>
      </w:r>
      <w:r w:rsidR="007E3309" w:rsidRPr="0005428A">
        <w:rPr>
          <w:rFonts w:cs="Times New Roman"/>
          <w:szCs w:val="24"/>
        </w:rPr>
        <w:t xml:space="preserve">return on capital employed ratio, </w:t>
      </w:r>
      <w:r w:rsidR="00786F88" w:rsidRPr="0005428A">
        <w:rPr>
          <w:rFonts w:cs="Times New Roman"/>
          <w:szCs w:val="24"/>
        </w:rPr>
        <w:t xml:space="preserve">debtor collection period </w:t>
      </w:r>
      <w:r w:rsidR="007E3309" w:rsidRPr="0005428A">
        <w:rPr>
          <w:rFonts w:cs="Times New Roman"/>
          <w:szCs w:val="24"/>
        </w:rPr>
        <w:t>signifies</w:t>
      </w:r>
      <w:r w:rsidR="00786F88" w:rsidRPr="0005428A">
        <w:rPr>
          <w:rFonts w:cs="Times New Roman"/>
          <w:szCs w:val="24"/>
        </w:rPr>
        <w:t xml:space="preserve"> the number of days company had to convert receivables’ into cash</w:t>
      </w:r>
      <w:r w:rsidR="007E3309" w:rsidRPr="0005428A">
        <w:rPr>
          <w:rFonts w:cs="Times New Roman"/>
          <w:szCs w:val="24"/>
        </w:rPr>
        <w:t>, return on equity ratio</w:t>
      </w:r>
      <w:r w:rsidR="00786F88" w:rsidRPr="0005428A">
        <w:rPr>
          <w:rFonts w:cs="Times New Roman"/>
          <w:szCs w:val="24"/>
        </w:rPr>
        <w:t xml:space="preserve"> and earnings per share of the company. Apart </w:t>
      </w:r>
      <w:r>
        <w:rPr>
          <w:rFonts w:cs="Times New Roman"/>
          <w:szCs w:val="24"/>
        </w:rPr>
        <w:t xml:space="preserve">from this, this report </w:t>
      </w:r>
      <w:r w:rsidR="007E3309" w:rsidRPr="0005428A">
        <w:rPr>
          <w:rFonts w:cs="Times New Roman"/>
          <w:szCs w:val="24"/>
        </w:rPr>
        <w:t>also reflected the abundant</w:t>
      </w:r>
      <w:r w:rsidR="00786F88" w:rsidRPr="0005428A">
        <w:rPr>
          <w:rFonts w:cs="Times New Roman"/>
          <w:szCs w:val="24"/>
        </w:rPr>
        <w:t xml:space="preserve"> </w:t>
      </w:r>
      <w:r w:rsidR="007E3309" w:rsidRPr="0005428A">
        <w:rPr>
          <w:rFonts w:cs="Times New Roman"/>
          <w:szCs w:val="24"/>
        </w:rPr>
        <w:t>explanation</w:t>
      </w:r>
      <w:r w:rsidR="00786F88" w:rsidRPr="0005428A">
        <w:rPr>
          <w:rFonts w:cs="Times New Roman"/>
          <w:szCs w:val="24"/>
        </w:rPr>
        <w:t xml:space="preserve"> for </w:t>
      </w:r>
      <w:r w:rsidR="007E3309" w:rsidRPr="0005428A">
        <w:rPr>
          <w:rFonts w:cs="Times New Roman"/>
          <w:szCs w:val="24"/>
        </w:rPr>
        <w:t>mounting</w:t>
      </w:r>
      <w:r w:rsidR="00786F88" w:rsidRPr="0005428A">
        <w:rPr>
          <w:rFonts w:cs="Times New Roman"/>
          <w:szCs w:val="24"/>
        </w:rPr>
        <w:t xml:space="preserve"> or </w:t>
      </w:r>
      <w:r w:rsidR="007E3309" w:rsidRPr="0005428A">
        <w:rPr>
          <w:rFonts w:cs="Times New Roman"/>
          <w:szCs w:val="24"/>
        </w:rPr>
        <w:t>declining of</w:t>
      </w:r>
      <w:r w:rsidR="00786F88" w:rsidRPr="0005428A">
        <w:rPr>
          <w:rFonts w:cs="Times New Roman"/>
          <w:szCs w:val="24"/>
        </w:rPr>
        <w:t xml:space="preserve"> these ratios by using the financial </w:t>
      </w:r>
      <w:r w:rsidR="007E3309" w:rsidRPr="0005428A">
        <w:rPr>
          <w:rFonts w:cs="Times New Roman"/>
          <w:szCs w:val="24"/>
        </w:rPr>
        <w:t>performance and financial position</w:t>
      </w:r>
      <w:r w:rsidR="00786F88" w:rsidRPr="0005428A">
        <w:rPr>
          <w:rFonts w:cs="Times New Roman"/>
          <w:szCs w:val="24"/>
        </w:rPr>
        <w:t xml:space="preserve"> of the company and the </w:t>
      </w:r>
      <w:r w:rsidR="007E3309" w:rsidRPr="0005428A">
        <w:rPr>
          <w:rFonts w:cs="Times New Roman"/>
          <w:szCs w:val="24"/>
        </w:rPr>
        <w:t>estimations</w:t>
      </w:r>
      <w:r w:rsidR="00786F88" w:rsidRPr="0005428A">
        <w:rPr>
          <w:rFonts w:cs="Times New Roman"/>
          <w:szCs w:val="24"/>
        </w:rPr>
        <w:t xml:space="preserve"> of ratio related to the company. </w:t>
      </w:r>
    </w:p>
    <w:p w14:paraId="3C541D7F" w14:textId="77777777" w:rsidR="0054610A" w:rsidRPr="0005428A" w:rsidRDefault="0054610A" w:rsidP="0005428A">
      <w:pPr>
        <w:rPr>
          <w:rFonts w:cs="Times New Roman"/>
          <w:szCs w:val="24"/>
        </w:rPr>
      </w:pPr>
      <w:r w:rsidRPr="0005428A">
        <w:rPr>
          <w:rFonts w:cs="Times New Roman"/>
          <w:szCs w:val="24"/>
        </w:rPr>
        <w:br w:type="page"/>
      </w:r>
    </w:p>
    <w:p w14:paraId="01FC5AF2" w14:textId="77777777" w:rsidR="00786F88" w:rsidRPr="0005428A" w:rsidRDefault="00F8786E" w:rsidP="0005428A">
      <w:pPr>
        <w:pStyle w:val="Heading1"/>
      </w:pPr>
      <w:bookmarkStart w:id="4" w:name="_Toc77431471"/>
      <w:r w:rsidRPr="0005428A">
        <w:lastRenderedPageBreak/>
        <w:t>References</w:t>
      </w:r>
      <w:bookmarkEnd w:id="4"/>
    </w:p>
    <w:p w14:paraId="4939A62B" w14:textId="77777777" w:rsidR="0054610A" w:rsidRPr="0005428A" w:rsidRDefault="0054610A" w:rsidP="0005428A">
      <w:pPr>
        <w:pStyle w:val="ListParagraph"/>
        <w:numPr>
          <w:ilvl w:val="0"/>
          <w:numId w:val="3"/>
        </w:numPr>
        <w:spacing w:line="360" w:lineRule="auto"/>
        <w:ind w:left="360"/>
        <w:jc w:val="both"/>
        <w:rPr>
          <w:rFonts w:ascii="Times New Roman" w:hAnsi="Times New Roman" w:cs="Times New Roman"/>
          <w:sz w:val="24"/>
          <w:szCs w:val="24"/>
        </w:rPr>
      </w:pPr>
      <w:r w:rsidRPr="0005428A">
        <w:rPr>
          <w:rFonts w:ascii="Times New Roman" w:hAnsi="Times New Roman" w:cs="Times New Roman"/>
          <w:sz w:val="24"/>
          <w:szCs w:val="24"/>
        </w:rPr>
        <w:t>Bragg, S. (2021) Net profit margin. Available at: https://www.accountingtools.com/articles/what-is-net-profit-margin.html (Accessed: 17 July 2021)</w:t>
      </w:r>
    </w:p>
    <w:p w14:paraId="43A89890" w14:textId="77777777" w:rsidR="0054610A" w:rsidRPr="0005428A" w:rsidRDefault="0054610A" w:rsidP="0005428A">
      <w:pPr>
        <w:pStyle w:val="ListParagraph"/>
        <w:numPr>
          <w:ilvl w:val="0"/>
          <w:numId w:val="3"/>
        </w:numPr>
        <w:spacing w:line="360" w:lineRule="auto"/>
        <w:ind w:left="360"/>
        <w:jc w:val="both"/>
        <w:rPr>
          <w:rFonts w:ascii="Times New Roman" w:hAnsi="Times New Roman" w:cs="Times New Roman"/>
          <w:sz w:val="24"/>
          <w:szCs w:val="24"/>
        </w:rPr>
      </w:pPr>
      <w:r w:rsidRPr="0005428A">
        <w:rPr>
          <w:rFonts w:ascii="Times New Roman" w:hAnsi="Times New Roman" w:cs="Times New Roman"/>
          <w:sz w:val="24"/>
          <w:szCs w:val="24"/>
        </w:rPr>
        <w:t>Wood, J. (2019) Gross profit margin. Available at: https://bizfluent.com/info-7906425-good-gross-profit-margin.html (Accessed: 17 July 2021)</w:t>
      </w:r>
    </w:p>
    <w:p w14:paraId="35F1AE18" w14:textId="77777777" w:rsidR="0054610A" w:rsidRPr="0005428A" w:rsidRDefault="0054610A" w:rsidP="0005428A">
      <w:pPr>
        <w:pStyle w:val="ListParagraph"/>
        <w:numPr>
          <w:ilvl w:val="0"/>
          <w:numId w:val="3"/>
        </w:numPr>
        <w:spacing w:line="360" w:lineRule="auto"/>
        <w:ind w:left="360"/>
        <w:jc w:val="both"/>
        <w:rPr>
          <w:rFonts w:ascii="Times New Roman" w:hAnsi="Times New Roman" w:cs="Times New Roman"/>
          <w:sz w:val="24"/>
          <w:szCs w:val="24"/>
        </w:rPr>
      </w:pPr>
      <w:r w:rsidRPr="0005428A">
        <w:rPr>
          <w:rFonts w:ascii="Times New Roman" w:hAnsi="Times New Roman" w:cs="Times New Roman"/>
          <w:sz w:val="24"/>
          <w:szCs w:val="24"/>
        </w:rPr>
        <w:t>Leeds, P. (2021) Importance of financial ratio. Available at: https://www.thebalance.com/types-of-financial-ratios-2637034 (Accessed: 17 July 2021)</w:t>
      </w:r>
    </w:p>
    <w:p w14:paraId="13B0AA22" w14:textId="77777777" w:rsidR="0054610A" w:rsidRPr="0005428A" w:rsidRDefault="0054610A" w:rsidP="0005428A">
      <w:pPr>
        <w:pStyle w:val="ListParagraph"/>
        <w:numPr>
          <w:ilvl w:val="0"/>
          <w:numId w:val="3"/>
        </w:numPr>
        <w:spacing w:line="360" w:lineRule="auto"/>
        <w:ind w:left="360"/>
        <w:jc w:val="both"/>
        <w:rPr>
          <w:rFonts w:ascii="Times New Roman" w:hAnsi="Times New Roman" w:cs="Times New Roman"/>
          <w:color w:val="222222"/>
          <w:sz w:val="24"/>
          <w:szCs w:val="24"/>
          <w:shd w:val="clear" w:color="auto" w:fill="FFFFFF"/>
        </w:rPr>
      </w:pPr>
      <w:proofErr w:type="spellStart"/>
      <w:r w:rsidRPr="0005428A">
        <w:rPr>
          <w:rFonts w:ascii="Times New Roman" w:hAnsi="Times New Roman" w:cs="Times New Roman"/>
          <w:color w:val="222222"/>
          <w:sz w:val="24"/>
          <w:szCs w:val="24"/>
          <w:shd w:val="clear" w:color="auto" w:fill="FFFFFF"/>
        </w:rPr>
        <w:t>Suryawan</w:t>
      </w:r>
      <w:proofErr w:type="spellEnd"/>
      <w:r w:rsidRPr="0005428A">
        <w:rPr>
          <w:rFonts w:ascii="Times New Roman" w:hAnsi="Times New Roman" w:cs="Times New Roman"/>
          <w:color w:val="222222"/>
          <w:sz w:val="24"/>
          <w:szCs w:val="24"/>
          <w:shd w:val="clear" w:color="auto" w:fill="FFFFFF"/>
        </w:rPr>
        <w:t>, I. (2017), ‘</w:t>
      </w:r>
      <w:proofErr w:type="spellStart"/>
      <w:r w:rsidRPr="0005428A">
        <w:rPr>
          <w:rFonts w:ascii="Times New Roman" w:hAnsi="Times New Roman" w:cs="Times New Roman"/>
          <w:color w:val="222222"/>
          <w:sz w:val="24"/>
          <w:szCs w:val="24"/>
          <w:shd w:val="clear" w:color="auto" w:fill="FFFFFF"/>
        </w:rPr>
        <w:t>Pengaruh</w:t>
      </w:r>
      <w:proofErr w:type="spellEnd"/>
      <w:r w:rsidRPr="0005428A">
        <w:rPr>
          <w:rFonts w:ascii="Times New Roman" w:hAnsi="Times New Roman" w:cs="Times New Roman"/>
          <w:color w:val="222222"/>
          <w:sz w:val="24"/>
          <w:szCs w:val="24"/>
          <w:shd w:val="clear" w:color="auto" w:fill="FFFFFF"/>
        </w:rPr>
        <w:t xml:space="preserve"> Current Ratio, Debt </w:t>
      </w:r>
      <w:r w:rsidR="00BF63A0" w:rsidRPr="0005428A">
        <w:rPr>
          <w:rFonts w:ascii="Times New Roman" w:hAnsi="Times New Roman" w:cs="Times New Roman"/>
          <w:color w:val="222222"/>
          <w:sz w:val="24"/>
          <w:szCs w:val="24"/>
          <w:shd w:val="clear" w:color="auto" w:fill="FFFFFF"/>
        </w:rPr>
        <w:t>to Equity Ratio Dan Return on</w:t>
      </w:r>
      <w:r w:rsidRPr="0005428A">
        <w:rPr>
          <w:rFonts w:ascii="Times New Roman" w:hAnsi="Times New Roman" w:cs="Times New Roman"/>
          <w:color w:val="222222"/>
          <w:sz w:val="24"/>
          <w:szCs w:val="24"/>
          <w:shd w:val="clear" w:color="auto" w:fill="FFFFFF"/>
        </w:rPr>
        <w:t xml:space="preserve"> Assets Pada Harga Saham’, </w:t>
      </w:r>
      <w:r w:rsidRPr="0005428A">
        <w:rPr>
          <w:rFonts w:ascii="Times New Roman" w:hAnsi="Times New Roman" w:cs="Times New Roman"/>
          <w:i/>
          <w:iCs/>
          <w:color w:val="222222"/>
          <w:sz w:val="24"/>
          <w:szCs w:val="24"/>
          <w:shd w:val="clear" w:color="auto" w:fill="FFFFFF"/>
        </w:rPr>
        <w:t>E-</w:t>
      </w:r>
      <w:proofErr w:type="spellStart"/>
      <w:r w:rsidRPr="0005428A">
        <w:rPr>
          <w:rFonts w:ascii="Times New Roman" w:hAnsi="Times New Roman" w:cs="Times New Roman"/>
          <w:i/>
          <w:iCs/>
          <w:color w:val="222222"/>
          <w:sz w:val="24"/>
          <w:szCs w:val="24"/>
          <w:shd w:val="clear" w:color="auto" w:fill="FFFFFF"/>
        </w:rPr>
        <w:t>Jurnal</w:t>
      </w:r>
      <w:proofErr w:type="spellEnd"/>
      <w:r w:rsidRPr="0005428A">
        <w:rPr>
          <w:rFonts w:ascii="Times New Roman" w:hAnsi="Times New Roman" w:cs="Times New Roman"/>
          <w:i/>
          <w:iCs/>
          <w:color w:val="222222"/>
          <w:sz w:val="24"/>
          <w:szCs w:val="24"/>
          <w:shd w:val="clear" w:color="auto" w:fill="FFFFFF"/>
        </w:rPr>
        <w:t xml:space="preserve"> </w:t>
      </w:r>
      <w:proofErr w:type="spellStart"/>
      <w:r w:rsidRPr="0005428A">
        <w:rPr>
          <w:rFonts w:ascii="Times New Roman" w:hAnsi="Times New Roman" w:cs="Times New Roman"/>
          <w:i/>
          <w:iCs/>
          <w:color w:val="222222"/>
          <w:sz w:val="24"/>
          <w:szCs w:val="24"/>
          <w:shd w:val="clear" w:color="auto" w:fill="FFFFFF"/>
        </w:rPr>
        <w:t>Akuntansi</w:t>
      </w:r>
      <w:proofErr w:type="spellEnd"/>
      <w:r w:rsidRPr="0005428A">
        <w:rPr>
          <w:rFonts w:ascii="Times New Roman" w:hAnsi="Times New Roman" w:cs="Times New Roman"/>
          <w:i/>
          <w:iCs/>
          <w:color w:val="222222"/>
          <w:sz w:val="24"/>
          <w:szCs w:val="24"/>
          <w:shd w:val="clear" w:color="auto" w:fill="FFFFFF"/>
        </w:rPr>
        <w:t xml:space="preserve"> Universitas </w:t>
      </w:r>
      <w:proofErr w:type="spellStart"/>
      <w:r w:rsidRPr="0005428A">
        <w:rPr>
          <w:rFonts w:ascii="Times New Roman" w:hAnsi="Times New Roman" w:cs="Times New Roman"/>
          <w:i/>
          <w:iCs/>
          <w:color w:val="222222"/>
          <w:sz w:val="24"/>
          <w:szCs w:val="24"/>
          <w:shd w:val="clear" w:color="auto" w:fill="FFFFFF"/>
        </w:rPr>
        <w:t>Udayana</w:t>
      </w:r>
      <w:proofErr w:type="spellEnd"/>
      <w:r w:rsidRPr="0005428A">
        <w:rPr>
          <w:rFonts w:ascii="Times New Roman" w:hAnsi="Times New Roman" w:cs="Times New Roman"/>
          <w:color w:val="222222"/>
          <w:sz w:val="24"/>
          <w:szCs w:val="24"/>
          <w:shd w:val="clear" w:color="auto" w:fill="FFFFFF"/>
        </w:rPr>
        <w:t>, </w:t>
      </w:r>
      <w:r w:rsidRPr="0005428A">
        <w:rPr>
          <w:rFonts w:ascii="Times New Roman" w:hAnsi="Times New Roman" w:cs="Times New Roman"/>
          <w:i/>
          <w:iCs/>
          <w:color w:val="222222"/>
          <w:sz w:val="24"/>
          <w:szCs w:val="24"/>
          <w:shd w:val="clear" w:color="auto" w:fill="FFFFFF"/>
        </w:rPr>
        <w:t>21</w:t>
      </w:r>
      <w:r w:rsidRPr="0005428A">
        <w:rPr>
          <w:rFonts w:ascii="Times New Roman" w:hAnsi="Times New Roman" w:cs="Times New Roman"/>
          <w:color w:val="222222"/>
          <w:sz w:val="24"/>
          <w:szCs w:val="24"/>
          <w:shd w:val="clear" w:color="auto" w:fill="FFFFFF"/>
        </w:rPr>
        <w:t>(2), pp.1317-1345.</w:t>
      </w:r>
    </w:p>
    <w:p w14:paraId="7B7BA4E7" w14:textId="77777777" w:rsidR="0054610A" w:rsidRPr="0005428A" w:rsidRDefault="0054610A" w:rsidP="0005428A">
      <w:pPr>
        <w:pStyle w:val="ListParagraph"/>
        <w:numPr>
          <w:ilvl w:val="0"/>
          <w:numId w:val="3"/>
        </w:numPr>
        <w:spacing w:line="360" w:lineRule="auto"/>
        <w:ind w:left="360"/>
        <w:jc w:val="both"/>
        <w:rPr>
          <w:rFonts w:ascii="Times New Roman" w:hAnsi="Times New Roman" w:cs="Times New Roman"/>
          <w:color w:val="222222"/>
          <w:sz w:val="24"/>
          <w:szCs w:val="24"/>
          <w:shd w:val="clear" w:color="auto" w:fill="FFFFFF"/>
        </w:rPr>
      </w:pPr>
      <w:r w:rsidRPr="0005428A">
        <w:rPr>
          <w:rFonts w:ascii="Times New Roman" w:hAnsi="Times New Roman" w:cs="Times New Roman"/>
          <w:color w:val="222222"/>
          <w:sz w:val="24"/>
          <w:szCs w:val="24"/>
          <w:shd w:val="clear" w:color="auto" w:fill="FFFFFF"/>
        </w:rPr>
        <w:t>Amanda, R.I. (2019), ‘The Impact of Cash Turnover, Receivable Turnover, Inventory Turnover, Current Ratio and Debt to Equity Ratio on Profitability’, </w:t>
      </w:r>
      <w:r w:rsidRPr="0005428A">
        <w:rPr>
          <w:rFonts w:ascii="Times New Roman" w:hAnsi="Times New Roman" w:cs="Times New Roman"/>
          <w:i/>
          <w:iCs/>
          <w:color w:val="222222"/>
          <w:sz w:val="24"/>
          <w:szCs w:val="24"/>
          <w:shd w:val="clear" w:color="auto" w:fill="FFFFFF"/>
        </w:rPr>
        <w:t>Journal of research in management</w:t>
      </w:r>
      <w:r w:rsidRPr="0005428A">
        <w:rPr>
          <w:rFonts w:ascii="Times New Roman" w:hAnsi="Times New Roman" w:cs="Times New Roman"/>
          <w:color w:val="222222"/>
          <w:sz w:val="24"/>
          <w:szCs w:val="24"/>
          <w:shd w:val="clear" w:color="auto" w:fill="FFFFFF"/>
        </w:rPr>
        <w:t>, </w:t>
      </w:r>
      <w:r w:rsidRPr="0005428A">
        <w:rPr>
          <w:rFonts w:ascii="Times New Roman" w:hAnsi="Times New Roman" w:cs="Times New Roman"/>
          <w:i/>
          <w:iCs/>
          <w:color w:val="222222"/>
          <w:sz w:val="24"/>
          <w:szCs w:val="24"/>
          <w:shd w:val="clear" w:color="auto" w:fill="FFFFFF"/>
        </w:rPr>
        <w:t>2</w:t>
      </w:r>
      <w:r w:rsidRPr="0005428A">
        <w:rPr>
          <w:rFonts w:ascii="Times New Roman" w:hAnsi="Times New Roman" w:cs="Times New Roman"/>
          <w:color w:val="222222"/>
          <w:sz w:val="24"/>
          <w:szCs w:val="24"/>
          <w:shd w:val="clear" w:color="auto" w:fill="FFFFFF"/>
        </w:rPr>
        <w:t>(2).</w:t>
      </w:r>
    </w:p>
    <w:p w14:paraId="517227DB" w14:textId="7946CB39" w:rsidR="0054610A" w:rsidRPr="0005428A" w:rsidRDefault="00535FF4" w:rsidP="0005428A">
      <w:pPr>
        <w:pStyle w:val="ListParagraph"/>
        <w:numPr>
          <w:ilvl w:val="0"/>
          <w:numId w:val="3"/>
        </w:numPr>
        <w:spacing w:line="360" w:lineRule="auto"/>
        <w:ind w:left="360"/>
        <w:jc w:val="both"/>
        <w:rPr>
          <w:rFonts w:ascii="Times New Roman" w:hAnsi="Times New Roman" w:cs="Times New Roman"/>
          <w:sz w:val="24"/>
          <w:szCs w:val="24"/>
          <w:shd w:val="clear" w:color="auto" w:fill="FFFFFF"/>
        </w:rPr>
      </w:pPr>
      <w:proofErr w:type="spellStart"/>
      <w:r w:rsidRPr="0005428A">
        <w:rPr>
          <w:rFonts w:ascii="Times New Roman" w:hAnsi="Times New Roman" w:cs="Times New Roman"/>
          <w:sz w:val="24"/>
          <w:szCs w:val="24"/>
          <w:shd w:val="clear" w:color="auto" w:fill="FFFFFF"/>
        </w:rPr>
        <w:t>Haralayya</w:t>
      </w:r>
      <w:proofErr w:type="spellEnd"/>
      <w:r w:rsidRPr="0005428A">
        <w:rPr>
          <w:rFonts w:ascii="Times New Roman" w:hAnsi="Times New Roman" w:cs="Times New Roman"/>
          <w:sz w:val="24"/>
          <w:szCs w:val="24"/>
          <w:shd w:val="clear" w:color="auto" w:fill="FFFFFF"/>
        </w:rPr>
        <w:t>, B.</w:t>
      </w:r>
      <w:r w:rsidR="0054610A" w:rsidRPr="0005428A">
        <w:rPr>
          <w:rFonts w:ascii="Times New Roman" w:hAnsi="Times New Roman" w:cs="Times New Roman"/>
          <w:sz w:val="24"/>
          <w:szCs w:val="24"/>
          <w:shd w:val="clear" w:color="auto" w:fill="FFFFFF"/>
        </w:rPr>
        <w:t xml:space="preserve">  (2021), ‘Financial Statement Analysis of Shri Ram City Union Finance. </w:t>
      </w:r>
      <w:r w:rsidR="0054610A" w:rsidRPr="0005428A">
        <w:rPr>
          <w:rFonts w:ascii="Times New Roman" w:hAnsi="Times New Roman" w:cs="Times New Roman"/>
          <w:i/>
          <w:iCs/>
          <w:sz w:val="24"/>
          <w:szCs w:val="24"/>
          <w:shd w:val="clear" w:color="auto" w:fill="FFFFFF"/>
        </w:rPr>
        <w:t xml:space="preserve">Iconic Research </w:t>
      </w:r>
      <w:r w:rsidRPr="0005428A">
        <w:rPr>
          <w:rFonts w:ascii="Times New Roman" w:hAnsi="Times New Roman" w:cs="Times New Roman"/>
          <w:i/>
          <w:iCs/>
          <w:sz w:val="24"/>
          <w:szCs w:val="24"/>
          <w:shd w:val="clear" w:color="auto" w:fill="FFFFFF"/>
        </w:rPr>
        <w:t>and</w:t>
      </w:r>
      <w:r w:rsidR="0054610A" w:rsidRPr="0005428A">
        <w:rPr>
          <w:rFonts w:ascii="Times New Roman" w:hAnsi="Times New Roman" w:cs="Times New Roman"/>
          <w:i/>
          <w:iCs/>
          <w:sz w:val="24"/>
          <w:szCs w:val="24"/>
          <w:shd w:val="clear" w:color="auto" w:fill="FFFFFF"/>
        </w:rPr>
        <w:t xml:space="preserve"> Engineering Journals</w:t>
      </w:r>
      <w:r w:rsidRPr="0005428A">
        <w:rPr>
          <w:rFonts w:ascii="Times New Roman" w:hAnsi="Times New Roman" w:cs="Times New Roman"/>
          <w:i/>
          <w:iCs/>
          <w:sz w:val="24"/>
          <w:szCs w:val="24"/>
          <w:shd w:val="clear" w:color="auto" w:fill="FFFFFF"/>
        </w:rPr>
        <w:t>’</w:t>
      </w:r>
      <w:r w:rsidRPr="0005428A">
        <w:rPr>
          <w:rFonts w:ascii="Times New Roman" w:hAnsi="Times New Roman" w:cs="Times New Roman"/>
          <w:sz w:val="24"/>
          <w:szCs w:val="24"/>
          <w:shd w:val="clear" w:color="auto" w:fill="FFFFFF"/>
        </w:rPr>
        <w:t>, 4</w:t>
      </w:r>
      <w:r w:rsidR="0054610A" w:rsidRPr="0005428A">
        <w:rPr>
          <w:rFonts w:ascii="Times New Roman" w:hAnsi="Times New Roman" w:cs="Times New Roman"/>
          <w:sz w:val="24"/>
          <w:szCs w:val="24"/>
          <w:shd w:val="clear" w:color="auto" w:fill="FFFFFF"/>
        </w:rPr>
        <w:t>(12</w:t>
      </w:r>
      <w:r w:rsidRPr="0005428A">
        <w:rPr>
          <w:rFonts w:ascii="Times New Roman" w:hAnsi="Times New Roman" w:cs="Times New Roman"/>
          <w:sz w:val="24"/>
          <w:szCs w:val="24"/>
          <w:shd w:val="clear" w:color="auto" w:fill="FFFFFF"/>
        </w:rPr>
        <w:t>), pp.</w:t>
      </w:r>
      <w:r w:rsidR="0054610A" w:rsidRPr="0005428A">
        <w:rPr>
          <w:rFonts w:ascii="Times New Roman" w:hAnsi="Times New Roman" w:cs="Times New Roman"/>
          <w:sz w:val="24"/>
          <w:szCs w:val="24"/>
          <w:shd w:val="clear" w:color="auto" w:fill="FFFFFF"/>
        </w:rPr>
        <w:t>183-196.</w:t>
      </w:r>
    </w:p>
    <w:p w14:paraId="236FD2CE" w14:textId="085878E5" w:rsidR="0054610A" w:rsidRPr="0005428A" w:rsidRDefault="0054610A" w:rsidP="0005428A">
      <w:pPr>
        <w:pStyle w:val="ListParagraph"/>
        <w:numPr>
          <w:ilvl w:val="0"/>
          <w:numId w:val="3"/>
        </w:numPr>
        <w:spacing w:line="360" w:lineRule="auto"/>
        <w:ind w:left="360"/>
        <w:jc w:val="both"/>
        <w:rPr>
          <w:rFonts w:ascii="Times New Roman" w:hAnsi="Times New Roman" w:cs="Times New Roman"/>
          <w:sz w:val="24"/>
          <w:szCs w:val="24"/>
          <w:shd w:val="clear" w:color="auto" w:fill="FFFFFF"/>
        </w:rPr>
      </w:pPr>
      <w:r w:rsidRPr="0005428A">
        <w:rPr>
          <w:rFonts w:ascii="Times New Roman" w:hAnsi="Times New Roman" w:cs="Times New Roman"/>
          <w:sz w:val="24"/>
          <w:szCs w:val="24"/>
          <w:shd w:val="clear" w:color="auto" w:fill="FFFFFF"/>
        </w:rPr>
        <w:t xml:space="preserve">Ball, R. </w:t>
      </w:r>
      <w:proofErr w:type="spellStart"/>
      <w:r w:rsidRPr="0005428A">
        <w:rPr>
          <w:rFonts w:ascii="Times New Roman" w:hAnsi="Times New Roman" w:cs="Times New Roman"/>
          <w:sz w:val="24"/>
          <w:szCs w:val="24"/>
          <w:shd w:val="clear" w:color="auto" w:fill="FFFFFF"/>
        </w:rPr>
        <w:t>Gerakos</w:t>
      </w:r>
      <w:proofErr w:type="spellEnd"/>
      <w:r w:rsidRPr="0005428A">
        <w:rPr>
          <w:rFonts w:ascii="Times New Roman" w:hAnsi="Times New Roman" w:cs="Times New Roman"/>
          <w:sz w:val="24"/>
          <w:szCs w:val="24"/>
          <w:shd w:val="clear" w:color="auto" w:fill="FFFFFF"/>
        </w:rPr>
        <w:t xml:space="preserve">, J. </w:t>
      </w:r>
      <w:proofErr w:type="spellStart"/>
      <w:r w:rsidRPr="0005428A">
        <w:rPr>
          <w:rFonts w:ascii="Times New Roman" w:hAnsi="Times New Roman" w:cs="Times New Roman"/>
          <w:sz w:val="24"/>
          <w:szCs w:val="24"/>
          <w:shd w:val="clear" w:color="auto" w:fill="FFFFFF"/>
        </w:rPr>
        <w:t>Linnainmaa</w:t>
      </w:r>
      <w:proofErr w:type="spellEnd"/>
      <w:r w:rsidRPr="0005428A">
        <w:rPr>
          <w:rFonts w:ascii="Times New Roman" w:hAnsi="Times New Roman" w:cs="Times New Roman"/>
          <w:sz w:val="24"/>
          <w:szCs w:val="24"/>
          <w:shd w:val="clear" w:color="auto" w:fill="FFFFFF"/>
        </w:rPr>
        <w:t>, J.T. and Nikolaev, V. (2020), ‘Earnings, retained earnings, and book-to-market in the cross section of expected returns</w:t>
      </w:r>
      <w:r w:rsidR="00535FF4" w:rsidRPr="0005428A">
        <w:rPr>
          <w:rFonts w:ascii="Times New Roman" w:hAnsi="Times New Roman" w:cs="Times New Roman"/>
          <w:sz w:val="24"/>
          <w:szCs w:val="24"/>
          <w:shd w:val="clear" w:color="auto" w:fill="FFFFFF"/>
        </w:rPr>
        <w:t>’, Journal</w:t>
      </w:r>
      <w:r w:rsidRPr="0005428A">
        <w:rPr>
          <w:rFonts w:ascii="Times New Roman" w:hAnsi="Times New Roman" w:cs="Times New Roman"/>
          <w:i/>
          <w:iCs/>
          <w:sz w:val="24"/>
          <w:szCs w:val="24"/>
          <w:shd w:val="clear" w:color="auto" w:fill="FFFFFF"/>
        </w:rPr>
        <w:t xml:space="preserve"> of Financial </w:t>
      </w:r>
      <w:r w:rsidR="00535FF4" w:rsidRPr="0005428A">
        <w:rPr>
          <w:rFonts w:ascii="Times New Roman" w:hAnsi="Times New Roman" w:cs="Times New Roman"/>
          <w:i/>
          <w:iCs/>
          <w:sz w:val="24"/>
          <w:szCs w:val="24"/>
          <w:shd w:val="clear" w:color="auto" w:fill="FFFFFF"/>
        </w:rPr>
        <w:t>Economics</w:t>
      </w:r>
      <w:r w:rsidR="00535FF4" w:rsidRPr="0005428A">
        <w:rPr>
          <w:rFonts w:ascii="Times New Roman" w:hAnsi="Times New Roman" w:cs="Times New Roman"/>
          <w:sz w:val="24"/>
          <w:szCs w:val="24"/>
          <w:shd w:val="clear" w:color="auto" w:fill="FFFFFF"/>
        </w:rPr>
        <w:t>, 135</w:t>
      </w:r>
      <w:r w:rsidRPr="0005428A">
        <w:rPr>
          <w:rFonts w:ascii="Times New Roman" w:hAnsi="Times New Roman" w:cs="Times New Roman"/>
          <w:sz w:val="24"/>
          <w:szCs w:val="24"/>
          <w:shd w:val="clear" w:color="auto" w:fill="FFFFFF"/>
        </w:rPr>
        <w:t>(1</w:t>
      </w:r>
      <w:r w:rsidR="00535FF4" w:rsidRPr="0005428A">
        <w:rPr>
          <w:rFonts w:ascii="Times New Roman" w:hAnsi="Times New Roman" w:cs="Times New Roman"/>
          <w:sz w:val="24"/>
          <w:szCs w:val="24"/>
          <w:shd w:val="clear" w:color="auto" w:fill="FFFFFF"/>
        </w:rPr>
        <w:t>), pp.</w:t>
      </w:r>
      <w:r w:rsidRPr="0005428A">
        <w:rPr>
          <w:rFonts w:ascii="Times New Roman" w:hAnsi="Times New Roman" w:cs="Times New Roman"/>
          <w:sz w:val="24"/>
          <w:szCs w:val="24"/>
          <w:shd w:val="clear" w:color="auto" w:fill="FFFFFF"/>
        </w:rPr>
        <w:t>231-254.</w:t>
      </w:r>
    </w:p>
    <w:p w14:paraId="13F6DEF0" w14:textId="77777777" w:rsidR="0054610A" w:rsidRPr="0005428A" w:rsidRDefault="0054610A" w:rsidP="0005428A">
      <w:pPr>
        <w:pStyle w:val="ListParagraph"/>
        <w:numPr>
          <w:ilvl w:val="0"/>
          <w:numId w:val="3"/>
        </w:numPr>
        <w:spacing w:line="360" w:lineRule="auto"/>
        <w:ind w:left="360"/>
        <w:jc w:val="both"/>
        <w:rPr>
          <w:rFonts w:ascii="Times New Roman" w:hAnsi="Times New Roman" w:cs="Times New Roman"/>
          <w:sz w:val="24"/>
          <w:szCs w:val="24"/>
        </w:rPr>
      </w:pPr>
      <w:r w:rsidRPr="0005428A">
        <w:rPr>
          <w:rFonts w:ascii="Times New Roman" w:hAnsi="Times New Roman" w:cs="Times New Roman"/>
          <w:sz w:val="24"/>
          <w:szCs w:val="24"/>
        </w:rPr>
        <w:t>Johnson, R. (2017) nature of the balance sheet and income statement. Available at: https://bizfluent.com/info-8793354-describe-balance-sheet-income-statement.html (Accessed: 17 July 2021)</w:t>
      </w:r>
    </w:p>
    <w:p w14:paraId="00D35636" w14:textId="77777777" w:rsidR="0054610A" w:rsidRPr="0005428A" w:rsidRDefault="0054610A" w:rsidP="0005428A">
      <w:pPr>
        <w:pStyle w:val="ListParagraph"/>
        <w:numPr>
          <w:ilvl w:val="0"/>
          <w:numId w:val="3"/>
        </w:numPr>
        <w:spacing w:line="360" w:lineRule="auto"/>
        <w:ind w:left="360"/>
        <w:jc w:val="both"/>
        <w:rPr>
          <w:rFonts w:ascii="Times New Roman" w:hAnsi="Times New Roman" w:cs="Times New Roman"/>
          <w:color w:val="222222"/>
          <w:sz w:val="24"/>
          <w:szCs w:val="24"/>
          <w:shd w:val="clear" w:color="auto" w:fill="FFFFFF"/>
        </w:rPr>
      </w:pPr>
      <w:proofErr w:type="spellStart"/>
      <w:r w:rsidRPr="0005428A">
        <w:rPr>
          <w:rFonts w:ascii="Times New Roman" w:hAnsi="Times New Roman" w:cs="Times New Roman"/>
          <w:color w:val="222222"/>
          <w:sz w:val="24"/>
          <w:szCs w:val="24"/>
          <w:shd w:val="clear" w:color="auto" w:fill="FFFFFF"/>
        </w:rPr>
        <w:t>Kevorkova</w:t>
      </w:r>
      <w:proofErr w:type="spellEnd"/>
      <w:r w:rsidRPr="0005428A">
        <w:rPr>
          <w:rFonts w:ascii="Times New Roman" w:hAnsi="Times New Roman" w:cs="Times New Roman"/>
          <w:color w:val="222222"/>
          <w:sz w:val="24"/>
          <w:szCs w:val="24"/>
          <w:shd w:val="clear" w:color="auto" w:fill="FFFFFF"/>
        </w:rPr>
        <w:t xml:space="preserve">, Z.A., Petrov, A.M. and </w:t>
      </w:r>
      <w:proofErr w:type="spellStart"/>
      <w:r w:rsidRPr="0005428A">
        <w:rPr>
          <w:rFonts w:ascii="Times New Roman" w:hAnsi="Times New Roman" w:cs="Times New Roman"/>
          <w:color w:val="222222"/>
          <w:sz w:val="24"/>
          <w:szCs w:val="24"/>
          <w:shd w:val="clear" w:color="auto" w:fill="FFFFFF"/>
        </w:rPr>
        <w:t>Savina</w:t>
      </w:r>
      <w:proofErr w:type="spellEnd"/>
      <w:r w:rsidRPr="0005428A">
        <w:rPr>
          <w:rFonts w:ascii="Times New Roman" w:hAnsi="Times New Roman" w:cs="Times New Roman"/>
          <w:color w:val="222222"/>
          <w:sz w:val="24"/>
          <w:szCs w:val="24"/>
          <w:shd w:val="clear" w:color="auto" w:fill="FFFFFF"/>
        </w:rPr>
        <w:t>, N.V. (2019), ‘Towards liabilities of corporate systems. </w:t>
      </w:r>
      <w:r w:rsidRPr="0005428A">
        <w:rPr>
          <w:rFonts w:ascii="Times New Roman" w:hAnsi="Times New Roman" w:cs="Times New Roman"/>
          <w:i/>
          <w:iCs/>
          <w:color w:val="222222"/>
          <w:sz w:val="24"/>
          <w:szCs w:val="24"/>
          <w:shd w:val="clear" w:color="auto" w:fill="FFFFFF"/>
        </w:rPr>
        <w:t xml:space="preserve">International Journal of Civil Engineering and </w:t>
      </w:r>
      <w:proofErr w:type="spellStart"/>
      <w:r w:rsidRPr="0005428A">
        <w:rPr>
          <w:rFonts w:ascii="Times New Roman" w:hAnsi="Times New Roman" w:cs="Times New Roman"/>
          <w:i/>
          <w:iCs/>
          <w:color w:val="222222"/>
          <w:sz w:val="24"/>
          <w:szCs w:val="24"/>
          <w:shd w:val="clear" w:color="auto" w:fill="FFFFFF"/>
        </w:rPr>
        <w:t>Technolog</w:t>
      </w:r>
      <w:proofErr w:type="spellEnd"/>
      <w:r w:rsidRPr="0005428A">
        <w:rPr>
          <w:rFonts w:ascii="Times New Roman" w:hAnsi="Times New Roman" w:cs="Times New Roman"/>
          <w:i/>
          <w:iCs/>
          <w:color w:val="222222"/>
          <w:sz w:val="24"/>
          <w:szCs w:val="24"/>
          <w:shd w:val="clear" w:color="auto" w:fill="FFFFFF"/>
        </w:rPr>
        <w:t>’,</w:t>
      </w:r>
      <w:r w:rsidRPr="0005428A">
        <w:rPr>
          <w:rFonts w:ascii="Times New Roman" w:hAnsi="Times New Roman" w:cs="Times New Roman"/>
          <w:color w:val="222222"/>
          <w:sz w:val="24"/>
          <w:szCs w:val="24"/>
          <w:shd w:val="clear" w:color="auto" w:fill="FFFFFF"/>
        </w:rPr>
        <w:t> </w:t>
      </w:r>
      <w:r w:rsidRPr="0005428A">
        <w:rPr>
          <w:rFonts w:ascii="Times New Roman" w:hAnsi="Times New Roman" w:cs="Times New Roman"/>
          <w:i/>
          <w:iCs/>
          <w:color w:val="222222"/>
          <w:sz w:val="24"/>
          <w:szCs w:val="24"/>
          <w:shd w:val="clear" w:color="auto" w:fill="FFFFFF"/>
        </w:rPr>
        <w:t>10</w:t>
      </w:r>
      <w:r w:rsidRPr="0005428A">
        <w:rPr>
          <w:rFonts w:ascii="Times New Roman" w:hAnsi="Times New Roman" w:cs="Times New Roman"/>
          <w:color w:val="222222"/>
          <w:sz w:val="24"/>
          <w:szCs w:val="24"/>
          <w:shd w:val="clear" w:color="auto" w:fill="FFFFFF"/>
        </w:rPr>
        <w:t>(2), pp.1582-1593.</w:t>
      </w:r>
    </w:p>
    <w:p w14:paraId="469F11DC" w14:textId="4E94519F" w:rsidR="00016C1E" w:rsidRPr="00016C1E" w:rsidRDefault="0054610A" w:rsidP="0005428A">
      <w:pPr>
        <w:pStyle w:val="ListParagraph"/>
        <w:numPr>
          <w:ilvl w:val="0"/>
          <w:numId w:val="3"/>
        </w:numPr>
        <w:spacing w:line="360" w:lineRule="auto"/>
        <w:ind w:left="360"/>
        <w:jc w:val="both"/>
        <w:rPr>
          <w:rFonts w:ascii="Times New Roman" w:hAnsi="Times New Roman" w:cs="Times New Roman"/>
          <w:sz w:val="24"/>
          <w:szCs w:val="24"/>
        </w:rPr>
      </w:pPr>
      <w:r w:rsidRPr="0005428A">
        <w:rPr>
          <w:rFonts w:ascii="Times New Roman" w:hAnsi="Times New Roman" w:cs="Times New Roman"/>
          <w:sz w:val="24"/>
          <w:szCs w:val="24"/>
        </w:rPr>
        <w:t xml:space="preserve">Leonard, K. (2018) What are the examples of assets and </w:t>
      </w:r>
      <w:r w:rsidR="00535FF4" w:rsidRPr="0005428A">
        <w:rPr>
          <w:rFonts w:ascii="Times New Roman" w:hAnsi="Times New Roman" w:cs="Times New Roman"/>
          <w:sz w:val="24"/>
          <w:szCs w:val="24"/>
        </w:rPr>
        <w:t>liabilities.</w:t>
      </w:r>
      <w:r w:rsidRPr="0005428A">
        <w:rPr>
          <w:rFonts w:ascii="Times New Roman" w:hAnsi="Times New Roman" w:cs="Times New Roman"/>
          <w:sz w:val="24"/>
          <w:szCs w:val="24"/>
        </w:rPr>
        <w:t xml:space="preserve"> Available at: https://smallbusiness.chron.com/specific-examples-assets-liabilities-74191.html (Accessed: 17 July 2021)</w:t>
      </w:r>
    </w:p>
    <w:p w14:paraId="5F7D0042" w14:textId="77777777" w:rsidR="00F8786E" w:rsidRPr="0005428A" w:rsidRDefault="00F8786E" w:rsidP="0005428A">
      <w:pPr>
        <w:rPr>
          <w:rFonts w:cs="Times New Roman"/>
          <w:szCs w:val="24"/>
        </w:rPr>
      </w:pPr>
    </w:p>
    <w:sectPr w:rsidR="00F8786E" w:rsidRPr="0005428A" w:rsidSect="0005428A">
      <w:headerReference w:type="default" r:id="rId8"/>
      <w:footerReference w:type="default" r:id="rId9"/>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F6517B" w14:textId="77777777" w:rsidR="00E72207" w:rsidRDefault="00E72207" w:rsidP="0005428A">
      <w:pPr>
        <w:spacing w:after="0" w:line="240" w:lineRule="auto"/>
      </w:pPr>
      <w:r>
        <w:separator/>
      </w:r>
    </w:p>
  </w:endnote>
  <w:endnote w:type="continuationSeparator" w:id="0">
    <w:p w14:paraId="08F1FF79" w14:textId="77777777" w:rsidR="00E72207" w:rsidRDefault="00E72207" w:rsidP="000542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02274"/>
      <w:docPartObj>
        <w:docPartGallery w:val="Page Numbers (Bottom of Page)"/>
        <w:docPartUnique/>
      </w:docPartObj>
    </w:sdtPr>
    <w:sdtEndPr/>
    <w:sdtContent>
      <w:p w14:paraId="481D7AD2" w14:textId="77777777" w:rsidR="00EA46A7" w:rsidRDefault="00EA46A7">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14:paraId="2DFD9A50" w14:textId="77777777" w:rsidR="00EA46A7" w:rsidRDefault="00EA46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2F04A5" w14:textId="77777777" w:rsidR="00E72207" w:rsidRDefault="00E72207" w:rsidP="0005428A">
      <w:pPr>
        <w:spacing w:after="0" w:line="240" w:lineRule="auto"/>
      </w:pPr>
      <w:r>
        <w:separator/>
      </w:r>
    </w:p>
  </w:footnote>
  <w:footnote w:type="continuationSeparator" w:id="0">
    <w:p w14:paraId="6B03890E" w14:textId="77777777" w:rsidR="00E72207" w:rsidRDefault="00E72207" w:rsidP="000542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BCD277" w14:textId="77777777" w:rsidR="00EA46A7" w:rsidRDefault="00EA46A7">
    <w:pPr>
      <w:pStyle w:val="Header"/>
    </w:pPr>
    <w:r>
      <w:rPr>
        <w:noProof/>
      </w:rPr>
      <w:drawing>
        <wp:inline distT="0" distB="0" distL="0" distR="0" wp14:anchorId="07812DD6" wp14:editId="01C81F0C">
          <wp:extent cx="1784985" cy="835025"/>
          <wp:effectExtent l="1905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srcRect/>
                  <a:stretch>
                    <a:fillRect/>
                  </a:stretch>
                </pic:blipFill>
                <pic:spPr bwMode="auto">
                  <a:xfrm>
                    <a:off x="0" y="0"/>
                    <a:ext cx="1784985" cy="835025"/>
                  </a:xfrm>
                  <a:prstGeom prst="rect">
                    <a:avLst/>
                  </a:prstGeom>
                  <a:noFill/>
                  <a:ln w="9525">
                    <a:noFill/>
                    <a:miter lim="800000"/>
                    <a:headEnd/>
                    <a:tailEnd/>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9478C"/>
    <w:multiLevelType w:val="hybridMultilevel"/>
    <w:tmpl w:val="FE128F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0CA0EB2"/>
    <w:multiLevelType w:val="hybridMultilevel"/>
    <w:tmpl w:val="C43E059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4B9D06DC"/>
    <w:multiLevelType w:val="hybridMultilevel"/>
    <w:tmpl w:val="B764067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5D9"/>
    <w:rsid w:val="00007C73"/>
    <w:rsid w:val="0001014F"/>
    <w:rsid w:val="00016C1E"/>
    <w:rsid w:val="0005428A"/>
    <w:rsid w:val="00077A1B"/>
    <w:rsid w:val="000A7650"/>
    <w:rsid w:val="000F2274"/>
    <w:rsid w:val="00166042"/>
    <w:rsid w:val="001A0BDC"/>
    <w:rsid w:val="00240C1B"/>
    <w:rsid w:val="002435D4"/>
    <w:rsid w:val="00254165"/>
    <w:rsid w:val="00344D25"/>
    <w:rsid w:val="00414825"/>
    <w:rsid w:val="004259CB"/>
    <w:rsid w:val="00454B9A"/>
    <w:rsid w:val="00476202"/>
    <w:rsid w:val="005068E0"/>
    <w:rsid w:val="00517FA6"/>
    <w:rsid w:val="00535FF4"/>
    <w:rsid w:val="00545459"/>
    <w:rsid w:val="0054610A"/>
    <w:rsid w:val="005945F1"/>
    <w:rsid w:val="005C1D04"/>
    <w:rsid w:val="005E25D9"/>
    <w:rsid w:val="005E7EEA"/>
    <w:rsid w:val="00604372"/>
    <w:rsid w:val="00711D52"/>
    <w:rsid w:val="00725969"/>
    <w:rsid w:val="00782903"/>
    <w:rsid w:val="00786F88"/>
    <w:rsid w:val="007A1AE6"/>
    <w:rsid w:val="007C1D91"/>
    <w:rsid w:val="007C3C5F"/>
    <w:rsid w:val="007E3309"/>
    <w:rsid w:val="00833070"/>
    <w:rsid w:val="00842953"/>
    <w:rsid w:val="00867958"/>
    <w:rsid w:val="008A3A62"/>
    <w:rsid w:val="008A6074"/>
    <w:rsid w:val="008B5385"/>
    <w:rsid w:val="00906EEB"/>
    <w:rsid w:val="009E3265"/>
    <w:rsid w:val="00A02B1D"/>
    <w:rsid w:val="00A16623"/>
    <w:rsid w:val="00A5750D"/>
    <w:rsid w:val="00A978DB"/>
    <w:rsid w:val="00AC4D29"/>
    <w:rsid w:val="00AF59CF"/>
    <w:rsid w:val="00B91F2A"/>
    <w:rsid w:val="00BF63A0"/>
    <w:rsid w:val="00C53F69"/>
    <w:rsid w:val="00CD1089"/>
    <w:rsid w:val="00CF25FE"/>
    <w:rsid w:val="00D22F17"/>
    <w:rsid w:val="00D36BF2"/>
    <w:rsid w:val="00DC1974"/>
    <w:rsid w:val="00DD5B78"/>
    <w:rsid w:val="00DF4690"/>
    <w:rsid w:val="00E27A89"/>
    <w:rsid w:val="00E72207"/>
    <w:rsid w:val="00E90CD6"/>
    <w:rsid w:val="00EA46A7"/>
    <w:rsid w:val="00F054E0"/>
    <w:rsid w:val="00F30F75"/>
    <w:rsid w:val="00F707F9"/>
    <w:rsid w:val="00F70C36"/>
    <w:rsid w:val="00F878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122B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2274"/>
    <w:pPr>
      <w:spacing w:line="360" w:lineRule="auto"/>
      <w:jc w:val="both"/>
    </w:pPr>
    <w:rPr>
      <w:rFonts w:ascii="Times New Roman" w:hAnsi="Times New Roman"/>
      <w:sz w:val="24"/>
    </w:rPr>
  </w:style>
  <w:style w:type="paragraph" w:styleId="Heading1">
    <w:name w:val="heading 1"/>
    <w:basedOn w:val="Normal"/>
    <w:link w:val="Heading1Char"/>
    <w:autoRedefine/>
    <w:uiPriority w:val="9"/>
    <w:qFormat/>
    <w:rsid w:val="0005428A"/>
    <w:pPr>
      <w:spacing w:before="100" w:beforeAutospacing="1" w:after="100" w:afterAutospacing="1"/>
      <w:outlineLvl w:val="0"/>
    </w:pPr>
    <w:rPr>
      <w:rFonts w:eastAsia="Times New Roman" w:cs="Times New Roman"/>
      <w:b/>
      <w:bCs/>
      <w:kern w:val="36"/>
      <w:sz w:val="32"/>
      <w:szCs w:val="48"/>
    </w:rPr>
  </w:style>
  <w:style w:type="paragraph" w:styleId="Heading2">
    <w:name w:val="heading 2"/>
    <w:basedOn w:val="Normal"/>
    <w:next w:val="Normal"/>
    <w:link w:val="Heading2Char"/>
    <w:autoRedefine/>
    <w:uiPriority w:val="9"/>
    <w:unhideWhenUsed/>
    <w:qFormat/>
    <w:rsid w:val="0005428A"/>
    <w:pPr>
      <w:keepNext/>
      <w:keepLines/>
      <w:spacing w:before="200" w:after="0"/>
      <w:outlineLvl w:val="1"/>
    </w:pPr>
    <w:rPr>
      <w:rFonts w:eastAsiaTheme="majorEastAsia" w:cs="Times New Roman"/>
      <w:b/>
      <w:bCs/>
      <w:sz w:val="28"/>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5C1D04"/>
    <w:pPr>
      <w:spacing w:after="300" w:line="240" w:lineRule="auto"/>
      <w:contextualSpacing/>
      <w:jc w:val="center"/>
    </w:pPr>
    <w:rPr>
      <w:rFonts w:eastAsiaTheme="majorEastAsia" w:cstheme="majorBidi"/>
      <w:b/>
      <w:spacing w:val="5"/>
      <w:kern w:val="28"/>
      <w:sz w:val="56"/>
      <w:szCs w:val="52"/>
    </w:rPr>
  </w:style>
  <w:style w:type="character" w:customStyle="1" w:styleId="TitleChar">
    <w:name w:val="Title Char"/>
    <w:basedOn w:val="DefaultParagraphFont"/>
    <w:link w:val="Title"/>
    <w:uiPriority w:val="10"/>
    <w:rsid w:val="005C1D04"/>
    <w:rPr>
      <w:rFonts w:ascii="Times New Roman" w:eastAsiaTheme="majorEastAsia" w:hAnsi="Times New Roman" w:cstheme="majorBidi"/>
      <w:b/>
      <w:spacing w:val="5"/>
      <w:kern w:val="28"/>
      <w:sz w:val="56"/>
      <w:szCs w:val="52"/>
    </w:rPr>
  </w:style>
  <w:style w:type="character" w:customStyle="1" w:styleId="Heading1Char">
    <w:name w:val="Heading 1 Char"/>
    <w:basedOn w:val="DefaultParagraphFont"/>
    <w:link w:val="Heading1"/>
    <w:uiPriority w:val="9"/>
    <w:rsid w:val="0005428A"/>
    <w:rPr>
      <w:rFonts w:ascii="Times New Roman" w:eastAsia="Times New Roman" w:hAnsi="Times New Roman" w:cs="Times New Roman"/>
      <w:b/>
      <w:bCs/>
      <w:kern w:val="36"/>
      <w:sz w:val="32"/>
      <w:szCs w:val="48"/>
    </w:rPr>
  </w:style>
  <w:style w:type="character" w:customStyle="1" w:styleId="Heading2Char">
    <w:name w:val="Heading 2 Char"/>
    <w:basedOn w:val="DefaultParagraphFont"/>
    <w:link w:val="Heading2"/>
    <w:uiPriority w:val="9"/>
    <w:rsid w:val="0005428A"/>
    <w:rPr>
      <w:rFonts w:ascii="Times New Roman" w:eastAsiaTheme="majorEastAsia" w:hAnsi="Times New Roman" w:cs="Times New Roman"/>
      <w:b/>
      <w:bCs/>
      <w:sz w:val="28"/>
      <w:szCs w:val="24"/>
    </w:rPr>
  </w:style>
  <w:style w:type="paragraph" w:styleId="TOCHeading">
    <w:name w:val="TOC Heading"/>
    <w:basedOn w:val="Heading1"/>
    <w:next w:val="Normal"/>
    <w:autoRedefine/>
    <w:uiPriority w:val="39"/>
    <w:semiHidden/>
    <w:unhideWhenUsed/>
    <w:qFormat/>
    <w:rsid w:val="00725969"/>
    <w:pPr>
      <w:keepNext/>
      <w:keepLines/>
      <w:spacing w:before="480" w:beforeAutospacing="0" w:after="0" w:afterAutospacing="0"/>
      <w:outlineLvl w:val="9"/>
    </w:pPr>
    <w:rPr>
      <w:rFonts w:eastAsiaTheme="majorEastAsia" w:cstheme="majorBidi"/>
      <w:kern w:val="0"/>
      <w:szCs w:val="28"/>
    </w:rPr>
  </w:style>
  <w:style w:type="table" w:styleId="TableGrid">
    <w:name w:val="Table Grid"/>
    <w:basedOn w:val="TableNormal"/>
    <w:uiPriority w:val="59"/>
    <w:rsid w:val="005E25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E25D9"/>
    <w:rPr>
      <w:color w:val="0000FF"/>
      <w:u w:val="single"/>
    </w:rPr>
  </w:style>
  <w:style w:type="paragraph" w:styleId="ListParagraph">
    <w:name w:val="List Paragraph"/>
    <w:basedOn w:val="Normal"/>
    <w:uiPriority w:val="34"/>
    <w:qFormat/>
    <w:rsid w:val="00DC1974"/>
    <w:pPr>
      <w:spacing w:after="160" w:line="259" w:lineRule="auto"/>
      <w:ind w:left="720"/>
      <w:contextualSpacing/>
      <w:jc w:val="left"/>
    </w:pPr>
    <w:rPr>
      <w:rFonts w:asciiTheme="minorHAnsi" w:hAnsiTheme="minorHAnsi"/>
      <w:sz w:val="22"/>
    </w:rPr>
  </w:style>
  <w:style w:type="paragraph" w:styleId="TOC1">
    <w:name w:val="toc 1"/>
    <w:basedOn w:val="Normal"/>
    <w:next w:val="Normal"/>
    <w:autoRedefine/>
    <w:uiPriority w:val="39"/>
    <w:unhideWhenUsed/>
    <w:rsid w:val="0005428A"/>
    <w:pPr>
      <w:spacing w:after="100"/>
    </w:pPr>
  </w:style>
  <w:style w:type="paragraph" w:styleId="TOC2">
    <w:name w:val="toc 2"/>
    <w:basedOn w:val="Normal"/>
    <w:next w:val="Normal"/>
    <w:autoRedefine/>
    <w:uiPriority w:val="39"/>
    <w:unhideWhenUsed/>
    <w:rsid w:val="0005428A"/>
    <w:pPr>
      <w:spacing w:after="100"/>
      <w:ind w:left="240"/>
    </w:pPr>
  </w:style>
  <w:style w:type="paragraph" w:styleId="Header">
    <w:name w:val="header"/>
    <w:basedOn w:val="Normal"/>
    <w:link w:val="HeaderChar"/>
    <w:uiPriority w:val="99"/>
    <w:semiHidden/>
    <w:unhideWhenUsed/>
    <w:rsid w:val="0005428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5428A"/>
    <w:rPr>
      <w:rFonts w:ascii="Times New Roman" w:hAnsi="Times New Roman"/>
      <w:sz w:val="24"/>
    </w:rPr>
  </w:style>
  <w:style w:type="paragraph" w:styleId="Footer">
    <w:name w:val="footer"/>
    <w:basedOn w:val="Normal"/>
    <w:link w:val="FooterChar"/>
    <w:uiPriority w:val="99"/>
    <w:unhideWhenUsed/>
    <w:rsid w:val="0005428A"/>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428A"/>
    <w:rPr>
      <w:rFonts w:ascii="Times New Roman" w:hAnsi="Times New Roman"/>
      <w:sz w:val="24"/>
    </w:rPr>
  </w:style>
  <w:style w:type="paragraph" w:styleId="BalloonText">
    <w:name w:val="Balloon Text"/>
    <w:basedOn w:val="Normal"/>
    <w:link w:val="BalloonTextChar"/>
    <w:uiPriority w:val="99"/>
    <w:semiHidden/>
    <w:unhideWhenUsed/>
    <w:rsid w:val="006043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437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15861">
      <w:bodyDiv w:val="1"/>
      <w:marLeft w:val="0"/>
      <w:marRight w:val="0"/>
      <w:marTop w:val="0"/>
      <w:marBottom w:val="0"/>
      <w:divBdr>
        <w:top w:val="none" w:sz="0" w:space="0" w:color="auto"/>
        <w:left w:val="none" w:sz="0" w:space="0" w:color="auto"/>
        <w:bottom w:val="none" w:sz="0" w:space="0" w:color="auto"/>
        <w:right w:val="none" w:sz="0" w:space="0" w:color="auto"/>
      </w:divBdr>
    </w:div>
    <w:div w:id="67383031">
      <w:bodyDiv w:val="1"/>
      <w:marLeft w:val="0"/>
      <w:marRight w:val="0"/>
      <w:marTop w:val="0"/>
      <w:marBottom w:val="0"/>
      <w:divBdr>
        <w:top w:val="none" w:sz="0" w:space="0" w:color="auto"/>
        <w:left w:val="none" w:sz="0" w:space="0" w:color="auto"/>
        <w:bottom w:val="none" w:sz="0" w:space="0" w:color="auto"/>
        <w:right w:val="none" w:sz="0" w:space="0" w:color="auto"/>
      </w:divBdr>
    </w:div>
    <w:div w:id="212354494">
      <w:bodyDiv w:val="1"/>
      <w:marLeft w:val="0"/>
      <w:marRight w:val="0"/>
      <w:marTop w:val="0"/>
      <w:marBottom w:val="0"/>
      <w:divBdr>
        <w:top w:val="none" w:sz="0" w:space="0" w:color="auto"/>
        <w:left w:val="none" w:sz="0" w:space="0" w:color="auto"/>
        <w:bottom w:val="none" w:sz="0" w:space="0" w:color="auto"/>
        <w:right w:val="none" w:sz="0" w:space="0" w:color="auto"/>
      </w:divBdr>
    </w:div>
    <w:div w:id="265886061">
      <w:bodyDiv w:val="1"/>
      <w:marLeft w:val="0"/>
      <w:marRight w:val="0"/>
      <w:marTop w:val="0"/>
      <w:marBottom w:val="0"/>
      <w:divBdr>
        <w:top w:val="none" w:sz="0" w:space="0" w:color="auto"/>
        <w:left w:val="none" w:sz="0" w:space="0" w:color="auto"/>
        <w:bottom w:val="none" w:sz="0" w:space="0" w:color="auto"/>
        <w:right w:val="none" w:sz="0" w:space="0" w:color="auto"/>
      </w:divBdr>
    </w:div>
    <w:div w:id="268853814">
      <w:bodyDiv w:val="1"/>
      <w:marLeft w:val="0"/>
      <w:marRight w:val="0"/>
      <w:marTop w:val="0"/>
      <w:marBottom w:val="0"/>
      <w:divBdr>
        <w:top w:val="none" w:sz="0" w:space="0" w:color="auto"/>
        <w:left w:val="none" w:sz="0" w:space="0" w:color="auto"/>
        <w:bottom w:val="none" w:sz="0" w:space="0" w:color="auto"/>
        <w:right w:val="none" w:sz="0" w:space="0" w:color="auto"/>
      </w:divBdr>
    </w:div>
    <w:div w:id="765804730">
      <w:bodyDiv w:val="1"/>
      <w:marLeft w:val="0"/>
      <w:marRight w:val="0"/>
      <w:marTop w:val="0"/>
      <w:marBottom w:val="0"/>
      <w:divBdr>
        <w:top w:val="none" w:sz="0" w:space="0" w:color="auto"/>
        <w:left w:val="none" w:sz="0" w:space="0" w:color="auto"/>
        <w:bottom w:val="none" w:sz="0" w:space="0" w:color="auto"/>
        <w:right w:val="none" w:sz="0" w:space="0" w:color="auto"/>
      </w:divBdr>
    </w:div>
    <w:div w:id="1125081945">
      <w:bodyDiv w:val="1"/>
      <w:marLeft w:val="0"/>
      <w:marRight w:val="0"/>
      <w:marTop w:val="0"/>
      <w:marBottom w:val="0"/>
      <w:divBdr>
        <w:top w:val="none" w:sz="0" w:space="0" w:color="auto"/>
        <w:left w:val="none" w:sz="0" w:space="0" w:color="auto"/>
        <w:bottom w:val="none" w:sz="0" w:space="0" w:color="auto"/>
        <w:right w:val="none" w:sz="0" w:space="0" w:color="auto"/>
      </w:divBdr>
    </w:div>
    <w:div w:id="1180466293">
      <w:bodyDiv w:val="1"/>
      <w:marLeft w:val="0"/>
      <w:marRight w:val="0"/>
      <w:marTop w:val="0"/>
      <w:marBottom w:val="0"/>
      <w:divBdr>
        <w:top w:val="none" w:sz="0" w:space="0" w:color="auto"/>
        <w:left w:val="none" w:sz="0" w:space="0" w:color="auto"/>
        <w:bottom w:val="none" w:sz="0" w:space="0" w:color="auto"/>
        <w:right w:val="none" w:sz="0" w:space="0" w:color="auto"/>
      </w:divBdr>
    </w:div>
    <w:div w:id="1645893020">
      <w:bodyDiv w:val="1"/>
      <w:marLeft w:val="0"/>
      <w:marRight w:val="0"/>
      <w:marTop w:val="0"/>
      <w:marBottom w:val="0"/>
      <w:divBdr>
        <w:top w:val="none" w:sz="0" w:space="0" w:color="auto"/>
        <w:left w:val="none" w:sz="0" w:space="0" w:color="auto"/>
        <w:bottom w:val="none" w:sz="0" w:space="0" w:color="auto"/>
        <w:right w:val="none" w:sz="0" w:space="0" w:color="auto"/>
      </w:divBdr>
    </w:div>
    <w:div w:id="1659308327">
      <w:bodyDiv w:val="1"/>
      <w:marLeft w:val="0"/>
      <w:marRight w:val="0"/>
      <w:marTop w:val="0"/>
      <w:marBottom w:val="0"/>
      <w:divBdr>
        <w:top w:val="none" w:sz="0" w:space="0" w:color="auto"/>
        <w:left w:val="none" w:sz="0" w:space="0" w:color="auto"/>
        <w:bottom w:val="none" w:sz="0" w:space="0" w:color="auto"/>
        <w:right w:val="none" w:sz="0" w:space="0" w:color="auto"/>
      </w:divBdr>
    </w:div>
    <w:div w:id="1685395041">
      <w:bodyDiv w:val="1"/>
      <w:marLeft w:val="0"/>
      <w:marRight w:val="0"/>
      <w:marTop w:val="0"/>
      <w:marBottom w:val="0"/>
      <w:divBdr>
        <w:top w:val="none" w:sz="0" w:space="0" w:color="auto"/>
        <w:left w:val="none" w:sz="0" w:space="0" w:color="auto"/>
        <w:bottom w:val="none" w:sz="0" w:space="0" w:color="auto"/>
        <w:right w:val="none" w:sz="0" w:space="0" w:color="auto"/>
      </w:divBdr>
    </w:div>
    <w:div w:id="2120367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7C317AF-D52D-4C2A-A893-43F876419D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2673</Words>
  <Characters>15240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17878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2021-09-02T20:58:00Z</dcterms:created>
  <dcterms:modified xsi:type="dcterms:W3CDTF">2021-09-02T20:58:00Z</dcterms:modified>
</cp:coreProperties>
</file>