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01">
      <w:pPr>
        <w:shd w:fill="ffffff" w:val="clear"/>
        <w:spacing w:line="480" w:lineRule="auto"/>
        <w:contextualSpacing w:val="0"/>
        <w:jc w:val="center"/>
        <w:rPr>
          <w:color w:val="212121"/>
          <w:sz w:val="24"/>
          <w:szCs w:val="24"/>
          <w:u w:val="single"/>
        </w:rPr>
      </w:pPr>
      <w:r w:rsidDel="00000000" w:rsidR="00000000" w:rsidRPr="00000000">
        <w:rPr>
          <w:color w:val="212121"/>
          <w:sz w:val="24"/>
          <w:szCs w:val="24"/>
          <w:u w:val="single"/>
          <w:rtl w:val="0"/>
        </w:rPr>
        <w:t xml:space="preserve">Reflect on and critically evaluate the micro-teaching session, including analysis as to how new technologies can aid in the planning and delivery of teaching and improve the learning experience.</w:t>
      </w:r>
    </w:p>
    <w:p w:rsidR="00000000" w:rsidDel="00000000" w:rsidP="00000000" w:rsidRDefault="00000000" w:rsidRPr="00000000" w14:paraId="00000002">
      <w:pPr>
        <w:spacing w:line="480" w:lineRule="auto"/>
        <w:contextualSpacing w:val="0"/>
        <w:jc w:val="center"/>
        <w:rPr>
          <w:sz w:val="24"/>
          <w:szCs w:val="24"/>
          <w:u w:val="single"/>
        </w:rPr>
      </w:pPr>
      <w:r w:rsidDel="00000000" w:rsidR="00000000" w:rsidRPr="00000000">
        <w:rPr>
          <w:rtl w:val="0"/>
        </w:rPr>
      </w:r>
    </w:p>
    <w:p w:rsidR="00000000" w:rsidDel="00000000" w:rsidP="00000000" w:rsidRDefault="00000000" w:rsidRPr="00000000" w14:paraId="00000003">
      <w:pPr>
        <w:spacing w:line="480" w:lineRule="auto"/>
        <w:contextualSpacing w:val="0"/>
        <w:jc w:val="center"/>
        <w:rPr>
          <w:sz w:val="24"/>
          <w:szCs w:val="24"/>
          <w:u w:val="single"/>
        </w:rPr>
      </w:pPr>
      <w:r w:rsidDel="00000000" w:rsidR="00000000" w:rsidRPr="00000000">
        <w:rPr>
          <w:rtl w:val="0"/>
        </w:rPr>
      </w:r>
    </w:p>
    <w:p w:rsidR="00000000" w:rsidDel="00000000" w:rsidP="00000000" w:rsidRDefault="00000000" w:rsidRPr="00000000" w14:paraId="00000004">
      <w:pPr>
        <w:spacing w:line="480" w:lineRule="auto"/>
        <w:contextualSpacing w:val="0"/>
        <w:rPr>
          <w:sz w:val="24"/>
          <w:szCs w:val="24"/>
        </w:rPr>
      </w:pPr>
      <w:r w:rsidDel="00000000" w:rsidR="00000000" w:rsidRPr="00000000">
        <w:rPr>
          <w:sz w:val="24"/>
          <w:szCs w:val="24"/>
          <w:rtl w:val="0"/>
        </w:rPr>
        <w:t xml:space="preserve">In this paper, I will be focusing on my experiences of the micro teaching session and evaluating it, including the use of emergent technologies within the session. It is evident that the use of technology enhances the teaching and learning experience, particularly when giving thought to the traditional teaching methods (for example, the old “chalk and talk” technique which was used largely in past eras), which, it could be suggested, does not always cater fully to each individual learning style. An example of this could be a learner who learns best through kinesthetic means, for whom processing vast amount of information while sitting in a lecture could prove difficult. Using technology is beneficial to all learners of any learning style and studies have shown great evidence that using emergent technologies enhances the learning experience by enabling learners to become more active in lesson participation, and this also means that learning can be more collaborative and overall a more positive and engaging experience for learners (Fisher and Baird, 2006), (Cviko et al. 2012). As positive as this evidence looks, it is not to say that using emergent technology is not without it’s negatives; there are a number of considerations and variables in any lesson where even with the best planning and foresight, issues can arise and therefore having a contingency plan as a backup for when issues arise is a must, but I will reflect on this more at a later stage within this paper.</w:t>
      </w:r>
    </w:p>
    <w:p w:rsidR="00000000" w:rsidDel="00000000" w:rsidP="00000000" w:rsidRDefault="00000000" w:rsidRPr="00000000" w14:paraId="00000005">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06">
      <w:pPr>
        <w:spacing w:line="480" w:lineRule="auto"/>
        <w:contextualSpacing w:val="0"/>
        <w:rPr>
          <w:sz w:val="24"/>
          <w:szCs w:val="24"/>
        </w:rPr>
      </w:pPr>
      <w:r w:rsidDel="00000000" w:rsidR="00000000" w:rsidRPr="00000000">
        <w:rPr>
          <w:sz w:val="24"/>
          <w:szCs w:val="24"/>
          <w:rtl w:val="0"/>
        </w:rPr>
        <w:t xml:space="preserve">I will be using Gibbs’ reflective model (1988) to analyse my experience; successful reflective practitioners of any field use their experiences not only to see what happened, but also, the steps needed to be taken in how it can influence future practice for the better.</w:t>
      </w:r>
    </w:p>
    <w:p w:rsidR="00000000" w:rsidDel="00000000" w:rsidP="00000000" w:rsidRDefault="00000000" w:rsidRPr="00000000" w14:paraId="00000007">
      <w:pPr>
        <w:spacing w:line="480" w:lineRule="auto"/>
        <w:contextualSpacing w:val="0"/>
        <w:rPr>
          <w:sz w:val="24"/>
          <w:szCs w:val="24"/>
        </w:rPr>
      </w:pPr>
      <w:r w:rsidDel="00000000" w:rsidR="00000000" w:rsidRPr="00000000">
        <w:rPr>
          <w:sz w:val="24"/>
          <w:szCs w:val="24"/>
          <w:rtl w:val="0"/>
        </w:rPr>
        <w:t xml:space="preserve">Gibbs’ reflective model begins by describing the experience and what happened. I will begin by stating that the prospect of micro teaching my peers daunted me, in particular the time constraint of a thirty minute window in which to condense a large subject such as a topic from social care. It could be suggested that teaching social care is challenging as it is predominantly teaching a set of values, rather than a concrete “black and white” concept such as a mathematical or science based subject. </w:t>
      </w:r>
    </w:p>
    <w:p w:rsidR="00000000" w:rsidDel="00000000" w:rsidP="00000000" w:rsidRDefault="00000000" w:rsidRPr="00000000" w14:paraId="00000008">
      <w:pPr>
        <w:spacing w:line="480" w:lineRule="auto"/>
        <w:contextualSpacing w:val="0"/>
        <w:rPr>
          <w:sz w:val="24"/>
          <w:szCs w:val="24"/>
        </w:rPr>
      </w:pPr>
      <w:r w:rsidDel="00000000" w:rsidR="00000000" w:rsidRPr="00000000">
        <w:rPr>
          <w:sz w:val="24"/>
          <w:szCs w:val="24"/>
          <w:rtl w:val="0"/>
        </w:rPr>
        <w:t xml:space="preserve">I decided to choose one of the principles of modern day social care, and that is person centred care (PCC). This is rather a simple, yet subjective topic and highly important in the field of social care, and I felt that the students would be able to grasp it, as it is an issue most people can relate to. The aim of the lesson w</w:t>
      </w:r>
      <w:r w:rsidDel="00000000" w:rsidR="00000000" w:rsidRPr="00000000">
        <w:rPr>
          <w:sz w:val="24"/>
          <w:szCs w:val="24"/>
          <w:rtl w:val="0"/>
        </w:rPr>
        <w:t xml:space="preserve">as </w:t>
      </w:r>
      <w:r w:rsidDel="00000000" w:rsidR="00000000" w:rsidRPr="00000000">
        <w:rPr>
          <w:sz w:val="24"/>
          <w:szCs w:val="24"/>
          <w:rtl w:val="0"/>
        </w:rPr>
        <w:t xml:space="preserve">to introduce the students to the principles of PCC, to discuss the differences in social care provision from when asylums were considered as best practice, and to identify why PCC is vital for best practice. There would also be a discussion of the Social Services and Wellbeing (Wales) Act 2014.</w:t>
      </w:r>
      <w:r w:rsidDel="00000000" w:rsidR="00000000" w:rsidRPr="00000000">
        <w:rPr>
          <w:rtl w:val="0"/>
        </w:rPr>
      </w:r>
    </w:p>
    <w:p w:rsidR="00000000" w:rsidDel="00000000" w:rsidP="00000000" w:rsidRDefault="00000000" w:rsidRPr="00000000" w14:paraId="00000009">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0A">
      <w:pPr>
        <w:spacing w:line="480" w:lineRule="auto"/>
        <w:contextualSpacing w:val="0"/>
        <w:rPr>
          <w:sz w:val="24"/>
          <w:szCs w:val="24"/>
        </w:rPr>
      </w:pPr>
      <w:r w:rsidDel="00000000" w:rsidR="00000000" w:rsidRPr="00000000">
        <w:rPr>
          <w:sz w:val="24"/>
          <w:szCs w:val="24"/>
          <w:rtl w:val="0"/>
        </w:rPr>
        <w:t xml:space="preserve">I began by outlining the lesson objectives via a powerpoint presentation. I had two main objectives, and made sure that these were not overly complicated and were attainable. There were other students in the class who I knew are familiar with PCC but the majority had no knowledge or experience of the topic.  I then played a small clip from a youtube video of a BBC documentary called “Mental”. The best way to ensure that the students understood the gravity of person centred care was to show them the opposite of what it is. It was a dramatic beginning to the lesson, but with good reason; if bad care is shown, then I wanted to encourage them to think reciprocally (Rosenshine and Meister, 1994) and also for them to infer that the opposite of this video must be person centred care, although I ensured that this was discussed blatantly within the lesson. I also felt that when having a group discussion at a later point in the lesson, that the students could refer back to it and it also provided a context for the lesson. Many students questioned asylums and the care shown in the video, and many did not know how holistically damaging that form of care was for many. I wanted to provide a “hook” at the beginning of the lesson to ensure I had their full attention (McCauley et al. 2015).</w:t>
      </w:r>
    </w:p>
    <w:p w:rsidR="00000000" w:rsidDel="00000000" w:rsidP="00000000" w:rsidRDefault="00000000" w:rsidRPr="00000000" w14:paraId="0000000B">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0C">
      <w:pPr>
        <w:spacing w:line="480" w:lineRule="auto"/>
        <w:contextualSpacing w:val="0"/>
        <w:rPr>
          <w:sz w:val="24"/>
          <w:szCs w:val="24"/>
        </w:rPr>
      </w:pPr>
      <w:r w:rsidDel="00000000" w:rsidR="00000000" w:rsidRPr="00000000">
        <w:rPr>
          <w:sz w:val="24"/>
          <w:szCs w:val="24"/>
          <w:rtl w:val="0"/>
        </w:rPr>
        <w:t xml:space="preserve">The video had the intended reaction and the students were engaged when the video ended. I was pleased that this had worked as I had hoped. Following on from the video, there was a silence across the room, and it was apparent that the intended message had been understood by the students. I then proceeded to explain the four principles to person centred care via a diagram on the board. I was careful to avoid filling my slides with vast amounts of information, as from personal experience, it can cause the listener to become disengaged when the speaker begins reading lengthy points. I wanted to keep the students engaged in a collaborative way, and as such, kept my slides relatively bare, with only the main point being written or shown. The benefit of this is that the teacher can show off their knowledge so to speak, and the less information on the slides, the less distracting it is for the students. I feel this is part of being a professional practitioner. </w:t>
      </w:r>
    </w:p>
    <w:p w:rsidR="00000000" w:rsidDel="00000000" w:rsidP="00000000" w:rsidRDefault="00000000" w:rsidRPr="00000000" w14:paraId="0000000D">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0E">
      <w:pPr>
        <w:spacing w:line="480" w:lineRule="auto"/>
        <w:contextualSpacing w:val="0"/>
        <w:rPr>
          <w:sz w:val="24"/>
          <w:szCs w:val="24"/>
        </w:rPr>
      </w:pPr>
      <w:r w:rsidDel="00000000" w:rsidR="00000000" w:rsidRPr="00000000">
        <w:rPr>
          <w:sz w:val="24"/>
          <w:szCs w:val="24"/>
          <w:rtl w:val="0"/>
        </w:rPr>
        <w:t xml:space="preserve">I then moved on to the Welsh context of person centred care, namely the Social Services and Wellbeing (Wales) Act 2014, and focused on the Voice and Control aspect of the Act. After giving this information, I had the class discuss in groups the two main points which were; discuss in your groups what you think is meant by the term “person centred”, and also, “considering the BBC clip at the beginning, how has social care provision changed?”. </w:t>
      </w:r>
    </w:p>
    <w:p w:rsidR="00000000" w:rsidDel="00000000" w:rsidP="00000000" w:rsidRDefault="00000000" w:rsidRPr="00000000" w14:paraId="0000000F">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10">
      <w:pPr>
        <w:spacing w:line="480" w:lineRule="auto"/>
        <w:contextualSpacing w:val="0"/>
        <w:rPr>
          <w:sz w:val="24"/>
          <w:szCs w:val="24"/>
        </w:rPr>
      </w:pPr>
      <w:r w:rsidDel="00000000" w:rsidR="00000000" w:rsidRPr="00000000">
        <w:rPr>
          <w:sz w:val="24"/>
          <w:szCs w:val="24"/>
          <w:rtl w:val="0"/>
        </w:rPr>
        <w:t xml:space="preserve">While the groups were discussing these points, I made sure to visit each group around the class and listened to the discussions and offered any help to the students. Several good points were raised while I was visiting each group. After around the five minute mark, I then ended the discussion and had the students feedback the points they discussed in their groups. This allowed me to assess their understanding of PCC and whether they had grasped the concept, especially as I was aware that many had no previous subject knowledge of person centred care. </w:t>
      </w:r>
    </w:p>
    <w:p w:rsidR="00000000" w:rsidDel="00000000" w:rsidP="00000000" w:rsidRDefault="00000000" w:rsidRPr="00000000" w14:paraId="00000011">
      <w:pPr>
        <w:spacing w:line="480" w:lineRule="auto"/>
        <w:contextualSpacing w:val="0"/>
        <w:rPr>
          <w:sz w:val="24"/>
          <w:szCs w:val="24"/>
        </w:rPr>
      </w:pPr>
      <w:r w:rsidDel="00000000" w:rsidR="00000000" w:rsidRPr="00000000">
        <w:rPr>
          <w:sz w:val="24"/>
          <w:szCs w:val="24"/>
          <w:rtl w:val="0"/>
        </w:rPr>
        <w:t xml:space="preserve">It became clear from the feedback that the video had impacted the students, and from a social care perspective, this was positive, as it highlighted the injustices of institutionalisation and got the students to talk about the issue. I felt it had worked well as a hook, although some had stated that they felt the video to be too long. While I acknowledge the constructive comments about the video, I make no apologies for it, and do not feel it was too long. The video needed to be shown up until the four minute mark as it made a valid point that I wanted to discuss, and without the video, there would not have been sufficient groundwork for the PCC argument. I can see from the perspective of the person who felt it was too long is coming from, however, this was not a presentation, but a lesson; my lesson on my subject, and as such, it is up to me to decide what content I want to show my students. If it had been a presentation, then perhaps it could be argued that the video was in fact too long, but it was a lesson, not a presentation. Perhaps the lines between what a presentation is and what a lesson is had been blurred by some students. </w:t>
      </w:r>
    </w:p>
    <w:p w:rsidR="00000000" w:rsidDel="00000000" w:rsidP="00000000" w:rsidRDefault="00000000" w:rsidRPr="00000000" w14:paraId="00000012">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13">
      <w:pPr>
        <w:spacing w:line="480" w:lineRule="auto"/>
        <w:contextualSpacing w:val="0"/>
        <w:rPr>
          <w:sz w:val="24"/>
          <w:szCs w:val="24"/>
        </w:rPr>
      </w:pPr>
      <w:r w:rsidDel="00000000" w:rsidR="00000000" w:rsidRPr="00000000">
        <w:rPr>
          <w:sz w:val="24"/>
          <w:szCs w:val="24"/>
          <w:rtl w:val="0"/>
        </w:rPr>
        <w:t xml:space="preserve">Overall, the feedback generated was very positive, with many students making very valid points. I felt it had clearly impacted on the students and many of them said they did not realise that institutionalisation was such a negative and difficult experience for many people. This highlighted the PCC cause, and also ensured that the learning objectives were met, which wer</w:t>
      </w:r>
      <w:r w:rsidDel="00000000" w:rsidR="00000000" w:rsidRPr="00000000">
        <w:rPr>
          <w:sz w:val="24"/>
          <w:szCs w:val="24"/>
          <w:rtl w:val="0"/>
        </w:rPr>
        <w:t xml:space="preserve">e to i</w:t>
      </w:r>
      <w:r w:rsidDel="00000000" w:rsidR="00000000" w:rsidRPr="00000000">
        <w:rPr>
          <w:sz w:val="24"/>
          <w:szCs w:val="24"/>
          <w:rtl w:val="0"/>
        </w:rPr>
        <w:t xml:space="preserve">dentify the principles of person centred care and to recognise the differences in social care provision from institutionalisation to community based care. </w:t>
      </w:r>
    </w:p>
    <w:p w:rsidR="00000000" w:rsidDel="00000000" w:rsidP="00000000" w:rsidRDefault="00000000" w:rsidRPr="00000000" w14:paraId="00000014">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15">
      <w:pPr>
        <w:spacing w:line="480" w:lineRule="auto"/>
        <w:contextualSpacing w:val="0"/>
        <w:rPr>
          <w:sz w:val="24"/>
          <w:szCs w:val="24"/>
        </w:rPr>
      </w:pPr>
      <w:r w:rsidDel="00000000" w:rsidR="00000000" w:rsidRPr="00000000">
        <w:rPr>
          <w:sz w:val="24"/>
          <w:szCs w:val="24"/>
          <w:rtl w:val="0"/>
        </w:rPr>
        <w:t xml:space="preserve">I ended the lesson by summarising what had been discussed in the lesson, and by stating that from what I heard discussed and from the feedback received, that the learning objectives had been met. The lesson feedback from the students was very positive, and I felt encouraged that many had been impacted and had learned about person centred care. In the event that the lesson had not turned out the way I had hoped, I had a contingency plan, which was a second two minute video called “What is person centred care?” by the Health Foundation. I had a separate slide on the powerpoint for this video, in case the feedback demonstrated that the students had not grasped the concept of person centred care. When teaching sixteen and seventeen year olds (which I will be on placement), it must be assumed that not all students will know the topic or the terminology of what it is I will be teaching. It is vital to have a contingency plan also, in case the students work through the tasks quickly and there is time left, or that they do not understand the topic or task.</w:t>
      </w:r>
    </w:p>
    <w:p w:rsidR="00000000" w:rsidDel="00000000" w:rsidP="00000000" w:rsidRDefault="00000000" w:rsidRPr="00000000" w14:paraId="00000016">
      <w:pPr>
        <w:spacing w:line="480" w:lineRule="auto"/>
        <w:contextualSpacing w:val="0"/>
        <w:rPr>
          <w:sz w:val="24"/>
          <w:szCs w:val="24"/>
        </w:rPr>
      </w:pPr>
      <w:r w:rsidDel="00000000" w:rsidR="00000000" w:rsidRPr="00000000">
        <w:rPr>
          <w:sz w:val="24"/>
          <w:szCs w:val="24"/>
          <w:rtl w:val="0"/>
        </w:rPr>
        <w:t xml:space="preserve">It was clear from the feedback that the second video clip was not needed, and time constraints meant that my slot did not allow for it in the end. However, the safety net of having that second video clip meant that I could teach confidently, knowing that I had plenty of content prepared for my lesson in the event that (a) the students had not understood the concept, and (b) to fill time.</w:t>
      </w:r>
    </w:p>
    <w:p w:rsidR="00000000" w:rsidDel="00000000" w:rsidP="00000000" w:rsidRDefault="00000000" w:rsidRPr="00000000" w14:paraId="00000017">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18">
      <w:pPr>
        <w:spacing w:line="480" w:lineRule="auto"/>
        <w:contextualSpacing w:val="0"/>
        <w:rPr>
          <w:sz w:val="24"/>
          <w:szCs w:val="24"/>
        </w:rPr>
      </w:pPr>
      <w:r w:rsidDel="00000000" w:rsidR="00000000" w:rsidRPr="00000000">
        <w:rPr>
          <w:sz w:val="24"/>
          <w:szCs w:val="24"/>
          <w:rtl w:val="0"/>
        </w:rPr>
        <w:t xml:space="preserve"> I felt the lesson had been successful, but took on board the points given; the video being too long and also the need to distance myself during class discussions. Overall, I felt the following standards from the UK Professional Standards Framework (2011) applied to my teaching and lesson: </w:t>
      </w:r>
    </w:p>
    <w:p w:rsidR="00000000" w:rsidDel="00000000" w:rsidP="00000000" w:rsidRDefault="00000000" w:rsidRPr="00000000" w14:paraId="00000019">
      <w:pPr>
        <w:spacing w:line="480" w:lineRule="auto"/>
        <w:contextualSpacing w:val="0"/>
        <w:jc w:val="both"/>
        <w:rPr>
          <w:sz w:val="24"/>
          <w:szCs w:val="24"/>
        </w:rPr>
      </w:pPr>
      <w:r w:rsidDel="00000000" w:rsidR="00000000" w:rsidRPr="00000000">
        <w:rPr>
          <w:sz w:val="24"/>
          <w:szCs w:val="24"/>
          <w:rtl w:val="0"/>
        </w:rPr>
        <w:t xml:space="preserve">A1 - I designed and planned my learning activity which will teach HE students about the principles of PCC.</w:t>
      </w:r>
    </w:p>
    <w:p w:rsidR="00000000" w:rsidDel="00000000" w:rsidP="00000000" w:rsidRDefault="00000000" w:rsidRPr="00000000" w14:paraId="0000001A">
      <w:pPr>
        <w:spacing w:line="480" w:lineRule="auto"/>
        <w:contextualSpacing w:val="0"/>
        <w:jc w:val="both"/>
        <w:rPr>
          <w:sz w:val="24"/>
          <w:szCs w:val="24"/>
        </w:rPr>
      </w:pPr>
      <w:r w:rsidDel="00000000" w:rsidR="00000000" w:rsidRPr="00000000">
        <w:rPr>
          <w:sz w:val="24"/>
          <w:szCs w:val="24"/>
          <w:rtl w:val="0"/>
        </w:rPr>
        <w:t xml:space="preserve">A2 - I taught the students about PCC, how and why it is important for vulnerable people, and the legislation which supports it.</w:t>
      </w:r>
    </w:p>
    <w:p w:rsidR="00000000" w:rsidDel="00000000" w:rsidP="00000000" w:rsidRDefault="00000000" w:rsidRPr="00000000" w14:paraId="0000001B">
      <w:pPr>
        <w:spacing w:line="480" w:lineRule="auto"/>
        <w:contextualSpacing w:val="0"/>
        <w:jc w:val="both"/>
        <w:rPr>
          <w:sz w:val="24"/>
          <w:szCs w:val="24"/>
        </w:rPr>
      </w:pPr>
      <w:r w:rsidDel="00000000" w:rsidR="00000000" w:rsidRPr="00000000">
        <w:rPr>
          <w:sz w:val="24"/>
          <w:szCs w:val="24"/>
          <w:rtl w:val="0"/>
        </w:rPr>
        <w:t xml:space="preserve">A3 - After discussing PCC, Voice and Control and the BBC footage, the students gave feedback, which gave me an opportunity to assess their knowledge on the core principles of PCC and how they can be implemented.</w:t>
      </w:r>
    </w:p>
    <w:p w:rsidR="00000000" w:rsidDel="00000000" w:rsidP="00000000" w:rsidRDefault="00000000" w:rsidRPr="00000000" w14:paraId="0000001C">
      <w:pPr>
        <w:spacing w:line="480" w:lineRule="auto"/>
        <w:contextualSpacing w:val="0"/>
        <w:jc w:val="both"/>
        <w:rPr>
          <w:sz w:val="24"/>
          <w:szCs w:val="24"/>
        </w:rPr>
      </w:pPr>
      <w:r w:rsidDel="00000000" w:rsidR="00000000" w:rsidRPr="00000000">
        <w:rPr>
          <w:sz w:val="24"/>
          <w:szCs w:val="24"/>
          <w:rtl w:val="0"/>
        </w:rPr>
        <w:t xml:space="preserve">K1 - I demonstrated knowledge of my subject material by introducing the core principles of PCC and the legislation which supports it.</w:t>
      </w:r>
    </w:p>
    <w:p w:rsidR="00000000" w:rsidDel="00000000" w:rsidP="00000000" w:rsidRDefault="00000000" w:rsidRPr="00000000" w14:paraId="0000001D">
      <w:pPr>
        <w:spacing w:line="480" w:lineRule="auto"/>
        <w:contextualSpacing w:val="0"/>
        <w:jc w:val="both"/>
        <w:rPr>
          <w:sz w:val="24"/>
          <w:szCs w:val="24"/>
        </w:rPr>
      </w:pPr>
      <w:r w:rsidDel="00000000" w:rsidR="00000000" w:rsidRPr="00000000">
        <w:rPr>
          <w:sz w:val="24"/>
          <w:szCs w:val="24"/>
          <w:rtl w:val="0"/>
        </w:rPr>
        <w:t xml:space="preserve">K4 - I used powerpoint and showing the students a video. </w:t>
      </w:r>
    </w:p>
    <w:p w:rsidR="00000000" w:rsidDel="00000000" w:rsidP="00000000" w:rsidRDefault="00000000" w:rsidRPr="00000000" w14:paraId="0000001E">
      <w:pP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1F">
      <w:pPr>
        <w:spacing w:line="480" w:lineRule="auto"/>
        <w:contextualSpacing w:val="0"/>
        <w:jc w:val="both"/>
        <w:rPr>
          <w:sz w:val="24"/>
          <w:szCs w:val="24"/>
        </w:rPr>
      </w:pPr>
      <w:r w:rsidDel="00000000" w:rsidR="00000000" w:rsidRPr="00000000">
        <w:rPr>
          <w:sz w:val="24"/>
          <w:szCs w:val="24"/>
          <w:rtl w:val="0"/>
        </w:rPr>
        <w:t xml:space="preserve">V1, V2, V4 - I have a sound value base in anti discriminatory practice (Equality Act, 2010) and the Code of Professional Practice for Social Care (2015), and therefore, I conducted my lesson in such a way that I valued every member of the class, and respected diversity. I understand there may be cultural differences and varied views, and that I needed to remain pragmatic and objective as a teacher, while encouraging discussion and debate.</w:t>
      </w:r>
    </w:p>
    <w:p w:rsidR="00000000" w:rsidDel="00000000" w:rsidP="00000000" w:rsidRDefault="00000000" w:rsidRPr="00000000" w14:paraId="00000020">
      <w:pPr>
        <w:spacing w:line="480" w:lineRule="auto"/>
        <w:contextualSpacing w:val="0"/>
        <w:jc w:val="left"/>
        <w:rPr>
          <w:sz w:val="24"/>
          <w:szCs w:val="24"/>
          <w:u w:val="single"/>
        </w:rPr>
      </w:pPr>
      <w:r w:rsidDel="00000000" w:rsidR="00000000" w:rsidRPr="00000000">
        <w:rPr>
          <w:rtl w:val="0"/>
        </w:rPr>
      </w:r>
    </w:p>
    <w:p w:rsidR="00000000" w:rsidDel="00000000" w:rsidP="00000000" w:rsidRDefault="00000000" w:rsidRPr="00000000" w14:paraId="00000021">
      <w:pPr>
        <w:spacing w:line="480" w:lineRule="auto"/>
        <w:contextualSpacing w:val="0"/>
        <w:jc w:val="center"/>
        <w:rPr>
          <w:sz w:val="24"/>
          <w:szCs w:val="24"/>
          <w:u w:val="single"/>
        </w:rPr>
      </w:pPr>
      <w:r w:rsidDel="00000000" w:rsidR="00000000" w:rsidRPr="00000000">
        <w:rPr>
          <w:sz w:val="24"/>
          <w:szCs w:val="24"/>
          <w:u w:val="single"/>
          <w:rtl w:val="0"/>
        </w:rPr>
        <w:t xml:space="preserve">_________________________________________</w:t>
      </w:r>
      <w:r w:rsidDel="00000000" w:rsidR="00000000" w:rsidRPr="00000000">
        <w:rPr>
          <w:rtl w:val="0"/>
        </w:rPr>
      </w:r>
    </w:p>
    <w:p w:rsidR="00000000" w:rsidDel="00000000" w:rsidP="00000000" w:rsidRDefault="00000000" w:rsidRPr="00000000" w14:paraId="00000022">
      <w:pPr>
        <w:spacing w:line="480" w:lineRule="auto"/>
        <w:contextualSpacing w:val="0"/>
        <w:jc w:val="center"/>
        <w:rPr>
          <w:sz w:val="24"/>
          <w:szCs w:val="24"/>
          <w:u w:val="single"/>
        </w:rPr>
      </w:pPr>
      <w:r w:rsidDel="00000000" w:rsidR="00000000" w:rsidRPr="00000000">
        <w:rPr>
          <w:rtl w:val="0"/>
        </w:rPr>
      </w:r>
    </w:p>
    <w:p w:rsidR="00000000" w:rsidDel="00000000" w:rsidP="00000000" w:rsidRDefault="00000000" w:rsidRPr="00000000" w14:paraId="00000023">
      <w:pPr>
        <w:shd w:fill="ffffff" w:val="clear"/>
        <w:spacing w:line="480" w:lineRule="auto"/>
        <w:contextualSpacing w:val="0"/>
        <w:jc w:val="center"/>
        <w:rPr>
          <w:color w:val="212121"/>
          <w:sz w:val="24"/>
          <w:szCs w:val="24"/>
          <w:u w:val="single"/>
        </w:rPr>
      </w:pPr>
      <w:r w:rsidDel="00000000" w:rsidR="00000000" w:rsidRPr="00000000">
        <w:rPr>
          <w:color w:val="212121"/>
          <w:sz w:val="24"/>
          <w:szCs w:val="24"/>
          <w:u w:val="single"/>
          <w:rtl w:val="0"/>
        </w:rPr>
        <w:t xml:space="preserve">Critically review current literature related to the traditional and digital teaching and learning strategies used.</w:t>
      </w:r>
    </w:p>
    <w:p w:rsidR="00000000" w:rsidDel="00000000" w:rsidP="00000000" w:rsidRDefault="00000000" w:rsidRPr="00000000" w14:paraId="00000024">
      <w:pPr>
        <w:shd w:fill="ffffff" w:val="clear"/>
        <w:spacing w:line="480" w:lineRule="auto"/>
        <w:contextualSpacing w:val="0"/>
        <w:rPr>
          <w:color w:val="212121"/>
          <w:sz w:val="24"/>
          <w:szCs w:val="24"/>
        </w:rPr>
      </w:pPr>
      <w:r w:rsidDel="00000000" w:rsidR="00000000" w:rsidRPr="00000000">
        <w:rPr>
          <w:color w:val="212121"/>
          <w:sz w:val="24"/>
          <w:szCs w:val="24"/>
          <w:rtl w:val="0"/>
        </w:rPr>
        <w:t xml:space="preserve">In today’s world, it is becoming vital that individuals not only have qualifications, but a set of transferable skills which can be taken into any workplace. Being knowledgeable about emergent technologies and also having the ability to implement this knowledge is a skill which many employers, and the world today as we know it, sees as a necessary requirement (Dougherty, 2012).  Perhaps we take for granted being able to send a text message or “Google” a fact; but even thirty years ago, these things were unheard of. The idea of using Kahoot in a lesson might have offended many in educational institutions at the time; something which would not have entered the mind of many. Indeed, we have made significant advancements in technology in our lifetime. The chalk and talk days have been left behind for the most part. </w:t>
      </w:r>
    </w:p>
    <w:p w:rsidR="00000000" w:rsidDel="00000000" w:rsidP="00000000" w:rsidRDefault="00000000" w:rsidRPr="00000000" w14:paraId="00000025">
      <w:pPr>
        <w:shd w:fill="ffffff" w:val="clear"/>
        <w:spacing w:line="480" w:lineRule="auto"/>
        <w:contextualSpacing w:val="0"/>
        <w:rPr>
          <w:color w:val="333333"/>
          <w:sz w:val="20"/>
          <w:szCs w:val="20"/>
        </w:rPr>
      </w:pPr>
      <w:r w:rsidDel="00000000" w:rsidR="00000000" w:rsidRPr="00000000">
        <w:rPr>
          <w:rtl w:val="0"/>
        </w:rPr>
      </w:r>
    </w:p>
    <w:p w:rsidR="00000000" w:rsidDel="00000000" w:rsidP="00000000" w:rsidRDefault="00000000" w:rsidRPr="00000000" w14:paraId="00000026">
      <w:pPr>
        <w:shd w:fill="ffffff" w:val="clear"/>
        <w:spacing w:line="480" w:lineRule="auto"/>
        <w:contextualSpacing w:val="0"/>
        <w:rPr>
          <w:color w:val="333333"/>
          <w:sz w:val="24"/>
          <w:szCs w:val="24"/>
        </w:rPr>
      </w:pPr>
      <w:r w:rsidDel="00000000" w:rsidR="00000000" w:rsidRPr="00000000">
        <w:rPr>
          <w:color w:val="333333"/>
          <w:sz w:val="24"/>
          <w:szCs w:val="24"/>
          <w:rtl w:val="0"/>
        </w:rPr>
        <w:t xml:space="preserve">There are many challenges to using technology in educational settings. In many ways, having instant access to a web of information has many advantages for the learner and the teacher. The answer to a question at the fingertips; but arguably the drawback to this is having smartphones in class, which can pose as a distraction to students and teachers. A positive angle on this is that the student can become more independent in their research of a topic, rather than becoming “spoon fed” by teachers in a Pedagogy of the Oppressed (Freire, 1970) manner.</w:t>
      </w:r>
    </w:p>
    <w:p w:rsidR="00000000" w:rsidDel="00000000" w:rsidP="00000000" w:rsidRDefault="00000000" w:rsidRPr="00000000" w14:paraId="00000027">
      <w:pPr>
        <w:shd w:fill="ffffff" w:val="clear"/>
        <w:spacing w:line="480" w:lineRule="auto"/>
        <w:contextualSpacing w:val="0"/>
        <w:rPr>
          <w:color w:val="333333"/>
          <w:sz w:val="24"/>
          <w:szCs w:val="24"/>
        </w:rPr>
      </w:pPr>
      <w:r w:rsidDel="00000000" w:rsidR="00000000" w:rsidRPr="00000000">
        <w:rPr>
          <w:rtl w:val="0"/>
        </w:rPr>
      </w:r>
    </w:p>
    <w:p w:rsidR="00000000" w:rsidDel="00000000" w:rsidP="00000000" w:rsidRDefault="00000000" w:rsidRPr="00000000" w14:paraId="00000028">
      <w:pPr>
        <w:shd w:fill="ffffff" w:val="clear"/>
        <w:spacing w:line="480" w:lineRule="auto"/>
        <w:contextualSpacing w:val="0"/>
        <w:rPr>
          <w:color w:val="333333"/>
          <w:sz w:val="24"/>
          <w:szCs w:val="24"/>
        </w:rPr>
      </w:pPr>
      <w:r w:rsidDel="00000000" w:rsidR="00000000" w:rsidRPr="00000000">
        <w:rPr>
          <w:color w:val="333333"/>
          <w:sz w:val="24"/>
          <w:szCs w:val="24"/>
          <w:rtl w:val="0"/>
        </w:rPr>
        <w:t xml:space="preserve">Having emergent technologies in the classroom provides a far more interactive learning experience for students, which studies have shown increases student engagement, enhances the teaching, and provides the necessary “scaffolding” to encourage independent learning where students carry out more of their own research and come to their own conclusions, (Dougherty 2012). It could be argued that this is teaching students the necessary skills to become independent, forward thinking and innovative professionals. The bloggers and vloggers of this world have indeed set a blueprint for the future generations to use web based platforms to work and collaborate with others and again, this strengthens the case for using emergent technology in education and learning.</w:t>
      </w:r>
    </w:p>
    <w:p w:rsidR="00000000" w:rsidDel="00000000" w:rsidP="00000000" w:rsidRDefault="00000000" w:rsidRPr="00000000" w14:paraId="00000029">
      <w:pPr>
        <w:shd w:fill="ffffff" w:val="clear"/>
        <w:spacing w:line="480" w:lineRule="auto"/>
        <w:contextualSpacing w:val="0"/>
        <w:rPr>
          <w:color w:val="333333"/>
          <w:sz w:val="24"/>
          <w:szCs w:val="24"/>
        </w:rPr>
      </w:pPr>
      <w:r w:rsidDel="00000000" w:rsidR="00000000" w:rsidRPr="00000000">
        <w:rPr>
          <w:rtl w:val="0"/>
        </w:rPr>
      </w:r>
    </w:p>
    <w:p w:rsidR="00000000" w:rsidDel="00000000" w:rsidP="00000000" w:rsidRDefault="00000000" w:rsidRPr="00000000" w14:paraId="0000002A">
      <w:pPr>
        <w:shd w:fill="ffffff" w:val="clear"/>
        <w:spacing w:line="480" w:lineRule="auto"/>
        <w:contextualSpacing w:val="0"/>
        <w:rPr>
          <w:color w:val="333333"/>
          <w:sz w:val="24"/>
          <w:szCs w:val="24"/>
        </w:rPr>
      </w:pPr>
      <w:r w:rsidDel="00000000" w:rsidR="00000000" w:rsidRPr="00000000">
        <w:rPr>
          <w:color w:val="333333"/>
          <w:sz w:val="24"/>
          <w:szCs w:val="24"/>
          <w:rtl w:val="0"/>
        </w:rPr>
        <w:t xml:space="preserve">“Flipping” the classroom has many advantages; it keeps students focused and engaged, and caters for the various learning styles. Flipping the classroom entails using various learning activities to enhance interest and engagement Using emergent technologies is a very effective way to implement this teaching strategy. For example, the teacher could introduce the topic, lead a discussion, and then the students could do their own research from their phones or laptops. The lesson could then incorporate a podcast or clicker games such as Kahoot. There are many variables and many technological resources that could be incorporated to allow for greater student participation and independent learning, these could be Skype lessons, online collaboration projects (for example, Google Classroom and Google Drive), using tablets and smartphones etc, (SMU, Nd). Contrary to the positives is that technology is relient on a resource which mankind now depends on without thinking twice about it; electricity! Although highly unlikely, it is still possible to experience power cuts. In the unlikely event that this were to happen, and your lesson was entirely technologically based, it is vital to have a contingency plan in place which does not rely on technology. Not only power cuts, but perhaps for whatever reason, the chromebooks are not available, or the students did not bring their phones (I imagine that this would be extremely unlikely knowing how many students seem glued to their phones) for some reason, then having a paper and pen, or an aural/oral activity would be required. </w:t>
      </w:r>
    </w:p>
    <w:p w:rsidR="00000000" w:rsidDel="00000000" w:rsidP="00000000" w:rsidRDefault="00000000" w:rsidRPr="00000000" w14:paraId="0000002B">
      <w:pPr>
        <w:shd w:fill="ffffff" w:val="clear"/>
        <w:spacing w:line="480" w:lineRule="auto"/>
        <w:contextualSpacing w:val="0"/>
        <w:rPr>
          <w:color w:val="333333"/>
          <w:sz w:val="24"/>
          <w:szCs w:val="24"/>
        </w:rPr>
      </w:pPr>
      <w:r w:rsidDel="00000000" w:rsidR="00000000" w:rsidRPr="00000000">
        <w:rPr>
          <w:rtl w:val="0"/>
        </w:rPr>
      </w:r>
    </w:p>
    <w:p w:rsidR="00000000" w:rsidDel="00000000" w:rsidP="00000000" w:rsidRDefault="00000000" w:rsidRPr="00000000" w14:paraId="0000002C">
      <w:pPr>
        <w:shd w:fill="ffffff" w:val="clear"/>
        <w:spacing w:line="480" w:lineRule="auto"/>
        <w:contextualSpacing w:val="0"/>
        <w:rPr>
          <w:color w:val="333333"/>
          <w:sz w:val="24"/>
          <w:szCs w:val="24"/>
        </w:rPr>
      </w:pPr>
      <w:r w:rsidDel="00000000" w:rsidR="00000000" w:rsidRPr="00000000">
        <w:rPr>
          <w:color w:val="333333"/>
          <w:sz w:val="24"/>
          <w:szCs w:val="24"/>
          <w:rtl w:val="0"/>
        </w:rPr>
        <w:t xml:space="preserve">As mentioned above, Pedagogy of the Oppressed (Freire, 1970) fundamentally challenged the way educators related to students and the rest of society as a whole by arguing that the way in which students learned from their teachers was traditionally via the banking model of education. Freire wrote this revolutionary book during a time when the banking model was the traditional way in which teaching and learning was done. The banking model sees students as completely empty vessels, and it could be inferred from the way in which Freire writes, as incapable of becoming independent learners. Freire claims that oppressing learners in this way dehumanises the student and the teacher. Critical thinking, or “critical consciousness” is discouraged in the banking model, which sees students as receiving the “gift of knowledge” from the teacher. It could be suggested that this traditional view is highly condescending and patronising, and renders the learner incapacitated to be able to take control of his or her own learning experience. While this is not the case for all traditional forms of learning and education, and I am not making any sweeping generalisations about this, it could be said that incorporating emergent technologies into the classroom has shifted the perspective of teaching and learning styles. The learner has become less passive and more engaged, and the teacher has allowed the student to become far more involved and vocal in their learning experience. </w:t>
      </w:r>
    </w:p>
    <w:p w:rsidR="00000000" w:rsidDel="00000000" w:rsidP="00000000" w:rsidRDefault="00000000" w:rsidRPr="00000000" w14:paraId="0000002D">
      <w:pPr>
        <w:shd w:fill="ffffff" w:val="clear"/>
        <w:spacing w:line="480" w:lineRule="auto"/>
        <w:contextualSpacing w:val="0"/>
        <w:rPr>
          <w:color w:val="333333"/>
          <w:sz w:val="24"/>
          <w:szCs w:val="24"/>
        </w:rPr>
      </w:pPr>
      <w:r w:rsidDel="00000000" w:rsidR="00000000" w:rsidRPr="00000000">
        <w:rPr>
          <w:rtl w:val="0"/>
        </w:rPr>
      </w:r>
    </w:p>
    <w:p w:rsidR="00000000" w:rsidDel="00000000" w:rsidP="00000000" w:rsidRDefault="00000000" w:rsidRPr="00000000" w14:paraId="0000002E">
      <w:pPr>
        <w:shd w:fill="ffffff" w:val="clear"/>
        <w:spacing w:line="480" w:lineRule="auto"/>
        <w:contextualSpacing w:val="0"/>
        <w:rPr>
          <w:color w:val="333333"/>
          <w:sz w:val="24"/>
          <w:szCs w:val="24"/>
        </w:rPr>
      </w:pPr>
      <w:r w:rsidDel="00000000" w:rsidR="00000000" w:rsidRPr="00000000">
        <w:rPr>
          <w:color w:val="333333"/>
          <w:sz w:val="24"/>
          <w:szCs w:val="24"/>
          <w:rtl w:val="0"/>
        </w:rPr>
        <w:t xml:space="preserve">I believe that we are at the tip of the iceberg in terms of how using emergent technology can cater for all learners, and make education a better experience for all, especially those who may have been labelled as “non academic” in the past. Collaborative and interactive learning is the way forward. </w:t>
      </w:r>
    </w:p>
    <w:p w:rsidR="00000000" w:rsidDel="00000000" w:rsidP="00000000" w:rsidRDefault="00000000" w:rsidRPr="00000000" w14:paraId="0000002F">
      <w:pPr>
        <w:shd w:fill="ffffff" w:val="clear"/>
        <w:spacing w:line="480" w:lineRule="auto"/>
        <w:contextualSpacing w:val="0"/>
        <w:rPr>
          <w:color w:val="333333"/>
          <w:sz w:val="24"/>
          <w:szCs w:val="24"/>
        </w:rPr>
      </w:pPr>
      <w:r w:rsidDel="00000000" w:rsidR="00000000" w:rsidRPr="00000000">
        <w:rPr>
          <w:rtl w:val="0"/>
        </w:rPr>
      </w:r>
    </w:p>
    <w:p w:rsidR="00000000" w:rsidDel="00000000" w:rsidP="00000000" w:rsidRDefault="00000000" w:rsidRPr="00000000" w14:paraId="00000030">
      <w:pPr>
        <w:shd w:fill="ffffff" w:val="clear"/>
        <w:spacing w:line="480" w:lineRule="auto"/>
        <w:contextualSpacing w:val="0"/>
        <w:rPr>
          <w:color w:val="333333"/>
          <w:sz w:val="24"/>
          <w:szCs w:val="24"/>
        </w:rPr>
      </w:pPr>
      <w:r w:rsidDel="00000000" w:rsidR="00000000" w:rsidRPr="00000000">
        <w:rPr>
          <w:rtl w:val="0"/>
        </w:rPr>
      </w:r>
    </w:p>
    <w:p w:rsidR="00000000" w:rsidDel="00000000" w:rsidP="00000000" w:rsidRDefault="00000000" w:rsidRPr="00000000" w14:paraId="00000031">
      <w:pPr>
        <w:spacing w:line="480" w:lineRule="auto"/>
        <w:contextualSpacing w:val="0"/>
        <w:jc w:val="center"/>
        <w:rPr>
          <w:sz w:val="24"/>
          <w:szCs w:val="24"/>
          <w:u w:val="single"/>
        </w:rPr>
      </w:pPr>
      <w:r w:rsidDel="00000000" w:rsidR="00000000" w:rsidRPr="00000000">
        <w:rPr>
          <w:rtl w:val="0"/>
        </w:rPr>
      </w:r>
    </w:p>
    <w:p w:rsidR="00000000" w:rsidDel="00000000" w:rsidP="00000000" w:rsidRDefault="00000000" w:rsidRPr="00000000" w14:paraId="00000032">
      <w:pPr>
        <w:spacing w:line="480" w:lineRule="auto"/>
        <w:contextualSpacing w:val="0"/>
        <w:jc w:val="center"/>
        <w:rPr>
          <w:sz w:val="24"/>
          <w:szCs w:val="24"/>
          <w:u w:val="single"/>
        </w:rPr>
      </w:pPr>
      <w:r w:rsidDel="00000000" w:rsidR="00000000" w:rsidRPr="00000000">
        <w:rPr>
          <w:rtl w:val="0"/>
        </w:rPr>
      </w:r>
    </w:p>
    <w:p w:rsidR="00000000" w:rsidDel="00000000" w:rsidP="00000000" w:rsidRDefault="00000000" w:rsidRPr="00000000" w14:paraId="00000033">
      <w:pPr>
        <w:spacing w:line="480" w:lineRule="auto"/>
        <w:contextualSpacing w:val="0"/>
        <w:jc w:val="center"/>
        <w:rPr>
          <w:sz w:val="24"/>
          <w:szCs w:val="24"/>
          <w:u w:val="single"/>
        </w:rPr>
      </w:pPr>
      <w:r w:rsidDel="00000000" w:rsidR="00000000" w:rsidRPr="00000000">
        <w:rPr>
          <w:rtl w:val="0"/>
        </w:rPr>
      </w:r>
    </w:p>
    <w:p w:rsidR="00000000" w:rsidDel="00000000" w:rsidP="00000000" w:rsidRDefault="00000000" w:rsidRPr="00000000" w14:paraId="00000034">
      <w:pPr>
        <w:spacing w:line="480" w:lineRule="auto"/>
        <w:contextualSpacing w:val="0"/>
        <w:jc w:val="center"/>
        <w:rPr>
          <w:sz w:val="24"/>
          <w:szCs w:val="24"/>
          <w:u w:val="single"/>
        </w:rPr>
      </w:pPr>
      <w:r w:rsidDel="00000000" w:rsidR="00000000" w:rsidRPr="00000000">
        <w:rPr>
          <w:rtl w:val="0"/>
        </w:rPr>
      </w:r>
    </w:p>
    <w:p w:rsidR="00000000" w:rsidDel="00000000" w:rsidP="00000000" w:rsidRDefault="00000000" w:rsidRPr="00000000" w14:paraId="00000035">
      <w:pPr>
        <w:spacing w:line="480" w:lineRule="auto"/>
        <w:contextualSpacing w:val="0"/>
        <w:jc w:val="center"/>
        <w:rPr>
          <w:sz w:val="24"/>
          <w:szCs w:val="24"/>
          <w:u w:val="single"/>
        </w:rPr>
      </w:pPr>
      <w:r w:rsidDel="00000000" w:rsidR="00000000" w:rsidRPr="00000000">
        <w:rPr>
          <w:rtl w:val="0"/>
        </w:rPr>
      </w:r>
    </w:p>
    <w:p w:rsidR="00000000" w:rsidDel="00000000" w:rsidP="00000000" w:rsidRDefault="00000000" w:rsidRPr="00000000" w14:paraId="00000036">
      <w:pPr>
        <w:spacing w:line="480" w:lineRule="auto"/>
        <w:contextualSpacing w:val="0"/>
        <w:jc w:val="left"/>
        <w:rPr>
          <w:sz w:val="24"/>
          <w:szCs w:val="24"/>
          <w:u w:val="single"/>
        </w:rPr>
      </w:pPr>
      <w:r w:rsidDel="00000000" w:rsidR="00000000" w:rsidRPr="00000000">
        <w:rPr>
          <w:rtl w:val="0"/>
        </w:rPr>
      </w:r>
    </w:p>
    <w:p w:rsidR="00000000" w:rsidDel="00000000" w:rsidP="00000000" w:rsidRDefault="00000000" w:rsidRPr="00000000" w14:paraId="00000037">
      <w:pPr>
        <w:spacing w:line="480" w:lineRule="auto"/>
        <w:contextualSpacing w:val="0"/>
        <w:jc w:val="center"/>
        <w:rPr>
          <w:sz w:val="24"/>
          <w:szCs w:val="24"/>
          <w:u w:val="single"/>
        </w:rPr>
      </w:pPr>
      <w:r w:rsidDel="00000000" w:rsidR="00000000" w:rsidRPr="00000000">
        <w:rPr>
          <w:rtl w:val="0"/>
        </w:rPr>
      </w:r>
    </w:p>
    <w:p w:rsidR="00000000" w:rsidDel="00000000" w:rsidP="00000000" w:rsidRDefault="00000000" w:rsidRPr="00000000" w14:paraId="00000038">
      <w:pPr>
        <w:spacing w:line="480" w:lineRule="auto"/>
        <w:contextualSpacing w:val="0"/>
        <w:rPr>
          <w:sz w:val="24"/>
          <w:szCs w:val="24"/>
          <w:u w:val="single"/>
        </w:rPr>
      </w:pPr>
      <w:r w:rsidDel="00000000" w:rsidR="00000000" w:rsidRPr="00000000">
        <w:rPr>
          <w:sz w:val="24"/>
          <w:szCs w:val="24"/>
          <w:u w:val="single"/>
          <w:rtl w:val="0"/>
        </w:rPr>
        <w:t xml:space="preserve">References</w:t>
      </w:r>
    </w:p>
    <w:p w:rsidR="00000000" w:rsidDel="00000000" w:rsidP="00000000" w:rsidRDefault="00000000" w:rsidRPr="00000000" w14:paraId="00000039">
      <w:pPr>
        <w:spacing w:line="480" w:lineRule="auto"/>
        <w:contextualSpacing w:val="0"/>
        <w:rPr>
          <w:sz w:val="24"/>
          <w:szCs w:val="24"/>
        </w:rPr>
      </w:pPr>
      <w:r w:rsidDel="00000000" w:rsidR="00000000" w:rsidRPr="00000000">
        <w:rPr>
          <w:sz w:val="24"/>
          <w:szCs w:val="24"/>
          <w:rtl w:val="0"/>
        </w:rPr>
        <w:t xml:space="preserve">Cviko, A., McKenney, S., Voogt, J., (2012). Teachers enacting a technology-rich curriculum for emergent literacy. </w:t>
      </w:r>
      <w:r w:rsidDel="00000000" w:rsidR="00000000" w:rsidRPr="00000000">
        <w:rPr>
          <w:i w:val="1"/>
          <w:sz w:val="24"/>
          <w:szCs w:val="24"/>
          <w:rtl w:val="0"/>
        </w:rPr>
        <w:t xml:space="preserve">Education Technology Research and Development. </w:t>
      </w:r>
      <w:r w:rsidDel="00000000" w:rsidR="00000000" w:rsidRPr="00000000">
        <w:rPr>
          <w:sz w:val="24"/>
          <w:szCs w:val="24"/>
          <w:rtl w:val="0"/>
        </w:rPr>
        <w:t xml:space="preserve">Vol 60. pp. 31–54.</w:t>
      </w:r>
    </w:p>
    <w:p w:rsidR="00000000" w:rsidDel="00000000" w:rsidP="00000000" w:rsidRDefault="00000000" w:rsidRPr="00000000" w14:paraId="0000003A">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3B">
      <w:pPr>
        <w:spacing w:line="480" w:lineRule="auto"/>
        <w:contextualSpacing w:val="0"/>
        <w:rPr>
          <w:sz w:val="24"/>
          <w:szCs w:val="24"/>
        </w:rPr>
      </w:pPr>
      <w:r w:rsidDel="00000000" w:rsidR="00000000" w:rsidRPr="00000000">
        <w:rPr>
          <w:sz w:val="24"/>
          <w:szCs w:val="24"/>
          <w:rtl w:val="0"/>
        </w:rPr>
        <w:t xml:space="preserve">Dougherty, K., (2012). Transforming teaching and learning through the virtual classroom. </w:t>
      </w:r>
      <w:r w:rsidDel="00000000" w:rsidR="00000000" w:rsidRPr="00000000">
        <w:rPr>
          <w:i w:val="1"/>
          <w:sz w:val="24"/>
          <w:szCs w:val="24"/>
          <w:rtl w:val="0"/>
        </w:rPr>
        <w:t xml:space="preserve">College Quarterly. </w:t>
      </w:r>
      <w:r w:rsidDel="00000000" w:rsidR="00000000" w:rsidRPr="00000000">
        <w:rPr>
          <w:sz w:val="24"/>
          <w:szCs w:val="24"/>
          <w:rtl w:val="0"/>
        </w:rPr>
        <w:t xml:space="preserve">Vol 15. (4). pp. 5. </w:t>
      </w:r>
      <w:r w:rsidDel="00000000" w:rsidR="00000000" w:rsidRPr="00000000">
        <w:rPr>
          <w:rtl w:val="0"/>
        </w:rPr>
      </w:r>
    </w:p>
    <w:p w:rsidR="00000000" w:rsidDel="00000000" w:rsidP="00000000" w:rsidRDefault="00000000" w:rsidRPr="00000000" w14:paraId="0000003C">
      <w:pPr>
        <w:spacing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3D">
      <w:pPr>
        <w:spacing w:line="480" w:lineRule="auto"/>
        <w:contextualSpacing w:val="0"/>
        <w:rPr>
          <w:sz w:val="24"/>
          <w:szCs w:val="24"/>
          <w:highlight w:val="white"/>
        </w:rPr>
      </w:pPr>
      <w:r w:rsidDel="00000000" w:rsidR="00000000" w:rsidRPr="00000000">
        <w:rPr>
          <w:sz w:val="24"/>
          <w:szCs w:val="24"/>
          <w:highlight w:val="white"/>
          <w:rtl w:val="0"/>
        </w:rPr>
        <w:t xml:space="preserve">Fisher, M, and Baird, D., (2006). Making mLearning Work: Utilizing mobile technology for active exploration, collaboration, assessment, and reflection in higher education. </w:t>
      </w:r>
      <w:r w:rsidDel="00000000" w:rsidR="00000000" w:rsidRPr="00000000">
        <w:rPr>
          <w:i w:val="1"/>
          <w:sz w:val="24"/>
          <w:szCs w:val="24"/>
          <w:highlight w:val="white"/>
          <w:rtl w:val="0"/>
        </w:rPr>
        <w:t xml:space="preserve"> Journal of Educational Technology Systems. </w:t>
      </w:r>
      <w:r w:rsidDel="00000000" w:rsidR="00000000" w:rsidRPr="00000000">
        <w:rPr>
          <w:sz w:val="24"/>
          <w:szCs w:val="24"/>
          <w:highlight w:val="white"/>
          <w:rtl w:val="0"/>
        </w:rPr>
        <w:t xml:space="preserve">Vol. 35(1) 3-30.</w:t>
      </w:r>
    </w:p>
    <w:p w:rsidR="00000000" w:rsidDel="00000000" w:rsidP="00000000" w:rsidRDefault="00000000" w:rsidRPr="00000000" w14:paraId="0000003E">
      <w:pPr>
        <w:spacing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3F">
      <w:pPr>
        <w:spacing w:line="480" w:lineRule="auto"/>
        <w:contextualSpacing w:val="0"/>
        <w:rPr>
          <w:sz w:val="24"/>
          <w:szCs w:val="24"/>
          <w:highlight w:val="white"/>
        </w:rPr>
      </w:pPr>
      <w:r w:rsidDel="00000000" w:rsidR="00000000" w:rsidRPr="00000000">
        <w:rPr>
          <w:sz w:val="24"/>
          <w:szCs w:val="24"/>
          <w:highlight w:val="white"/>
          <w:rtl w:val="0"/>
        </w:rPr>
        <w:t xml:space="preserve">Freire, P., (1970). </w:t>
      </w:r>
      <w:r w:rsidDel="00000000" w:rsidR="00000000" w:rsidRPr="00000000">
        <w:rPr>
          <w:i w:val="1"/>
          <w:color w:val="222222"/>
          <w:sz w:val="24"/>
          <w:szCs w:val="24"/>
          <w:highlight w:val="white"/>
          <w:rtl w:val="0"/>
        </w:rPr>
        <w:t xml:space="preserve">Pedagogy of the Oppressed. </w:t>
      </w:r>
      <w:r w:rsidDel="00000000" w:rsidR="00000000" w:rsidRPr="00000000">
        <w:rPr>
          <w:color w:val="222222"/>
          <w:sz w:val="24"/>
          <w:szCs w:val="24"/>
          <w:highlight w:val="white"/>
          <w:rtl w:val="0"/>
        </w:rPr>
        <w:t xml:space="preserve">(30th anniversary ed.). New York: Bloomsbury.</w:t>
      </w:r>
      <w:r w:rsidDel="00000000" w:rsidR="00000000" w:rsidRPr="00000000">
        <w:rPr>
          <w:rtl w:val="0"/>
        </w:rPr>
      </w:r>
    </w:p>
    <w:p w:rsidR="00000000" w:rsidDel="00000000" w:rsidP="00000000" w:rsidRDefault="00000000" w:rsidRPr="00000000" w14:paraId="00000040">
      <w:pPr>
        <w:spacing w:line="480" w:lineRule="auto"/>
        <w:contextualSpacing w:val="0"/>
        <w:rPr>
          <w:sz w:val="24"/>
          <w:szCs w:val="24"/>
          <w:u w:val="single"/>
        </w:rPr>
      </w:pPr>
      <w:r w:rsidDel="00000000" w:rsidR="00000000" w:rsidRPr="00000000">
        <w:rPr>
          <w:rtl w:val="0"/>
        </w:rPr>
      </w:r>
    </w:p>
    <w:p w:rsidR="00000000" w:rsidDel="00000000" w:rsidP="00000000" w:rsidRDefault="00000000" w:rsidRPr="00000000" w14:paraId="00000041">
      <w:pPr>
        <w:spacing w:line="480" w:lineRule="auto"/>
        <w:contextualSpacing w:val="0"/>
        <w:rPr>
          <w:sz w:val="24"/>
          <w:szCs w:val="24"/>
          <w:highlight w:val="white"/>
        </w:rPr>
      </w:pPr>
      <w:r w:rsidDel="00000000" w:rsidR="00000000" w:rsidRPr="00000000">
        <w:rPr>
          <w:sz w:val="24"/>
          <w:szCs w:val="24"/>
          <w:highlight w:val="white"/>
          <w:rtl w:val="0"/>
        </w:rPr>
        <w:t xml:space="preserve">Gibbs, G., (1988)</w:t>
      </w:r>
      <w:r w:rsidDel="00000000" w:rsidR="00000000" w:rsidRPr="00000000">
        <w:rPr>
          <w:i w:val="1"/>
          <w:sz w:val="24"/>
          <w:szCs w:val="24"/>
          <w:highlight w:val="white"/>
          <w:rtl w:val="0"/>
        </w:rPr>
        <w:t xml:space="preserve"> Learning by Doing: A guide to teaching and learning methods. </w:t>
      </w:r>
      <w:r w:rsidDel="00000000" w:rsidR="00000000" w:rsidRPr="00000000">
        <w:rPr>
          <w:sz w:val="24"/>
          <w:szCs w:val="24"/>
          <w:highlight w:val="white"/>
          <w:rtl w:val="0"/>
        </w:rPr>
        <w:t xml:space="preserve">Further Education Unit. Oxford Polytechnic: Oxford.</w:t>
      </w:r>
    </w:p>
    <w:p w:rsidR="00000000" w:rsidDel="00000000" w:rsidP="00000000" w:rsidRDefault="00000000" w:rsidRPr="00000000" w14:paraId="00000042">
      <w:pPr>
        <w:spacing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43">
      <w:pPr>
        <w:spacing w:line="480" w:lineRule="auto"/>
        <w:contextualSpacing w:val="0"/>
        <w:rPr>
          <w:sz w:val="24"/>
          <w:szCs w:val="24"/>
          <w:highlight w:val="white"/>
        </w:rPr>
      </w:pPr>
      <w:r w:rsidDel="00000000" w:rsidR="00000000" w:rsidRPr="00000000">
        <w:rPr>
          <w:sz w:val="24"/>
          <w:szCs w:val="24"/>
          <w:highlight w:val="white"/>
          <w:rtl w:val="0"/>
        </w:rPr>
        <w:t xml:space="preserve">Higher Education Academy, (2011). </w:t>
      </w:r>
      <w:r w:rsidDel="00000000" w:rsidR="00000000" w:rsidRPr="00000000">
        <w:rPr>
          <w:i w:val="1"/>
          <w:sz w:val="24"/>
          <w:szCs w:val="24"/>
          <w:highlight w:val="white"/>
          <w:rtl w:val="0"/>
        </w:rPr>
        <w:t xml:space="preserve">UK Professional Standards Framework (UKPSF). </w:t>
      </w:r>
      <w:r w:rsidDel="00000000" w:rsidR="00000000" w:rsidRPr="00000000">
        <w:rPr>
          <w:sz w:val="24"/>
          <w:szCs w:val="24"/>
          <w:highlight w:val="white"/>
          <w:rtl w:val="0"/>
        </w:rPr>
        <w:t xml:space="preserve">Available from: </w:t>
      </w:r>
      <w:r w:rsidDel="00000000" w:rsidR="00000000" w:rsidRPr="00000000">
        <w:rPr>
          <w:sz w:val="24"/>
          <w:szCs w:val="24"/>
          <w:highlight w:val="white"/>
          <w:rtl w:val="0"/>
        </w:rPr>
        <w:t xml:space="preserve">https://www.heacademy.ac.uk/ukpsf</w:t>
      </w:r>
      <w:r w:rsidDel="00000000" w:rsidR="00000000" w:rsidRPr="00000000">
        <w:rPr>
          <w:sz w:val="24"/>
          <w:szCs w:val="24"/>
          <w:highlight w:val="white"/>
          <w:rtl w:val="0"/>
        </w:rPr>
        <w:t xml:space="preserve">. (Accessed on: October 8 2018). </w:t>
      </w:r>
    </w:p>
    <w:p w:rsidR="00000000" w:rsidDel="00000000" w:rsidP="00000000" w:rsidRDefault="00000000" w:rsidRPr="00000000" w14:paraId="00000044">
      <w:pPr>
        <w:spacing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45">
      <w:pPr>
        <w:spacing w:line="480" w:lineRule="auto"/>
        <w:contextualSpacing w:val="0"/>
        <w:rPr>
          <w:sz w:val="24"/>
          <w:szCs w:val="24"/>
          <w:highlight w:val="white"/>
        </w:rPr>
      </w:pPr>
      <w:r w:rsidDel="00000000" w:rsidR="00000000" w:rsidRPr="00000000">
        <w:rPr>
          <w:sz w:val="24"/>
          <w:szCs w:val="24"/>
          <w:highlight w:val="white"/>
          <w:rtl w:val="0"/>
        </w:rPr>
        <w:t xml:space="preserve">McCauley, V., Davison, K., &amp; Byrne, C. (2015). Collaborative lesson hook design in science teacher education: advancing professional practice. </w:t>
      </w:r>
      <w:r w:rsidDel="00000000" w:rsidR="00000000" w:rsidRPr="00000000">
        <w:rPr>
          <w:i w:val="1"/>
          <w:sz w:val="24"/>
          <w:szCs w:val="24"/>
          <w:highlight w:val="white"/>
          <w:rtl w:val="0"/>
        </w:rPr>
        <w:t xml:space="preserve">Irish Educational Studies</w:t>
      </w:r>
      <w:r w:rsidDel="00000000" w:rsidR="00000000" w:rsidRPr="00000000">
        <w:rPr>
          <w:sz w:val="24"/>
          <w:szCs w:val="24"/>
          <w:highlight w:val="white"/>
          <w:rtl w:val="0"/>
        </w:rPr>
        <w:t xml:space="preserve">. Vol 34(4). pp. 307-323.</w:t>
      </w:r>
    </w:p>
    <w:p w:rsidR="00000000" w:rsidDel="00000000" w:rsidP="00000000" w:rsidRDefault="00000000" w:rsidRPr="00000000" w14:paraId="00000046">
      <w:pPr>
        <w:spacing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47">
      <w:pPr>
        <w:spacing w:line="480" w:lineRule="auto"/>
        <w:contextualSpacing w:val="0"/>
        <w:rPr>
          <w:sz w:val="24"/>
          <w:szCs w:val="24"/>
          <w:highlight w:val="white"/>
        </w:rPr>
      </w:pPr>
      <w:r w:rsidDel="00000000" w:rsidR="00000000" w:rsidRPr="00000000">
        <w:rPr>
          <w:sz w:val="24"/>
          <w:szCs w:val="24"/>
          <w:highlight w:val="white"/>
          <w:rtl w:val="0"/>
        </w:rPr>
        <w:t xml:space="preserve">Rosenshine, B. &amp; Meister, C. (1994). Reciprocal Teaching: A review of the research. </w:t>
      </w:r>
      <w:r w:rsidDel="00000000" w:rsidR="00000000" w:rsidRPr="00000000">
        <w:rPr>
          <w:i w:val="1"/>
          <w:sz w:val="24"/>
          <w:szCs w:val="24"/>
          <w:highlight w:val="white"/>
          <w:rtl w:val="0"/>
        </w:rPr>
        <w:t xml:space="preserve">Review of Educational Research. </w:t>
      </w:r>
      <w:r w:rsidDel="00000000" w:rsidR="00000000" w:rsidRPr="00000000">
        <w:rPr>
          <w:sz w:val="24"/>
          <w:szCs w:val="24"/>
          <w:highlight w:val="white"/>
          <w:rtl w:val="0"/>
        </w:rPr>
        <w:t xml:space="preserve">Vol 64 (4). Pp.479-530.</w:t>
      </w:r>
    </w:p>
    <w:p w:rsidR="00000000" w:rsidDel="00000000" w:rsidP="00000000" w:rsidRDefault="00000000" w:rsidRPr="00000000" w14:paraId="00000048">
      <w:pPr>
        <w:spacing w:line="480" w:lineRule="auto"/>
        <w:contextualSpacing w:val="0"/>
        <w:rPr>
          <w:sz w:val="24"/>
          <w:szCs w:val="24"/>
          <w:highlight w:val="white"/>
        </w:rPr>
      </w:pPr>
      <w:r w:rsidDel="00000000" w:rsidR="00000000" w:rsidRPr="00000000">
        <w:rPr>
          <w:rtl w:val="0"/>
        </w:rPr>
      </w:r>
    </w:p>
    <w:p w:rsidR="00000000" w:rsidDel="00000000" w:rsidP="00000000" w:rsidRDefault="00000000" w:rsidRPr="00000000" w14:paraId="00000049">
      <w:pPr>
        <w:spacing w:line="480" w:lineRule="auto"/>
        <w:contextualSpacing w:val="0"/>
        <w:rPr>
          <w:sz w:val="24"/>
          <w:szCs w:val="24"/>
          <w:highlight w:val="white"/>
        </w:rPr>
      </w:pPr>
      <w:r w:rsidDel="00000000" w:rsidR="00000000" w:rsidRPr="00000000">
        <w:rPr>
          <w:sz w:val="24"/>
          <w:szCs w:val="24"/>
          <w:highlight w:val="white"/>
          <w:rtl w:val="0"/>
        </w:rPr>
        <w:t xml:space="preserve">Southern Methodist University (SMU), (No date). </w:t>
      </w:r>
      <w:r w:rsidDel="00000000" w:rsidR="00000000" w:rsidRPr="00000000">
        <w:rPr>
          <w:i w:val="1"/>
          <w:sz w:val="24"/>
          <w:szCs w:val="24"/>
          <w:highlight w:val="white"/>
          <w:rtl w:val="0"/>
        </w:rPr>
        <w:t xml:space="preserve">Using Technology to Enhance Teaching and Learning. </w:t>
      </w:r>
      <w:r w:rsidDel="00000000" w:rsidR="00000000" w:rsidRPr="00000000">
        <w:rPr>
          <w:sz w:val="24"/>
          <w:szCs w:val="24"/>
          <w:highlight w:val="white"/>
          <w:rtl w:val="0"/>
        </w:rPr>
        <w:t xml:space="preserve">Available from: </w:t>
      </w:r>
      <w:r w:rsidDel="00000000" w:rsidR="00000000" w:rsidRPr="00000000">
        <w:rPr>
          <w:sz w:val="24"/>
          <w:szCs w:val="24"/>
          <w:highlight w:val="white"/>
          <w:rtl w:val="0"/>
        </w:rPr>
        <w:t xml:space="preserve">https://www.smu.edu/Provost/CTE/Resources/Technology</w:t>
      </w:r>
      <w:r w:rsidDel="00000000" w:rsidR="00000000" w:rsidRPr="00000000">
        <w:rPr>
          <w:sz w:val="24"/>
          <w:szCs w:val="24"/>
          <w:highlight w:val="white"/>
          <w:rtl w:val="0"/>
        </w:rPr>
        <w:t xml:space="preserve">. (Accessed on: October 8 2018).</w:t>
      </w:r>
      <w:r w:rsidDel="00000000" w:rsidR="00000000" w:rsidRPr="00000000">
        <w:rPr>
          <w:rtl w:val="0"/>
        </w:rPr>
      </w:r>
    </w:p>
    <w:p w:rsidR="00000000" w:rsidDel="00000000" w:rsidP="00000000" w:rsidRDefault="00000000" w:rsidRPr="00000000" w14:paraId="0000004A">
      <w:pPr>
        <w:spacing w:line="480" w:lineRule="auto"/>
        <w:contextualSpacing w:val="0"/>
        <w:rPr>
          <w:sz w:val="24"/>
          <w:szCs w:val="24"/>
          <w:highlight w:val="white"/>
        </w:rPr>
      </w:pPr>
      <w:r w:rsidDel="00000000" w:rsidR="00000000" w:rsidRPr="00000000">
        <w:rPr>
          <w:rtl w:val="0"/>
        </w:rPr>
      </w:r>
    </w:p>
    <w:sectPr>
      <w:headerReference r:id="rId6" w:type="default"/>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B">
    <w:pPr>
      <w:contextualSpacing w:val="0"/>
      <w:rPr>
        <w:sz w:val="20"/>
        <w:szCs w:val="20"/>
      </w:rPr>
    </w:pPr>
    <w:r w:rsidDel="00000000" w:rsidR="00000000" w:rsidRPr="00000000">
      <w:rPr>
        <w:sz w:val="20"/>
        <w:szCs w:val="20"/>
        <w:rtl w:val="0"/>
      </w:rPr>
      <w:t xml:space="preserve">Student number: 1503073          </w:t>
    </w:r>
  </w:p>
  <w:p w:rsidR="00000000" w:rsidDel="00000000" w:rsidP="00000000" w:rsidRDefault="00000000" w:rsidRPr="00000000" w14:paraId="0000004C">
    <w:pPr>
      <w:contextualSpacing w:val="0"/>
      <w:rPr>
        <w:sz w:val="20"/>
        <w:szCs w:val="20"/>
      </w:rPr>
    </w:pPr>
    <w:r w:rsidDel="00000000" w:rsidR="00000000" w:rsidRPr="00000000">
      <w:rPr>
        <w:sz w:val="20"/>
        <w:szCs w:val="20"/>
        <w:rtl w:val="0"/>
      </w:rPr>
      <w:t xml:space="preserve">PGCE PCET</w:t>
    </w:r>
  </w:p>
  <w:p w:rsidR="00000000" w:rsidDel="00000000" w:rsidP="00000000" w:rsidRDefault="00000000" w:rsidRPr="00000000" w14:paraId="0000004D">
    <w:pPr>
      <w:contextualSpacing w:val="0"/>
      <w:rPr>
        <w:sz w:val="20"/>
        <w:szCs w:val="20"/>
      </w:rPr>
    </w:pPr>
    <w:r w:rsidDel="00000000" w:rsidR="00000000" w:rsidRPr="00000000">
      <w:rPr>
        <w:sz w:val="20"/>
        <w:szCs w:val="20"/>
        <w:rtl w:val="0"/>
      </w:rPr>
      <w:t xml:space="preserve">Module: PTLET</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