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540474EA"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DC644B">
              <w:rPr>
                <w:rFonts w:ascii="Times New Roman" w:hAnsi="Times New Roman" w:cs="Times New Roman"/>
                <w:b/>
                <w:color w:val="auto"/>
                <w:sz w:val="48"/>
              </w:rPr>
              <w:t>Kelly Jenkins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FAC3EC2"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DC644B">
              <w:rPr>
                <w:rFonts w:ascii="Times New Roman" w:hAnsi="Times New Roman" w:cs="Times New Roman"/>
                <w:b/>
                <w:color w:val="auto"/>
                <w:sz w:val="48"/>
              </w:rPr>
              <w:t xml:space="preserve"> 1103503@student.uwtsd.</w:t>
            </w:r>
            <w:r w:rsidR="009278AF">
              <w:rPr>
                <w:rFonts w:ascii="Times New Roman" w:hAnsi="Times New Roman" w:cs="Times New Roman"/>
                <w:b/>
                <w:color w:val="auto"/>
                <w:sz w:val="48"/>
              </w:rPr>
              <w:t>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5774FAB3"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1F7ABB3F" w:rsidR="0085230E" w:rsidRPr="005D3F07" w:rsidRDefault="009278A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1103503</w:t>
            </w: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proofErr w:type="gramStart"/>
      <w:r>
        <w:rPr>
          <w:b/>
          <w:color w:val="auto"/>
          <w:sz w:val="24"/>
          <w:szCs w:val="24"/>
        </w:rPr>
        <w:t>Guidance</w:t>
      </w:r>
      <w:r w:rsidR="00084DA6">
        <w:rPr>
          <w:b/>
          <w:color w:val="auto"/>
          <w:sz w:val="24"/>
          <w:szCs w:val="24"/>
        </w:rPr>
        <w:t>;</w:t>
      </w:r>
      <w:proofErr w:type="gramEnd"/>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9278AF" w:rsidRDefault="006872A0" w:rsidP="00064063">
            <w:pPr>
              <w:jc w:val="both"/>
              <w:rPr>
                <w:b/>
                <w:sz w:val="24"/>
                <w:szCs w:val="24"/>
              </w:rPr>
            </w:pPr>
            <w:r w:rsidRPr="009278AF">
              <w:rPr>
                <w:b/>
                <w:sz w:val="24"/>
                <w:szCs w:val="24"/>
              </w:rPr>
              <w:t>Question</w:t>
            </w:r>
            <w:r w:rsidR="007A628F" w:rsidRPr="009278AF">
              <w:rPr>
                <w:b/>
                <w:sz w:val="24"/>
                <w:szCs w:val="24"/>
              </w:rPr>
              <w:t>:</w:t>
            </w:r>
          </w:p>
          <w:p w14:paraId="541B485B" w14:textId="4CB44B06" w:rsidR="00C77FA5" w:rsidRPr="009278AF" w:rsidRDefault="000A584A">
            <w:pPr>
              <w:jc w:val="both"/>
              <w:rPr>
                <w:b/>
                <w:sz w:val="24"/>
                <w:szCs w:val="24"/>
              </w:rPr>
            </w:pPr>
            <w:r w:rsidRPr="009278AF">
              <w:rPr>
                <w:b/>
                <w:sz w:val="24"/>
                <w:szCs w:val="24"/>
              </w:rPr>
              <w:t xml:space="preserve">Complete a critically reflective case study </w:t>
            </w:r>
            <w:r w:rsidR="00D0503D" w:rsidRPr="009278AF">
              <w:rPr>
                <w:b/>
                <w:sz w:val="24"/>
                <w:szCs w:val="24"/>
              </w:rPr>
              <w:t>based</w:t>
            </w:r>
            <w:r w:rsidRPr="009278AF">
              <w:rPr>
                <w:b/>
                <w:sz w:val="24"/>
                <w:szCs w:val="24"/>
              </w:rPr>
              <w:t xml:space="preserve"> on</w:t>
            </w:r>
            <w:r w:rsidR="00696A88" w:rsidRPr="009278AF">
              <w:rPr>
                <w:b/>
                <w:sz w:val="24"/>
                <w:szCs w:val="24"/>
              </w:rPr>
              <w:t xml:space="preserve"> </w:t>
            </w:r>
            <w:r w:rsidR="00411EF7" w:rsidRPr="009278AF">
              <w:rPr>
                <w:b/>
                <w:sz w:val="24"/>
                <w:szCs w:val="24"/>
              </w:rPr>
              <w:t>an assessment</w:t>
            </w:r>
            <w:r w:rsidR="007F312E" w:rsidRPr="009278AF">
              <w:rPr>
                <w:b/>
                <w:sz w:val="24"/>
                <w:szCs w:val="24"/>
              </w:rPr>
              <w:t xml:space="preserve"> </w:t>
            </w:r>
            <w:r w:rsidR="007C5ABE" w:rsidRPr="009278AF">
              <w:rPr>
                <w:b/>
                <w:sz w:val="24"/>
                <w:szCs w:val="24"/>
              </w:rPr>
              <w:t xml:space="preserve">that you have </w:t>
            </w:r>
            <w:r w:rsidRPr="009278AF">
              <w:rPr>
                <w:b/>
                <w:sz w:val="24"/>
                <w:szCs w:val="24"/>
              </w:rPr>
              <w:t xml:space="preserve">undertaken with </w:t>
            </w:r>
            <w:r w:rsidR="00D0503D" w:rsidRPr="009278AF">
              <w:rPr>
                <w:b/>
                <w:sz w:val="24"/>
                <w:szCs w:val="24"/>
              </w:rPr>
              <w:t>others, in</w:t>
            </w:r>
            <w:r w:rsidR="0002440E" w:rsidRPr="009278AF">
              <w:rPr>
                <w:b/>
                <w:sz w:val="24"/>
                <w:szCs w:val="24"/>
              </w:rPr>
              <w:t xml:space="preserve"> your own area of work</w:t>
            </w:r>
            <w:r w:rsidR="00D0503D" w:rsidRPr="009278AF">
              <w:rPr>
                <w:b/>
                <w:sz w:val="24"/>
                <w:szCs w:val="24"/>
              </w:rPr>
              <w:t xml:space="preserve">, </w:t>
            </w:r>
            <w:r w:rsidR="00587923" w:rsidRPr="009278AF">
              <w:rPr>
                <w:b/>
                <w:sz w:val="24"/>
                <w:szCs w:val="24"/>
              </w:rPr>
              <w:t>c</w:t>
            </w:r>
            <w:r w:rsidR="008B28E7" w:rsidRPr="009278AF">
              <w:rPr>
                <w:b/>
                <w:sz w:val="24"/>
                <w:szCs w:val="24"/>
              </w:rPr>
              <w:t>oncerning the safeguarding of either an adult or a child</w:t>
            </w:r>
            <w:r w:rsidRPr="009278AF">
              <w:rPr>
                <w:b/>
                <w:sz w:val="24"/>
                <w:szCs w:val="24"/>
              </w:rPr>
              <w:t xml:space="preserve">. </w:t>
            </w:r>
            <w:r w:rsidR="00216563" w:rsidRPr="009278AF">
              <w:rPr>
                <w:b/>
                <w:sz w:val="24"/>
                <w:szCs w:val="24"/>
              </w:rPr>
              <w:t xml:space="preserve">You must demonstrate how </w:t>
            </w:r>
            <w:r w:rsidR="00F34C86" w:rsidRPr="009278AF">
              <w:rPr>
                <w:b/>
                <w:sz w:val="24"/>
                <w:szCs w:val="24"/>
              </w:rPr>
              <w:t xml:space="preserve">the case relates to or could relate to safeguarding </w:t>
            </w:r>
            <w:r w:rsidR="00216563" w:rsidRPr="009278AF">
              <w:rPr>
                <w:b/>
                <w:sz w:val="24"/>
                <w:szCs w:val="24"/>
              </w:rPr>
              <w:t>legislation, policies</w:t>
            </w:r>
            <w:r w:rsidR="00F34C86" w:rsidRPr="009278AF">
              <w:rPr>
                <w:b/>
                <w:sz w:val="24"/>
                <w:szCs w:val="24"/>
              </w:rPr>
              <w:t>, strategies and procedures</w:t>
            </w:r>
            <w:r w:rsidR="7AAB400D" w:rsidRPr="009278AF">
              <w:rPr>
                <w:b/>
                <w:sz w:val="24"/>
                <w:szCs w:val="24"/>
              </w:rPr>
              <w:t xml:space="preserve"> </w:t>
            </w:r>
            <w:r w:rsidR="623F2A43" w:rsidRPr="009278AF">
              <w:rPr>
                <w:b/>
                <w:sz w:val="24"/>
                <w:szCs w:val="24"/>
              </w:rPr>
              <w:t>(</w:t>
            </w:r>
            <w:r w:rsidR="7AAB400D" w:rsidRPr="009278AF">
              <w:rPr>
                <w:b/>
                <w:sz w:val="24"/>
                <w:szCs w:val="24"/>
              </w:rPr>
              <w:t>i</w:t>
            </w:r>
            <w:r w:rsidR="623F2A43" w:rsidRPr="009278AF">
              <w:rPr>
                <w:b/>
                <w:sz w:val="24"/>
                <w:szCs w:val="24"/>
              </w:rPr>
              <w:t xml:space="preserve">ncluding </w:t>
            </w:r>
            <w:r w:rsidR="322513AD" w:rsidRPr="009278AF">
              <w:rPr>
                <w:b/>
                <w:sz w:val="24"/>
                <w:szCs w:val="24"/>
              </w:rPr>
              <w:t>d</w:t>
            </w:r>
            <w:r w:rsidR="7E97696C" w:rsidRPr="009278AF">
              <w:rPr>
                <w:b/>
                <w:sz w:val="24"/>
                <w:szCs w:val="24"/>
              </w:rPr>
              <w:t xml:space="preserve">emonstrating an understanding of </w:t>
            </w:r>
            <w:r w:rsidR="623F2A43" w:rsidRPr="009278AF">
              <w:rPr>
                <w:b/>
                <w:sz w:val="24"/>
                <w:szCs w:val="24"/>
              </w:rPr>
              <w:t>the</w:t>
            </w:r>
            <w:r w:rsidR="350F702B" w:rsidRPr="009278AF">
              <w:rPr>
                <w:b/>
                <w:sz w:val="24"/>
                <w:szCs w:val="24"/>
              </w:rPr>
              <w:t xml:space="preserve"> </w:t>
            </w:r>
            <w:r w:rsidR="3B2446CA" w:rsidRPr="009278AF">
              <w:rPr>
                <w:rFonts w:eastAsia="Arial"/>
                <w:b/>
                <w:color w:val="000000" w:themeColor="text1"/>
                <w:sz w:val="24"/>
                <w:szCs w:val="24"/>
              </w:rPr>
              <w:t xml:space="preserve">interface </w:t>
            </w:r>
            <w:r w:rsidR="534A9052" w:rsidRPr="009278AF">
              <w:rPr>
                <w:rFonts w:eastAsia="Arial"/>
                <w:b/>
                <w:color w:val="000000" w:themeColor="text1"/>
                <w:sz w:val="24"/>
                <w:szCs w:val="24"/>
              </w:rPr>
              <w:t>between social services provision in Wales with the United Kingdom, the European Union</w:t>
            </w:r>
            <w:r w:rsidR="007A628F" w:rsidRPr="009278AF">
              <w:rPr>
                <w:rFonts w:eastAsia="Arial"/>
                <w:b/>
                <w:color w:val="000000" w:themeColor="text1"/>
                <w:sz w:val="24"/>
                <w:szCs w:val="24"/>
              </w:rPr>
              <w:t xml:space="preserve"> (EU)</w:t>
            </w:r>
            <w:r w:rsidR="534A9052" w:rsidRPr="009278AF">
              <w:rPr>
                <w:rFonts w:eastAsia="Arial"/>
                <w:b/>
                <w:color w:val="000000" w:themeColor="text1"/>
                <w:sz w:val="24"/>
                <w:szCs w:val="24"/>
              </w:rPr>
              <w:t xml:space="preserve"> and outside the EU</w:t>
            </w:r>
            <w:r w:rsidR="623F2A43" w:rsidRPr="009278AF">
              <w:rPr>
                <w:rFonts w:eastAsia="Arial"/>
                <w:b/>
                <w:color w:val="000000" w:themeColor="text1"/>
                <w:sz w:val="24"/>
                <w:szCs w:val="24"/>
              </w:rPr>
              <w:t>)</w:t>
            </w:r>
            <w:r w:rsidR="00411EF7" w:rsidRPr="009278AF">
              <w:rPr>
                <w:b/>
                <w:sz w:val="24"/>
                <w:szCs w:val="24"/>
              </w:rPr>
              <w:t>.</w:t>
            </w:r>
            <w:r w:rsidR="00354B6D" w:rsidRPr="009278AF">
              <w:rPr>
                <w:b/>
                <w:sz w:val="24"/>
                <w:szCs w:val="24"/>
              </w:rPr>
              <w:t xml:space="preserve"> </w:t>
            </w:r>
            <w:r w:rsidR="102A3950" w:rsidRPr="009278AF">
              <w:rPr>
                <w:b/>
                <w:sz w:val="24"/>
                <w:szCs w:val="24"/>
              </w:rPr>
              <w:t>You</w:t>
            </w:r>
            <w:r w:rsidR="00354B6D" w:rsidRPr="009278AF">
              <w:rPr>
                <w:b/>
                <w:sz w:val="24"/>
                <w:szCs w:val="24"/>
              </w:rPr>
              <w:t xml:space="preserve"> must</w:t>
            </w:r>
            <w:r w:rsidR="00411EF7" w:rsidRPr="009278AF">
              <w:rPr>
                <w:b/>
                <w:sz w:val="24"/>
                <w:szCs w:val="24"/>
              </w:rPr>
              <w:t xml:space="preserve"> </w:t>
            </w:r>
            <w:r w:rsidR="00354B6D" w:rsidRPr="009278AF">
              <w:rPr>
                <w:b/>
                <w:sz w:val="24"/>
                <w:szCs w:val="24"/>
              </w:rPr>
              <w:t>demonstrate your understanding of</w:t>
            </w:r>
            <w:r w:rsidR="00F34C86" w:rsidRPr="009278AF">
              <w:rPr>
                <w:b/>
                <w:sz w:val="24"/>
                <w:szCs w:val="24"/>
              </w:rPr>
              <w:t xml:space="preserve"> </w:t>
            </w:r>
            <w:r w:rsidR="00411EF7" w:rsidRPr="009278AF">
              <w:rPr>
                <w:b/>
                <w:sz w:val="24"/>
                <w:szCs w:val="24"/>
              </w:rPr>
              <w:t xml:space="preserve">the </w:t>
            </w:r>
            <w:r w:rsidR="00216563" w:rsidRPr="009278AF">
              <w:rPr>
                <w:b/>
                <w:sz w:val="24"/>
                <w:szCs w:val="24"/>
              </w:rPr>
              <w:t xml:space="preserve">integration of </w:t>
            </w:r>
            <w:r w:rsidR="6A854C79" w:rsidRPr="009278AF">
              <w:rPr>
                <w:b/>
                <w:sz w:val="24"/>
                <w:szCs w:val="24"/>
              </w:rPr>
              <w:t>analysis in asses</w:t>
            </w:r>
            <w:r w:rsidR="0F77E214" w:rsidRPr="009278AF">
              <w:rPr>
                <w:b/>
                <w:sz w:val="24"/>
                <w:szCs w:val="24"/>
              </w:rPr>
              <w:t>sment, collabo</w:t>
            </w:r>
            <w:r w:rsidR="6A854C79" w:rsidRPr="009278AF">
              <w:rPr>
                <w:b/>
                <w:sz w:val="24"/>
                <w:szCs w:val="24"/>
              </w:rPr>
              <w:t>rative work</w:t>
            </w:r>
            <w:r w:rsidR="0F77E214" w:rsidRPr="009278AF">
              <w:rPr>
                <w:b/>
                <w:sz w:val="24"/>
                <w:szCs w:val="24"/>
              </w:rPr>
              <w:t>ing</w:t>
            </w:r>
            <w:r w:rsidR="6A854C79" w:rsidRPr="009278AF">
              <w:rPr>
                <w:b/>
                <w:sz w:val="24"/>
                <w:szCs w:val="24"/>
              </w:rPr>
              <w:t xml:space="preserve"> a</w:t>
            </w:r>
            <w:r w:rsidR="0F77E214" w:rsidRPr="009278AF">
              <w:rPr>
                <w:b/>
                <w:sz w:val="24"/>
                <w:szCs w:val="24"/>
              </w:rPr>
              <w:t xml:space="preserve">nd </w:t>
            </w:r>
            <w:r w:rsidR="6A854C79" w:rsidRPr="009278AF">
              <w:rPr>
                <w:b/>
                <w:sz w:val="24"/>
                <w:szCs w:val="24"/>
              </w:rPr>
              <w:t>professional</w:t>
            </w:r>
            <w:r w:rsidR="00F34C86" w:rsidRPr="009278AF">
              <w:rPr>
                <w:b/>
                <w:sz w:val="24"/>
                <w:szCs w:val="24"/>
              </w:rPr>
              <w:t xml:space="preserve"> </w:t>
            </w:r>
            <w:r w:rsidR="00216563" w:rsidRPr="009278AF">
              <w:rPr>
                <w:b/>
                <w:sz w:val="24"/>
                <w:szCs w:val="24"/>
              </w:rPr>
              <w:t>judgements</w:t>
            </w:r>
            <w:r w:rsidR="0F77E214" w:rsidRPr="009278AF">
              <w:rPr>
                <w:b/>
                <w:sz w:val="24"/>
                <w:szCs w:val="24"/>
              </w:rPr>
              <w:t xml:space="preserve"> in increasingly complex situations </w:t>
            </w:r>
            <w:r w:rsidR="00E5498A" w:rsidRPr="009278AF">
              <w:rPr>
                <w:b/>
                <w:sz w:val="24"/>
                <w:szCs w:val="24"/>
              </w:rPr>
              <w:t>and</w:t>
            </w:r>
            <w:r w:rsidR="1D6670C0" w:rsidRPr="009278AF">
              <w:rPr>
                <w:b/>
                <w:sz w:val="24"/>
                <w:szCs w:val="24"/>
              </w:rPr>
              <w:t xml:space="preserve"> </w:t>
            </w:r>
            <w:r w:rsidR="39C47EB7" w:rsidRPr="009278AF">
              <w:rPr>
                <w:b/>
                <w:sz w:val="24"/>
                <w:szCs w:val="24"/>
              </w:rPr>
              <w:t>the</w:t>
            </w:r>
            <w:r w:rsidR="25F327FB" w:rsidRPr="009278AF">
              <w:rPr>
                <w:b/>
                <w:sz w:val="24"/>
                <w:szCs w:val="24"/>
              </w:rPr>
              <w:t xml:space="preserve"> </w:t>
            </w:r>
            <w:r w:rsidR="00F34C86" w:rsidRPr="009278AF">
              <w:rPr>
                <w:b/>
                <w:sz w:val="24"/>
                <w:szCs w:val="24"/>
              </w:rPr>
              <w:t>use of social work theories</w:t>
            </w:r>
            <w:r w:rsidR="756EEE2D" w:rsidRPr="009278AF">
              <w:rPr>
                <w:b/>
                <w:sz w:val="24"/>
                <w:szCs w:val="24"/>
              </w:rPr>
              <w:t>.</w:t>
            </w:r>
            <w:r w:rsidR="00216563" w:rsidRPr="009278AF">
              <w:rPr>
                <w:b/>
                <w:sz w:val="24"/>
                <w:szCs w:val="24"/>
              </w:rPr>
              <w:t xml:space="preserve"> </w:t>
            </w:r>
            <w:r w:rsidR="756EEE2D" w:rsidRPr="009278AF">
              <w:rPr>
                <w:b/>
                <w:sz w:val="24"/>
                <w:szCs w:val="24"/>
              </w:rPr>
              <w:t>You</w:t>
            </w:r>
            <w:r w:rsidR="00216563" w:rsidRPr="009278AF">
              <w:rPr>
                <w:b/>
                <w:sz w:val="24"/>
                <w:szCs w:val="24"/>
              </w:rPr>
              <w:t xml:space="preserve"> </w:t>
            </w:r>
            <w:r w:rsidR="00E5498A" w:rsidRPr="009278AF">
              <w:rPr>
                <w:b/>
                <w:sz w:val="24"/>
                <w:szCs w:val="24"/>
              </w:rPr>
              <w:t xml:space="preserve">must </w:t>
            </w:r>
            <w:r w:rsidR="00F030D4" w:rsidRPr="009278AF">
              <w:rPr>
                <w:b/>
                <w:sz w:val="24"/>
                <w:szCs w:val="24"/>
              </w:rPr>
              <w:t>refer to</w:t>
            </w:r>
            <w:r w:rsidR="00216563" w:rsidRPr="009278AF">
              <w:rPr>
                <w:b/>
                <w:sz w:val="24"/>
                <w:szCs w:val="24"/>
              </w:rPr>
              <w:t xml:space="preserve"> </w:t>
            </w:r>
            <w:r w:rsidR="00F34C86" w:rsidRPr="009278AF">
              <w:rPr>
                <w:b/>
                <w:sz w:val="24"/>
                <w:szCs w:val="24"/>
              </w:rPr>
              <w:t>the specific dimensions of working in Wales</w:t>
            </w:r>
            <w:r w:rsidR="00411EF7" w:rsidRPr="009278AF">
              <w:rPr>
                <w:b/>
                <w:sz w:val="24"/>
                <w:szCs w:val="24"/>
              </w:rPr>
              <w:t xml:space="preserve">. </w:t>
            </w:r>
          </w:p>
          <w:p w14:paraId="2F8A7CA5" w14:textId="6EDC9DFB" w:rsidR="008D5999" w:rsidRPr="009278AF" w:rsidRDefault="008D5999" w:rsidP="00064063">
            <w:pPr>
              <w:jc w:val="both"/>
              <w:rPr>
                <w:b/>
                <w:sz w:val="24"/>
                <w:szCs w:val="24"/>
              </w:rPr>
            </w:pPr>
          </w:p>
          <w:p w14:paraId="20A5906F" w14:textId="77777777" w:rsidR="008D5999" w:rsidRPr="009278AF" w:rsidRDefault="008D5999" w:rsidP="00064063">
            <w:pPr>
              <w:jc w:val="both"/>
              <w:rPr>
                <w:b/>
                <w:sz w:val="24"/>
                <w:szCs w:val="24"/>
              </w:rPr>
            </w:pPr>
          </w:p>
          <w:p w14:paraId="51AF4546" w14:textId="476CB9AF" w:rsidR="00D3203C" w:rsidRPr="009278AF" w:rsidRDefault="00045C40" w:rsidP="00FF7EBB">
            <w:pPr>
              <w:jc w:val="both"/>
              <w:rPr>
                <w:b/>
                <w:i/>
                <w:sz w:val="24"/>
                <w:szCs w:val="24"/>
              </w:rPr>
            </w:pPr>
            <w:r w:rsidRPr="009278AF">
              <w:rPr>
                <w:b/>
                <w:i/>
                <w:sz w:val="24"/>
                <w:szCs w:val="24"/>
              </w:rPr>
              <w:t xml:space="preserve">4000 </w:t>
            </w:r>
            <w:r w:rsidR="008B28E7" w:rsidRPr="009278AF">
              <w:rPr>
                <w:b/>
                <w:i/>
                <w:sz w:val="24"/>
                <w:szCs w:val="24"/>
              </w:rPr>
              <w:t>words</w:t>
            </w:r>
            <w:r w:rsidR="008B28E7" w:rsidRPr="009278AF">
              <w:rPr>
                <w:b/>
                <w:sz w:val="24"/>
                <w:szCs w:val="24"/>
              </w:rPr>
              <w:t xml:space="preserve"> </w:t>
            </w:r>
            <w:r w:rsidR="008B28E7" w:rsidRPr="009278AF">
              <w:rPr>
                <w:b/>
                <w:i/>
                <w:sz w:val="24"/>
                <w:szCs w:val="24"/>
              </w:rPr>
              <w:t>(+/- 10%: include your actual word count at the end of each section)</w:t>
            </w:r>
            <w:r w:rsidR="007A628F" w:rsidRPr="009278AF">
              <w:rPr>
                <w:b/>
                <w:i/>
                <w:sz w:val="24"/>
                <w:szCs w:val="24"/>
              </w:rPr>
              <w:t>.</w:t>
            </w:r>
          </w:p>
          <w:p w14:paraId="701D8D4D" w14:textId="38C2B218" w:rsidR="00D3203C" w:rsidRDefault="00D3203C" w:rsidP="00FF7EBB">
            <w:pPr>
              <w:jc w:val="both"/>
              <w:rPr>
                <w:i/>
                <w:sz w:val="24"/>
                <w:szCs w:val="24"/>
              </w:rPr>
            </w:pPr>
          </w:p>
          <w:p w14:paraId="0BD0C765" w14:textId="77777777" w:rsidR="00C2258E" w:rsidRDefault="00C2258E" w:rsidP="00C2258E">
            <w:pPr>
              <w:spacing w:line="360" w:lineRule="auto"/>
              <w:jc w:val="both"/>
              <w:rPr>
                <w:color w:val="auto"/>
                <w:sz w:val="24"/>
                <w:szCs w:val="24"/>
              </w:rPr>
            </w:pPr>
            <w:r>
              <w:rPr>
                <w:rStyle w:val="eop"/>
                <w:sz w:val="24"/>
                <w:szCs w:val="24"/>
                <w:shd w:val="clear" w:color="auto" w:fill="FFFFFF"/>
              </w:rPr>
              <w:t>In this paper, I will critically reflect on an assessment of care and support (ACAS) that I undertook as part of my role on the children’s assessment team. I will consider how the case relates to safeguarding legislation, policies, and strategies in Wales, the United Kingdom (UK), and the European Union (EU). I will aim to demonstrate my understanding of the importance of integrating analysis of assessment, collaborative working and professional judgements while using social work theories. The main theories identified and relevant to the case study were used to demonstrate how I understood the situation while empowering and communicating. The main theories discussed are Attachment theory (Bowlby, 1969,1973,1980), Empowerment Theory (Zimmerman, 2000), and Strength-Based Approach (Department of Health and Social Care, 2019)</w:t>
            </w:r>
            <w:r>
              <w:rPr>
                <w:sz w:val="24"/>
                <w:szCs w:val="24"/>
              </w:rPr>
              <w:t>. All names, locations, and services have been changed to comply with confidentiality requirements under the laws and regulations of the local authority and the Data Protection Act (2018), as well as the Code of Professional Practice (</w:t>
            </w:r>
            <w:proofErr w:type="spellStart"/>
            <w:r>
              <w:rPr>
                <w:sz w:val="24"/>
                <w:szCs w:val="24"/>
              </w:rPr>
              <w:t>CoPP</w:t>
            </w:r>
            <w:proofErr w:type="spellEnd"/>
            <w:r>
              <w:rPr>
                <w:sz w:val="24"/>
                <w:szCs w:val="24"/>
              </w:rPr>
              <w:t xml:space="preserve">) (Social Care Wales 2017). Numbers will be used instead to protect the privacy of all participants. I will refer to individuals by assigned numbers rather than their real names. The </w:t>
            </w:r>
            <w:r>
              <w:rPr>
                <w:sz w:val="24"/>
                <w:szCs w:val="24"/>
              </w:rPr>
              <w:lastRenderedPageBreak/>
              <w:t xml:space="preserve">young person in the ACAS will be referred to as ‘1’, the mother as ‘2’ and the stepdad as ‘3’. All professionals will be referred to by their profession (for example, nurse, social worker). </w:t>
            </w:r>
            <w:r w:rsidRPr="00A900F8">
              <w:rPr>
                <w:b/>
                <w:bCs/>
                <w:sz w:val="24"/>
                <w:szCs w:val="24"/>
              </w:rPr>
              <w:t>(224)</w:t>
            </w:r>
          </w:p>
          <w:p w14:paraId="637E1CD2" w14:textId="77777777" w:rsidR="00C2258E" w:rsidRDefault="00C2258E" w:rsidP="00C2258E">
            <w:pPr>
              <w:pStyle w:val="paragraph"/>
              <w:spacing w:before="0" w:beforeAutospacing="0" w:after="0" w:afterAutospacing="0" w:line="360" w:lineRule="auto"/>
              <w:jc w:val="both"/>
              <w:textAlignment w:val="baseline"/>
              <w:rPr>
                <w:rFonts w:ascii="Arial" w:hAnsi="Arial" w:cs="Arial"/>
              </w:rPr>
            </w:pPr>
            <w:r>
              <w:rPr>
                <w:rFonts w:ascii="Arial" w:hAnsi="Arial" w:cs="Arial"/>
              </w:rPr>
              <w:t xml:space="preserve">The referral came in through a MARF (Multi-Agency Referral Form), which was sent to the Central Referral Team (CRT). </w:t>
            </w:r>
            <w:r>
              <w:rPr>
                <w:rStyle w:val="eop"/>
                <w:rFonts w:ascii="Arial" w:hAnsi="Arial" w:cs="Arial"/>
                <w:shd w:val="clear" w:color="auto" w:fill="FFFFFF"/>
              </w:rPr>
              <w:t>The team I am working in is the children's services assessment team, which is based in Carmarthenshire, Wales.</w:t>
            </w:r>
            <w:r>
              <w:rPr>
                <w:rFonts w:ascii="Arial" w:hAnsi="Arial" w:cs="Arial"/>
              </w:rPr>
              <w:t xml:space="preserve"> </w:t>
            </w:r>
            <w:bookmarkStart w:id="0" w:name="_Hlk220241069"/>
            <w:r>
              <w:rPr>
                <w:rFonts w:ascii="Arial" w:hAnsi="Arial" w:cs="Arial"/>
              </w:rPr>
              <w:t>The Social Services and Wellbeing (Wales) Act (2014)</w:t>
            </w:r>
            <w:bookmarkEnd w:id="0"/>
            <w:r>
              <w:rPr>
                <w:rFonts w:ascii="Arial" w:hAnsi="Arial" w:cs="Arial"/>
              </w:rPr>
              <w:t xml:space="preserve"> </w:t>
            </w:r>
            <w:bookmarkStart w:id="1" w:name="_Hlk220240642"/>
            <w:r>
              <w:rPr>
                <w:rFonts w:ascii="Arial" w:hAnsi="Arial" w:cs="Arial"/>
              </w:rPr>
              <w:t>(SSW(W)A (2014)</w:t>
            </w:r>
            <w:bookmarkEnd w:id="1"/>
            <w:r>
              <w:rPr>
                <w:rFonts w:ascii="Arial" w:hAnsi="Arial" w:cs="Arial"/>
              </w:rPr>
              <w:t xml:space="preserve"> requires local authorities and ministers in Wales to promote the care of those who need support. For example (SSW(W)A (2014) part 3, s.21, is a duty to assess the needs of a child for care and support. To begin with, CRT will assess whether the referral is within my remit, which is to assess and work with children between the ages of 14 and 18 at risk of homelessness and/or family breakdown. I straddle both the assessment team and the Early Help Hub/Families Connected team. During the initial assessment, CRT will also decide whether I will initially work it as an ACAS (statutory) or if I can work it at a preventive level in my preventative role, the Early Help Hub and Families Connected team. I will go into further discussion on the importance of analysis in assessment further on in the paper. </w:t>
            </w:r>
          </w:p>
          <w:p w14:paraId="782487CA" w14:textId="77777777" w:rsidR="00C2258E" w:rsidRDefault="00C2258E" w:rsidP="00C2258E">
            <w:pPr>
              <w:pStyle w:val="paragraph"/>
              <w:spacing w:before="0" w:beforeAutospacing="0" w:after="0" w:afterAutospacing="0" w:line="360" w:lineRule="auto"/>
              <w:jc w:val="both"/>
              <w:textAlignment w:val="baseline"/>
              <w:rPr>
                <w:rFonts w:ascii="Arial" w:hAnsi="Arial" w:cs="Arial"/>
              </w:rPr>
            </w:pPr>
          </w:p>
          <w:p w14:paraId="2C7A58FB" w14:textId="77777777" w:rsidR="00C2258E" w:rsidRDefault="00C2258E" w:rsidP="00C2258E">
            <w:pPr>
              <w:pStyle w:val="paragraph"/>
              <w:spacing w:before="0" w:beforeAutospacing="0" w:after="0" w:afterAutospacing="0" w:line="360" w:lineRule="auto"/>
              <w:jc w:val="both"/>
              <w:textAlignment w:val="baseline"/>
              <w:rPr>
                <w:rStyle w:val="eop"/>
                <w:rFonts w:eastAsiaTheme="majorEastAsia"/>
              </w:rPr>
            </w:pPr>
            <w:r>
              <w:rPr>
                <w:rStyle w:val="eop"/>
                <w:rFonts w:ascii="Arial" w:eastAsiaTheme="majorEastAsia" w:hAnsi="Arial" w:cs="Arial"/>
              </w:rPr>
              <w:t xml:space="preserve">In my current position, I must understand and put into practice the relevant legislation, such as the Children Act (1989) (CA 1989) and the SSWB(W)A (2014). Part 7 Section 130 of the SSWB(W)A (2014) provides us with the definition of a child at risk. Part 7 of the SSWB(W)A (2014) is the section of legislation that addresses safeguarding and imposes a duty on social workers to report any safeguarding concerns. Part 3 of the CA (1989) is not used in Wales as it has been replaced by the SSWB(W)A. CA (1989) includes the principles which are key concepts in relation to children's welfare. </w:t>
            </w:r>
          </w:p>
          <w:p w14:paraId="6CB44DC1" w14:textId="77777777" w:rsidR="00C2258E" w:rsidRDefault="00C2258E" w:rsidP="00C2258E">
            <w:pPr>
              <w:spacing w:line="360" w:lineRule="auto"/>
              <w:jc w:val="both"/>
              <w:rPr>
                <w:rFonts w:eastAsiaTheme="minorHAnsi"/>
                <w:sz w:val="24"/>
                <w:szCs w:val="24"/>
              </w:rPr>
            </w:pPr>
          </w:p>
          <w:p w14:paraId="5C17C445" w14:textId="77777777" w:rsidR="00C2258E" w:rsidRDefault="00C2258E" w:rsidP="00C2258E">
            <w:pPr>
              <w:spacing w:line="360" w:lineRule="auto"/>
              <w:jc w:val="both"/>
              <w:rPr>
                <w:sz w:val="24"/>
                <w:szCs w:val="24"/>
              </w:rPr>
            </w:pPr>
            <w:r>
              <w:rPr>
                <w:sz w:val="24"/>
                <w:szCs w:val="24"/>
              </w:rPr>
              <w:t xml:space="preserve">The case study is based on a child whom we will call 1, as I have explained in the introduction. This was referred by an adult who was concerned for the child following a disclosure by the child. (1) was 17 years old at the time of referral and had disclosed to his friends’ parents that he had felt unsafe to return home to 2 and 3. While Wales Safeguarding Procedures (2019) details roles and procedures for professionals to follow and to help apply to legislation such as Social Services and Wellbeing (Wales) Act 2014 and Working Together to Safeguard </w:t>
            </w:r>
            <w:r>
              <w:rPr>
                <w:sz w:val="24"/>
                <w:szCs w:val="24"/>
              </w:rPr>
              <w:lastRenderedPageBreak/>
              <w:t xml:space="preserve">People (2019). There is also a duty of Care for everyone, the public and professionals, to safeguard children and report any concerns. Welsh Assembly Government for Social Care Wales (2014) write ‘This Code of Safeguarding Practice sets out Welsh Government expectations in relation to safeguarding arrangements. Safeguarding is everybody’s responsibility’. </w:t>
            </w:r>
          </w:p>
          <w:p w14:paraId="16D17F48" w14:textId="3BF2C59F" w:rsidR="00C2258E" w:rsidRDefault="00C2258E" w:rsidP="00C2258E">
            <w:pPr>
              <w:spacing w:line="360" w:lineRule="auto"/>
              <w:jc w:val="both"/>
              <w:rPr>
                <w:spacing w:val="-1"/>
                <w:sz w:val="24"/>
                <w:szCs w:val="24"/>
                <w:shd w:val="clear" w:color="auto" w:fill="FFFFFF"/>
              </w:rPr>
            </w:pPr>
            <w:r>
              <w:rPr>
                <w:sz w:val="24"/>
                <w:szCs w:val="24"/>
              </w:rPr>
              <w:t>1’s basic background and summary are that 1 and his biological family are English speakers; however, they were offered the assessment in Welsh as per the Welsh Assembly Government's ‘Active Offer’, which is in line with the SSWB(W)</w:t>
            </w:r>
            <w:r w:rsidR="0006534D">
              <w:rPr>
                <w:sz w:val="24"/>
                <w:szCs w:val="24"/>
              </w:rPr>
              <w:t>A (</w:t>
            </w:r>
            <w:r>
              <w:rPr>
                <w:sz w:val="24"/>
                <w:szCs w:val="24"/>
              </w:rPr>
              <w:t xml:space="preserve">2014). 1 has a long-term illness, which was a very complex and dangerous form of Epilepsy. </w:t>
            </w:r>
            <w:bookmarkStart w:id="2" w:name="_Hlk220251002"/>
            <w:r>
              <w:rPr>
                <w:sz w:val="24"/>
                <w:szCs w:val="24"/>
              </w:rPr>
              <w:t xml:space="preserve">NHS (2025) </w:t>
            </w:r>
            <w:bookmarkEnd w:id="2"/>
            <w:r>
              <w:rPr>
                <w:sz w:val="24"/>
                <w:szCs w:val="24"/>
              </w:rPr>
              <w:t>explain that ‘Epilepsy is a condition that affects your brain and causes seizures (sometimes called fits). It cannot currently be cured, but treatment can often help manage it’.</w:t>
            </w:r>
            <w:r>
              <w:rPr>
                <w:color w:val="212B32"/>
                <w:sz w:val="24"/>
                <w:szCs w:val="24"/>
                <w:shd w:val="clear" w:color="auto" w:fill="F0F4F5"/>
              </w:rPr>
              <w:t xml:space="preserve"> 1 had lived with this condition for over 7 years. The concern highlighted by 1 to his friends’ parents was that his mother had been emotionally and medically abusing him, he said this was by controlling his lifestyle, actions and opportunities by using his illness against him.  According to the </w:t>
            </w:r>
            <w:r w:rsidRPr="0006534D">
              <w:rPr>
                <w:rStyle w:val="Strong"/>
                <w:b w:val="0"/>
                <w:bCs w:val="0"/>
                <w:color w:val="1E1E1E"/>
                <w:sz w:val="24"/>
                <w:szCs w:val="24"/>
                <w:shd w:val="clear" w:color="auto" w:fill="FFFFFF"/>
              </w:rPr>
              <w:t>UN Convention on the Rights of the Child 1989 (UNCRC Article 24), all children have the right to be healthy and have appropriate health care. However,</w:t>
            </w:r>
            <w:r>
              <w:rPr>
                <w:rStyle w:val="Strong"/>
                <w:color w:val="1E1E1E"/>
                <w:sz w:val="24"/>
                <w:szCs w:val="24"/>
                <w:shd w:val="clear" w:color="auto" w:fill="FFFFFF"/>
              </w:rPr>
              <w:t xml:space="preserve"> </w:t>
            </w:r>
            <w:r>
              <w:rPr>
                <w:spacing w:val="-1"/>
                <w:sz w:val="24"/>
                <w:szCs w:val="24"/>
                <w:shd w:val="clear" w:color="auto" w:fill="FFFFFF"/>
              </w:rPr>
              <w:t xml:space="preserve">S3 of the </w:t>
            </w:r>
            <w:r>
              <w:rPr>
                <w:rStyle w:val="eop"/>
                <w:rFonts w:eastAsiaTheme="majorEastAsia"/>
                <w:sz w:val="24"/>
                <w:szCs w:val="24"/>
              </w:rPr>
              <w:t xml:space="preserve">SSWB(W)A 2014 </w:t>
            </w:r>
            <w:r>
              <w:rPr>
                <w:spacing w:val="-1"/>
                <w:sz w:val="24"/>
                <w:szCs w:val="24"/>
                <w:shd w:val="clear" w:color="auto" w:fill="FFFFFF"/>
              </w:rPr>
              <w:t>defines a child is a person who is aged under 18. This is a grey area in terms of children’s rights, as, legally, they are children for whom someone normally has Parental Responsibility (PR) of a minor under the age of 18. CA (1989 s.3) define PR as parents or legal guardians of the child who have ‘powers, duties and responsibilities’ for that person, unless those privileges or rights have been legally and lawfully removed. 1 had not actively applied to have PR removed from his parents; however, his wants and wishes were that his mother had no contact or rights to any aspect of his life, including his medical needs or decisions. 1 had chosen to move out of his family home and exercised his rights and powers to be independent, where it was safe to do so. 1’s medical rights and options for independent and consented medical rights will be discussed further on in the paper.</w:t>
            </w:r>
          </w:p>
          <w:p w14:paraId="7E0CBC6D" w14:textId="77777777" w:rsidR="00C2258E" w:rsidRPr="00A900F8" w:rsidRDefault="00C2258E" w:rsidP="00C2258E">
            <w:pPr>
              <w:spacing w:line="360" w:lineRule="auto"/>
              <w:jc w:val="both"/>
              <w:rPr>
                <w:b/>
                <w:bCs/>
                <w:color w:val="auto"/>
                <w:sz w:val="24"/>
                <w:szCs w:val="24"/>
              </w:rPr>
            </w:pPr>
            <w:r>
              <w:rPr>
                <w:spacing w:val="-1"/>
                <w:sz w:val="24"/>
                <w:szCs w:val="24"/>
                <w:shd w:val="clear" w:color="auto" w:fill="FFFFFF"/>
              </w:rPr>
              <w:t xml:space="preserve">Following the referral by CRT, I had a case discussion with my supervisor to analyse the case and plan the initial course of action. As per </w:t>
            </w:r>
            <w:proofErr w:type="spellStart"/>
            <w:r>
              <w:rPr>
                <w:spacing w:val="-1"/>
                <w:sz w:val="24"/>
                <w:szCs w:val="24"/>
                <w:shd w:val="clear" w:color="auto" w:fill="FFFFFF"/>
              </w:rPr>
              <w:t>CoPP</w:t>
            </w:r>
            <w:proofErr w:type="spellEnd"/>
            <w:r>
              <w:rPr>
                <w:spacing w:val="-1"/>
                <w:sz w:val="24"/>
                <w:szCs w:val="24"/>
                <w:shd w:val="clear" w:color="auto" w:fill="FFFFFF"/>
              </w:rPr>
              <w:t xml:space="preserve"> S6 (2017) state social workers are required to discuss cases confidentially and respectfully with honesty and accountability. This is to seek advice and reflect on their actions and decisions. Data Protection Act (2018) is a law in the UK that regulates how personal information is used by organisations, businesses and </w:t>
            </w:r>
            <w:r>
              <w:rPr>
                <w:spacing w:val="-1"/>
                <w:sz w:val="24"/>
                <w:szCs w:val="24"/>
                <w:shd w:val="clear" w:color="auto" w:fill="FFFFFF"/>
              </w:rPr>
              <w:lastRenderedPageBreak/>
              <w:t xml:space="preserve">departments. Discussing cases within supervision is essential to analyse and consider professional judgement and decisions. Supervision is essential in contributing to a social worker analysing assessments and using their professional judgments to confidentially, effectively and safely achieve an outcome in an assessment, such as in my role, which is the first point of call for assessing safeguarding concerns within the assessment team. While discussing 1 during supervision, it was important that I critically reflect to receive the advice and critique that would enable me to provide an impartial and optimal service. Adams, R (p.194) explain that the significance of being critical and honest in supervision is a key </w:t>
            </w:r>
            <w:r>
              <w:rPr>
                <w:sz w:val="24"/>
                <w:szCs w:val="24"/>
              </w:rPr>
              <w:t xml:space="preserve">to uncover and critically analyse the inconsistencies between intended practice and actual outcomes. The key principles for good supervision are collaboration, empowerment and reflective feedback; these principles will be covered throughout this paper. </w:t>
            </w:r>
            <w:r w:rsidRPr="00A900F8">
              <w:rPr>
                <w:b/>
                <w:bCs/>
                <w:sz w:val="24"/>
                <w:szCs w:val="24"/>
              </w:rPr>
              <w:t>(983)</w:t>
            </w:r>
          </w:p>
          <w:p w14:paraId="49A5A88B" w14:textId="77777777" w:rsidR="00C2258E" w:rsidRDefault="00C2258E" w:rsidP="00C2258E">
            <w:pPr>
              <w:pStyle w:val="NormalWeb"/>
              <w:spacing w:line="360" w:lineRule="auto"/>
              <w:jc w:val="both"/>
              <w:rPr>
                <w:rFonts w:ascii="Arial" w:hAnsi="Arial" w:cs="Arial"/>
              </w:rPr>
            </w:pPr>
            <w:r>
              <w:rPr>
                <w:rFonts w:ascii="Arial" w:hAnsi="Arial" w:cs="Arial"/>
              </w:rPr>
              <w:t xml:space="preserve">In the analysis of assessment, the Welsh Government (2018) states in a resource pack that the key features to analysis of an assessment for Social Workers to use when analysing and assessing are: analysis, reflection IN and ON action, intuition and critical thinking. This was crucial to remember when discussing, assessing and concluding 1’s case. As previously explained 1 has a complex form of epilepsy which he had since early childhood. It wasn’t until his later teenage years 1 started to speak to educational staff in school then in college that he believed his mother was using his illness to control and disempower him. During the assessment mother presents as highly attentive and actively engaged with medical professionals; however, the analysis suggests that the child’s repeated medical appointments and inconsistencies may indicate concerns consistent with Fabricated or Induced Illness (FII). According to NHS (2023) FII is unusual form of child abuse. It happens when a carer exaggerates, abuses or deliberately causes symptoms of illness in the child. In this instance, 2 did not fabricate 1’s illness as epilepsy was a proven factor however, 2 did exaggerate the concerns and disempower 1’s ability to live a normal teenage life and it was evident that 1 was displaying behaviours consistent of insecure attachment. </w:t>
            </w:r>
            <w:bookmarkStart w:id="3" w:name="_Hlk222388847"/>
            <w:r>
              <w:rPr>
                <w:rFonts w:ascii="Arial" w:hAnsi="Arial" w:cs="Arial"/>
              </w:rPr>
              <w:t xml:space="preserve">Maclean, S and Harrison, R (2015 p.103) </w:t>
            </w:r>
            <w:bookmarkEnd w:id="3"/>
            <w:r>
              <w:rPr>
                <w:rFonts w:ascii="Arial" w:hAnsi="Arial" w:cs="Arial"/>
              </w:rPr>
              <w:t xml:space="preserve">explain that John Bowlby (1997) initially promoted attachment theory which is key to healthy development of a child. While carrying out the assessment, it was clear to see that from an attachment theory perspective, 1 and 2’s relationship appears fragile and strained rather than securely attached. 1 demonstrates heightened vigilance towards 2 and frequently deferred to her when describing symptoms, which may suggest relational anxiety rather than </w:t>
            </w:r>
            <w:r>
              <w:rPr>
                <w:rFonts w:ascii="Arial" w:hAnsi="Arial" w:cs="Arial"/>
              </w:rPr>
              <w:lastRenderedPageBreak/>
              <w:t xml:space="preserve">secure attachment. I had to consider this when analysing and writing the ACAS. While 2’s behaviours may appear nurturing and overly caring, attachment theory cautions that overprotection and role-reversal can undermine a child’s autonomy and emotional development. While discussing the case in supervision I was reminded to use my professional judgment and while having professional curiosity in analysing and assessing is good practice, we must be careful to have a balance of power and not to abuse this. Equally it is important that the voice of the child is captured and listened to while assessing wants, needs and wishes. </w:t>
            </w:r>
            <w:bookmarkStart w:id="4" w:name="_Hlk222390435"/>
            <w:r>
              <w:rPr>
                <w:rStyle w:val="eop"/>
                <w:rFonts w:ascii="Arial" w:eastAsiaTheme="majorEastAsia" w:hAnsi="Arial" w:cs="Arial"/>
              </w:rPr>
              <w:t xml:space="preserve">SSWB(W)A (2014) </w:t>
            </w:r>
            <w:bookmarkEnd w:id="4"/>
            <w:r>
              <w:rPr>
                <w:rStyle w:val="eop"/>
                <w:rFonts w:ascii="Arial" w:eastAsiaTheme="majorEastAsia" w:hAnsi="Arial" w:cs="Arial"/>
              </w:rPr>
              <w:t>does not state directly that the voice of the child is paramount but does collaborate sections stating that we have a legal duty to listen and respond to a child's wishes and feelings</w:t>
            </w:r>
            <w:r w:rsidRPr="0006534D">
              <w:rPr>
                <w:rStyle w:val="eop"/>
                <w:rFonts w:ascii="Arial" w:eastAsiaTheme="majorEastAsia" w:hAnsi="Arial" w:cs="Arial"/>
                <w:b/>
                <w:bCs/>
              </w:rPr>
              <w:t xml:space="preserve">. </w:t>
            </w:r>
            <w:r w:rsidRPr="0006534D">
              <w:rPr>
                <w:rStyle w:val="Strong"/>
                <w:rFonts w:ascii="Arial" w:eastAsiaTheme="majorEastAsia" w:hAnsi="Arial" w:cs="Arial"/>
                <w:b w:val="0"/>
                <w:bCs w:val="0"/>
              </w:rPr>
              <w:t>S6</w:t>
            </w:r>
            <w:r>
              <w:rPr>
                <w:rStyle w:val="Strong"/>
                <w:rFonts w:ascii="Arial" w:eastAsiaTheme="majorEastAsia" w:hAnsi="Arial" w:cs="Arial"/>
              </w:rPr>
              <w:t xml:space="preserve"> of </w:t>
            </w:r>
            <w:bookmarkStart w:id="5" w:name="_Hlk222392065"/>
            <w:r>
              <w:rPr>
                <w:rStyle w:val="eop"/>
                <w:rFonts w:ascii="Arial" w:eastAsiaTheme="majorEastAsia" w:hAnsi="Arial" w:cs="Arial"/>
              </w:rPr>
              <w:t xml:space="preserve">SSWB(W)A (2014) </w:t>
            </w:r>
            <w:bookmarkEnd w:id="5"/>
            <w:r>
              <w:rPr>
                <w:rFonts w:ascii="Arial" w:hAnsi="Arial" w:cs="Arial"/>
              </w:rPr>
              <w:t>requires that children’s views, wishes and feelings are established and considered and that appropriate support is provided for them to participate in decisions affecting them</w:t>
            </w:r>
            <w:r>
              <w:rPr>
                <w:rFonts w:ascii="Arial" w:hAnsi="Arial" w:cs="Arial"/>
                <w:color w:val="FF0000"/>
              </w:rPr>
              <w:t>.</w:t>
            </w:r>
            <w:r>
              <w:rPr>
                <w:rFonts w:ascii="Arial" w:hAnsi="Arial" w:cs="Arial"/>
              </w:rPr>
              <w:t xml:space="preserve"> Similarly, Section 7 of the </w:t>
            </w:r>
            <w:r>
              <w:rPr>
                <w:rStyle w:val="Emphasis"/>
                <w:rFonts w:ascii="Arial" w:eastAsiaTheme="majorEastAsia" w:hAnsi="Arial" w:cs="Arial"/>
              </w:rPr>
              <w:t>SSW(W)A (2014)</w:t>
            </w:r>
            <w:r>
              <w:rPr>
                <w:rFonts w:ascii="Arial" w:hAnsi="Arial" w:cs="Arial"/>
              </w:rPr>
              <w:t xml:space="preserve"> highlights the UK’s implementation of the UNCRC (1989), emphasizing children’s rights to participate in decisions affecting them. The </w:t>
            </w:r>
            <w:proofErr w:type="spellStart"/>
            <w:r>
              <w:rPr>
                <w:rStyle w:val="Emphasis"/>
                <w:rFonts w:ascii="Arial" w:eastAsiaTheme="majorEastAsia" w:hAnsi="Arial" w:cs="Arial"/>
              </w:rPr>
              <w:t>CoPP</w:t>
            </w:r>
            <w:proofErr w:type="spellEnd"/>
            <w:r>
              <w:rPr>
                <w:rStyle w:val="Emphasis"/>
                <w:rFonts w:ascii="Arial" w:eastAsiaTheme="majorEastAsia" w:hAnsi="Arial" w:cs="Arial"/>
              </w:rPr>
              <w:t xml:space="preserve"> </w:t>
            </w:r>
            <w:r>
              <w:rPr>
                <w:rFonts w:ascii="Arial" w:hAnsi="Arial" w:cs="Arial"/>
              </w:rPr>
              <w:t>(2017), (Parts 2 and 10) provides guidance on how these duties should be applied in practice.</w:t>
            </w:r>
            <w:r>
              <w:rPr>
                <w:rFonts w:ascii="Arial" w:hAnsi="Arial" w:cs="Arial"/>
                <w:color w:val="FF0000"/>
              </w:rPr>
              <w:t xml:space="preserve"> </w:t>
            </w:r>
            <w:r>
              <w:rPr>
                <w:rFonts w:ascii="Arial" w:hAnsi="Arial" w:cs="Arial"/>
              </w:rPr>
              <w:t xml:space="preserve">including independent advocacy and collaborative working. Collaborative working will be discussed next. </w:t>
            </w:r>
            <w:r w:rsidRPr="00A900F8">
              <w:rPr>
                <w:rFonts w:ascii="Arial" w:hAnsi="Arial" w:cs="Arial"/>
                <w:b/>
                <w:bCs/>
              </w:rPr>
              <w:t>(502)</w:t>
            </w:r>
          </w:p>
          <w:p w14:paraId="733FBB94" w14:textId="77777777" w:rsidR="00C2258E" w:rsidRDefault="00C2258E" w:rsidP="00C2258E">
            <w:pPr>
              <w:pStyle w:val="NormalWeb"/>
              <w:spacing w:line="360" w:lineRule="auto"/>
              <w:jc w:val="both"/>
              <w:rPr>
                <w:rFonts w:ascii="Arial" w:hAnsi="Arial" w:cs="Arial"/>
              </w:rPr>
            </w:pPr>
            <w:r>
              <w:rPr>
                <w:rFonts w:ascii="Arial" w:hAnsi="Arial" w:cs="Arial"/>
              </w:rPr>
              <w:t xml:space="preserve">Collaborative working is a concept which is repeatedly discussed through supervision and is a key aspect in providing children and their families a feeling of empowerment and the right to participate. Additionally, while writing our assessments, documenting collaborative working with professionals and service users is a requirement this is to prove a thorough and holistic and approach was used to correctly analyse the outcome of an assessment. 1 was 17 years old and it was clear that he was able to make informed and rational decisions. The only issue was that 1’s confidence was low in his ability to be assertive and his confidence in voicing his needs and wants. </w:t>
            </w:r>
            <w:bookmarkStart w:id="6" w:name="_Hlk222395571"/>
            <w:r>
              <w:rPr>
                <w:rFonts w:ascii="Arial" w:hAnsi="Arial" w:cs="Arial"/>
              </w:rPr>
              <w:t xml:space="preserve">Adams, R (2008 p. IV) </w:t>
            </w:r>
            <w:bookmarkEnd w:id="6"/>
            <w:r>
              <w:rPr>
                <w:rFonts w:ascii="Arial" w:hAnsi="Arial" w:cs="Arial"/>
              </w:rPr>
              <w:t xml:space="preserve">explains that collaboration is simply people working jointly and with fair distribution of power and decision making. Therefore, when doing direct work with 1 to gather his thoughts and wishes it was important that I understood that there were many reasons that 1 had difficulty in confidently expressing his needs. I soon realised that the effect of lack of attachment between 1 and 2 and the fact 1’s biological father was always an absent figure in his life growing up, had affected 1’s ability to confidently relay his needs and wants. Therefore, working collaboratively with 1 and allowing him to feel heard, </w:t>
            </w:r>
            <w:r>
              <w:rPr>
                <w:rFonts w:ascii="Arial" w:hAnsi="Arial" w:cs="Arial"/>
              </w:rPr>
              <w:lastRenderedPageBreak/>
              <w:t xml:space="preserve">believed and valued helped 1 to be able to openly express himself. </w:t>
            </w:r>
            <w:r>
              <w:rPr>
                <w:rFonts w:ascii="Arial" w:hAnsi="Arial" w:cs="Arial"/>
                <w:color w:val="1E1E1E"/>
                <w:shd w:val="clear" w:color="auto" w:fill="F5F5F5"/>
              </w:rPr>
              <w:t>Rights of Children and Young Persons (Wales) Measure 2011 (S8 in particular) expects</w:t>
            </w:r>
            <w:r>
              <w:rPr>
                <w:rFonts w:ascii="Arial" w:hAnsi="Arial" w:cs="Arial"/>
              </w:rPr>
              <w:t xml:space="preserve"> a </w:t>
            </w:r>
            <w:r w:rsidRPr="00185CA9">
              <w:rPr>
                <w:rStyle w:val="Strong"/>
                <w:rFonts w:ascii="Arial" w:eastAsiaTheme="majorEastAsia" w:hAnsi="Arial" w:cs="Arial"/>
                <w:b w:val="0"/>
                <w:bCs w:val="0"/>
              </w:rPr>
              <w:t>duty in Wales to have due regard to the UNCRC (1989),</w:t>
            </w:r>
            <w:r>
              <w:rPr>
                <w:rFonts w:ascii="Arial" w:hAnsi="Arial" w:cs="Arial"/>
                <w:b/>
                <w:bCs/>
              </w:rPr>
              <w:t xml:space="preserve"> </w:t>
            </w:r>
            <w:r>
              <w:rPr>
                <w:rFonts w:ascii="Arial" w:hAnsi="Arial" w:cs="Arial"/>
              </w:rPr>
              <w:t xml:space="preserve">embedding the child’s right to be heard in law. In addition to working with 1 equally and attentively discussing the case in supervision, it is important that I pulled together all the professionals involved with 1 to hold a multi-agency meeting. To summarise, as stated by acts and legislations such as CA (1989), CA (2004) and the Department of Education (DoE) in Working Together to Safeguard Children (2023) - multi-agency meetings in social care are meetings where professionals from different services work together to share information and plan coordinated support to safeguard and promote a child’s welfare. It was vitally important to gather information and specialised feedback from a range of professionals involved, specifically the medical and specialised epilepsy professionals, as my focus and expertise were on safeguarding children and the medical experts were able to contribute about the health aspect. Together, we were able to determine that 1 was receiving a multi-layered and holistic assessment with an accurate and focused outcome. </w:t>
            </w:r>
            <w:r w:rsidRPr="0006534D">
              <w:rPr>
                <w:rStyle w:val="Strong"/>
                <w:rFonts w:ascii="Arial" w:eastAsiaTheme="majorEastAsia" w:hAnsi="Arial" w:cs="Arial"/>
                <w:b w:val="0"/>
                <w:bCs w:val="0"/>
              </w:rPr>
              <w:t>“Safeguarding partners and relevant agencies must work together to safeguard and promote the welfare of all children in their area</w:t>
            </w:r>
            <w:proofErr w:type="gramStart"/>
            <w:r w:rsidRPr="0006534D">
              <w:rPr>
                <w:rStyle w:val="Strong"/>
                <w:rFonts w:ascii="Arial" w:eastAsiaTheme="majorEastAsia" w:hAnsi="Arial" w:cs="Arial"/>
                <w:b w:val="0"/>
                <w:bCs w:val="0"/>
              </w:rPr>
              <w:t>.”</w:t>
            </w:r>
            <w:r w:rsidRPr="0006534D">
              <w:rPr>
                <w:rFonts w:ascii="Arial" w:hAnsi="Arial" w:cs="Arial"/>
                <w:b/>
                <w:bCs/>
              </w:rPr>
              <w:t>(</w:t>
            </w:r>
            <w:proofErr w:type="gramEnd"/>
            <w:r>
              <w:rPr>
                <w:rFonts w:ascii="Arial" w:hAnsi="Arial" w:cs="Arial"/>
              </w:rPr>
              <w:t xml:space="preserve">Department for Education, 2018, updated 2023).  In addition to attachment and empowerment, working collaboratively allows professionals to use a strength-based approach. Department of Health and Social Care (2011) </w:t>
            </w:r>
            <w:r w:rsidRPr="0006534D">
              <w:rPr>
                <w:rStyle w:val="Strong"/>
                <w:rFonts w:ascii="Arial" w:eastAsiaTheme="majorEastAsia" w:hAnsi="Arial" w:cs="Arial"/>
                <w:b w:val="0"/>
                <w:bCs w:val="0"/>
              </w:rPr>
              <w:t>explain that in social care, a strengths-based approach focuses on using the existing skills and resources of service users and their families, promoting joint working between professionals.</w:t>
            </w:r>
            <w:r>
              <w:rPr>
                <w:rStyle w:val="Strong"/>
                <w:rFonts w:ascii="Arial" w:eastAsiaTheme="majorEastAsia" w:hAnsi="Arial" w:cs="Arial"/>
              </w:rPr>
              <w:t xml:space="preserve"> </w:t>
            </w:r>
            <w:r>
              <w:rPr>
                <w:rFonts w:ascii="Arial" w:hAnsi="Arial" w:cs="Arial"/>
              </w:rPr>
              <w:t xml:space="preserve">Collaborating with healthcare specialists provided us, as professionals, with deeper insight into the young person, enabling us to make more confident decisions and plan care more effectively. Many UK and Welsh social care laws, including the Children Acts, Working Together (2018), Think Family (2011), the Care Act (2014), and the Social Services and Well-being (Wales) Act (2014), support strengths-based, child- and family-centred practice via multi-agency collaboration. In addition to developing a collaborative network and incorporating diverse specialist perspectives, this approach also helps prepare for when 1 turns 18, supporting effective transitional safeguarding into adulthood. Transitional safeguarding and its purpose will be discussed further in the paper. </w:t>
            </w:r>
            <w:r w:rsidRPr="007B4811">
              <w:rPr>
                <w:rFonts w:ascii="Arial" w:hAnsi="Arial" w:cs="Arial"/>
                <w:b/>
                <w:bCs/>
              </w:rPr>
              <w:t>(596)</w:t>
            </w:r>
          </w:p>
          <w:p w14:paraId="6F0C09DC" w14:textId="77777777" w:rsidR="00C2258E" w:rsidRDefault="00C2258E" w:rsidP="00C2258E">
            <w:pPr>
              <w:pStyle w:val="NormalWeb"/>
              <w:spacing w:line="360" w:lineRule="auto"/>
              <w:jc w:val="both"/>
              <w:rPr>
                <w:rFonts w:ascii="Arial" w:hAnsi="Arial" w:cs="Arial"/>
              </w:rPr>
            </w:pPr>
            <w:r>
              <w:rPr>
                <w:rFonts w:ascii="Arial" w:hAnsi="Arial" w:cs="Arial"/>
              </w:rPr>
              <w:lastRenderedPageBreak/>
              <w:t xml:space="preserve">In this section of my reflective paper, I will develop an insight into how I learnt, used and exercised my professional judgement, emphasising on this case study. Professional judgement in social care in Wales and the UK is the ability to make ethical, informed decisions that safeguard and promote wellbeing of children and their families using critical thinking, reflection, collaboration, and a strengths-based approach.  Welsh Government, (2014); Social Work England, (2019) document that in Wales, professional judgement in children and family social work involves using the </w:t>
            </w:r>
            <w:r w:rsidRPr="0006534D">
              <w:rPr>
                <w:rStyle w:val="Strong"/>
                <w:rFonts w:ascii="Arial" w:eastAsiaTheme="majorEastAsia" w:hAnsi="Arial" w:cs="Arial"/>
                <w:b w:val="0"/>
                <w:bCs w:val="0"/>
              </w:rPr>
              <w:t>Social Services and Well-being (Wales) Act (2014)</w:t>
            </w:r>
            <w:r>
              <w:rPr>
                <w:rFonts w:ascii="Arial" w:hAnsi="Arial" w:cs="Arial"/>
              </w:rPr>
              <w:t xml:space="preserve"> to make reflective, ethical decisions and work collaboratively across agencies. I was expected to and continued to use my professional judgement to understand 1 who is still a child but with epilepsy’s needs and who wishes to be independent. I needed to identify potential risks, collaborate with the family and other professionals, and make decisions that keep the child safe, supported and empowered. Adams, R (2008 </w:t>
            </w:r>
            <w:proofErr w:type="spellStart"/>
            <w:r>
              <w:rPr>
                <w:rFonts w:ascii="Arial" w:hAnsi="Arial" w:cs="Arial"/>
              </w:rPr>
              <w:t>p.xvi</w:t>
            </w:r>
            <w:proofErr w:type="spellEnd"/>
            <w:r>
              <w:rPr>
                <w:rFonts w:ascii="Arial" w:hAnsi="Arial" w:cs="Arial"/>
              </w:rPr>
              <w:t xml:space="preserve">) define empowerment as supporting individuals to understand their needs, make choices about their care, and take an active role in managing their lives. I had to use professional judgement to balance safety and independence when supporting 1 who is still a child at 17-years-old, to be able to make decisions about their care while working collaboratively with family and professionals. The difficulty was child 1 had requested that 2 or 3 had no information or rights to have access to him or his medical needs. This was difficult as 2 still had PR over 1 and was desperate to exercise those rights, although 1 had chosen to move from the family home and have no contact. This added to an already complicated and ‘grey area’ where a child is nearly an adult and has capacity to make informed decisions however the parents still have PR. I found I had to engage with 2 and listen to her worries and concerns, however respect 1’s rights to independence and decision making around his own life and medical decisions. I learnt that 1 as a 17-year-old can make his own medical decisions if professionals agree that they can understand the treatment and its consequences. I had to use professional judgement to balance the young person’s independence with safety, working with families and professionals to provide support while respecting their rights, explanation from Department of Health &amp; Social Care, (2001) and NHS, (2023). In this case, engaging in regular supervision and working collaboratively with colleagues and other professionals was essential. It helped ensure 1 was safeguarded while simultaneously respecting his autonomy and supporting his right to make independent decisions. This approach highlighted the importance of balancing </w:t>
            </w:r>
            <w:r>
              <w:rPr>
                <w:rFonts w:ascii="Arial" w:hAnsi="Arial" w:cs="Arial"/>
              </w:rPr>
              <w:lastRenderedPageBreak/>
              <w:t xml:space="preserve">protection with empowerment in practice. I learnt through discussing the case with relevant health professionals and experienced social workers that a 17-year-old can consent to their own medical treatment if they fully understand it, under </w:t>
            </w:r>
            <w:r w:rsidRPr="0006534D">
              <w:rPr>
                <w:rStyle w:val="Strong"/>
                <w:rFonts w:ascii="Arial" w:eastAsiaTheme="majorEastAsia" w:hAnsi="Arial" w:cs="Arial"/>
                <w:b w:val="0"/>
                <w:bCs w:val="0"/>
              </w:rPr>
              <w:t>Gillick competence</w:t>
            </w:r>
            <w:r w:rsidRPr="0006534D">
              <w:rPr>
                <w:rFonts w:ascii="Arial" w:hAnsi="Arial" w:cs="Arial"/>
                <w:b/>
                <w:bCs/>
              </w:rPr>
              <w:t>.</w:t>
            </w:r>
            <w:r>
              <w:rPr>
                <w:rFonts w:ascii="Arial" w:hAnsi="Arial" w:cs="Arial"/>
              </w:rPr>
              <w:t xml:space="preserve"> Social workers use professional judgement to support their autonomy while ensuring safety, collaborating with families and professionals as needed as stated by Department of Health &amp; Social Care (2001) and NHS, (2023). In Wales, safeguarding children means supporting their independence while ensuring safety. A young person like 1 who understands the risks can make their own medical decisions under </w:t>
            </w:r>
            <w:r w:rsidRPr="0006534D">
              <w:rPr>
                <w:rStyle w:val="Strong"/>
                <w:rFonts w:ascii="Arial" w:eastAsiaTheme="majorEastAsia" w:hAnsi="Arial" w:cs="Arial"/>
                <w:b w:val="0"/>
                <w:bCs w:val="0"/>
              </w:rPr>
              <w:t>Gillick competence</w:t>
            </w:r>
            <w:r>
              <w:rPr>
                <w:rFonts w:ascii="Arial" w:hAnsi="Arial" w:cs="Arial"/>
              </w:rPr>
              <w:t xml:space="preserve">, with professionals using judgement and working with families to provide safe, child-centred care as stated by Department of Health &amp; Social Care (2001) Welsh Government (2014). My expertise is not in health or specialist health care such as a nurse or medical professional that is specialist trained, and in this instance, it is the epilepsy nurse and consultant. Therefore, by using my professional judgement while working collaboratively we were able to confidently conclude that 1 had the competence and ability to make his own medical decisions. To safeguard this </w:t>
            </w:r>
            <w:proofErr w:type="gramStart"/>
            <w:r>
              <w:rPr>
                <w:rFonts w:ascii="Arial" w:hAnsi="Arial" w:cs="Arial"/>
              </w:rPr>
              <w:t>decision</w:t>
            </w:r>
            <w:proofErr w:type="gramEnd"/>
            <w:r>
              <w:rPr>
                <w:rFonts w:ascii="Arial" w:hAnsi="Arial" w:cs="Arial"/>
              </w:rPr>
              <w:t xml:space="preserve"> we put a safety plan together by using the expertise from the medical experts and safety measures from children’s services perspective, again using collaborative work with the aim to safeguard 1 to be independent. This was exceptionally important as 1 was due to turn 18 years-old which meant becoming an adult shortly, therefore it was important that us professionals prepared, empowered and enabled 1 to be safe to transition to adulthood. And importantly provide information and signpost to the services and support that he is entitled to transition to as an adult, as children’s services will no longer be working with 1. Transitional safeguarding and how I managed this will be discussed next. </w:t>
            </w:r>
            <w:r w:rsidRPr="007B4811">
              <w:rPr>
                <w:rFonts w:ascii="Arial" w:hAnsi="Arial" w:cs="Arial"/>
                <w:b/>
                <w:bCs/>
              </w:rPr>
              <w:t>(743)</w:t>
            </w:r>
          </w:p>
          <w:p w14:paraId="3BE328BF" w14:textId="77777777" w:rsidR="00C2258E" w:rsidRDefault="00C2258E" w:rsidP="00C2258E">
            <w:pPr>
              <w:pStyle w:val="NormalWeb"/>
              <w:spacing w:line="360" w:lineRule="auto"/>
              <w:jc w:val="both"/>
              <w:rPr>
                <w:rFonts w:ascii="Arial" w:hAnsi="Arial" w:cs="Arial"/>
              </w:rPr>
            </w:pPr>
            <w:r>
              <w:rPr>
                <w:rFonts w:ascii="Arial" w:hAnsi="Arial" w:cs="Arial"/>
              </w:rPr>
              <w:t xml:space="preserve">Transitional safeguarding in children’s social care involves supporting young people as they move from childhood toward adulthood, ensuring their safety, identifying needs, and coordinating services while encouraging independence and participation in decisions about their care as explained by Welsh Government (2014) and Briggs et al. (2020). I assisted 1 and empowered him in moving from children to adult services by applying transitional safeguarding. This included identifying his needs and risks, coordinating support with health, social care, and family, and encouraging him to be involved in decisions about his care, while ensuring his safety, wellbeing, and independence in line with the </w:t>
            </w:r>
            <w:r w:rsidRPr="0006534D">
              <w:rPr>
                <w:rStyle w:val="Strong"/>
                <w:rFonts w:ascii="Arial" w:eastAsiaTheme="majorEastAsia" w:hAnsi="Arial" w:cs="Arial"/>
                <w:b w:val="0"/>
                <w:bCs w:val="0"/>
              </w:rPr>
              <w:t>SSW(W)</w:t>
            </w:r>
            <w:proofErr w:type="gramStart"/>
            <w:r w:rsidRPr="0006534D">
              <w:rPr>
                <w:rStyle w:val="Strong"/>
                <w:rFonts w:ascii="Arial" w:eastAsiaTheme="majorEastAsia" w:hAnsi="Arial" w:cs="Arial"/>
                <w:b w:val="0"/>
                <w:bCs w:val="0"/>
              </w:rPr>
              <w:t>A(</w:t>
            </w:r>
            <w:proofErr w:type="gramEnd"/>
            <w:r w:rsidRPr="0006534D">
              <w:rPr>
                <w:rStyle w:val="Strong"/>
                <w:rFonts w:ascii="Arial" w:eastAsiaTheme="majorEastAsia" w:hAnsi="Arial" w:cs="Arial"/>
                <w:b w:val="0"/>
                <w:bCs w:val="0"/>
              </w:rPr>
              <w:t>2014</w:t>
            </w:r>
            <w:r w:rsidRPr="0006534D">
              <w:rPr>
                <w:rFonts w:ascii="Arial" w:hAnsi="Arial" w:cs="Arial"/>
                <w:b/>
                <w:bCs/>
              </w:rPr>
              <w:t>)</w:t>
            </w:r>
            <w:r>
              <w:rPr>
                <w:rFonts w:ascii="Arial" w:hAnsi="Arial" w:cs="Arial"/>
              </w:rPr>
              <w:t xml:space="preserve"> and</w:t>
            </w:r>
            <w:r>
              <w:rPr>
                <w:rFonts w:ascii="Arial" w:hAnsi="Arial" w:cs="Arial"/>
                <w:b/>
                <w:bCs/>
              </w:rPr>
              <w:t xml:space="preserve"> </w:t>
            </w:r>
            <w:r>
              <w:rPr>
                <w:rFonts w:ascii="Arial" w:hAnsi="Arial" w:cs="Arial"/>
              </w:rPr>
              <w:t xml:space="preserve">Welsh </w:t>
            </w:r>
            <w:r>
              <w:rPr>
                <w:rFonts w:ascii="Arial" w:hAnsi="Arial" w:cs="Arial"/>
              </w:rPr>
              <w:lastRenderedPageBreak/>
              <w:t xml:space="preserve">Government (2014). When a young person moves from children’s services to independent living, a clear and safe transition plan is essential. This involves multi-agency collaboration, including all professionals supporting the child, and ensures the young person is prepared, supported, and empowered to manage their needs into adulthood. In addition to having a clear care and support plan in preparation for closure, 1 had particular care and support needs due to the complex nature of his epilepsy and the support 1 would need to safely manage this. Under the </w:t>
            </w:r>
            <w:r>
              <w:rPr>
                <w:rStyle w:val="Emphasis"/>
                <w:rFonts w:ascii="Arial" w:eastAsiaTheme="majorEastAsia" w:hAnsi="Arial" w:cs="Arial"/>
              </w:rPr>
              <w:t>Family Law Reform Act (1969)</w:t>
            </w:r>
            <w:r>
              <w:rPr>
                <w:rFonts w:ascii="Arial" w:hAnsi="Arial" w:cs="Arial"/>
                <w:i/>
                <w:iCs/>
              </w:rPr>
              <w:t>,</w:t>
            </w:r>
            <w:r>
              <w:rPr>
                <w:rFonts w:ascii="Arial" w:hAnsi="Arial" w:cs="Arial"/>
              </w:rPr>
              <w:t xml:space="preserve"> a 17-year-old is legally able to consent to their own medical treatment. Supported by the </w:t>
            </w:r>
            <w:r>
              <w:rPr>
                <w:rStyle w:val="Emphasis"/>
                <w:rFonts w:ascii="Arial" w:eastAsiaTheme="majorEastAsia" w:hAnsi="Arial" w:cs="Arial"/>
              </w:rPr>
              <w:t>Children Acts (1989) and (2004)</w:t>
            </w:r>
            <w:r>
              <w:rPr>
                <w:rFonts w:ascii="Arial" w:hAnsi="Arial" w:cs="Arial"/>
              </w:rPr>
              <w:t xml:space="preserve">, the </w:t>
            </w:r>
            <w:r>
              <w:rPr>
                <w:rStyle w:val="Emphasis"/>
                <w:rFonts w:ascii="Arial" w:eastAsiaTheme="majorEastAsia" w:hAnsi="Arial" w:cs="Arial"/>
              </w:rPr>
              <w:t>Mental Capacity Act (2005)</w:t>
            </w:r>
            <w:r>
              <w:rPr>
                <w:rFonts w:ascii="Arial" w:hAnsi="Arial" w:cs="Arial"/>
                <w:i/>
                <w:iCs/>
              </w:rPr>
              <w:t xml:space="preserve">, </w:t>
            </w:r>
            <w:r>
              <w:rPr>
                <w:rFonts w:ascii="Arial" w:hAnsi="Arial" w:cs="Arial"/>
              </w:rPr>
              <w:t>and the</w:t>
            </w:r>
            <w:r>
              <w:rPr>
                <w:rFonts w:ascii="Arial" w:hAnsi="Arial" w:cs="Arial"/>
                <w:i/>
                <w:iCs/>
              </w:rPr>
              <w:t xml:space="preserve"> </w:t>
            </w:r>
            <w:r>
              <w:rPr>
                <w:rStyle w:val="Emphasis"/>
                <w:rFonts w:ascii="Arial" w:eastAsiaTheme="majorEastAsia" w:hAnsi="Arial" w:cs="Arial"/>
              </w:rPr>
              <w:t>Human Rights Act (1998)</w:t>
            </w:r>
            <w:r>
              <w:rPr>
                <w:rFonts w:ascii="Arial" w:hAnsi="Arial" w:cs="Arial"/>
                <w:i/>
                <w:iCs/>
              </w:rPr>
              <w:t>,</w:t>
            </w:r>
            <w:r>
              <w:rPr>
                <w:rFonts w:ascii="Arial" w:hAnsi="Arial" w:cs="Arial"/>
              </w:rPr>
              <w:t xml:space="preserve"> a young person with sufficient understanding can make independent decisions about treatment for conditions such as epilepsy and is entitled to confidentiality unless safeguarding concerns require otherwise (UK Government, 1969, 1989, 2004, 1998, 2005). In Wales, these rights are reinforced through the SSW(W)A (2014), which provides a legal framework to safeguard young people while supporting their independence, wellbeing, and involvement in decisions about their care (Welsh Government, 2014). Through this process, 1’s case highlights the importance of thorough assessment, professional judgement, and collaborative working, ensuring that his transition is both safe and empowering. </w:t>
            </w:r>
            <w:r w:rsidRPr="007B4811">
              <w:rPr>
                <w:rFonts w:ascii="Arial" w:hAnsi="Arial" w:cs="Arial"/>
                <w:b/>
                <w:bCs/>
              </w:rPr>
              <w:t>(320)</w:t>
            </w:r>
          </w:p>
          <w:p w14:paraId="149EE98D" w14:textId="77777777" w:rsidR="00C2258E" w:rsidRDefault="00C2258E" w:rsidP="00C2258E">
            <w:pPr>
              <w:pStyle w:val="NormalWeb"/>
              <w:spacing w:line="360" w:lineRule="auto"/>
              <w:jc w:val="both"/>
              <w:rPr>
                <w:rFonts w:ascii="Arial" w:hAnsi="Arial" w:cs="Arial"/>
              </w:rPr>
            </w:pPr>
            <w:r>
              <w:rPr>
                <w:rFonts w:ascii="Arial" w:hAnsi="Arial" w:cs="Arial"/>
              </w:rPr>
              <w:t>Reflecting on this case, while supporting 1 through the assessment, who was at the time a 17-year-old with complex needs, it highlighted the importance of careful analysis in assessment, collaborative working, and professional judgement. I researched certain policies and theories by Welsh Government, (2014) and Briggs et al., (2020), just to name a few. Additionally, using attachment theory by Bowlby, (1969, 1973, 1980) helped me understand the impact of 1’s strained relationship with 2 on his ability to express needs and make independent decisions, while empowerment principles Zimmerman, (2000) and Adams, (2008) guided me to actively involve 1 in planning and decision-making. By collaborating with health professionals, social care colleagues, and family, I ensured a multi-agency approach that balanced safety with 1’s growing independence, consistent with transitional safeguarding principles in Wales under the SSW(W)A (2014</w:t>
            </w:r>
            <w:proofErr w:type="gramStart"/>
            <w:r>
              <w:rPr>
                <w:rFonts w:ascii="Arial" w:hAnsi="Arial" w:cs="Arial"/>
              </w:rPr>
              <w:t>)  and</w:t>
            </w:r>
            <w:proofErr w:type="gramEnd"/>
            <w:r>
              <w:rPr>
                <w:rFonts w:ascii="Arial" w:hAnsi="Arial" w:cs="Arial"/>
              </w:rPr>
              <w:t xml:space="preserve"> Welsh Government, (2014). Professional judgement was essential in navigating the complex dynamics between 1’s rights to autonomy, his medical needs, and 2’s parental responsibilities. This reflective process reinforced the </w:t>
            </w:r>
            <w:r>
              <w:rPr>
                <w:rFonts w:ascii="Arial" w:hAnsi="Arial" w:cs="Arial"/>
              </w:rPr>
              <w:lastRenderedPageBreak/>
              <w:t xml:space="preserve">importance of integrating analysis, collaborative decision-making, and ethical judgement to provide child-centred, strengths-based support that prepares young people for adulthood while respecting their voice, wellbeing, and autonomy (Department of Health and Social Care, 2011). </w:t>
            </w:r>
            <w:r w:rsidRPr="007B4811">
              <w:rPr>
                <w:rFonts w:ascii="Arial" w:hAnsi="Arial" w:cs="Arial"/>
                <w:b/>
                <w:bCs/>
              </w:rPr>
              <w:t>(199)</w:t>
            </w:r>
          </w:p>
          <w:p w14:paraId="2F72889C" w14:textId="77777777" w:rsidR="00C2258E" w:rsidRDefault="00C2258E" w:rsidP="00C2258E">
            <w:pPr>
              <w:pStyle w:val="NormalWeb"/>
              <w:spacing w:line="360" w:lineRule="auto"/>
              <w:jc w:val="both"/>
              <w:rPr>
                <w:rFonts w:ascii="Arial" w:hAnsi="Arial" w:cs="Arial"/>
              </w:rPr>
            </w:pPr>
            <w:r>
              <w:rPr>
                <w:rFonts w:ascii="Arial" w:hAnsi="Arial" w:cs="Arial"/>
              </w:rPr>
              <w:t xml:space="preserve">Looking ahead, I hope that 1 </w:t>
            </w:r>
            <w:proofErr w:type="gramStart"/>
            <w:r>
              <w:rPr>
                <w:rFonts w:ascii="Arial" w:hAnsi="Arial" w:cs="Arial"/>
              </w:rPr>
              <w:t>is able to</w:t>
            </w:r>
            <w:proofErr w:type="gramEnd"/>
            <w:r>
              <w:rPr>
                <w:rFonts w:ascii="Arial" w:hAnsi="Arial" w:cs="Arial"/>
              </w:rPr>
              <w:t xml:space="preserve"> live safely and independently, managing his health confidently while maintaining positive and trusting relationships with professionals who continue to support him throughout his transition into adulthood. I hope he is fully empowered to make informed and autonomous decisions about his life, education, and health care, and that the skills, confidence, and resilience he has developed through transitional safeguarding continue to grow, enabling him to navigate challenges with self-assurance and agency. I also hope that the positive experiences of collaborative, strengths-based support remain with him, reinforcing his sense of self-worth and capability in managing complex aspects of his life, such as his epilepsy, while building meaningful connections with others.</w:t>
            </w:r>
          </w:p>
          <w:p w14:paraId="57EF9FF6" w14:textId="77777777" w:rsidR="00C2258E" w:rsidRDefault="00C2258E" w:rsidP="00C2258E">
            <w:pPr>
              <w:pStyle w:val="NormalWeb"/>
              <w:spacing w:line="360" w:lineRule="auto"/>
              <w:jc w:val="both"/>
              <w:rPr>
                <w:rFonts w:ascii="Arial" w:hAnsi="Arial" w:cs="Arial"/>
              </w:rPr>
            </w:pPr>
            <w:r>
              <w:rPr>
                <w:rFonts w:ascii="Arial" w:hAnsi="Arial" w:cs="Arial"/>
              </w:rPr>
              <w:t xml:space="preserve">For myself, this case has highlighted several areas where I can develop further as a social worker. I aim to strengthen my ability to critically analyse complex situations, ensuring that assessments are thorough, evidence-based, and informed by theory such as attachment, empowerment, and strengths-based practice. I also recognise the need to continually refine my professional judgement in ethically complex cases, balancing the rights and autonomy of young people with their safety and wellbeing, while maintaining clear communication with families and multi-agency colleagues. Furthermore, I aspire to enhance my collaborative working skills, ensuring that I can contribute effectively to multi-agency planning and support, and continue to develop my reflective practice to learn from supervision, research, and direct practice experiences. By committing to these areas of growth, I aim to provide ethical, child-centred, and empowering support to future young people facing safeguarding challenges, helping them transition safely into adulthood with confidence, resilience, and the ability to make their own informed decisions. </w:t>
            </w:r>
            <w:r w:rsidRPr="007B4811">
              <w:rPr>
                <w:rFonts w:ascii="Arial" w:hAnsi="Arial" w:cs="Arial"/>
                <w:b/>
                <w:bCs/>
              </w:rPr>
              <w:t>(276)</w:t>
            </w:r>
          </w:p>
          <w:p w14:paraId="20370495" w14:textId="79B79501" w:rsidR="00D3203C" w:rsidRPr="009278AF" w:rsidRDefault="00D3203C" w:rsidP="00FF7EBB">
            <w:pPr>
              <w:jc w:val="both"/>
              <w:rPr>
                <w:iCs/>
                <w:sz w:val="24"/>
                <w:szCs w:val="24"/>
              </w:rPr>
            </w:pPr>
          </w:p>
          <w:p w14:paraId="12DC2F24" w14:textId="24094196" w:rsidR="00D3203C" w:rsidRDefault="00D3203C" w:rsidP="00FF7EBB">
            <w:pPr>
              <w:jc w:val="both"/>
              <w:rPr>
                <w:i/>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0103E3" w14:textId="77777777" w:rsidR="00EF1C8C" w:rsidRDefault="00EF1C8C">
      <w:r>
        <w:separator/>
      </w:r>
    </w:p>
  </w:endnote>
  <w:endnote w:type="continuationSeparator" w:id="0">
    <w:p w14:paraId="28A7C565" w14:textId="77777777" w:rsidR="00EF1C8C" w:rsidRDefault="00EF1C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C48CD6" w14:textId="77777777" w:rsidR="00EF1C8C" w:rsidRDefault="00EF1C8C">
      <w:r>
        <w:separator/>
      </w:r>
    </w:p>
  </w:footnote>
  <w:footnote w:type="continuationSeparator" w:id="0">
    <w:p w14:paraId="565D35C5" w14:textId="77777777" w:rsidR="00EF1C8C" w:rsidRDefault="00EF1C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34D"/>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85CA9"/>
    <w:rsid w:val="0019496C"/>
    <w:rsid w:val="001961CF"/>
    <w:rsid w:val="001A59BB"/>
    <w:rsid w:val="001A607E"/>
    <w:rsid w:val="001A6A51"/>
    <w:rsid w:val="001A79C4"/>
    <w:rsid w:val="001B331A"/>
    <w:rsid w:val="001C0237"/>
    <w:rsid w:val="001C0E74"/>
    <w:rsid w:val="001C3E71"/>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259A6"/>
    <w:rsid w:val="00230439"/>
    <w:rsid w:val="00232A09"/>
    <w:rsid w:val="00235176"/>
    <w:rsid w:val="00236061"/>
    <w:rsid w:val="0024053F"/>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2556D"/>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474"/>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2595C"/>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13F23"/>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6587"/>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2CB2"/>
    <w:rsid w:val="007B4811"/>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2DB"/>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278AF"/>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0F8"/>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258E"/>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5B19"/>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C644B"/>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1C8C"/>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02C"/>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NormalWeb">
    <w:name w:val="Normal (Web)"/>
    <w:basedOn w:val="Normal"/>
    <w:uiPriority w:val="99"/>
    <w:semiHidden/>
    <w:unhideWhenUsed/>
    <w:rsid w:val="00C2258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customStyle="1" w:styleId="paragraph">
    <w:name w:val="paragraph"/>
    <w:basedOn w:val="Normal"/>
    <w:uiPriority w:val="99"/>
    <w:rsid w:val="00C2258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eop">
    <w:name w:val="eop"/>
    <w:basedOn w:val="DefaultParagraphFont"/>
    <w:rsid w:val="00C2258E"/>
  </w:style>
  <w:style w:type="character" w:styleId="Strong">
    <w:name w:val="Strong"/>
    <w:basedOn w:val="DefaultParagraphFont"/>
    <w:uiPriority w:val="22"/>
    <w:qFormat/>
    <w:rsid w:val="00C2258E"/>
    <w:rPr>
      <w:b/>
      <w:bCs/>
    </w:rPr>
  </w:style>
  <w:style w:type="character" w:styleId="Emphasis">
    <w:name w:val="Emphasis"/>
    <w:basedOn w:val="DefaultParagraphFont"/>
    <w:uiPriority w:val="20"/>
    <w:qFormat/>
    <w:rsid w:val="00C2258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8385414">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4051</Words>
  <Characters>22175</Characters>
  <Application>Microsoft Office Word</Application>
  <DocSecurity>0</DocSecurity>
  <Lines>343</Lines>
  <Paragraphs>30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26207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Kelly Jenkins</cp:lastModifiedBy>
  <cp:revision>13</cp:revision>
  <cp:lastPrinted>2020-02-11T19:20:00Z</cp:lastPrinted>
  <dcterms:created xsi:type="dcterms:W3CDTF">2026-02-22T13:01:00Z</dcterms:created>
  <dcterms:modified xsi:type="dcterms:W3CDTF">2026-02-24T22:09:00Z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