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81474" w:rsidP="00C81474" w:rsidRDefault="00C81474" w14:paraId="669E3047" w14:textId="106E3BBB">
      <w:pPr>
        <w:jc w:val="center"/>
        <w:rPr>
          <w:rFonts w:ascii="Arial" w:hAnsi="Arial" w:eastAsia="Times New Roman" w:cs="Arial"/>
          <w:b/>
          <w:bCs/>
          <w:color w:val="002060"/>
          <w:sz w:val="44"/>
          <w:szCs w:val="32"/>
        </w:rPr>
      </w:pPr>
    </w:p>
    <w:p w:rsidR="00C81474" w:rsidP="00C81474" w:rsidRDefault="00C81474" w14:paraId="1DEFEE38" w14:textId="77777777">
      <w:pPr>
        <w:jc w:val="center"/>
        <w:rPr>
          <w:rFonts w:ascii="Arial" w:hAnsi="Arial" w:eastAsia="Times New Roman" w:cs="Arial"/>
          <w:b/>
          <w:bCs/>
          <w:color w:val="002060"/>
          <w:sz w:val="44"/>
          <w:szCs w:val="32"/>
        </w:rPr>
      </w:pPr>
    </w:p>
    <w:p w:rsidR="00C81474" w:rsidP="00C81474" w:rsidRDefault="00C81474" w14:paraId="4D25F71E" w14:textId="77777777">
      <w:pPr>
        <w:jc w:val="center"/>
        <w:rPr>
          <w:rFonts w:ascii="Arial" w:hAnsi="Arial" w:eastAsia="Times New Roman" w:cs="Arial"/>
          <w:b/>
          <w:bCs/>
          <w:color w:val="002060"/>
          <w:sz w:val="44"/>
          <w:szCs w:val="32"/>
        </w:rPr>
      </w:pPr>
    </w:p>
    <w:p w:rsidR="00C81474" w:rsidP="00C81474" w:rsidRDefault="00C81474" w14:paraId="69FA4570" w14:textId="0D98430A">
      <w:pPr>
        <w:jc w:val="center"/>
      </w:pPr>
    </w:p>
    <w:p w:rsidRPr="00C81474" w:rsidR="00C81474" w:rsidP="0C03A0A7" w:rsidRDefault="00C81474" w14:paraId="6458C63D" w14:textId="77777777">
      <w:pPr>
        <w:rPr>
          <w:rFonts w:ascii="Arial" w:hAnsi="Arial" w:cs="Arial"/>
          <w:sz w:val="22"/>
          <w:szCs w:val="22"/>
        </w:rPr>
      </w:pPr>
    </w:p>
    <w:p w:rsidRPr="00C81474" w:rsidR="00C81474" w:rsidP="00C81474" w:rsidRDefault="00C81474" w14:paraId="6BF209E5" w14:textId="28B2A2F0">
      <w:pPr>
        <w:rPr>
          <w:rFonts w:ascii="Arial" w:hAnsi="Arial" w:cs="Arial"/>
          <w:b w:val="1"/>
          <w:bCs w:val="1"/>
        </w:rPr>
      </w:pPr>
      <w:r w:rsidRPr="0C03A0A7" w:rsidR="5E7E7557">
        <w:rPr>
          <w:rFonts w:ascii="Arial" w:hAnsi="Arial" w:cs="Arial"/>
          <w:b w:val="1"/>
          <w:bCs w:val="1"/>
        </w:rPr>
        <w:t xml:space="preserve">Student </w:t>
      </w:r>
      <w:r w:rsidRPr="0C03A0A7" w:rsidR="5E7E7557">
        <w:rPr>
          <w:rFonts w:ascii="Arial" w:hAnsi="Arial" w:cs="Arial"/>
          <w:b w:val="1"/>
          <w:bCs w:val="1"/>
        </w:rPr>
        <w:t>Name:</w:t>
      </w:r>
      <w:r w:rsidRPr="0C03A0A7" w:rsidR="791E85C4">
        <w:rPr>
          <w:rFonts w:ascii="Arial" w:hAnsi="Arial" w:cs="Arial"/>
          <w:b w:val="1"/>
          <w:bCs w:val="1"/>
        </w:rPr>
        <w:t xml:space="preserve"> Haleema</w:t>
      </w:r>
      <w:r w:rsidRPr="0C03A0A7" w:rsidR="791E85C4">
        <w:rPr>
          <w:rFonts w:ascii="Arial" w:hAnsi="Arial" w:cs="Arial"/>
          <w:b w:val="1"/>
          <w:bCs w:val="1"/>
        </w:rPr>
        <w:t xml:space="preserve"> Kashaf</w:t>
      </w:r>
      <w:r w:rsidRPr="0C03A0A7" w:rsidR="5E7E7557">
        <w:rPr>
          <w:rFonts w:ascii="Arial" w:hAnsi="Arial" w:cs="Arial"/>
          <w:b w:val="1"/>
          <w:bCs w:val="1"/>
        </w:rPr>
        <w:t xml:space="preserve"> </w:t>
      </w:r>
    </w:p>
    <w:p w:rsidRPr="00C81474" w:rsidR="00C81474" w:rsidP="00C81474" w:rsidRDefault="00C81474" w14:paraId="3C9EED0D" w14:textId="762972B4">
      <w:pPr>
        <w:rPr>
          <w:rFonts w:ascii="Arial" w:hAnsi="Arial" w:cs="Arial"/>
          <w:b w:val="1"/>
          <w:bCs w:val="1"/>
        </w:rPr>
      </w:pPr>
      <w:r w:rsidRPr="0C03A0A7" w:rsidR="5E7E7557">
        <w:rPr>
          <w:rFonts w:ascii="Arial" w:hAnsi="Arial" w:cs="Arial"/>
          <w:b w:val="1"/>
          <w:bCs w:val="1"/>
        </w:rPr>
        <w:t>Student Number:</w:t>
      </w:r>
      <w:r w:rsidRPr="0C03A0A7" w:rsidR="744972DD">
        <w:rPr>
          <w:rFonts w:ascii="Arial" w:hAnsi="Arial" w:cs="Arial"/>
          <w:b w:val="1"/>
          <w:bCs w:val="1"/>
        </w:rPr>
        <w:t xml:space="preserve"> 2433461</w:t>
      </w:r>
    </w:p>
    <w:p w:rsidRPr="00C81474" w:rsidR="00C81474" w:rsidP="0C03A0A7" w:rsidRDefault="00C81474" w14:paraId="27809B1F" w14:textId="4B68DEAD">
      <w:pPr>
        <w:rPr>
          <w:rFonts w:ascii="Arial" w:hAnsi="Arial" w:cs="Arial"/>
          <w:b w:val="1"/>
          <w:bCs w:val="1"/>
        </w:rPr>
      </w:pPr>
      <w:r w:rsidRPr="0C03A0A7" w:rsidR="744972DD">
        <w:rPr>
          <w:rFonts w:ascii="Arial" w:hAnsi="Arial" w:cs="Arial"/>
          <w:b w:val="1"/>
          <w:bCs w:val="1"/>
        </w:rPr>
        <w:t>Module Name: Introduction to Health and social care</w:t>
      </w:r>
    </w:p>
    <w:p w:rsidRPr="00C81474" w:rsidR="00C81474" w:rsidP="0C03A0A7" w:rsidRDefault="00C81474" w14:paraId="3DCFE192" w14:textId="71A9DAF4">
      <w:pPr>
        <w:rPr>
          <w:rFonts w:ascii="Arial" w:hAnsi="Arial" w:cs="Arial"/>
          <w:b w:val="1"/>
          <w:bCs w:val="1"/>
        </w:rPr>
      </w:pPr>
      <w:r w:rsidRPr="0C03A0A7" w:rsidR="744972DD">
        <w:rPr>
          <w:rFonts w:ascii="Arial" w:hAnsi="Arial" w:cs="Arial"/>
          <w:b w:val="1"/>
          <w:bCs w:val="1"/>
        </w:rPr>
        <w:t>Module code: LCHS4003-BI</w:t>
      </w:r>
      <w:r w:rsidRPr="0C03A0A7" w:rsidR="551E92DD">
        <w:rPr>
          <w:rFonts w:ascii="Arial" w:hAnsi="Arial" w:cs="Arial"/>
          <w:b w:val="1"/>
          <w:bCs w:val="1"/>
        </w:rPr>
        <w:t>RM</w:t>
      </w:r>
    </w:p>
    <w:p w:rsidRPr="00C81474" w:rsidR="00C81474" w:rsidP="0C03A0A7" w:rsidRDefault="00C81474" w14:paraId="6B0D7D1F" w14:textId="11D07FF5">
      <w:pPr>
        <w:rPr>
          <w:rFonts w:ascii="Arial" w:hAnsi="Arial" w:cs="Arial"/>
        </w:rPr>
      </w:pPr>
      <w:r w:rsidRPr="0C03A0A7" w:rsidR="5E7E7557">
        <w:rPr>
          <w:rFonts w:ascii="Arial" w:hAnsi="Arial" w:cs="Arial"/>
          <w:b w:val="1"/>
          <w:bCs w:val="1"/>
        </w:rPr>
        <w:t>Lecturer</w:t>
      </w:r>
      <w:r w:rsidRPr="0C03A0A7" w:rsidR="22323019">
        <w:rPr>
          <w:rFonts w:ascii="Arial" w:hAnsi="Arial" w:cs="Arial"/>
          <w:b w:val="1"/>
          <w:bCs w:val="1"/>
        </w:rPr>
        <w:t xml:space="preserve"> Name: Aishat Bakre</w:t>
      </w:r>
    </w:p>
    <w:p w:rsidR="00C81474" w:rsidRDefault="00C81474" w14:paraId="79EE57BF" w14:textId="77777777">
      <w:pPr>
        <w:rPr>
          <w:rFonts w:eastAsia="Times New Roman" w:cs="Times New Roman" w:asciiTheme="majorHAnsi" w:hAnsiTheme="majorHAnsi"/>
          <w:b/>
          <w:bCs/>
          <w:sz w:val="36"/>
          <w:szCs w:val="27"/>
        </w:rPr>
      </w:pPr>
    </w:p>
    <w:p w:rsidR="00C81474" w:rsidRDefault="00C81474" w14:paraId="42393794" w14:textId="77777777">
      <w:pPr>
        <w:rPr>
          <w:rFonts w:eastAsia="Times New Roman" w:cs="Times New Roman" w:asciiTheme="majorHAnsi" w:hAnsiTheme="majorHAnsi"/>
          <w:b/>
          <w:bCs/>
          <w:sz w:val="36"/>
          <w:szCs w:val="27"/>
        </w:rPr>
      </w:pPr>
      <w:r>
        <w:rPr>
          <w:rFonts w:eastAsia="Times New Roman" w:cs="Times New Roman" w:asciiTheme="majorHAnsi" w:hAnsiTheme="majorHAnsi"/>
          <w:b/>
          <w:bCs/>
          <w:sz w:val="36"/>
          <w:szCs w:val="27"/>
        </w:rPr>
        <w:br w:type="page"/>
      </w:r>
    </w:p>
    <w:sdt>
      <w:sdtPr>
        <w:id w:val="304436547"/>
        <w:docPartObj>
          <w:docPartGallery w:val="Table of Contents"/>
          <w:docPartUnique/>
        </w:docPartObj>
        <w:rPr>
          <w:rFonts w:ascii="Calibri" w:hAnsi="Calibri" w:eastAsia="Calibri" w:cs="" w:asciiTheme="minorAscii" w:hAnsiTheme="minorAscii" w:eastAsiaTheme="minorAscii" w:cstheme="minorBidi"/>
          <w:color w:val="auto"/>
          <w:sz w:val="22"/>
          <w:szCs w:val="22"/>
        </w:rPr>
      </w:sdtPr>
      <w:sdtEndPr>
        <w:rPr>
          <w:rFonts w:ascii="Calibri" w:hAnsi="Calibri" w:eastAsia="Calibri" w:cs="" w:asciiTheme="minorAscii" w:hAnsiTheme="minorAscii" w:eastAsiaTheme="minorAscii" w:cstheme="minorBidi"/>
          <w:b w:val="1"/>
          <w:bCs w:val="1"/>
          <w:noProof/>
          <w:color w:val="auto"/>
          <w:sz w:val="22"/>
          <w:szCs w:val="22"/>
        </w:rPr>
      </w:sdtEndPr>
      <w:sdtContent>
        <w:p w:rsidRPr="00371DAD" w:rsidR="00371DAD" w:rsidP="00371DAD" w:rsidRDefault="00371DAD" w14:paraId="55399ED7" w14:textId="374C66DB">
          <w:pPr>
            <w:pStyle w:val="TOCHeading"/>
            <w:jc w:val="center"/>
            <w:rPr>
              <w:b/>
              <w:bCs/>
              <w:color w:val="002060"/>
            </w:rPr>
          </w:pPr>
          <w:r w:rsidRPr="00371DAD">
            <w:rPr>
              <w:b/>
              <w:bCs/>
              <w:color w:val="002060"/>
            </w:rPr>
            <w:t>Table of Contents</w:t>
          </w:r>
        </w:p>
        <w:p w:rsidR="005D42EC" w:rsidRDefault="00371DAD" w14:paraId="721AB148" w14:textId="6D3CCF74">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history="1" w:anchor="_Toc211074920">
            <w:r w:rsidRPr="00F377BD" w:rsidR="005D42EC">
              <w:rPr>
                <w:rStyle w:val="Hyperlink"/>
                <w:noProof/>
              </w:rPr>
              <w:t>1.Introduction</w:t>
            </w:r>
            <w:r w:rsidR="005D42EC">
              <w:rPr>
                <w:noProof/>
                <w:webHidden/>
              </w:rPr>
              <w:tab/>
            </w:r>
            <w:r w:rsidR="005D42EC">
              <w:rPr>
                <w:noProof/>
                <w:webHidden/>
              </w:rPr>
              <w:fldChar w:fldCharType="begin"/>
            </w:r>
            <w:r w:rsidR="005D42EC">
              <w:rPr>
                <w:noProof/>
                <w:webHidden/>
              </w:rPr>
              <w:instrText xml:space="preserve"> PAGEREF _Toc211074920 \h </w:instrText>
            </w:r>
            <w:r w:rsidR="005D42EC">
              <w:rPr>
                <w:noProof/>
                <w:webHidden/>
              </w:rPr>
            </w:r>
            <w:r w:rsidR="005D42EC">
              <w:rPr>
                <w:noProof/>
                <w:webHidden/>
              </w:rPr>
              <w:fldChar w:fldCharType="separate"/>
            </w:r>
            <w:r w:rsidR="005D42EC">
              <w:rPr>
                <w:noProof/>
                <w:webHidden/>
              </w:rPr>
              <w:t>3</w:t>
            </w:r>
            <w:r w:rsidR="005D42EC">
              <w:rPr>
                <w:noProof/>
                <w:webHidden/>
              </w:rPr>
              <w:fldChar w:fldCharType="end"/>
            </w:r>
          </w:hyperlink>
        </w:p>
        <w:p w:rsidR="005D42EC" w:rsidRDefault="005D42EC" w14:paraId="050FFA97" w14:textId="11414E4E">
          <w:pPr>
            <w:pStyle w:val="TOC1"/>
            <w:tabs>
              <w:tab w:val="right" w:leader="dot" w:pos="9350"/>
            </w:tabs>
            <w:rPr>
              <w:rFonts w:eastAsiaTheme="minorEastAsia"/>
              <w:noProof/>
              <w:kern w:val="2"/>
              <w:sz w:val="24"/>
              <w:szCs w:val="24"/>
              <w14:ligatures w14:val="standardContextual"/>
            </w:rPr>
          </w:pPr>
          <w:hyperlink w:history="1" w:anchor="_Toc211074921">
            <w:r w:rsidRPr="00F377BD">
              <w:rPr>
                <w:rStyle w:val="Hyperlink"/>
                <w:noProof/>
              </w:rPr>
              <w:t>2. Importance of Communication</w:t>
            </w:r>
            <w:r>
              <w:rPr>
                <w:noProof/>
                <w:webHidden/>
              </w:rPr>
              <w:tab/>
            </w:r>
            <w:r>
              <w:rPr>
                <w:noProof/>
                <w:webHidden/>
              </w:rPr>
              <w:fldChar w:fldCharType="begin"/>
            </w:r>
            <w:r>
              <w:rPr>
                <w:noProof/>
                <w:webHidden/>
              </w:rPr>
              <w:instrText xml:space="preserve"> PAGEREF _Toc211074921 \h </w:instrText>
            </w:r>
            <w:r>
              <w:rPr>
                <w:noProof/>
                <w:webHidden/>
              </w:rPr>
            </w:r>
            <w:r>
              <w:rPr>
                <w:noProof/>
                <w:webHidden/>
              </w:rPr>
              <w:fldChar w:fldCharType="separate"/>
            </w:r>
            <w:r>
              <w:rPr>
                <w:noProof/>
                <w:webHidden/>
              </w:rPr>
              <w:t>3</w:t>
            </w:r>
            <w:r>
              <w:rPr>
                <w:noProof/>
                <w:webHidden/>
              </w:rPr>
              <w:fldChar w:fldCharType="end"/>
            </w:r>
          </w:hyperlink>
        </w:p>
        <w:p w:rsidR="005D42EC" w:rsidRDefault="005D42EC" w14:paraId="510D27D4" w14:textId="0614D80F">
          <w:pPr>
            <w:pStyle w:val="TOC2"/>
            <w:tabs>
              <w:tab w:val="right" w:leader="dot" w:pos="9350"/>
            </w:tabs>
            <w:rPr>
              <w:rFonts w:eastAsiaTheme="minorEastAsia"/>
              <w:noProof/>
              <w:kern w:val="2"/>
              <w:sz w:val="24"/>
              <w:szCs w:val="24"/>
              <w14:ligatures w14:val="standardContextual"/>
            </w:rPr>
          </w:pPr>
          <w:hyperlink w:history="1" w:anchor="_Toc211074922">
            <w:r w:rsidRPr="00F377BD">
              <w:rPr>
                <w:rStyle w:val="Hyperlink"/>
                <w:noProof/>
              </w:rPr>
              <w:t>2.1 Definition and Relevance</w:t>
            </w:r>
            <w:r>
              <w:rPr>
                <w:noProof/>
                <w:webHidden/>
              </w:rPr>
              <w:tab/>
            </w:r>
            <w:r>
              <w:rPr>
                <w:noProof/>
                <w:webHidden/>
              </w:rPr>
              <w:fldChar w:fldCharType="begin"/>
            </w:r>
            <w:r>
              <w:rPr>
                <w:noProof/>
                <w:webHidden/>
              </w:rPr>
              <w:instrText xml:space="preserve"> PAGEREF _Toc211074922 \h </w:instrText>
            </w:r>
            <w:r>
              <w:rPr>
                <w:noProof/>
                <w:webHidden/>
              </w:rPr>
            </w:r>
            <w:r>
              <w:rPr>
                <w:noProof/>
                <w:webHidden/>
              </w:rPr>
              <w:fldChar w:fldCharType="separate"/>
            </w:r>
            <w:r>
              <w:rPr>
                <w:noProof/>
                <w:webHidden/>
              </w:rPr>
              <w:t>3</w:t>
            </w:r>
            <w:r>
              <w:rPr>
                <w:noProof/>
                <w:webHidden/>
              </w:rPr>
              <w:fldChar w:fldCharType="end"/>
            </w:r>
          </w:hyperlink>
        </w:p>
        <w:p w:rsidR="005D42EC" w:rsidRDefault="005D42EC" w14:paraId="00BDD9F8" w14:textId="785A4389">
          <w:pPr>
            <w:pStyle w:val="TOC2"/>
            <w:tabs>
              <w:tab w:val="right" w:leader="dot" w:pos="9350"/>
            </w:tabs>
            <w:rPr>
              <w:rFonts w:eastAsiaTheme="minorEastAsia"/>
              <w:noProof/>
              <w:kern w:val="2"/>
              <w:sz w:val="24"/>
              <w:szCs w:val="24"/>
              <w14:ligatures w14:val="standardContextual"/>
            </w:rPr>
          </w:pPr>
          <w:hyperlink w:history="1" w:anchor="_Toc211074923">
            <w:r w:rsidRPr="00F377BD">
              <w:rPr>
                <w:rStyle w:val="Hyperlink"/>
                <w:noProof/>
              </w:rPr>
              <w:t>2.2 Application to Mrs Man</w:t>
            </w:r>
            <w:r>
              <w:rPr>
                <w:noProof/>
                <w:webHidden/>
              </w:rPr>
              <w:tab/>
            </w:r>
            <w:r>
              <w:rPr>
                <w:noProof/>
                <w:webHidden/>
              </w:rPr>
              <w:fldChar w:fldCharType="begin"/>
            </w:r>
            <w:r>
              <w:rPr>
                <w:noProof/>
                <w:webHidden/>
              </w:rPr>
              <w:instrText xml:space="preserve"> PAGEREF _Toc211074923 \h </w:instrText>
            </w:r>
            <w:r>
              <w:rPr>
                <w:noProof/>
                <w:webHidden/>
              </w:rPr>
            </w:r>
            <w:r>
              <w:rPr>
                <w:noProof/>
                <w:webHidden/>
              </w:rPr>
              <w:fldChar w:fldCharType="separate"/>
            </w:r>
            <w:r>
              <w:rPr>
                <w:noProof/>
                <w:webHidden/>
              </w:rPr>
              <w:t>3</w:t>
            </w:r>
            <w:r>
              <w:rPr>
                <w:noProof/>
                <w:webHidden/>
              </w:rPr>
              <w:fldChar w:fldCharType="end"/>
            </w:r>
          </w:hyperlink>
        </w:p>
        <w:p w:rsidR="005D42EC" w:rsidRDefault="005D42EC" w14:paraId="0E5FAC6E" w14:textId="0E63F7EE">
          <w:pPr>
            <w:pStyle w:val="TOC2"/>
            <w:tabs>
              <w:tab w:val="right" w:leader="dot" w:pos="9350"/>
            </w:tabs>
            <w:rPr>
              <w:rFonts w:eastAsiaTheme="minorEastAsia"/>
              <w:noProof/>
              <w:kern w:val="2"/>
              <w:sz w:val="24"/>
              <w:szCs w:val="24"/>
              <w14:ligatures w14:val="standardContextual"/>
            </w:rPr>
          </w:pPr>
          <w:hyperlink w:history="1" w:anchor="_Toc211074924">
            <w:r w:rsidRPr="00F377BD">
              <w:rPr>
                <w:rStyle w:val="Hyperlink"/>
                <w:noProof/>
              </w:rPr>
              <w:t>2.3 Equality and Inclusion</w:t>
            </w:r>
            <w:r>
              <w:rPr>
                <w:noProof/>
                <w:webHidden/>
              </w:rPr>
              <w:tab/>
            </w:r>
            <w:r>
              <w:rPr>
                <w:noProof/>
                <w:webHidden/>
              </w:rPr>
              <w:fldChar w:fldCharType="begin"/>
            </w:r>
            <w:r>
              <w:rPr>
                <w:noProof/>
                <w:webHidden/>
              </w:rPr>
              <w:instrText xml:space="preserve"> PAGEREF _Toc211074924 \h </w:instrText>
            </w:r>
            <w:r>
              <w:rPr>
                <w:noProof/>
                <w:webHidden/>
              </w:rPr>
            </w:r>
            <w:r>
              <w:rPr>
                <w:noProof/>
                <w:webHidden/>
              </w:rPr>
              <w:fldChar w:fldCharType="separate"/>
            </w:r>
            <w:r>
              <w:rPr>
                <w:noProof/>
                <w:webHidden/>
              </w:rPr>
              <w:t>4</w:t>
            </w:r>
            <w:r>
              <w:rPr>
                <w:noProof/>
                <w:webHidden/>
              </w:rPr>
              <w:fldChar w:fldCharType="end"/>
            </w:r>
          </w:hyperlink>
        </w:p>
        <w:p w:rsidR="005D42EC" w:rsidRDefault="005D42EC" w14:paraId="0766A752" w14:textId="0E6B09B7">
          <w:pPr>
            <w:pStyle w:val="TOC2"/>
            <w:tabs>
              <w:tab w:val="right" w:leader="dot" w:pos="9350"/>
            </w:tabs>
            <w:rPr>
              <w:rFonts w:eastAsiaTheme="minorEastAsia"/>
              <w:noProof/>
              <w:kern w:val="2"/>
              <w:sz w:val="24"/>
              <w:szCs w:val="24"/>
              <w14:ligatures w14:val="standardContextual"/>
            </w:rPr>
          </w:pPr>
          <w:hyperlink w:history="1" w:anchor="_Toc211074925">
            <w:r w:rsidRPr="00F377BD">
              <w:rPr>
                <w:rStyle w:val="Hyperlink"/>
                <w:noProof/>
              </w:rPr>
              <w:t>2.4 Impact on Care Outcomes</w:t>
            </w:r>
            <w:r>
              <w:rPr>
                <w:noProof/>
                <w:webHidden/>
              </w:rPr>
              <w:tab/>
            </w:r>
            <w:r>
              <w:rPr>
                <w:noProof/>
                <w:webHidden/>
              </w:rPr>
              <w:fldChar w:fldCharType="begin"/>
            </w:r>
            <w:r>
              <w:rPr>
                <w:noProof/>
                <w:webHidden/>
              </w:rPr>
              <w:instrText xml:space="preserve"> PAGEREF _Toc211074925 \h </w:instrText>
            </w:r>
            <w:r>
              <w:rPr>
                <w:noProof/>
                <w:webHidden/>
              </w:rPr>
            </w:r>
            <w:r>
              <w:rPr>
                <w:noProof/>
                <w:webHidden/>
              </w:rPr>
              <w:fldChar w:fldCharType="separate"/>
            </w:r>
            <w:r>
              <w:rPr>
                <w:noProof/>
                <w:webHidden/>
              </w:rPr>
              <w:t>4</w:t>
            </w:r>
            <w:r>
              <w:rPr>
                <w:noProof/>
                <w:webHidden/>
              </w:rPr>
              <w:fldChar w:fldCharType="end"/>
            </w:r>
          </w:hyperlink>
        </w:p>
        <w:p w:rsidR="005D42EC" w:rsidRDefault="005D42EC" w14:paraId="082DABFA" w14:textId="7AAC4C94">
          <w:pPr>
            <w:pStyle w:val="TOC1"/>
            <w:tabs>
              <w:tab w:val="right" w:leader="dot" w:pos="9350"/>
            </w:tabs>
            <w:rPr>
              <w:rFonts w:eastAsiaTheme="minorEastAsia"/>
              <w:noProof/>
              <w:kern w:val="2"/>
              <w:sz w:val="24"/>
              <w:szCs w:val="24"/>
              <w14:ligatures w14:val="standardContextual"/>
            </w:rPr>
          </w:pPr>
          <w:hyperlink w:history="1" w:anchor="_Toc211074926">
            <w:r w:rsidRPr="00F377BD">
              <w:rPr>
                <w:rStyle w:val="Hyperlink"/>
                <w:noProof/>
              </w:rPr>
              <w:t>3. Importance of Record-Keeping</w:t>
            </w:r>
            <w:r>
              <w:rPr>
                <w:noProof/>
                <w:webHidden/>
              </w:rPr>
              <w:tab/>
            </w:r>
            <w:r>
              <w:rPr>
                <w:noProof/>
                <w:webHidden/>
              </w:rPr>
              <w:fldChar w:fldCharType="begin"/>
            </w:r>
            <w:r>
              <w:rPr>
                <w:noProof/>
                <w:webHidden/>
              </w:rPr>
              <w:instrText xml:space="preserve"> PAGEREF _Toc211074926 \h </w:instrText>
            </w:r>
            <w:r>
              <w:rPr>
                <w:noProof/>
                <w:webHidden/>
              </w:rPr>
            </w:r>
            <w:r>
              <w:rPr>
                <w:noProof/>
                <w:webHidden/>
              </w:rPr>
              <w:fldChar w:fldCharType="separate"/>
            </w:r>
            <w:r>
              <w:rPr>
                <w:noProof/>
                <w:webHidden/>
              </w:rPr>
              <w:t>4</w:t>
            </w:r>
            <w:r>
              <w:rPr>
                <w:noProof/>
                <w:webHidden/>
              </w:rPr>
              <w:fldChar w:fldCharType="end"/>
            </w:r>
          </w:hyperlink>
        </w:p>
        <w:p w:rsidR="005D42EC" w:rsidRDefault="005D42EC" w14:paraId="5B2B53F9" w14:textId="6A331398">
          <w:pPr>
            <w:pStyle w:val="TOC2"/>
            <w:tabs>
              <w:tab w:val="right" w:leader="dot" w:pos="9350"/>
            </w:tabs>
            <w:rPr>
              <w:rFonts w:eastAsiaTheme="minorEastAsia"/>
              <w:noProof/>
              <w:kern w:val="2"/>
              <w:sz w:val="24"/>
              <w:szCs w:val="24"/>
              <w14:ligatures w14:val="standardContextual"/>
            </w:rPr>
          </w:pPr>
          <w:hyperlink w:history="1" w:anchor="_Toc211074927">
            <w:r w:rsidRPr="00F377BD">
              <w:rPr>
                <w:rStyle w:val="Hyperlink"/>
                <w:noProof/>
              </w:rPr>
              <w:t>3.1 Purpose and Definition</w:t>
            </w:r>
            <w:r>
              <w:rPr>
                <w:noProof/>
                <w:webHidden/>
              </w:rPr>
              <w:tab/>
            </w:r>
            <w:r>
              <w:rPr>
                <w:noProof/>
                <w:webHidden/>
              </w:rPr>
              <w:fldChar w:fldCharType="begin"/>
            </w:r>
            <w:r>
              <w:rPr>
                <w:noProof/>
                <w:webHidden/>
              </w:rPr>
              <w:instrText xml:space="preserve"> PAGEREF _Toc211074927 \h </w:instrText>
            </w:r>
            <w:r>
              <w:rPr>
                <w:noProof/>
                <w:webHidden/>
              </w:rPr>
            </w:r>
            <w:r>
              <w:rPr>
                <w:noProof/>
                <w:webHidden/>
              </w:rPr>
              <w:fldChar w:fldCharType="separate"/>
            </w:r>
            <w:r>
              <w:rPr>
                <w:noProof/>
                <w:webHidden/>
              </w:rPr>
              <w:t>4</w:t>
            </w:r>
            <w:r>
              <w:rPr>
                <w:noProof/>
                <w:webHidden/>
              </w:rPr>
              <w:fldChar w:fldCharType="end"/>
            </w:r>
          </w:hyperlink>
        </w:p>
        <w:p w:rsidR="005D42EC" w:rsidRDefault="005D42EC" w14:paraId="284157DB" w14:textId="06AE061D">
          <w:pPr>
            <w:pStyle w:val="TOC2"/>
            <w:tabs>
              <w:tab w:val="right" w:leader="dot" w:pos="9350"/>
            </w:tabs>
            <w:rPr>
              <w:rFonts w:eastAsiaTheme="minorEastAsia"/>
              <w:noProof/>
              <w:kern w:val="2"/>
              <w:sz w:val="24"/>
              <w:szCs w:val="24"/>
              <w14:ligatures w14:val="standardContextual"/>
            </w:rPr>
          </w:pPr>
          <w:hyperlink w:history="1" w:anchor="_Toc211074928">
            <w:r w:rsidRPr="00F377BD">
              <w:rPr>
                <w:rStyle w:val="Hyperlink"/>
                <w:noProof/>
              </w:rPr>
              <w:t>3.2 Legal and Ethical Framework</w:t>
            </w:r>
            <w:r>
              <w:rPr>
                <w:noProof/>
                <w:webHidden/>
              </w:rPr>
              <w:tab/>
            </w:r>
            <w:r>
              <w:rPr>
                <w:noProof/>
                <w:webHidden/>
              </w:rPr>
              <w:fldChar w:fldCharType="begin"/>
            </w:r>
            <w:r>
              <w:rPr>
                <w:noProof/>
                <w:webHidden/>
              </w:rPr>
              <w:instrText xml:space="preserve"> PAGEREF _Toc211074928 \h </w:instrText>
            </w:r>
            <w:r>
              <w:rPr>
                <w:noProof/>
                <w:webHidden/>
              </w:rPr>
            </w:r>
            <w:r>
              <w:rPr>
                <w:noProof/>
                <w:webHidden/>
              </w:rPr>
              <w:fldChar w:fldCharType="separate"/>
            </w:r>
            <w:r>
              <w:rPr>
                <w:noProof/>
                <w:webHidden/>
              </w:rPr>
              <w:t>5</w:t>
            </w:r>
            <w:r>
              <w:rPr>
                <w:noProof/>
                <w:webHidden/>
              </w:rPr>
              <w:fldChar w:fldCharType="end"/>
            </w:r>
          </w:hyperlink>
        </w:p>
        <w:p w:rsidR="005D42EC" w:rsidRDefault="005D42EC" w14:paraId="6DD42700" w14:textId="2C39A9B4">
          <w:pPr>
            <w:pStyle w:val="TOC2"/>
            <w:tabs>
              <w:tab w:val="right" w:leader="dot" w:pos="9350"/>
            </w:tabs>
            <w:rPr>
              <w:rFonts w:eastAsiaTheme="minorEastAsia"/>
              <w:noProof/>
              <w:kern w:val="2"/>
              <w:sz w:val="24"/>
              <w:szCs w:val="24"/>
              <w14:ligatures w14:val="standardContextual"/>
            </w:rPr>
          </w:pPr>
          <w:hyperlink w:history="1" w:anchor="_Toc211074929">
            <w:r w:rsidRPr="00F377BD">
              <w:rPr>
                <w:rStyle w:val="Hyperlink"/>
                <w:noProof/>
              </w:rPr>
              <w:t>3.3 Application to Mrs Mann</w:t>
            </w:r>
            <w:r>
              <w:rPr>
                <w:noProof/>
                <w:webHidden/>
              </w:rPr>
              <w:tab/>
            </w:r>
            <w:r>
              <w:rPr>
                <w:noProof/>
                <w:webHidden/>
              </w:rPr>
              <w:fldChar w:fldCharType="begin"/>
            </w:r>
            <w:r>
              <w:rPr>
                <w:noProof/>
                <w:webHidden/>
              </w:rPr>
              <w:instrText xml:space="preserve"> PAGEREF _Toc211074929 \h </w:instrText>
            </w:r>
            <w:r>
              <w:rPr>
                <w:noProof/>
                <w:webHidden/>
              </w:rPr>
            </w:r>
            <w:r>
              <w:rPr>
                <w:noProof/>
                <w:webHidden/>
              </w:rPr>
              <w:fldChar w:fldCharType="separate"/>
            </w:r>
            <w:r>
              <w:rPr>
                <w:noProof/>
                <w:webHidden/>
              </w:rPr>
              <w:t>5</w:t>
            </w:r>
            <w:r>
              <w:rPr>
                <w:noProof/>
                <w:webHidden/>
              </w:rPr>
              <w:fldChar w:fldCharType="end"/>
            </w:r>
          </w:hyperlink>
        </w:p>
        <w:p w:rsidR="005D42EC" w:rsidRDefault="005D42EC" w14:paraId="7EE91EE9" w14:textId="3EF65A23">
          <w:pPr>
            <w:pStyle w:val="TOC2"/>
            <w:tabs>
              <w:tab w:val="right" w:leader="dot" w:pos="9350"/>
            </w:tabs>
            <w:rPr>
              <w:rFonts w:eastAsiaTheme="minorEastAsia"/>
              <w:noProof/>
              <w:kern w:val="2"/>
              <w:sz w:val="24"/>
              <w:szCs w:val="24"/>
              <w14:ligatures w14:val="standardContextual"/>
            </w:rPr>
          </w:pPr>
          <w:hyperlink w:history="1" w:anchor="_Toc211074930">
            <w:r w:rsidRPr="00F377BD">
              <w:rPr>
                <w:rStyle w:val="Hyperlink"/>
                <w:noProof/>
              </w:rPr>
              <w:t>3.4 Professional Accountability</w:t>
            </w:r>
            <w:r>
              <w:rPr>
                <w:noProof/>
                <w:webHidden/>
              </w:rPr>
              <w:tab/>
            </w:r>
            <w:r>
              <w:rPr>
                <w:noProof/>
                <w:webHidden/>
              </w:rPr>
              <w:fldChar w:fldCharType="begin"/>
            </w:r>
            <w:r>
              <w:rPr>
                <w:noProof/>
                <w:webHidden/>
              </w:rPr>
              <w:instrText xml:space="preserve"> PAGEREF _Toc211074930 \h </w:instrText>
            </w:r>
            <w:r>
              <w:rPr>
                <w:noProof/>
                <w:webHidden/>
              </w:rPr>
            </w:r>
            <w:r>
              <w:rPr>
                <w:noProof/>
                <w:webHidden/>
              </w:rPr>
              <w:fldChar w:fldCharType="separate"/>
            </w:r>
            <w:r>
              <w:rPr>
                <w:noProof/>
                <w:webHidden/>
              </w:rPr>
              <w:t>5</w:t>
            </w:r>
            <w:r>
              <w:rPr>
                <w:noProof/>
                <w:webHidden/>
              </w:rPr>
              <w:fldChar w:fldCharType="end"/>
            </w:r>
          </w:hyperlink>
        </w:p>
        <w:p w:rsidR="005D42EC" w:rsidRDefault="005D42EC" w14:paraId="5053D0D9" w14:textId="18374356">
          <w:pPr>
            <w:pStyle w:val="TOC1"/>
            <w:tabs>
              <w:tab w:val="right" w:leader="dot" w:pos="9350"/>
            </w:tabs>
            <w:rPr>
              <w:rFonts w:eastAsiaTheme="minorEastAsia"/>
              <w:noProof/>
              <w:kern w:val="2"/>
              <w:sz w:val="24"/>
              <w:szCs w:val="24"/>
              <w14:ligatures w14:val="standardContextual"/>
            </w:rPr>
          </w:pPr>
          <w:hyperlink w:history="1" w:anchor="_Toc211074931">
            <w:r w:rsidRPr="00F377BD">
              <w:rPr>
                <w:rStyle w:val="Hyperlink"/>
                <w:noProof/>
              </w:rPr>
              <w:t>4. Importance of Collaborative Working</w:t>
            </w:r>
            <w:r>
              <w:rPr>
                <w:noProof/>
                <w:webHidden/>
              </w:rPr>
              <w:tab/>
            </w:r>
            <w:r>
              <w:rPr>
                <w:noProof/>
                <w:webHidden/>
              </w:rPr>
              <w:fldChar w:fldCharType="begin"/>
            </w:r>
            <w:r>
              <w:rPr>
                <w:noProof/>
                <w:webHidden/>
              </w:rPr>
              <w:instrText xml:space="preserve"> PAGEREF _Toc211074931 \h </w:instrText>
            </w:r>
            <w:r>
              <w:rPr>
                <w:noProof/>
                <w:webHidden/>
              </w:rPr>
            </w:r>
            <w:r>
              <w:rPr>
                <w:noProof/>
                <w:webHidden/>
              </w:rPr>
              <w:fldChar w:fldCharType="separate"/>
            </w:r>
            <w:r>
              <w:rPr>
                <w:noProof/>
                <w:webHidden/>
              </w:rPr>
              <w:t>6</w:t>
            </w:r>
            <w:r>
              <w:rPr>
                <w:noProof/>
                <w:webHidden/>
              </w:rPr>
              <w:fldChar w:fldCharType="end"/>
            </w:r>
          </w:hyperlink>
        </w:p>
        <w:p w:rsidR="005D42EC" w:rsidRDefault="005D42EC" w14:paraId="3A7FE694" w14:textId="0D3C15E4">
          <w:pPr>
            <w:pStyle w:val="TOC2"/>
            <w:tabs>
              <w:tab w:val="right" w:leader="dot" w:pos="9350"/>
            </w:tabs>
            <w:rPr>
              <w:rFonts w:eastAsiaTheme="minorEastAsia"/>
              <w:noProof/>
              <w:kern w:val="2"/>
              <w:sz w:val="24"/>
              <w:szCs w:val="24"/>
              <w14:ligatures w14:val="standardContextual"/>
            </w:rPr>
          </w:pPr>
          <w:hyperlink w:history="1" w:anchor="_Toc211074932">
            <w:r w:rsidRPr="00F377BD">
              <w:rPr>
                <w:rStyle w:val="Hyperlink"/>
                <w:noProof/>
              </w:rPr>
              <w:t>4.1 Definition and Relevance</w:t>
            </w:r>
            <w:r>
              <w:rPr>
                <w:noProof/>
                <w:webHidden/>
              </w:rPr>
              <w:tab/>
            </w:r>
            <w:r>
              <w:rPr>
                <w:noProof/>
                <w:webHidden/>
              </w:rPr>
              <w:fldChar w:fldCharType="begin"/>
            </w:r>
            <w:r>
              <w:rPr>
                <w:noProof/>
                <w:webHidden/>
              </w:rPr>
              <w:instrText xml:space="preserve"> PAGEREF _Toc211074932 \h </w:instrText>
            </w:r>
            <w:r>
              <w:rPr>
                <w:noProof/>
                <w:webHidden/>
              </w:rPr>
            </w:r>
            <w:r>
              <w:rPr>
                <w:noProof/>
                <w:webHidden/>
              </w:rPr>
              <w:fldChar w:fldCharType="separate"/>
            </w:r>
            <w:r>
              <w:rPr>
                <w:noProof/>
                <w:webHidden/>
              </w:rPr>
              <w:t>6</w:t>
            </w:r>
            <w:r>
              <w:rPr>
                <w:noProof/>
                <w:webHidden/>
              </w:rPr>
              <w:fldChar w:fldCharType="end"/>
            </w:r>
          </w:hyperlink>
        </w:p>
        <w:p w:rsidR="005D42EC" w:rsidRDefault="005D42EC" w14:paraId="57BD9C1F" w14:textId="58BE1C28">
          <w:pPr>
            <w:pStyle w:val="TOC2"/>
            <w:tabs>
              <w:tab w:val="right" w:leader="dot" w:pos="9350"/>
            </w:tabs>
            <w:rPr>
              <w:rFonts w:eastAsiaTheme="minorEastAsia"/>
              <w:noProof/>
              <w:kern w:val="2"/>
              <w:sz w:val="24"/>
              <w:szCs w:val="24"/>
              <w14:ligatures w14:val="standardContextual"/>
            </w:rPr>
          </w:pPr>
          <w:hyperlink w:history="1" w:anchor="_Toc211074933">
            <w:r w:rsidRPr="00F377BD">
              <w:rPr>
                <w:rStyle w:val="Hyperlink"/>
                <w:noProof/>
              </w:rPr>
              <w:t>4.2 Theoretical Framework</w:t>
            </w:r>
            <w:r>
              <w:rPr>
                <w:noProof/>
                <w:webHidden/>
              </w:rPr>
              <w:tab/>
            </w:r>
            <w:r>
              <w:rPr>
                <w:noProof/>
                <w:webHidden/>
              </w:rPr>
              <w:fldChar w:fldCharType="begin"/>
            </w:r>
            <w:r>
              <w:rPr>
                <w:noProof/>
                <w:webHidden/>
              </w:rPr>
              <w:instrText xml:space="preserve"> PAGEREF _Toc211074933 \h </w:instrText>
            </w:r>
            <w:r>
              <w:rPr>
                <w:noProof/>
                <w:webHidden/>
              </w:rPr>
            </w:r>
            <w:r>
              <w:rPr>
                <w:noProof/>
                <w:webHidden/>
              </w:rPr>
              <w:fldChar w:fldCharType="separate"/>
            </w:r>
            <w:r>
              <w:rPr>
                <w:noProof/>
                <w:webHidden/>
              </w:rPr>
              <w:t>6</w:t>
            </w:r>
            <w:r>
              <w:rPr>
                <w:noProof/>
                <w:webHidden/>
              </w:rPr>
              <w:fldChar w:fldCharType="end"/>
            </w:r>
          </w:hyperlink>
        </w:p>
        <w:p w:rsidR="005D42EC" w:rsidRDefault="005D42EC" w14:paraId="201B41BB" w14:textId="2A3293D4">
          <w:pPr>
            <w:pStyle w:val="TOC2"/>
            <w:tabs>
              <w:tab w:val="right" w:leader="dot" w:pos="9350"/>
            </w:tabs>
            <w:rPr>
              <w:rFonts w:eastAsiaTheme="minorEastAsia"/>
              <w:noProof/>
              <w:kern w:val="2"/>
              <w:sz w:val="24"/>
              <w:szCs w:val="24"/>
              <w14:ligatures w14:val="standardContextual"/>
            </w:rPr>
          </w:pPr>
          <w:hyperlink w:history="1" w:anchor="_Toc211074934">
            <w:r w:rsidRPr="00F377BD">
              <w:rPr>
                <w:rStyle w:val="Hyperlink"/>
                <w:noProof/>
              </w:rPr>
              <w:t>4.3 Benefits of Collaboration</w:t>
            </w:r>
            <w:r>
              <w:rPr>
                <w:noProof/>
                <w:webHidden/>
              </w:rPr>
              <w:tab/>
            </w:r>
            <w:r>
              <w:rPr>
                <w:noProof/>
                <w:webHidden/>
              </w:rPr>
              <w:fldChar w:fldCharType="begin"/>
            </w:r>
            <w:r>
              <w:rPr>
                <w:noProof/>
                <w:webHidden/>
              </w:rPr>
              <w:instrText xml:space="preserve"> PAGEREF _Toc211074934 \h </w:instrText>
            </w:r>
            <w:r>
              <w:rPr>
                <w:noProof/>
                <w:webHidden/>
              </w:rPr>
            </w:r>
            <w:r>
              <w:rPr>
                <w:noProof/>
                <w:webHidden/>
              </w:rPr>
              <w:fldChar w:fldCharType="separate"/>
            </w:r>
            <w:r>
              <w:rPr>
                <w:noProof/>
                <w:webHidden/>
              </w:rPr>
              <w:t>6</w:t>
            </w:r>
            <w:r>
              <w:rPr>
                <w:noProof/>
                <w:webHidden/>
              </w:rPr>
              <w:fldChar w:fldCharType="end"/>
            </w:r>
          </w:hyperlink>
        </w:p>
        <w:p w:rsidR="005D42EC" w:rsidRDefault="005D42EC" w14:paraId="50B56F0F" w14:textId="3F724FF7">
          <w:pPr>
            <w:pStyle w:val="TOC2"/>
            <w:tabs>
              <w:tab w:val="right" w:leader="dot" w:pos="9350"/>
            </w:tabs>
            <w:rPr>
              <w:rFonts w:eastAsiaTheme="minorEastAsia"/>
              <w:noProof/>
              <w:kern w:val="2"/>
              <w:sz w:val="24"/>
              <w:szCs w:val="24"/>
              <w14:ligatures w14:val="standardContextual"/>
            </w:rPr>
          </w:pPr>
          <w:hyperlink w:history="1" w:anchor="_Toc211074935">
            <w:r w:rsidRPr="00F377BD">
              <w:rPr>
                <w:rStyle w:val="Hyperlink"/>
                <w:noProof/>
              </w:rPr>
              <w:t>4.4 Challenges and Solutions</w:t>
            </w:r>
            <w:r>
              <w:rPr>
                <w:noProof/>
                <w:webHidden/>
              </w:rPr>
              <w:tab/>
            </w:r>
            <w:r>
              <w:rPr>
                <w:noProof/>
                <w:webHidden/>
              </w:rPr>
              <w:fldChar w:fldCharType="begin"/>
            </w:r>
            <w:r>
              <w:rPr>
                <w:noProof/>
                <w:webHidden/>
              </w:rPr>
              <w:instrText xml:space="preserve"> PAGEREF _Toc211074935 \h </w:instrText>
            </w:r>
            <w:r>
              <w:rPr>
                <w:noProof/>
                <w:webHidden/>
              </w:rPr>
            </w:r>
            <w:r>
              <w:rPr>
                <w:noProof/>
                <w:webHidden/>
              </w:rPr>
              <w:fldChar w:fldCharType="separate"/>
            </w:r>
            <w:r>
              <w:rPr>
                <w:noProof/>
                <w:webHidden/>
              </w:rPr>
              <w:t>7</w:t>
            </w:r>
            <w:r>
              <w:rPr>
                <w:noProof/>
                <w:webHidden/>
              </w:rPr>
              <w:fldChar w:fldCharType="end"/>
            </w:r>
          </w:hyperlink>
        </w:p>
        <w:p w:rsidR="005D42EC" w:rsidRDefault="005D42EC" w14:paraId="5B728144" w14:textId="05F0A771">
          <w:pPr>
            <w:pStyle w:val="TOC1"/>
            <w:tabs>
              <w:tab w:val="right" w:leader="dot" w:pos="9350"/>
            </w:tabs>
            <w:rPr>
              <w:rFonts w:eastAsiaTheme="minorEastAsia"/>
              <w:noProof/>
              <w:kern w:val="2"/>
              <w:sz w:val="24"/>
              <w:szCs w:val="24"/>
              <w14:ligatures w14:val="standardContextual"/>
            </w:rPr>
          </w:pPr>
          <w:hyperlink w:history="1" w:anchor="_Toc211074936">
            <w:r w:rsidRPr="00F377BD">
              <w:rPr>
                <w:rStyle w:val="Hyperlink"/>
                <w:noProof/>
              </w:rPr>
              <w:t>5. Conclusion</w:t>
            </w:r>
            <w:r>
              <w:rPr>
                <w:noProof/>
                <w:webHidden/>
              </w:rPr>
              <w:tab/>
            </w:r>
            <w:r>
              <w:rPr>
                <w:noProof/>
                <w:webHidden/>
              </w:rPr>
              <w:fldChar w:fldCharType="begin"/>
            </w:r>
            <w:r>
              <w:rPr>
                <w:noProof/>
                <w:webHidden/>
              </w:rPr>
              <w:instrText xml:space="preserve"> PAGEREF _Toc211074936 \h </w:instrText>
            </w:r>
            <w:r>
              <w:rPr>
                <w:noProof/>
                <w:webHidden/>
              </w:rPr>
            </w:r>
            <w:r>
              <w:rPr>
                <w:noProof/>
                <w:webHidden/>
              </w:rPr>
              <w:fldChar w:fldCharType="separate"/>
            </w:r>
            <w:r>
              <w:rPr>
                <w:noProof/>
                <w:webHidden/>
              </w:rPr>
              <w:t>7</w:t>
            </w:r>
            <w:r>
              <w:rPr>
                <w:noProof/>
                <w:webHidden/>
              </w:rPr>
              <w:fldChar w:fldCharType="end"/>
            </w:r>
          </w:hyperlink>
        </w:p>
        <w:p w:rsidR="005D42EC" w:rsidRDefault="005D42EC" w14:paraId="52D60058" w14:textId="4C0924DE">
          <w:pPr>
            <w:pStyle w:val="TOC1"/>
            <w:tabs>
              <w:tab w:val="right" w:leader="dot" w:pos="9350"/>
            </w:tabs>
            <w:rPr>
              <w:rFonts w:eastAsiaTheme="minorEastAsia"/>
              <w:noProof/>
              <w:kern w:val="2"/>
              <w:sz w:val="24"/>
              <w:szCs w:val="24"/>
              <w14:ligatures w14:val="standardContextual"/>
            </w:rPr>
          </w:pPr>
          <w:hyperlink w:history="1" w:anchor="_Toc211074937">
            <w:r w:rsidRPr="00F377BD">
              <w:rPr>
                <w:rStyle w:val="Hyperlink"/>
                <w:noProof/>
              </w:rPr>
              <w:t>6. References</w:t>
            </w:r>
            <w:r>
              <w:rPr>
                <w:noProof/>
                <w:webHidden/>
              </w:rPr>
              <w:tab/>
            </w:r>
            <w:r>
              <w:rPr>
                <w:noProof/>
                <w:webHidden/>
              </w:rPr>
              <w:fldChar w:fldCharType="begin"/>
            </w:r>
            <w:r>
              <w:rPr>
                <w:noProof/>
                <w:webHidden/>
              </w:rPr>
              <w:instrText xml:space="preserve"> PAGEREF _Toc211074937 \h </w:instrText>
            </w:r>
            <w:r>
              <w:rPr>
                <w:noProof/>
                <w:webHidden/>
              </w:rPr>
            </w:r>
            <w:r>
              <w:rPr>
                <w:noProof/>
                <w:webHidden/>
              </w:rPr>
              <w:fldChar w:fldCharType="separate"/>
            </w:r>
            <w:r>
              <w:rPr>
                <w:noProof/>
                <w:webHidden/>
              </w:rPr>
              <w:t>8</w:t>
            </w:r>
            <w:r>
              <w:rPr>
                <w:noProof/>
                <w:webHidden/>
              </w:rPr>
              <w:fldChar w:fldCharType="end"/>
            </w:r>
          </w:hyperlink>
        </w:p>
        <w:p w:rsidR="00371DAD" w:rsidRDefault="00371DAD" w14:paraId="1E8F8C1A" w14:textId="76D8065C">
          <w:r>
            <w:rPr>
              <w:b/>
              <w:bCs/>
              <w:noProof/>
            </w:rPr>
            <w:fldChar w:fldCharType="end"/>
          </w:r>
        </w:p>
      </w:sdtContent>
    </w:sdt>
    <w:p w:rsidR="00C81474" w:rsidRDefault="00C81474" w14:paraId="03F88ED9" w14:textId="63976637">
      <w:pPr>
        <w:rPr>
          <w:rFonts w:eastAsia="Times New Roman" w:cs="Times New Roman" w:asciiTheme="majorHAnsi" w:hAnsiTheme="majorHAnsi"/>
          <w:b/>
          <w:bCs/>
          <w:sz w:val="36"/>
          <w:szCs w:val="27"/>
        </w:rPr>
      </w:pPr>
      <w:r>
        <w:rPr>
          <w:rFonts w:eastAsia="Times New Roman" w:cs="Times New Roman" w:asciiTheme="majorHAnsi" w:hAnsiTheme="majorHAnsi"/>
          <w:b/>
          <w:bCs/>
          <w:sz w:val="36"/>
          <w:szCs w:val="27"/>
        </w:rPr>
        <w:br w:type="page"/>
      </w:r>
    </w:p>
    <w:p w:rsidRPr="00C81474" w:rsidR="00A767CB" w:rsidP="0C03A0A7" w:rsidRDefault="00A767CB" w14:paraId="4CD4C094" w14:textId="0FE29EF3">
      <w:pPr>
        <w:pStyle w:val="Normal"/>
        <w:rPr>
          <w:rFonts w:ascii="Arial Nova" w:hAnsi="Arial Nova" w:eastAsia="Arial Nova" w:cs="Arial Nova"/>
          <w:b w:val="1"/>
          <w:bCs w:val="1"/>
        </w:rPr>
      </w:pPr>
      <w:bookmarkStart w:name="_Toc211074920" w:id="0"/>
      <w:r w:rsidRPr="0C03A0A7" w:rsidR="5357C0D9">
        <w:rPr>
          <w:rFonts w:ascii="Arial Nova" w:hAnsi="Arial Nova" w:eastAsia="Arial Nova" w:cs="Arial Nova"/>
          <w:b w:val="1"/>
          <w:bCs w:val="1"/>
        </w:rPr>
        <w:t>1.</w:t>
      </w:r>
      <w:r w:rsidRPr="0C03A0A7" w:rsidR="6C50E82F">
        <w:rPr>
          <w:rFonts w:ascii="Arial Nova" w:hAnsi="Arial Nova" w:eastAsia="Arial Nova" w:cs="Arial Nova"/>
          <w:b w:val="1"/>
          <w:bCs w:val="1"/>
        </w:rPr>
        <w:t>Introduction</w:t>
      </w:r>
      <w:bookmarkEnd w:id="0"/>
    </w:p>
    <w:p w:rsidRPr="00C81474" w:rsidR="00636563" w:rsidP="0C03A0A7" w:rsidRDefault="00F97243" w14:paraId="18ECD2D9" w14:textId="77777777">
      <w:pPr>
        <w:jc w:val="both"/>
        <w:rPr>
          <w:rFonts w:ascii="Arial Nova" w:hAnsi="Arial Nova" w:eastAsia="Arial Nova" w:cs="Arial Nova"/>
          <w:sz w:val="22"/>
          <w:szCs w:val="22"/>
        </w:rPr>
      </w:pPr>
      <w:r w:rsidRPr="0C03A0A7" w:rsidR="6C50E82F">
        <w:rPr>
          <w:rFonts w:ascii="Arial Nova" w:hAnsi="Arial Nova" w:eastAsia="Arial Nova" w:cs="Arial Nova"/>
          <w:sz w:val="22"/>
          <w:szCs w:val="22"/>
        </w:rPr>
        <w:t xml:space="preserve">Effective communication, accurate record-keeping, and collaborative teamwork form the </w:t>
      </w:r>
      <w:r w:rsidRPr="0C03A0A7" w:rsidR="52F283BE">
        <w:rPr>
          <w:rFonts w:ascii="Arial Nova" w:hAnsi="Arial Nova" w:eastAsia="Arial Nova" w:cs="Arial Nova"/>
          <w:sz w:val="22"/>
          <w:szCs w:val="22"/>
        </w:rPr>
        <w:t xml:space="preserve">NHS Resolution (2022), an Arm’s-length Body of the Department of Health and Social Care, underpins safe, high-quality care by managing indemnity schemes and resolving clinical claims. In 2021–22, it handled 16,484 cases, settling 77% pre-litigation, and paid £2.459 billion in compensation. Communication failures caused nearly 70% of clinical incidents, as shown in </w:t>
      </w:r>
      <w:r w:rsidRPr="0C03A0A7" w:rsidR="52F283BE">
        <w:rPr>
          <w:rFonts w:ascii="Arial Nova" w:hAnsi="Arial Nova" w:eastAsia="Arial Nova" w:cs="Arial Nova"/>
          <w:sz w:val="22"/>
          <w:szCs w:val="22"/>
        </w:rPr>
        <w:t>Mrs</w:t>
      </w:r>
      <w:r w:rsidRPr="0C03A0A7" w:rsidR="52F283BE">
        <w:rPr>
          <w:rFonts w:ascii="Arial Nova" w:hAnsi="Arial Nova" w:eastAsia="Arial Nova" w:cs="Arial Nova"/>
          <w:sz w:val="22"/>
          <w:szCs w:val="22"/>
        </w:rPr>
        <w:t xml:space="preserve"> Mann’s case, highlighting the need for effective, compassionate communication (NHS RESOLUTION, 2022).</w:t>
      </w:r>
    </w:p>
    <w:p w:rsidRPr="00C81474" w:rsidR="00D03D12" w:rsidP="0C03A0A7" w:rsidRDefault="00F97243" w14:paraId="50618395" w14:textId="77777777">
      <w:pPr>
        <w:jc w:val="both"/>
        <w:rPr>
          <w:rFonts w:ascii="Arial Nova" w:hAnsi="Arial Nova" w:eastAsia="Arial Nova" w:cs="Arial Nova"/>
          <w:sz w:val="22"/>
          <w:szCs w:val="22"/>
        </w:rPr>
      </w:pPr>
      <w:r w:rsidRPr="0C03A0A7" w:rsidR="6C50E82F">
        <w:rPr>
          <w:rFonts w:ascii="Arial Nova" w:hAnsi="Arial Nova" w:eastAsia="Arial Nova" w:cs="Arial Nova"/>
          <w:sz w:val="22"/>
          <w:szCs w:val="22"/>
        </w:rPr>
        <w:t>The discussion integrates key UK legislation such as the Equality Act 2010, Data Protection Act 2018, and Care Act 2014, which together safeguard patient rights, confidentiality, and inclusivity. Theoretical perspectives—including the Shannon–Weaver Communication Model (1949) and Tuckman’s Team Development Model (1965)—offer structured insights into how professionals can enhance communication and teamwork in real-world practice</w:t>
      </w:r>
      <w:r w:rsidRPr="0C03A0A7" w:rsidR="092BD745">
        <w:rPr>
          <w:rFonts w:ascii="Arial Nova" w:hAnsi="Arial Nova" w:eastAsia="Arial Nova" w:cs="Arial Nova"/>
          <w:sz w:val="22"/>
          <w:szCs w:val="22"/>
        </w:rPr>
        <w:t xml:space="preserve"> (CMI, 2025)</w:t>
      </w:r>
      <w:r w:rsidRPr="0C03A0A7" w:rsidR="6C50E82F">
        <w:rPr>
          <w:rFonts w:ascii="Arial Nova" w:hAnsi="Arial Nova" w:eastAsia="Arial Nova" w:cs="Arial Nova"/>
          <w:sz w:val="22"/>
          <w:szCs w:val="22"/>
        </w:rPr>
        <w:t>.</w:t>
      </w:r>
    </w:p>
    <w:p w:rsidRPr="00C81474" w:rsidR="00D03D12" w:rsidP="0C03A0A7" w:rsidRDefault="00D03D12" w14:paraId="4801C02C" w14:textId="77777777">
      <w:pPr>
        <w:jc w:val="both"/>
        <w:rPr>
          <w:rFonts w:ascii="Arial Nova" w:hAnsi="Arial Nova" w:eastAsia="Arial Nova" w:cs="Arial Nova"/>
          <w:sz w:val="22"/>
          <w:szCs w:val="22"/>
        </w:rPr>
      </w:pPr>
      <w:r w:rsidRPr="0C03A0A7" w:rsidR="5D5B60AF">
        <w:rPr>
          <w:rFonts w:ascii="Arial Nova" w:hAnsi="Arial Nova" w:eastAsia="Arial Nova" w:cs="Arial Nova"/>
          <w:sz w:val="22"/>
          <w:szCs w:val="22"/>
        </w:rPr>
        <w:t>Mrs</w:t>
      </w:r>
      <w:r w:rsidRPr="0C03A0A7" w:rsidR="5D5B60AF">
        <w:rPr>
          <w:rFonts w:ascii="Arial Nova" w:hAnsi="Arial Nova" w:eastAsia="Arial Nova" w:cs="Arial Nova"/>
          <w:sz w:val="22"/>
          <w:szCs w:val="22"/>
        </w:rPr>
        <w:t xml:space="preserve"> Mann’s case shows that effective communication, accurate records, and teamwork enhance equality, cultural sensitivity, accountability, and holistic care.</w:t>
      </w:r>
    </w:p>
    <w:p w:rsidRPr="00C81474" w:rsidR="00F97243" w:rsidP="0C03A0A7" w:rsidRDefault="00F97243" w14:paraId="0636380C" w14:textId="77777777">
      <w:pPr>
        <w:pStyle w:val="Normal"/>
        <w:rPr>
          <w:rFonts w:ascii="Arial Nova" w:hAnsi="Arial Nova" w:eastAsia="Arial Nova" w:cs="Arial Nova"/>
          <w:b w:val="1"/>
          <w:bCs w:val="1"/>
          <w:sz w:val="22"/>
          <w:szCs w:val="22"/>
        </w:rPr>
      </w:pPr>
      <w:bookmarkStart w:name="_Toc211074921" w:id="1"/>
      <w:r w:rsidRPr="0C03A0A7" w:rsidR="6C50E82F">
        <w:rPr>
          <w:rFonts w:ascii="Arial Nova" w:hAnsi="Arial Nova" w:eastAsia="Arial Nova" w:cs="Arial Nova"/>
          <w:b w:val="1"/>
          <w:bCs w:val="1"/>
        </w:rPr>
        <w:t>2. Importance of Communication</w:t>
      </w:r>
      <w:bookmarkEnd w:id="1"/>
    </w:p>
    <w:p w:rsidRPr="00C81474" w:rsidR="00F97243" w:rsidP="0C03A0A7" w:rsidRDefault="00F97243" w14:paraId="6910D297" w14:textId="77777777">
      <w:pPr>
        <w:pStyle w:val="Normal"/>
        <w:rPr>
          <w:rFonts w:ascii="Arial Nova" w:hAnsi="Arial Nova" w:eastAsia="Arial Nova" w:cs="Arial Nova"/>
          <w:b w:val="1"/>
          <w:bCs w:val="1"/>
          <w:sz w:val="22"/>
          <w:szCs w:val="22"/>
        </w:rPr>
      </w:pPr>
      <w:bookmarkStart w:name="_Toc211074922" w:id="2"/>
      <w:r w:rsidRPr="0C03A0A7" w:rsidR="6C50E82F">
        <w:rPr>
          <w:rFonts w:ascii="Arial Nova" w:hAnsi="Arial Nova" w:eastAsia="Arial Nova" w:cs="Arial Nova"/>
          <w:b w:val="1"/>
          <w:bCs w:val="1"/>
        </w:rPr>
        <w:t>2.1 Definition and Relevance</w:t>
      </w:r>
      <w:bookmarkEnd w:id="2"/>
    </w:p>
    <w:p w:rsidRPr="00C81474" w:rsidR="00F97243" w:rsidP="0C03A0A7" w:rsidRDefault="00F97243" w14:paraId="456BC778" w14:textId="77777777">
      <w:pPr>
        <w:jc w:val="both"/>
        <w:rPr>
          <w:rFonts w:ascii="Arial Nova" w:hAnsi="Arial Nova" w:eastAsia="Arial Nova" w:cs="Arial Nova"/>
          <w:sz w:val="22"/>
          <w:szCs w:val="22"/>
        </w:rPr>
      </w:pPr>
      <w:r w:rsidRPr="0C03A0A7" w:rsidR="6C50E82F">
        <w:rPr>
          <w:rFonts w:ascii="Arial Nova" w:hAnsi="Arial Nova" w:eastAsia="Arial Nova" w:cs="Arial Nova"/>
          <w:sz w:val="22"/>
          <w:szCs w:val="22"/>
        </w:rPr>
        <w:t>Communication in health and social care refers to “the process of sharing information, feelings, and understanding between individuals to achieve effective care” (Hargie, 2021). It is a vital skill that underpins every interaction between healthcare professionals and patients. The NHS Resolution (2022) identified that nearly 70% of clinical safety incidents are linked to communication failures such as inaccurate handovers, incomplete documentation, or misunderstandings between staff and patients</w:t>
      </w:r>
      <w:r w:rsidRPr="0C03A0A7" w:rsidR="183CC1C1">
        <w:rPr>
          <w:rFonts w:ascii="Arial Nova" w:hAnsi="Arial Nova" w:eastAsia="Arial Nova" w:cs="Arial Nova"/>
          <w:sz w:val="22"/>
          <w:szCs w:val="22"/>
        </w:rPr>
        <w:t xml:space="preserve"> (NHS RESOLUTION,2022)</w:t>
      </w:r>
      <w:r w:rsidRPr="0C03A0A7" w:rsidR="6C50E82F">
        <w:rPr>
          <w:rFonts w:ascii="Arial Nova" w:hAnsi="Arial Nova" w:eastAsia="Arial Nova" w:cs="Arial Nova"/>
          <w:sz w:val="22"/>
          <w:szCs w:val="22"/>
        </w:rPr>
        <w:t>.</w:t>
      </w:r>
    </w:p>
    <w:p w:rsidRPr="00C81474" w:rsidR="00BB5CC1" w:rsidP="0C03A0A7" w:rsidRDefault="00BB5CC1" w14:paraId="52D00D8D" w14:textId="5CD5E7ED">
      <w:pPr>
        <w:jc w:val="both"/>
        <w:rPr>
          <w:rFonts w:ascii="Arial Nova" w:hAnsi="Arial Nova" w:eastAsia="Arial Nova" w:cs="Arial Nova"/>
          <w:sz w:val="22"/>
          <w:szCs w:val="22"/>
        </w:rPr>
      </w:pPr>
      <w:r w:rsidRPr="0C03A0A7" w:rsidR="2DFD9D0A">
        <w:rPr>
          <w:rFonts w:ascii="Arial Nova" w:hAnsi="Arial Nova" w:eastAsia="Arial Nova" w:cs="Arial Nova"/>
          <w:sz w:val="22"/>
          <w:szCs w:val="22"/>
        </w:rPr>
        <w:t>Effective communication ensures safety, empathy, and trust, fostering respect, clear understanding, shared decision-making, and compassionate recovery in person-</w:t>
      </w:r>
      <w:r w:rsidRPr="0C03A0A7" w:rsidR="58E40F0D">
        <w:rPr>
          <w:rFonts w:ascii="Arial Nova" w:hAnsi="Arial Nova" w:eastAsia="Arial Nova" w:cs="Arial Nova"/>
          <w:sz w:val="22"/>
          <w:szCs w:val="22"/>
        </w:rPr>
        <w:t>centered</w:t>
      </w:r>
      <w:r w:rsidRPr="0C03A0A7" w:rsidR="2DFD9D0A">
        <w:rPr>
          <w:rFonts w:ascii="Arial Nova" w:hAnsi="Arial Nova" w:eastAsia="Arial Nova" w:cs="Arial Nova"/>
          <w:sz w:val="22"/>
          <w:szCs w:val="22"/>
        </w:rPr>
        <w:t xml:space="preserve"> clinical care.</w:t>
      </w:r>
    </w:p>
    <w:p w:rsidRPr="00C81474" w:rsidR="00A767CB" w:rsidP="0C03A0A7" w:rsidRDefault="00A767CB" w14:paraId="12A4B497" w14:textId="2D8824CD">
      <w:pPr>
        <w:pStyle w:val="Normal"/>
        <w:rPr>
          <w:rFonts w:ascii="Arial Nova" w:hAnsi="Arial Nova" w:eastAsia="Arial Nova" w:cs="Arial Nova"/>
          <w:b w:val="1"/>
          <w:bCs w:val="1"/>
          <w:i w:val="0"/>
          <w:iCs w:val="0"/>
          <w:sz w:val="22"/>
          <w:szCs w:val="22"/>
        </w:rPr>
      </w:pPr>
      <w:bookmarkStart w:name="_Toc211074923" w:id="3"/>
      <w:r w:rsidRPr="0C03A0A7" w:rsidR="5357C0D9">
        <w:rPr>
          <w:rFonts w:ascii="Arial Nova" w:hAnsi="Arial Nova" w:eastAsia="Arial Nova" w:cs="Arial Nova"/>
          <w:b w:val="1"/>
          <w:bCs w:val="1"/>
        </w:rPr>
        <w:t xml:space="preserve">2.2 Application to </w:t>
      </w:r>
      <w:r w:rsidRPr="0C03A0A7" w:rsidR="41D5B401">
        <w:rPr>
          <w:rFonts w:ascii="Arial Nova" w:hAnsi="Arial Nova" w:eastAsia="Arial Nova" w:cs="Arial Nova"/>
          <w:b w:val="1"/>
          <w:bCs w:val="1"/>
        </w:rPr>
        <w:t>Mrs.</w:t>
      </w:r>
      <w:r w:rsidRPr="0C03A0A7" w:rsidR="5357C0D9">
        <w:rPr>
          <w:rFonts w:ascii="Arial Nova" w:hAnsi="Arial Nova" w:eastAsia="Arial Nova" w:cs="Arial Nova"/>
          <w:b w:val="1"/>
          <w:bCs w:val="1"/>
        </w:rPr>
        <w:t xml:space="preserve"> Man</w:t>
      </w:r>
      <w:bookmarkEnd w:id="3"/>
    </w:p>
    <w:p w:rsidRPr="00C81474" w:rsidR="00F97243" w:rsidP="0C03A0A7" w:rsidRDefault="00F97243" w14:paraId="53B0BA94" w14:textId="496E06FA">
      <w:pPr>
        <w:jc w:val="both"/>
        <w:rPr>
          <w:rFonts w:ascii="Arial Nova" w:hAnsi="Arial Nova" w:eastAsia="Arial Nova" w:cs="Arial Nova"/>
          <w:sz w:val="22"/>
          <w:szCs w:val="22"/>
        </w:rPr>
      </w:pPr>
      <w:r w:rsidRPr="0C03A0A7" w:rsidR="6C50E82F">
        <w:rPr>
          <w:rFonts w:ascii="Arial Nova" w:hAnsi="Arial Nova" w:eastAsia="Arial Nova" w:cs="Arial Nova"/>
          <w:sz w:val="22"/>
          <w:szCs w:val="22"/>
        </w:rPr>
        <w:t xml:space="preserve">For </w:t>
      </w:r>
      <w:r w:rsidRPr="0C03A0A7" w:rsidR="2264184A">
        <w:rPr>
          <w:rFonts w:ascii="Arial Nova" w:hAnsi="Arial Nova" w:eastAsia="Arial Nova" w:cs="Arial Nova"/>
          <w:sz w:val="22"/>
          <w:szCs w:val="22"/>
        </w:rPr>
        <w:t>Mrs.</w:t>
      </w:r>
      <w:r w:rsidRPr="0C03A0A7" w:rsidR="6C50E82F">
        <w:rPr>
          <w:rFonts w:ascii="Arial Nova" w:hAnsi="Arial Nova" w:eastAsia="Arial Nova" w:cs="Arial Nova"/>
          <w:sz w:val="22"/>
          <w:szCs w:val="22"/>
        </w:rPr>
        <w:t xml:space="preserve"> Mann, who speaks Urdu and has limited English comprehension, language barriers significantly </w:t>
      </w:r>
      <w:r w:rsidRPr="0C03A0A7" w:rsidR="6C50E82F">
        <w:rPr>
          <w:rFonts w:ascii="Arial Nova" w:hAnsi="Arial Nova" w:eastAsia="Arial Nova" w:cs="Arial Nova"/>
          <w:sz w:val="22"/>
          <w:szCs w:val="22"/>
        </w:rPr>
        <w:t>impact</w:t>
      </w:r>
      <w:r w:rsidRPr="0C03A0A7" w:rsidR="6C50E82F">
        <w:rPr>
          <w:rFonts w:ascii="Arial Nova" w:hAnsi="Arial Nova" w:eastAsia="Arial Nova" w:cs="Arial Nova"/>
          <w:sz w:val="22"/>
          <w:szCs w:val="22"/>
        </w:rPr>
        <w:t xml:space="preserve"> her postoperative recovery. Miscommunication could lead to errors in medication administration or physiotherapy adherence. According to the Shannon–Weaver Communication Model (1949), barriers such as linguistic differences or “noise” can distort messages between sender (nurse) and receiver (patient)</w:t>
      </w:r>
      <w:r w:rsidRPr="0C03A0A7" w:rsidR="4711470B">
        <w:rPr>
          <w:rFonts w:ascii="Arial Nova" w:hAnsi="Arial Nova" w:eastAsia="Arial Nova" w:cs="Arial Nova"/>
          <w:sz w:val="22"/>
          <w:szCs w:val="22"/>
        </w:rPr>
        <w:t xml:space="preserve"> (lumen, 2019)</w:t>
      </w:r>
      <w:r w:rsidRPr="0C03A0A7" w:rsidR="6C50E82F">
        <w:rPr>
          <w:rFonts w:ascii="Arial Nova" w:hAnsi="Arial Nova" w:eastAsia="Arial Nova" w:cs="Arial Nova"/>
          <w:sz w:val="22"/>
          <w:szCs w:val="22"/>
        </w:rPr>
        <w:t>.</w:t>
      </w:r>
    </w:p>
    <w:p w:rsidRPr="00C81474" w:rsidR="007B247C" w:rsidP="00C81474" w:rsidRDefault="007B247C" w14:paraId="3DF2A2AC" w14:textId="77777777">
      <w:pPr>
        <w:jc w:val="both"/>
        <w:rPr>
          <w:rFonts w:ascii="Arial" w:hAnsi="Arial" w:cs="Arial"/>
        </w:rPr>
      </w:pPr>
      <w:r w:rsidRPr="00C81474">
        <w:rPr>
          <w:rFonts w:ascii="Arial" w:hAnsi="Arial" w:cs="Arial"/>
        </w:rPr>
        <w:t>To overcome this, professionals should follow the NHS Accessible Information Standard (2015), developed with RNIB, Sense, and others, using interpreters, visual aids, and teach-back methods for clarity (NHS England, 2016)</w:t>
      </w:r>
      <w:r w:rsidRPr="00C81474" w:rsidR="00F97243">
        <w:rPr>
          <w:rFonts w:ascii="Arial" w:hAnsi="Arial" w:cs="Arial"/>
        </w:rPr>
        <w:t xml:space="preserve">. </w:t>
      </w:r>
      <w:r w:rsidRPr="00C81474">
        <w:rPr>
          <w:rFonts w:ascii="Arial" w:hAnsi="Arial" w:cs="Arial"/>
        </w:rPr>
        <w:t>According to NHS Digital (2021), professional interpreters can reduce medication-related errors by up to 50%, showing how effective communication enhances patient safety</w:t>
      </w:r>
      <w:r w:rsidRPr="00C81474" w:rsidR="00E5101C">
        <w:rPr>
          <w:rFonts w:ascii="Arial" w:hAnsi="Arial" w:cs="Arial"/>
        </w:rPr>
        <w:t xml:space="preserve"> (Branch, Hiner and Jackson, 2021)</w:t>
      </w:r>
      <w:r w:rsidRPr="00C81474">
        <w:rPr>
          <w:rFonts w:ascii="Arial" w:hAnsi="Arial" w:cs="Arial"/>
        </w:rPr>
        <w:t>.</w:t>
      </w:r>
    </w:p>
    <w:p w:rsidRPr="00C81474" w:rsidR="00F97243" w:rsidP="0C03A0A7" w:rsidRDefault="00F97243" w14:paraId="20577156" w14:textId="77777777">
      <w:pPr>
        <w:pStyle w:val="Normal"/>
        <w:rPr>
          <w:rFonts w:ascii="Arial Nova" w:hAnsi="Arial Nova" w:eastAsia="Arial Nova" w:cs="Arial Nova"/>
          <w:b w:val="1"/>
          <w:bCs w:val="1"/>
          <w:i w:val="0"/>
          <w:iCs w:val="0"/>
          <w:sz w:val="22"/>
          <w:szCs w:val="22"/>
        </w:rPr>
      </w:pPr>
      <w:bookmarkStart w:name="_Toc211074924" w:id="4"/>
      <w:r w:rsidRPr="0C03A0A7" w:rsidR="6C50E82F">
        <w:rPr>
          <w:rFonts w:ascii="Arial Nova" w:hAnsi="Arial Nova" w:eastAsia="Arial Nova" w:cs="Arial Nova"/>
          <w:b w:val="1"/>
          <w:bCs w:val="1"/>
        </w:rPr>
        <w:t>2.3 Equality and Inclusion</w:t>
      </w:r>
      <w:bookmarkEnd w:id="4"/>
    </w:p>
    <w:p w:rsidRPr="00C81474" w:rsidR="00E5101C" w:rsidP="00C81474" w:rsidRDefault="00E5101C" w14:paraId="55A3A358" w14:textId="148D92CD">
      <w:pPr>
        <w:jc w:val="both"/>
        <w:rPr>
          <w:rFonts w:ascii="Arial" w:hAnsi="Arial" w:cs="Arial"/>
        </w:rPr>
      </w:pPr>
      <w:r w:rsidRPr="0C03A0A7" w:rsidR="53BF8CB9">
        <w:rPr>
          <w:rFonts w:ascii="Arial" w:hAnsi="Arial" w:cs="Arial"/>
        </w:rPr>
        <w:t xml:space="preserve">The Equality Act 2010, uniting over 116 laws, ensures </w:t>
      </w:r>
      <w:r w:rsidRPr="0C03A0A7" w:rsidR="53BF8CB9">
        <w:rPr>
          <w:rFonts w:ascii="Arial" w:hAnsi="Arial" w:cs="Arial"/>
        </w:rPr>
        <w:t>equitable</w:t>
      </w:r>
      <w:r w:rsidRPr="0C03A0A7" w:rsidR="53BF8CB9">
        <w:rPr>
          <w:rFonts w:ascii="Arial" w:hAnsi="Arial" w:cs="Arial"/>
        </w:rPr>
        <w:t xml:space="preserve"> care for all patients regardless of language, culture, or background. Using culturally sensitive communication—like greeting </w:t>
      </w:r>
      <w:r w:rsidRPr="0C03A0A7" w:rsidR="18F7AFAE">
        <w:rPr>
          <w:rFonts w:ascii="Arial" w:hAnsi="Arial" w:cs="Arial"/>
        </w:rPr>
        <w:t>Mrs.</w:t>
      </w:r>
      <w:r w:rsidRPr="0C03A0A7" w:rsidR="53BF8CB9">
        <w:rPr>
          <w:rFonts w:ascii="Arial" w:hAnsi="Arial" w:cs="Arial"/>
        </w:rPr>
        <w:t xml:space="preserve"> Mann with “</w:t>
      </w:r>
      <w:r w:rsidRPr="0C03A0A7" w:rsidR="53BF8CB9">
        <w:rPr>
          <w:rFonts w:ascii="Arial" w:hAnsi="Arial" w:cs="Arial"/>
        </w:rPr>
        <w:t>Assalamualaikum</w:t>
      </w:r>
      <w:r w:rsidRPr="0C03A0A7" w:rsidR="53BF8CB9">
        <w:rPr>
          <w:rFonts w:ascii="Arial" w:hAnsi="Arial" w:cs="Arial"/>
        </w:rPr>
        <w:t>”—promotes respect, inclusion, warmth, and trust in healthcare settings (EHRC, 2018).</w:t>
      </w:r>
    </w:p>
    <w:p w:rsidRPr="00C81474" w:rsidR="00A538DB" w:rsidP="00C81474" w:rsidRDefault="00A538DB" w14:paraId="01BE3C2B" w14:textId="77777777">
      <w:pPr>
        <w:jc w:val="both"/>
        <w:rPr>
          <w:rFonts w:ascii="Arial" w:hAnsi="Arial" w:cs="Arial"/>
        </w:rPr>
      </w:pPr>
      <w:r w:rsidRPr="00C81474">
        <w:rPr>
          <w:rFonts w:ascii="Arial" w:hAnsi="Arial" w:cs="Arial"/>
        </w:rPr>
        <w:t>According to the 2022 British Social Attitudes (BSA) survey, only 29% of the public were satisfied with the NHS—the lowest since 1983—while dissatisfaction rose to 51%. This decline highlights the urgent need for improved communication and culturally responsive care to rebuild patient trust and satisfaction (The King's Fund, 2024).</w:t>
      </w:r>
    </w:p>
    <w:p w:rsidRPr="00C81474" w:rsidR="00F97243" w:rsidP="0C03A0A7" w:rsidRDefault="00F97243" w14:paraId="7A16DEE3" w14:textId="1E920DBF">
      <w:pPr>
        <w:pStyle w:val="Normal"/>
        <w:rPr>
          <w:rFonts w:ascii="Arial Nova" w:hAnsi="Arial Nova" w:eastAsia="Arial Nova" w:cs="Arial Nova"/>
          <w:b w:val="1"/>
          <w:bCs w:val="1"/>
          <w:i w:val="0"/>
          <w:iCs w:val="0"/>
          <w:sz w:val="22"/>
          <w:szCs w:val="22"/>
        </w:rPr>
      </w:pPr>
      <w:bookmarkStart w:name="_Toc211074925" w:id="5"/>
      <w:r w:rsidRPr="0C03A0A7" w:rsidR="6C50E82F">
        <w:rPr>
          <w:rFonts w:ascii="Arial Nova" w:hAnsi="Arial Nova" w:eastAsia="Arial Nova" w:cs="Arial Nova"/>
          <w:b w:val="1"/>
          <w:bCs w:val="1"/>
        </w:rPr>
        <w:t>2.4 Impact on Care Outcomes</w:t>
      </w:r>
      <w:bookmarkEnd w:id="5"/>
    </w:p>
    <w:p w:rsidRPr="00C81474" w:rsidR="00A538DB" w:rsidP="00C81474" w:rsidRDefault="00A538DB" w14:paraId="5A719D2E" w14:textId="6A1768A7">
      <w:pPr>
        <w:jc w:val="both"/>
        <w:rPr>
          <w:rFonts w:ascii="Arial" w:hAnsi="Arial" w:cs="Arial"/>
        </w:rPr>
      </w:pPr>
      <w:r w:rsidRPr="0C03A0A7" w:rsidR="154706D4">
        <w:rPr>
          <w:rFonts w:ascii="Arial" w:hAnsi="Arial" w:cs="Arial"/>
        </w:rPr>
        <w:t xml:space="preserve">According to the Care Quality Commission’s State of Care 2020/21 report, based on inspections and feedback from patients, families, and carers, services rated ‘good’ or ‘outstanding’ consistently </w:t>
      </w:r>
      <w:r w:rsidRPr="0C03A0A7" w:rsidR="154706D4">
        <w:rPr>
          <w:rFonts w:ascii="Arial" w:hAnsi="Arial" w:cs="Arial"/>
        </w:rPr>
        <w:t>demonstrated</w:t>
      </w:r>
      <w:r w:rsidRPr="0C03A0A7" w:rsidR="154706D4">
        <w:rPr>
          <w:rFonts w:ascii="Arial" w:hAnsi="Arial" w:cs="Arial"/>
        </w:rPr>
        <w:t xml:space="preserve"> effective, compassionate communication. Patients who felt “listened to and understood” followed treatment plans more effectively. For </w:t>
      </w:r>
      <w:r w:rsidRPr="0C03A0A7" w:rsidR="1D4ECCEB">
        <w:rPr>
          <w:rFonts w:ascii="Arial" w:hAnsi="Arial" w:cs="Arial"/>
        </w:rPr>
        <w:t>Mrs.</w:t>
      </w:r>
      <w:r w:rsidRPr="0C03A0A7" w:rsidR="154706D4">
        <w:rPr>
          <w:rFonts w:ascii="Arial" w:hAnsi="Arial" w:cs="Arial"/>
        </w:rPr>
        <w:t xml:space="preserve"> Mann, empathetic interaction supports medication adherence, physiotherapy engagement, and faster recovery—preserving dignity, trust, and </w:t>
      </w:r>
      <w:r w:rsidRPr="0C03A0A7" w:rsidR="154706D4">
        <w:rPr>
          <w:rFonts w:ascii="Arial" w:hAnsi="Arial" w:cs="Arial"/>
        </w:rPr>
        <w:t>equitable</w:t>
      </w:r>
      <w:r w:rsidRPr="0C03A0A7" w:rsidR="154706D4">
        <w:rPr>
          <w:rFonts w:ascii="Arial" w:hAnsi="Arial" w:cs="Arial"/>
        </w:rPr>
        <w:t>, person-</w:t>
      </w:r>
      <w:r w:rsidRPr="0C03A0A7" w:rsidR="20912F87">
        <w:rPr>
          <w:rFonts w:ascii="Arial" w:hAnsi="Arial" w:cs="Arial"/>
        </w:rPr>
        <w:t>centered</w:t>
      </w:r>
      <w:r w:rsidRPr="0C03A0A7" w:rsidR="154706D4">
        <w:rPr>
          <w:rFonts w:ascii="Arial" w:hAnsi="Arial" w:cs="Arial"/>
        </w:rPr>
        <w:t xml:space="preserve"> care for all.</w:t>
      </w:r>
    </w:p>
    <w:p w:rsidRPr="00C81474" w:rsidR="00F97243" w:rsidP="0C03A0A7" w:rsidRDefault="00F97243" w14:paraId="53A7E213" w14:textId="77777777">
      <w:pPr>
        <w:pStyle w:val="Normal"/>
        <w:rPr>
          <w:rFonts w:ascii="Arial Nova" w:hAnsi="Arial Nova" w:eastAsia="Arial Nova" w:cs="Arial Nova"/>
          <w:b w:val="1"/>
          <w:bCs w:val="1"/>
          <w:sz w:val="22"/>
          <w:szCs w:val="22"/>
        </w:rPr>
      </w:pPr>
      <w:bookmarkStart w:name="_Toc211074926" w:id="6"/>
      <w:r w:rsidRPr="0C03A0A7" w:rsidR="6C50E82F">
        <w:rPr>
          <w:rFonts w:ascii="Arial Nova" w:hAnsi="Arial Nova" w:eastAsia="Arial Nova" w:cs="Arial Nova"/>
          <w:b w:val="1"/>
          <w:bCs w:val="1"/>
        </w:rPr>
        <w:t>3. Importance of Record-Keeping</w:t>
      </w:r>
      <w:bookmarkEnd w:id="6"/>
    </w:p>
    <w:p w:rsidRPr="00C81474" w:rsidR="00F97243" w:rsidP="0C03A0A7" w:rsidRDefault="00F97243" w14:paraId="6A98D01C" w14:textId="77777777">
      <w:pPr>
        <w:pStyle w:val="Normal"/>
        <w:rPr>
          <w:rFonts w:ascii="Arial Nova" w:hAnsi="Arial Nova" w:eastAsia="Arial Nova" w:cs="Arial Nova"/>
          <w:b w:val="1"/>
          <w:bCs w:val="1"/>
          <w:sz w:val="22"/>
          <w:szCs w:val="22"/>
        </w:rPr>
      </w:pPr>
      <w:bookmarkStart w:name="_Toc211074927" w:id="7"/>
      <w:r w:rsidRPr="0C03A0A7" w:rsidR="6C50E82F">
        <w:rPr>
          <w:rFonts w:ascii="Arial Nova" w:hAnsi="Arial Nova" w:eastAsia="Arial Nova" w:cs="Arial Nova"/>
          <w:b w:val="1"/>
          <w:bCs w:val="1"/>
        </w:rPr>
        <w:t>3.1 Purpose and Definition</w:t>
      </w:r>
      <w:bookmarkEnd w:id="7"/>
    </w:p>
    <w:p w:rsidRPr="00C81474" w:rsidR="00517FA0" w:rsidP="00C81474" w:rsidRDefault="00517FA0" w14:paraId="0374C0E1" w14:textId="77777777">
      <w:pPr>
        <w:jc w:val="both"/>
        <w:rPr>
          <w:rFonts w:ascii="Arial" w:hAnsi="Arial" w:cs="Arial"/>
        </w:rPr>
      </w:pPr>
      <w:r w:rsidRPr="00C81474">
        <w:rPr>
          <w:rFonts w:ascii="Arial" w:hAnsi="Arial" w:cs="Arial"/>
        </w:rPr>
        <w:t>Good record-keeping is a fundamental professional duty outlined in the Nursing and Midwifery Council Code (2018), requiring clear, accurate, and timely documentation—ideally within 24 hours of care delivery. The Care Quality Commission (2021) found that effective record-keeping reduces treatment-related incidents by up to 30%, supporting patient safety and accountability. Records also ensure compliance with the Data Protection Act 2018 and Access to Health Records Act 1990. Maternity records must be retained for 25 years (Department of Health, 2016) to safeguard continuity, investigation, and legal integrity (Mary Plummer and Erum Khan, 2022).</w:t>
      </w:r>
    </w:p>
    <w:p w:rsidRPr="00C81474" w:rsidR="00F97243" w:rsidP="0C03A0A7" w:rsidRDefault="00F97243" w14:paraId="31183122" w14:textId="77777777">
      <w:pPr>
        <w:pStyle w:val="Normal"/>
        <w:rPr>
          <w:rFonts w:ascii="Arial Nova" w:hAnsi="Arial Nova" w:eastAsia="Arial Nova" w:cs="Arial Nova"/>
          <w:b w:val="1"/>
          <w:bCs w:val="1"/>
          <w:i w:val="0"/>
          <w:iCs w:val="0"/>
          <w:sz w:val="22"/>
          <w:szCs w:val="22"/>
        </w:rPr>
      </w:pPr>
      <w:bookmarkStart w:name="_Toc211074928" w:id="8"/>
      <w:r w:rsidRPr="0C03A0A7" w:rsidR="6C50E82F">
        <w:rPr>
          <w:rFonts w:ascii="Arial Nova" w:hAnsi="Arial Nova" w:eastAsia="Arial Nova" w:cs="Arial Nova"/>
          <w:b w:val="1"/>
          <w:bCs w:val="1"/>
        </w:rPr>
        <w:t>3.2 Legal and Ethical Framework</w:t>
      </w:r>
      <w:bookmarkEnd w:id="8"/>
    </w:p>
    <w:p w:rsidRPr="00C81474" w:rsidR="00F97243" w:rsidP="00C81474" w:rsidRDefault="000157FD" w14:paraId="0821C470" w14:textId="607A540E">
      <w:pPr>
        <w:jc w:val="both"/>
        <w:rPr>
          <w:rFonts w:ascii="Arial" w:hAnsi="Arial" w:cs="Arial"/>
        </w:rPr>
      </w:pPr>
      <w:r w:rsidRPr="0C03A0A7" w:rsidR="3F7C8DA2">
        <w:rPr>
          <w:rFonts w:ascii="Arial" w:hAnsi="Arial" w:cs="Arial"/>
        </w:rPr>
        <w:t xml:space="preserve">Maintaining confidentiality and accuracy in records is a legal duty under the UK GDPR and Data Protection Act 2018, which require personal data to be used lawfully, fairly, and </w:t>
      </w:r>
      <w:r w:rsidRPr="0C03A0A7" w:rsidR="3A549A43">
        <w:rPr>
          <w:rFonts w:ascii="Arial" w:hAnsi="Arial" w:cs="Arial"/>
        </w:rPr>
        <w:t>securely kept</w:t>
      </w:r>
      <w:r w:rsidRPr="0C03A0A7" w:rsidR="3F7C8DA2">
        <w:rPr>
          <w:rFonts w:ascii="Arial" w:hAnsi="Arial" w:cs="Arial"/>
        </w:rPr>
        <w:t xml:space="preserve"> </w:t>
      </w:r>
      <w:r w:rsidRPr="0C03A0A7" w:rsidR="3F7C8DA2">
        <w:rPr>
          <w:rFonts w:ascii="Arial" w:hAnsi="Arial" w:cs="Arial"/>
        </w:rPr>
        <w:t>accurate</w:t>
      </w:r>
      <w:r w:rsidRPr="0C03A0A7" w:rsidR="3F7C8DA2">
        <w:rPr>
          <w:rFonts w:ascii="Arial" w:hAnsi="Arial" w:cs="Arial"/>
        </w:rPr>
        <w:t xml:space="preserve">, limited to necessity, and protected from </w:t>
      </w:r>
      <w:r w:rsidRPr="0C03A0A7" w:rsidR="42CDBD2C">
        <w:rPr>
          <w:rFonts w:ascii="Arial" w:hAnsi="Arial" w:cs="Arial"/>
        </w:rPr>
        <w:t>unauthorized</w:t>
      </w:r>
      <w:r w:rsidRPr="0C03A0A7" w:rsidR="3F7C8DA2">
        <w:rPr>
          <w:rFonts w:ascii="Arial" w:hAnsi="Arial" w:cs="Arial"/>
        </w:rPr>
        <w:t xml:space="preserve"> access or misuse (UK Government, 2025)</w:t>
      </w:r>
      <w:r w:rsidRPr="0C03A0A7" w:rsidR="6C50E82F">
        <w:rPr>
          <w:rFonts w:ascii="Arial" w:hAnsi="Arial" w:cs="Arial"/>
        </w:rPr>
        <w:t xml:space="preserve">. </w:t>
      </w:r>
      <w:r w:rsidRPr="0C03A0A7" w:rsidR="3F7C8DA2">
        <w:rPr>
          <w:rFonts w:ascii="Arial" w:hAnsi="Arial" w:cs="Arial"/>
        </w:rPr>
        <w:t xml:space="preserve">The Caldicott Principles, </w:t>
      </w:r>
      <w:r w:rsidRPr="0C03A0A7" w:rsidR="3F7C8DA2">
        <w:rPr>
          <w:rFonts w:ascii="Arial" w:hAnsi="Arial" w:cs="Arial"/>
        </w:rPr>
        <w:t>established</w:t>
      </w:r>
      <w:r w:rsidRPr="0C03A0A7" w:rsidR="3F7C8DA2">
        <w:rPr>
          <w:rFonts w:ascii="Arial" w:hAnsi="Arial" w:cs="Arial"/>
        </w:rPr>
        <w:t xml:space="preserve"> in 1997 under Dame Fiona Caldicott’s review of patient information sharing, set clear standards for protecting confidentiality. They stress that identifiable data should be shared only when necessary, ensuring accountability, trust, and ethical transparency in an increasingly digital healthcare environment (and, 2025).</w:t>
      </w:r>
    </w:p>
    <w:p w:rsidRPr="00C81474" w:rsidR="00F97243" w:rsidP="0C03A0A7" w:rsidRDefault="00F97243" w14:paraId="1279C36C" w14:textId="4F0DDD32">
      <w:pPr>
        <w:pStyle w:val="Normal"/>
        <w:rPr>
          <w:rFonts w:ascii="Arial Nova" w:hAnsi="Arial Nova" w:eastAsia="Arial Nova" w:cs="Arial Nova"/>
          <w:b w:val="1"/>
          <w:bCs w:val="1"/>
          <w:i w:val="0"/>
          <w:iCs w:val="0"/>
        </w:rPr>
      </w:pPr>
      <w:bookmarkStart w:name="_Toc211074929" w:id="9"/>
      <w:r w:rsidRPr="0C03A0A7" w:rsidR="6C50E82F">
        <w:rPr>
          <w:rFonts w:ascii="Arial Nova" w:hAnsi="Arial Nova" w:eastAsia="Arial Nova" w:cs="Arial Nova"/>
          <w:b w:val="1"/>
          <w:bCs w:val="1"/>
          <w:i w:val="0"/>
          <w:iCs w:val="0"/>
        </w:rPr>
        <w:t xml:space="preserve">3.3 Application to </w:t>
      </w:r>
      <w:r w:rsidRPr="0C03A0A7" w:rsidR="2B3AF461">
        <w:rPr>
          <w:rFonts w:ascii="Arial Nova" w:hAnsi="Arial Nova" w:eastAsia="Arial Nova" w:cs="Arial Nova"/>
          <w:b w:val="1"/>
          <w:bCs w:val="1"/>
          <w:i w:val="0"/>
          <w:iCs w:val="0"/>
        </w:rPr>
        <w:t>Mrs.</w:t>
      </w:r>
      <w:r w:rsidRPr="0C03A0A7" w:rsidR="6C50E82F">
        <w:rPr>
          <w:rFonts w:ascii="Arial Nova" w:hAnsi="Arial Nova" w:eastAsia="Arial Nova" w:cs="Arial Nova"/>
          <w:b w:val="1"/>
          <w:bCs w:val="1"/>
          <w:i w:val="0"/>
          <w:iCs w:val="0"/>
        </w:rPr>
        <w:t xml:space="preserve"> Mann</w:t>
      </w:r>
      <w:bookmarkEnd w:id="9"/>
    </w:p>
    <w:p w:rsidRPr="00C81474" w:rsidR="00F97243" w:rsidP="00C81474" w:rsidRDefault="00F97243" w14:paraId="644ACBB1" w14:textId="1C042B5E">
      <w:pPr>
        <w:jc w:val="both"/>
        <w:rPr>
          <w:rFonts w:ascii="Arial" w:hAnsi="Arial" w:cs="Arial"/>
        </w:rPr>
      </w:pPr>
      <w:r w:rsidRPr="0C03A0A7" w:rsidR="6C50E82F">
        <w:rPr>
          <w:rFonts w:ascii="Arial" w:hAnsi="Arial" w:cs="Arial"/>
        </w:rPr>
        <w:t xml:space="preserve">In </w:t>
      </w:r>
      <w:r w:rsidRPr="0C03A0A7" w:rsidR="62ADDE93">
        <w:rPr>
          <w:rFonts w:ascii="Arial" w:hAnsi="Arial" w:cs="Arial"/>
        </w:rPr>
        <w:t>Mrs.</w:t>
      </w:r>
      <w:r w:rsidRPr="0C03A0A7" w:rsidR="6C50E82F">
        <w:rPr>
          <w:rFonts w:ascii="Arial" w:hAnsi="Arial" w:cs="Arial"/>
        </w:rPr>
        <w:t xml:space="preserve"> Mann’s care, nurses and physiotherapists must accurately record her medication schedule, pain scores, wound care, and mobility progress using digital platforms such as NHS Spine or EMIS Web. These shared systems allow seamless information exchange among the multidisciplinary team, ensuring continuity and safety.</w:t>
      </w:r>
    </w:p>
    <w:p w:rsidRPr="00C81474" w:rsidR="008853CF" w:rsidP="00C81474" w:rsidRDefault="008853CF" w14:paraId="24752DC1" w14:textId="4A13AD46">
      <w:pPr>
        <w:jc w:val="both"/>
        <w:rPr>
          <w:rFonts w:ascii="Arial" w:hAnsi="Arial" w:cs="Arial"/>
        </w:rPr>
      </w:pPr>
      <w:r w:rsidRPr="0C03A0A7" w:rsidR="60A9D6AF">
        <w:rPr>
          <w:rFonts w:ascii="Arial" w:hAnsi="Arial" w:cs="Arial"/>
        </w:rPr>
        <w:t xml:space="preserve">The British Medical Journal (2020) reported that 1 in every 20 NHS prescriptions </w:t>
      </w:r>
      <w:r w:rsidRPr="0C03A0A7" w:rsidR="20116150">
        <w:rPr>
          <w:rFonts w:ascii="Arial" w:hAnsi="Arial" w:cs="Arial"/>
        </w:rPr>
        <w:t>contain</w:t>
      </w:r>
      <w:r w:rsidRPr="0C03A0A7" w:rsidR="60A9D6AF">
        <w:rPr>
          <w:rFonts w:ascii="Arial" w:hAnsi="Arial" w:cs="Arial"/>
        </w:rPr>
        <w:t xml:space="preserve"> an error, stressing the importance of </w:t>
      </w:r>
      <w:r w:rsidRPr="0C03A0A7" w:rsidR="60A9D6AF">
        <w:rPr>
          <w:rFonts w:ascii="Arial" w:hAnsi="Arial" w:cs="Arial"/>
        </w:rPr>
        <w:t>accurate</w:t>
      </w:r>
      <w:r w:rsidRPr="0C03A0A7" w:rsidR="60A9D6AF">
        <w:rPr>
          <w:rFonts w:ascii="Arial" w:hAnsi="Arial" w:cs="Arial"/>
        </w:rPr>
        <w:t xml:space="preserve"> documentation and verification. Implementing interoperable electronic record systems reduces duplication, enhances real-time tracking, and improves safety—especially for complex patients receiving care from multiple providers across NHS settings (BMJ,2017).</w:t>
      </w:r>
    </w:p>
    <w:p w:rsidRPr="00C81474" w:rsidR="00F97243" w:rsidP="0C03A0A7" w:rsidRDefault="00F97243" w14:paraId="3E690088" w14:textId="77777777">
      <w:pPr>
        <w:pStyle w:val="Normal"/>
        <w:rPr>
          <w:rFonts w:ascii="Arial Nova" w:hAnsi="Arial Nova" w:eastAsia="Arial Nova" w:cs="Arial Nova"/>
          <w:b w:val="1"/>
          <w:bCs w:val="1"/>
          <w:i w:val="0"/>
          <w:iCs w:val="0"/>
        </w:rPr>
      </w:pPr>
      <w:bookmarkStart w:name="_Toc211074930" w:id="10"/>
      <w:r w:rsidRPr="0C03A0A7" w:rsidR="6C50E82F">
        <w:rPr>
          <w:rFonts w:ascii="Arial Nova" w:hAnsi="Arial Nova" w:eastAsia="Arial Nova" w:cs="Arial Nova"/>
          <w:b w:val="1"/>
          <w:bCs w:val="1"/>
        </w:rPr>
        <w:t>3.4 Professional Accountability</w:t>
      </w:r>
      <w:bookmarkEnd w:id="10"/>
    </w:p>
    <w:p w:rsidRPr="00C81474" w:rsidR="00A767CB" w:rsidP="00C81474" w:rsidRDefault="006C65D8" w14:paraId="5D463CD1" w14:textId="2CD8BB1B">
      <w:pPr>
        <w:jc w:val="both"/>
        <w:rPr>
          <w:rFonts w:ascii="Arial" w:hAnsi="Arial" w:cs="Arial"/>
        </w:rPr>
      </w:pPr>
      <w:r w:rsidRPr="0C03A0A7" w:rsidR="2612B908">
        <w:rPr>
          <w:rFonts w:ascii="Arial" w:hAnsi="Arial" w:cs="Arial"/>
        </w:rPr>
        <w:t xml:space="preserve">According to the Nursing and Midwifery Council (NMC) Code (2018), practitioners must ensure records are </w:t>
      </w:r>
      <w:r w:rsidRPr="0C03A0A7" w:rsidR="2612B908">
        <w:rPr>
          <w:rFonts w:ascii="Arial" w:hAnsi="Arial" w:cs="Arial"/>
        </w:rPr>
        <w:t>accurate</w:t>
      </w:r>
      <w:r w:rsidRPr="0C03A0A7" w:rsidR="2612B908">
        <w:rPr>
          <w:rFonts w:ascii="Arial" w:hAnsi="Arial" w:cs="Arial"/>
        </w:rPr>
        <w:t xml:space="preserve">, complete, and contemporaneous to uphold professional standards. Breaches can result in disciplinary action or loss of registration. The Open Journal of Nursing (2021) highlights that as global ageing reaches 2.1 billion by 2050, </w:t>
      </w:r>
      <w:r w:rsidRPr="0C03A0A7" w:rsidR="2612B908">
        <w:rPr>
          <w:rFonts w:ascii="Arial" w:hAnsi="Arial" w:cs="Arial"/>
        </w:rPr>
        <w:t>accurate</w:t>
      </w:r>
      <w:r w:rsidRPr="0C03A0A7" w:rsidR="2612B908">
        <w:rPr>
          <w:rFonts w:ascii="Arial" w:hAnsi="Arial" w:cs="Arial"/>
        </w:rPr>
        <w:t>, person-</w:t>
      </w:r>
      <w:r w:rsidRPr="0C03A0A7" w:rsidR="7151DD52">
        <w:rPr>
          <w:rFonts w:ascii="Arial" w:hAnsi="Arial" w:cs="Arial"/>
        </w:rPr>
        <w:t>centered</w:t>
      </w:r>
      <w:r w:rsidRPr="0C03A0A7" w:rsidR="2612B908">
        <w:rPr>
          <w:rFonts w:ascii="Arial" w:hAnsi="Arial" w:cs="Arial"/>
        </w:rPr>
        <w:t xml:space="preserve"> documentation is vital for managing sensory and cognitive impairments. In </w:t>
      </w:r>
      <w:r w:rsidRPr="0C03A0A7" w:rsidR="2612B908">
        <w:rPr>
          <w:rFonts w:ascii="Arial" w:hAnsi="Arial" w:cs="Arial"/>
        </w:rPr>
        <w:t>Mrs</w:t>
      </w:r>
      <w:r w:rsidRPr="0C03A0A7" w:rsidR="2612B908">
        <w:rPr>
          <w:rFonts w:ascii="Arial" w:hAnsi="Arial" w:cs="Arial"/>
        </w:rPr>
        <w:t xml:space="preserve"> Mann’s case, precise records enable effective physiotherapy monitoring, early complication detection, and coordinated, safe care that reflects professionalism and accountability (NMC, 2018).</w:t>
      </w:r>
    </w:p>
    <w:p w:rsidRPr="00C81474" w:rsidR="00A767CB" w:rsidP="0C03A0A7" w:rsidRDefault="00F97243" w14:paraId="6A980ED7" w14:textId="77777777">
      <w:pPr>
        <w:pStyle w:val="Normal"/>
        <w:rPr>
          <w:rFonts w:ascii="Arial Nova" w:hAnsi="Arial Nova" w:eastAsia="Arial Nova" w:cs="Arial Nova"/>
          <w:b w:val="1"/>
          <w:bCs w:val="1"/>
        </w:rPr>
      </w:pPr>
      <w:bookmarkStart w:name="_Toc211074931" w:id="11"/>
      <w:r w:rsidRPr="0C03A0A7" w:rsidR="6C50E82F">
        <w:rPr>
          <w:rFonts w:ascii="Arial Nova" w:hAnsi="Arial Nova" w:eastAsia="Arial Nova" w:cs="Arial Nova"/>
          <w:b w:val="1"/>
          <w:bCs w:val="1"/>
        </w:rPr>
        <w:t>4. Importance of Collaborative Working</w:t>
      </w:r>
      <w:bookmarkEnd w:id="11"/>
    </w:p>
    <w:p w:rsidRPr="00C81474" w:rsidR="00F97243" w:rsidP="0C03A0A7" w:rsidRDefault="00F97243" w14:paraId="667E440A" w14:textId="77777777">
      <w:pPr>
        <w:pStyle w:val="Normal"/>
        <w:rPr>
          <w:rFonts w:ascii="Arial Nova" w:hAnsi="Arial Nova" w:eastAsia="Arial Nova" w:cs="Arial Nova"/>
          <w:b w:val="1"/>
          <w:bCs w:val="1"/>
        </w:rPr>
      </w:pPr>
      <w:bookmarkStart w:name="_Toc211074932" w:id="12"/>
      <w:r w:rsidRPr="0C03A0A7" w:rsidR="6C50E82F">
        <w:rPr>
          <w:rFonts w:ascii="Arial Nova" w:hAnsi="Arial Nova" w:eastAsia="Arial Nova" w:cs="Arial Nova"/>
          <w:b w:val="1"/>
          <w:bCs w:val="1"/>
        </w:rPr>
        <w:t>4.1 Definition and Relevance</w:t>
      </w:r>
      <w:bookmarkEnd w:id="12"/>
    </w:p>
    <w:p w:rsidRPr="00C81474" w:rsidR="00F97243" w:rsidP="00C81474" w:rsidRDefault="006C65D8" w14:paraId="15053017" w14:textId="14EB5472">
      <w:pPr>
        <w:jc w:val="both"/>
        <w:rPr>
          <w:rFonts w:ascii="Arial" w:hAnsi="Arial" w:cs="Arial"/>
        </w:rPr>
      </w:pPr>
      <w:r w:rsidRPr="0C03A0A7" w:rsidR="2612B908">
        <w:rPr>
          <w:rFonts w:ascii="Arial" w:hAnsi="Arial" w:cs="Arial"/>
        </w:rPr>
        <w:t>According to the Social Care Inst</w:t>
      </w:r>
      <w:r w:rsidRPr="0C03A0A7" w:rsidR="686AC759">
        <w:rPr>
          <w:rFonts w:ascii="Arial" w:hAnsi="Arial" w:cs="Arial"/>
        </w:rPr>
        <w:t>itute for Excellence (SCIE, 2021</w:t>
      </w:r>
      <w:r w:rsidRPr="0C03A0A7" w:rsidR="2612B908">
        <w:rPr>
          <w:rFonts w:ascii="Arial" w:hAnsi="Arial" w:cs="Arial"/>
        </w:rPr>
        <w:t>), effective collaboration among professionals—such as nurses, doctors, physiotherapists, translators, and social workers—ensures holistic, person-</w:t>
      </w:r>
      <w:r w:rsidRPr="0C03A0A7" w:rsidR="62F73A3D">
        <w:rPr>
          <w:rFonts w:ascii="Arial" w:hAnsi="Arial" w:cs="Arial"/>
        </w:rPr>
        <w:t>centered</w:t>
      </w:r>
      <w:r w:rsidRPr="0C03A0A7" w:rsidR="2612B908">
        <w:rPr>
          <w:rFonts w:ascii="Arial" w:hAnsi="Arial" w:cs="Arial"/>
        </w:rPr>
        <w:t xml:space="preserve"> care. SCIE’s evidence-based guidance supports integration across health and social care, improving safety, independence, and quality</w:t>
      </w:r>
      <w:r w:rsidRPr="0C03A0A7" w:rsidR="686AC759">
        <w:rPr>
          <w:rFonts w:ascii="Arial" w:hAnsi="Arial" w:cs="Arial"/>
        </w:rPr>
        <w:t xml:space="preserve"> of life for </w:t>
      </w:r>
      <w:r w:rsidRPr="0C03A0A7" w:rsidR="686AC759">
        <w:rPr>
          <w:rFonts w:ascii="Arial" w:hAnsi="Arial" w:cs="Arial"/>
        </w:rPr>
        <w:t>people of all</w:t>
      </w:r>
      <w:r w:rsidRPr="0C03A0A7" w:rsidR="686AC759">
        <w:rPr>
          <w:rFonts w:ascii="Arial" w:hAnsi="Arial" w:cs="Arial"/>
        </w:rPr>
        <w:t xml:space="preserve"> </w:t>
      </w:r>
      <w:r w:rsidRPr="0C03A0A7" w:rsidR="6C50E82F">
        <w:rPr>
          <w:rFonts w:ascii="Arial" w:hAnsi="Arial" w:cs="Arial"/>
        </w:rPr>
        <w:t>(SCIE, 2021).</w:t>
      </w:r>
    </w:p>
    <w:p w:rsidRPr="00C81474" w:rsidR="00F97243" w:rsidP="00C81474" w:rsidRDefault="00F97243" w14:paraId="0312B0E2" w14:textId="5648EA3A">
      <w:pPr>
        <w:jc w:val="both"/>
        <w:rPr>
          <w:rFonts w:ascii="Arial" w:hAnsi="Arial" w:cs="Arial"/>
        </w:rPr>
      </w:pPr>
      <w:r w:rsidRPr="0C03A0A7" w:rsidR="6C50E82F">
        <w:rPr>
          <w:rFonts w:ascii="Arial" w:hAnsi="Arial" w:cs="Arial"/>
        </w:rPr>
        <w:t xml:space="preserve">The Care Act 2014 and NHS Long Term Plan (2019) both </w:t>
      </w:r>
      <w:r w:rsidRPr="0C03A0A7" w:rsidR="493163E6">
        <w:rPr>
          <w:rFonts w:ascii="Arial" w:hAnsi="Arial" w:cs="Arial"/>
        </w:rPr>
        <w:t>priorities</w:t>
      </w:r>
      <w:r w:rsidRPr="0C03A0A7" w:rsidR="6C50E82F">
        <w:rPr>
          <w:rFonts w:ascii="Arial" w:hAnsi="Arial" w:cs="Arial"/>
        </w:rPr>
        <w:t xml:space="preserve"> integrated care, especially for older adults with complex </w:t>
      </w:r>
      <w:r w:rsidRPr="0C03A0A7" w:rsidR="33E9627D">
        <w:rPr>
          <w:rFonts w:ascii="Arial" w:hAnsi="Arial" w:cs="Arial"/>
        </w:rPr>
        <w:t>needs. A</w:t>
      </w:r>
      <w:r w:rsidRPr="0C03A0A7" w:rsidR="363CAEDD">
        <w:rPr>
          <w:rFonts w:ascii="Arial" w:hAnsi="Arial" w:cs="Arial"/>
        </w:rPr>
        <w:t xml:space="preserve"> 2022 systematic review </w:t>
      </w:r>
      <w:r w:rsidRPr="0C03A0A7" w:rsidR="4C482077">
        <w:rPr>
          <w:rFonts w:ascii="Arial" w:hAnsi="Arial" w:cs="Arial"/>
        </w:rPr>
        <w:t>analyzing</w:t>
      </w:r>
      <w:r w:rsidRPr="0C03A0A7" w:rsidR="363CAEDD">
        <w:rPr>
          <w:rFonts w:ascii="Arial" w:hAnsi="Arial" w:cs="Arial"/>
        </w:rPr>
        <w:t xml:space="preserve"> 157 global studies found that effective multidisciplinary collaboration significantly improves patient satisfaction and recovery times. In </w:t>
      </w:r>
      <w:r w:rsidRPr="0C03A0A7" w:rsidR="363CAEDD">
        <w:rPr>
          <w:rFonts w:ascii="Arial" w:hAnsi="Arial" w:cs="Arial"/>
        </w:rPr>
        <w:t>Mrs</w:t>
      </w:r>
      <w:r w:rsidRPr="0C03A0A7" w:rsidR="363CAEDD">
        <w:rPr>
          <w:rFonts w:ascii="Arial" w:hAnsi="Arial" w:cs="Arial"/>
        </w:rPr>
        <w:t xml:space="preserve"> Mann’s case, coordinated teamwork across medication, physiotherapy, and discharge planning enhances care quality, prevents duplication, and ensures safe, seamless recovery (Ferreira et al., 2023).</w:t>
      </w:r>
    </w:p>
    <w:p w:rsidRPr="00C81474" w:rsidR="00F97243" w:rsidP="0C03A0A7" w:rsidRDefault="00F97243" w14:paraId="7F188F5C" w14:textId="77777777">
      <w:pPr>
        <w:pStyle w:val="Normal"/>
        <w:rPr>
          <w:rFonts w:ascii="Arial Nova" w:hAnsi="Arial Nova" w:eastAsia="Arial Nova" w:cs="Arial Nova"/>
          <w:b w:val="1"/>
          <w:bCs w:val="1"/>
        </w:rPr>
      </w:pPr>
      <w:bookmarkStart w:name="_Toc211074933" w:id="13"/>
      <w:r w:rsidRPr="0C03A0A7" w:rsidR="6C50E82F">
        <w:rPr>
          <w:rFonts w:ascii="Arial Nova" w:hAnsi="Arial Nova" w:eastAsia="Arial Nova" w:cs="Arial Nova"/>
          <w:b w:val="1"/>
          <w:bCs w:val="1"/>
        </w:rPr>
        <w:t>4.2 Theoretical Framework</w:t>
      </w:r>
      <w:bookmarkEnd w:id="13"/>
    </w:p>
    <w:p w:rsidRPr="00C81474" w:rsidR="00F22510" w:rsidP="00C81474" w:rsidRDefault="00F22510" w14:paraId="6C40C4A4" w14:textId="77777777">
      <w:pPr>
        <w:jc w:val="both"/>
        <w:rPr>
          <w:rFonts w:ascii="Arial" w:hAnsi="Arial" w:cs="Arial"/>
        </w:rPr>
      </w:pPr>
      <w:r w:rsidRPr="00C81474">
        <w:rPr>
          <w:rFonts w:ascii="Arial" w:hAnsi="Arial" w:cs="Arial"/>
        </w:rPr>
        <w:t>The Tuckman Model (1965), developed by psychologist Bruce Tuckman, outlines five stages of team development—Forming, Storming, Norming, Performing, and Adjourning. It explains how teams evolve from initial formation to high performance and eventual dissolution. In the Forming stage, members establish trust and goals; during Storming, conflicts arise as roles are defined. Norming brings cohesion through shared norms, leading to Performing, where teams achieve peak productivity. Finally, in Adjourning, teams conclude with reflection and learning. Understanding these stages enables leaders to enhance collaboration, adaptability, and long-term team success (Tuckman’s Model, 2025).</w:t>
      </w:r>
    </w:p>
    <w:p w:rsidRPr="00C81474" w:rsidR="00F97243" w:rsidP="0C03A0A7" w:rsidRDefault="00F97243" w14:paraId="0BC4C10A" w14:textId="77777777">
      <w:pPr>
        <w:pStyle w:val="Normal"/>
        <w:rPr>
          <w:rFonts w:ascii="Arial Nova" w:hAnsi="Arial Nova" w:eastAsia="Arial Nova" w:cs="Arial Nova"/>
          <w:b w:val="1"/>
          <w:bCs w:val="1"/>
        </w:rPr>
      </w:pPr>
      <w:bookmarkStart w:name="_Toc211074934" w:id="14"/>
      <w:r w:rsidRPr="0C03A0A7" w:rsidR="6C50E82F">
        <w:rPr>
          <w:rFonts w:ascii="Arial Nova" w:hAnsi="Arial Nova" w:eastAsia="Arial Nova" w:cs="Arial Nova"/>
          <w:b w:val="1"/>
          <w:bCs w:val="1"/>
        </w:rPr>
        <w:t>4.3 Benefits of Collaboration</w:t>
      </w:r>
      <w:bookmarkEnd w:id="14"/>
    </w:p>
    <w:p w:rsidRPr="00C81474" w:rsidR="00A767CB" w:rsidP="00C81474" w:rsidRDefault="00FE3437" w14:paraId="162E610C" w14:textId="65313318">
      <w:pPr>
        <w:jc w:val="both"/>
        <w:rPr>
          <w:rFonts w:ascii="Arial" w:hAnsi="Arial" w:cs="Arial"/>
        </w:rPr>
      </w:pPr>
      <w:r w:rsidRPr="00C81474">
        <w:rPr>
          <w:rFonts w:ascii="Arial" w:hAnsi="Arial" w:cs="Arial"/>
        </w:rPr>
        <w:t xml:space="preserve">According to the British Social Attitudes Survey (2022), only 29% of people were satisfied with the NHS—the lowest since 1983—while 51% expressed dissatisfaction. The King’s Fund highlights that integrated multidisciplinary teams enhance coordination, reduce hospital readmissions, and improve patient satisfaction. In </w:t>
      </w:r>
      <w:proofErr w:type="spellStart"/>
      <w:r w:rsidRPr="00C81474">
        <w:rPr>
          <w:rFonts w:ascii="Arial" w:hAnsi="Arial" w:cs="Arial"/>
        </w:rPr>
        <w:t>Mrs</w:t>
      </w:r>
      <w:proofErr w:type="spellEnd"/>
      <w:r w:rsidRPr="00C81474">
        <w:rPr>
          <w:rFonts w:ascii="Arial" w:hAnsi="Arial" w:cs="Arial"/>
        </w:rPr>
        <w:t xml:space="preserve"> Mann’s case, collaboration among her nurse, physiotherapist, and interpreter promotes holistic, well-communicated care—empowering her participation, building trust, and enhancing recovery and overall patient experience within an integrated healthcare system (The King’s Fund,2024).</w:t>
      </w:r>
    </w:p>
    <w:p w:rsidRPr="00C81474" w:rsidR="00F97243" w:rsidP="0C03A0A7" w:rsidRDefault="00F97243" w14:paraId="0C4DB69F" w14:textId="77777777">
      <w:pPr>
        <w:pStyle w:val="Normal"/>
        <w:rPr>
          <w:rFonts w:ascii="Arial Nova" w:hAnsi="Arial Nova" w:eastAsia="Arial Nova" w:cs="Arial Nova"/>
          <w:b w:val="1"/>
          <w:bCs w:val="1"/>
        </w:rPr>
      </w:pPr>
      <w:bookmarkStart w:name="_Toc211074935" w:id="15"/>
      <w:r w:rsidRPr="0C03A0A7" w:rsidR="6C50E82F">
        <w:rPr>
          <w:rFonts w:ascii="Arial Nova" w:hAnsi="Arial Nova" w:eastAsia="Arial Nova" w:cs="Arial Nova"/>
          <w:b w:val="1"/>
          <w:bCs w:val="1"/>
        </w:rPr>
        <w:t>4.4 Challenges and Solutions</w:t>
      </w:r>
      <w:bookmarkEnd w:id="15"/>
    </w:p>
    <w:p w:rsidRPr="00C81474" w:rsidR="00A767CB" w:rsidP="00C81474" w:rsidRDefault="00A63340" w14:paraId="1C639A27" w14:textId="1211CB3D">
      <w:pPr>
        <w:jc w:val="both"/>
        <w:rPr>
          <w:rFonts w:ascii="Arial" w:hAnsi="Arial" w:cs="Arial"/>
        </w:rPr>
      </w:pPr>
      <w:r w:rsidRPr="0C03A0A7" w:rsidR="183CC1C1">
        <w:rPr>
          <w:rFonts w:ascii="Arial" w:hAnsi="Arial" w:cs="Arial"/>
        </w:rPr>
        <w:t xml:space="preserve">Despite its benefits, collaboration in healthcare faces challenges such as workload pressures, unclear roles, and limited access to shared records. The NHS People Plan (2020/21) highlights lessons from Covid-19, promoting flexible working, digital transformation, and simplified governance to strengthen teamwork. It </w:t>
      </w:r>
      <w:r w:rsidRPr="0C03A0A7" w:rsidR="408844B7">
        <w:rPr>
          <w:rFonts w:ascii="Arial" w:hAnsi="Arial" w:cs="Arial"/>
        </w:rPr>
        <w:t>emphasizes</w:t>
      </w:r>
      <w:r w:rsidRPr="0C03A0A7" w:rsidR="183CC1C1">
        <w:rPr>
          <w:rFonts w:ascii="Arial" w:hAnsi="Arial" w:cs="Arial"/>
        </w:rPr>
        <w:t xml:space="preserve"> regular multidisciplinary meetings, staff wellbeing, and cultural competence to overcome barriers. By fostering open communication, mutual respect, and empowerment, collaboration improves service quality, continuity, and</w:t>
      </w:r>
      <w:r w:rsidRPr="0C03A0A7" w:rsidR="5357C0D9">
        <w:rPr>
          <w:rFonts w:ascii="Arial" w:hAnsi="Arial" w:cs="Arial"/>
        </w:rPr>
        <w:t xml:space="preserve"> </w:t>
      </w:r>
      <w:r w:rsidRPr="0C03A0A7" w:rsidR="183CC1C1">
        <w:rPr>
          <w:rFonts w:ascii="Arial" w:hAnsi="Arial" w:cs="Arial"/>
        </w:rPr>
        <w:t xml:space="preserve">outcomes—enhancing patient experience and recovery for individuals like </w:t>
      </w:r>
      <w:r w:rsidRPr="0C03A0A7" w:rsidR="183CC1C1">
        <w:rPr>
          <w:rFonts w:ascii="Arial" w:hAnsi="Arial" w:cs="Arial"/>
        </w:rPr>
        <w:t>Mrs</w:t>
      </w:r>
      <w:r w:rsidRPr="0C03A0A7" w:rsidR="1A5638EB">
        <w:rPr>
          <w:rFonts w:ascii="Arial" w:hAnsi="Arial" w:cs="Arial"/>
        </w:rPr>
        <w:t>. Mann</w:t>
      </w:r>
      <w:r w:rsidRPr="0C03A0A7" w:rsidR="183CC1C1">
        <w:rPr>
          <w:rFonts w:ascii="Arial" w:hAnsi="Arial" w:cs="Arial"/>
        </w:rPr>
        <w:t xml:space="preserve"> (HFMA, 2020).</w:t>
      </w:r>
    </w:p>
    <w:p w:rsidRPr="00C81474" w:rsidR="00F97243" w:rsidP="0C03A0A7" w:rsidRDefault="00F97243" w14:paraId="341D79F9" w14:textId="77777777">
      <w:pPr>
        <w:pStyle w:val="Normal"/>
        <w:rPr>
          <w:rFonts w:ascii="Arial Nova" w:hAnsi="Arial Nova" w:eastAsia="Arial Nova" w:cs="Arial Nova"/>
          <w:b w:val="1"/>
          <w:bCs w:val="1"/>
        </w:rPr>
      </w:pPr>
      <w:bookmarkStart w:name="_Toc211074936" w:id="16"/>
      <w:r w:rsidRPr="0C03A0A7" w:rsidR="6C50E82F">
        <w:rPr>
          <w:rFonts w:ascii="Arial Nova" w:hAnsi="Arial Nova" w:eastAsia="Arial Nova" w:cs="Arial Nova"/>
          <w:b w:val="1"/>
          <w:bCs w:val="1"/>
        </w:rPr>
        <w:t>5. Conclusion</w:t>
      </w:r>
      <w:bookmarkEnd w:id="16"/>
    </w:p>
    <w:p w:rsidRPr="00C81474" w:rsidR="00A767CB" w:rsidP="00C81474" w:rsidRDefault="00A63340" w14:paraId="69DD1AF3" w14:textId="167091A4">
      <w:pPr>
        <w:jc w:val="both"/>
        <w:rPr>
          <w:rFonts w:ascii="Arial" w:hAnsi="Arial" w:cs="Arial"/>
        </w:rPr>
      </w:pPr>
      <w:r w:rsidRPr="0C03A0A7" w:rsidR="183CC1C1">
        <w:rPr>
          <w:rFonts w:ascii="Arial" w:hAnsi="Arial" w:cs="Arial"/>
        </w:rPr>
        <w:t xml:space="preserve">In conclusion, effective communication, </w:t>
      </w:r>
      <w:r w:rsidRPr="0C03A0A7" w:rsidR="183CC1C1">
        <w:rPr>
          <w:rFonts w:ascii="Arial" w:hAnsi="Arial" w:cs="Arial"/>
        </w:rPr>
        <w:t>accurate</w:t>
      </w:r>
      <w:r w:rsidRPr="0C03A0A7" w:rsidR="183CC1C1">
        <w:rPr>
          <w:rFonts w:ascii="Arial" w:hAnsi="Arial" w:cs="Arial"/>
        </w:rPr>
        <w:t xml:space="preserve"> record-keeping, and collaborative teamwork are the </w:t>
      </w:r>
      <w:r w:rsidRPr="0C03A0A7" w:rsidR="778ED018">
        <w:rPr>
          <w:rFonts w:ascii="Arial" w:hAnsi="Arial" w:cs="Arial"/>
        </w:rPr>
        <w:t>foundations</w:t>
      </w:r>
      <w:r w:rsidRPr="0C03A0A7" w:rsidR="183CC1C1">
        <w:rPr>
          <w:rFonts w:ascii="Arial" w:hAnsi="Arial" w:cs="Arial"/>
        </w:rPr>
        <w:t xml:space="preserve"> of professional practice in health and social care. Evidence from NHS Resolution (2022) shows that communication failures cause </w:t>
      </w:r>
      <w:r w:rsidRPr="0C03A0A7" w:rsidR="183CC1C1">
        <w:rPr>
          <w:rFonts w:ascii="Arial" w:hAnsi="Arial" w:cs="Arial"/>
        </w:rPr>
        <w:t>nearly 70%</w:t>
      </w:r>
      <w:r w:rsidRPr="0C03A0A7" w:rsidR="183CC1C1">
        <w:rPr>
          <w:rFonts w:ascii="Arial" w:hAnsi="Arial" w:cs="Arial"/>
        </w:rPr>
        <w:t xml:space="preserve"> of</w:t>
      </w:r>
    </w:p>
    <w:p w:rsidR="00371DAD" w:rsidP="00C81474" w:rsidRDefault="00A63340" w14:paraId="2E6438DD" w14:textId="1B1EAED3">
      <w:pPr>
        <w:jc w:val="both"/>
        <w:rPr>
          <w:rFonts w:ascii="Arial" w:hAnsi="Arial" w:cs="Arial"/>
        </w:rPr>
      </w:pPr>
      <w:r w:rsidRPr="0C03A0A7" w:rsidR="183CC1C1">
        <w:rPr>
          <w:rFonts w:ascii="Arial" w:hAnsi="Arial" w:cs="Arial"/>
        </w:rPr>
        <w:t xml:space="preserve">clinical incidents, highlighting the need for clear, compassionate interaction, as seen in </w:t>
      </w:r>
      <w:r w:rsidRPr="0C03A0A7" w:rsidR="183CC1C1">
        <w:rPr>
          <w:rFonts w:ascii="Arial" w:hAnsi="Arial" w:cs="Arial"/>
        </w:rPr>
        <w:t>Mrs</w:t>
      </w:r>
      <w:r w:rsidRPr="0C03A0A7" w:rsidR="183CC1C1">
        <w:rPr>
          <w:rFonts w:ascii="Arial" w:hAnsi="Arial" w:cs="Arial"/>
        </w:rPr>
        <w:t xml:space="preserve"> Mann’s case. Accurate documentation—guided by the Data Protection Act 2018 and NMC Code (2018)—ensures accountability, safety, and legal integrity. Collaborative teamwork, promoted by The King’s Fund (2024) and NHS People Plan (2020/21), enhances coordination, reduces readmissions, and supports staff wellbeing through digital innovation and flexible working. Supported by the Equality Act 2010 and Care Act 2014, these principles uphold equality, inclusion, and person-</w:t>
      </w:r>
      <w:r w:rsidRPr="0C03A0A7" w:rsidR="6345A55A">
        <w:rPr>
          <w:rFonts w:ascii="Arial" w:hAnsi="Arial" w:cs="Arial"/>
        </w:rPr>
        <w:t>centered</w:t>
      </w:r>
      <w:r w:rsidRPr="0C03A0A7" w:rsidR="183CC1C1">
        <w:rPr>
          <w:rFonts w:ascii="Arial" w:hAnsi="Arial" w:cs="Arial"/>
        </w:rPr>
        <w:t xml:space="preserve"> care. Ongoing professional development, reflective practice, and cultural competence are vital to sustaining trust, safety, and high-quality care within an integrated healthcare system.</w:t>
      </w:r>
    </w:p>
    <w:p w:rsidR="00371DAD" w:rsidRDefault="00371DAD" w14:paraId="7E43BCD0" w14:textId="77777777">
      <w:pPr>
        <w:rPr>
          <w:rFonts w:ascii="Arial" w:hAnsi="Arial" w:cs="Arial"/>
        </w:rPr>
      </w:pPr>
      <w:r>
        <w:rPr>
          <w:rFonts w:ascii="Arial" w:hAnsi="Arial" w:cs="Arial"/>
        </w:rPr>
        <w:br w:type="page"/>
      </w:r>
    </w:p>
    <w:p w:rsidRPr="00C81474" w:rsidR="00BD0EAD" w:rsidP="0C03A0A7" w:rsidRDefault="00371DAD" w14:paraId="0E4D3DE4" w14:textId="5D692931">
      <w:pPr>
        <w:pStyle w:val="Normal"/>
        <w:rPr>
          <w:rFonts w:ascii="Arial Nova" w:hAnsi="Arial Nova" w:eastAsia="Arial Nova" w:cs="Arial Nova"/>
          <w:b w:val="1"/>
          <w:bCs w:val="1"/>
        </w:rPr>
      </w:pPr>
      <w:bookmarkStart w:name="_Toc211074937" w:id="17"/>
      <w:r w:rsidRPr="0C03A0A7" w:rsidR="5E457FE1">
        <w:rPr>
          <w:rFonts w:ascii="Arial Nova" w:hAnsi="Arial Nova" w:eastAsia="Arial Nova" w:cs="Arial Nova"/>
          <w:b w:val="1"/>
          <w:bCs w:val="1"/>
        </w:rPr>
        <w:t>6</w:t>
      </w:r>
      <w:r w:rsidRPr="0C03A0A7" w:rsidR="2DFD9D0A">
        <w:rPr>
          <w:rFonts w:ascii="Arial Nova" w:hAnsi="Arial Nova" w:eastAsia="Arial Nova" w:cs="Arial Nova"/>
          <w:b w:val="1"/>
          <w:bCs w:val="1"/>
        </w:rPr>
        <w:t>.</w:t>
      </w:r>
      <w:r w:rsidRPr="0C03A0A7" w:rsidR="5E457FE1">
        <w:rPr>
          <w:rFonts w:ascii="Arial Nova" w:hAnsi="Arial Nova" w:eastAsia="Arial Nova" w:cs="Arial Nova"/>
          <w:b w:val="1"/>
          <w:bCs w:val="1"/>
        </w:rPr>
        <w:t xml:space="preserve"> </w:t>
      </w:r>
      <w:r w:rsidRPr="0C03A0A7" w:rsidR="2DFD9D0A">
        <w:rPr>
          <w:rFonts w:ascii="Arial Nova" w:hAnsi="Arial Nova" w:eastAsia="Arial Nova" w:cs="Arial Nova"/>
          <w:b w:val="1"/>
          <w:bCs w:val="1"/>
        </w:rPr>
        <w:t>R</w:t>
      </w:r>
      <w:r w:rsidRPr="0C03A0A7" w:rsidR="7EC7DC76">
        <w:rPr>
          <w:rFonts w:ascii="Arial Nova" w:hAnsi="Arial Nova" w:eastAsia="Arial Nova" w:cs="Arial Nova"/>
          <w:b w:val="1"/>
          <w:bCs w:val="1"/>
        </w:rPr>
        <w:t>eferences</w:t>
      </w:r>
      <w:bookmarkEnd w:id="17"/>
    </w:p>
    <w:p w:rsidR="00371DAD" w:rsidP="00C81474" w:rsidRDefault="00A767CB" w14:paraId="5A5725CA" w14:textId="262B5206">
      <w:pPr>
        <w:jc w:val="both"/>
        <w:rPr>
          <w:rFonts w:ascii="Arial" w:hAnsi="Arial" w:cs="Arial"/>
        </w:rPr>
      </w:pPr>
      <w:r w:rsidRPr="0C03A0A7" w:rsidR="5DF94640">
        <w:rPr>
          <w:rFonts w:ascii="Arial" w:hAnsi="Arial" w:cs="Arial"/>
        </w:rPr>
        <w:t xml:space="preserve">And, </w:t>
      </w:r>
      <w:r w:rsidRPr="0C03A0A7" w:rsidR="5357C0D9">
        <w:rPr>
          <w:rFonts w:ascii="Arial" w:hAnsi="Arial" w:cs="Arial"/>
        </w:rPr>
        <w:t>H. (2025). Quality and safety standards. [online] Herefordshire and Worcestershire Health and Care NHS Trust. Available at: https://www.hacw.nhs.uk/quality-and-safety/caldicott-principles-943/JOURNALS [Accessed 10 Oct. 2025].</w:t>
      </w:r>
    </w:p>
    <w:p w:rsidR="00A767CB" w:rsidP="00C81474" w:rsidRDefault="00A767CB" w14:paraId="3481A458" w14:textId="5E8CFC1D">
      <w:pPr>
        <w:jc w:val="both"/>
        <w:rPr>
          <w:rFonts w:ascii="Arial" w:hAnsi="Arial" w:cs="Arial"/>
        </w:rPr>
      </w:pPr>
      <w:r w:rsidRPr="00C81474">
        <w:rPr>
          <w:rFonts w:ascii="Arial" w:hAnsi="Arial" w:cs="Arial"/>
        </w:rPr>
        <w:t xml:space="preserve">BMJ (2017). patients’ prescription information in the English NHS. [online] Bmj.com. Available at: </w:t>
      </w:r>
      <w:hyperlink w:history="1" r:id="rId9">
        <w:r w:rsidRPr="00F9326E" w:rsidR="00371DAD">
          <w:rPr>
            <w:rStyle w:val="Hyperlink"/>
            <w:rFonts w:ascii="Arial" w:hAnsi="Arial" w:cs="Arial"/>
          </w:rPr>
          <w:t>https://qualitysafety.bmj.com/content/33/11/726</w:t>
        </w:r>
      </w:hyperlink>
      <w:r w:rsidRPr="00C81474">
        <w:rPr>
          <w:rFonts w:ascii="Arial" w:hAnsi="Arial" w:cs="Arial"/>
        </w:rPr>
        <w:t>.</w:t>
      </w:r>
    </w:p>
    <w:p w:rsidR="00A767CB" w:rsidP="00C81474" w:rsidRDefault="00A767CB" w14:paraId="6C8A95CA" w14:textId="77E6AD41">
      <w:pPr>
        <w:jc w:val="both"/>
        <w:rPr>
          <w:rFonts w:ascii="Arial" w:hAnsi="Arial" w:cs="Arial"/>
        </w:rPr>
      </w:pPr>
      <w:r w:rsidRPr="00C81474">
        <w:rPr>
          <w:rFonts w:ascii="Arial" w:hAnsi="Arial" w:cs="Arial"/>
        </w:rPr>
        <w:t xml:space="preserve">Branch, J., Hiner, D. and Jackson, V. (2021). The impact of communication on medication errors. Patient Safety Network, [online] The </w:t>
      </w:r>
      <w:proofErr w:type="spellStart"/>
      <w:r w:rsidRPr="00C81474">
        <w:rPr>
          <w:rFonts w:ascii="Arial" w:hAnsi="Arial" w:cs="Arial"/>
        </w:rPr>
        <w:t>PSNet</w:t>
      </w:r>
      <w:proofErr w:type="spellEnd"/>
      <w:r w:rsidRPr="00C81474">
        <w:rPr>
          <w:rFonts w:ascii="Arial" w:hAnsi="Arial" w:cs="Arial"/>
        </w:rPr>
        <w:t xml:space="preserve"> </w:t>
      </w:r>
      <w:proofErr w:type="gramStart"/>
      <w:r w:rsidRPr="00C81474">
        <w:rPr>
          <w:rFonts w:ascii="Arial" w:hAnsi="Arial" w:cs="Arial"/>
        </w:rPr>
        <w:t>Collection(</w:t>
      </w:r>
      <w:proofErr w:type="gramEnd"/>
      <w:r w:rsidRPr="00C81474">
        <w:rPr>
          <w:rFonts w:ascii="Arial" w:hAnsi="Arial" w:cs="Arial"/>
        </w:rPr>
        <w:t xml:space="preserve">patient safety 101). Available at: </w:t>
      </w:r>
      <w:hyperlink w:history="1" r:id="rId10">
        <w:r w:rsidRPr="00F9326E" w:rsidR="00371DAD">
          <w:rPr>
            <w:rStyle w:val="Hyperlink"/>
            <w:rFonts w:ascii="Arial" w:hAnsi="Arial" w:cs="Arial"/>
          </w:rPr>
          <w:t>https://psnet.ahrq.gov/web-mm/impact-communication-medication-errors</w:t>
        </w:r>
      </w:hyperlink>
      <w:r w:rsidRPr="00C81474">
        <w:rPr>
          <w:rFonts w:ascii="Arial" w:hAnsi="Arial" w:cs="Arial"/>
        </w:rPr>
        <w:t>.</w:t>
      </w:r>
    </w:p>
    <w:p w:rsidR="00A767CB" w:rsidP="00C81474" w:rsidRDefault="00A767CB" w14:paraId="1BA14DB6" w14:textId="289760E5">
      <w:pPr>
        <w:jc w:val="both"/>
        <w:rPr>
          <w:rFonts w:ascii="Arial" w:hAnsi="Arial" w:cs="Arial"/>
        </w:rPr>
      </w:pPr>
      <w:r w:rsidRPr="00C81474">
        <w:rPr>
          <w:rFonts w:ascii="Arial" w:hAnsi="Arial" w:cs="Arial"/>
        </w:rPr>
        <w:t xml:space="preserve">CMI (2025). CMI LEVEL 5 MANAGEMENT AND LEADERSHIP (RQF) Syllabus | July 2020 | Version 8 FEATURING NEW OPERATIONS/DEPARTMENTAL MANAGER APPRENTICESHIP PATHWAY 2 CMI SYLLABUS | LEVEL 5 MANAGEMENT AND LEADERSHIP V8. [online] Available at: </w:t>
      </w:r>
      <w:hyperlink w:history="1" r:id="rId11">
        <w:r w:rsidRPr="00F9326E" w:rsidR="00371DAD">
          <w:rPr>
            <w:rStyle w:val="Hyperlink"/>
            <w:rFonts w:ascii="Arial" w:hAnsi="Arial" w:cs="Arial"/>
          </w:rPr>
          <w:t>https://www.managers.org.uk/wp-content/uploads/2020/03/L5-Management-Leadership-Syllabus-1.pdf</w:t>
        </w:r>
      </w:hyperlink>
      <w:r w:rsidRPr="00C81474">
        <w:rPr>
          <w:rFonts w:ascii="Arial" w:hAnsi="Arial" w:cs="Arial"/>
        </w:rPr>
        <w:t>.</w:t>
      </w:r>
    </w:p>
    <w:p w:rsidR="00A767CB" w:rsidP="00C81474" w:rsidRDefault="00A767CB" w14:paraId="162F052E" w14:textId="31AED7D8">
      <w:pPr>
        <w:jc w:val="both"/>
        <w:rPr>
          <w:rFonts w:ascii="Arial" w:hAnsi="Arial" w:cs="Arial"/>
        </w:rPr>
      </w:pPr>
      <w:r w:rsidRPr="00C81474">
        <w:rPr>
          <w:rFonts w:ascii="Arial" w:hAnsi="Arial" w:cs="Arial"/>
        </w:rPr>
        <w:t xml:space="preserve">EHRC (2018). Equality Act 2010. [online] Equality and Human Rights Commission. Available at: </w:t>
      </w:r>
      <w:hyperlink w:history="1" r:id="rId12">
        <w:r w:rsidRPr="00F9326E" w:rsidR="00371DAD">
          <w:rPr>
            <w:rStyle w:val="Hyperlink"/>
            <w:rFonts w:ascii="Arial" w:hAnsi="Arial" w:cs="Arial"/>
          </w:rPr>
          <w:t>https://www.equalityhumanrights.com/equality/equality-act-2010</w:t>
        </w:r>
      </w:hyperlink>
      <w:r w:rsidRPr="00C81474">
        <w:rPr>
          <w:rFonts w:ascii="Arial" w:hAnsi="Arial" w:cs="Arial"/>
        </w:rPr>
        <w:t>.</w:t>
      </w:r>
    </w:p>
    <w:p w:rsidR="00371DAD" w:rsidP="00C81474" w:rsidRDefault="00A767CB" w14:paraId="30E0C74F" w14:textId="77777777">
      <w:pPr>
        <w:jc w:val="both"/>
        <w:rPr>
          <w:rFonts w:ascii="Arial" w:hAnsi="Arial" w:cs="Arial"/>
        </w:rPr>
      </w:pPr>
      <w:r w:rsidRPr="00C81474">
        <w:rPr>
          <w:rFonts w:ascii="Arial" w:hAnsi="Arial" w:cs="Arial"/>
        </w:rPr>
        <w:t xml:space="preserve">Ferreira, D.C., Vieira, I., Pedro, M.I., Caldas, P. and Varela, M. (2023). Patient satisfaction with healthcare services and the techniques used for its assessment: A systematic literature review and a bibliometric analysis. Healthcare, 11(5). </w:t>
      </w:r>
      <w:proofErr w:type="spellStart"/>
      <w:proofErr w:type="gramStart"/>
      <w:r w:rsidRPr="00C81474">
        <w:rPr>
          <w:rFonts w:ascii="Arial" w:hAnsi="Arial" w:cs="Arial"/>
        </w:rPr>
        <w:t>doi:https</w:t>
      </w:r>
      <w:proofErr w:type="spellEnd"/>
      <w:r w:rsidRPr="00C81474">
        <w:rPr>
          <w:rFonts w:ascii="Arial" w:hAnsi="Arial" w:cs="Arial"/>
        </w:rPr>
        <w:t>://doi.org/10.3390/healthcare11050639</w:t>
      </w:r>
      <w:proofErr w:type="gramEnd"/>
      <w:r w:rsidRPr="00C81474">
        <w:rPr>
          <w:rFonts w:ascii="Arial" w:hAnsi="Arial" w:cs="Arial"/>
        </w:rPr>
        <w:t>.</w:t>
      </w:r>
    </w:p>
    <w:p w:rsidR="00A767CB" w:rsidP="00C81474" w:rsidRDefault="00A767CB" w14:paraId="3569D31A" w14:textId="3FAF660F">
      <w:pPr>
        <w:jc w:val="both"/>
        <w:rPr>
          <w:rFonts w:ascii="Arial" w:hAnsi="Arial" w:cs="Arial"/>
        </w:rPr>
      </w:pPr>
      <w:r w:rsidRPr="00C81474">
        <w:rPr>
          <w:rFonts w:ascii="Arial" w:hAnsi="Arial" w:cs="Arial"/>
        </w:rPr>
        <w:t xml:space="preserve">HFMA (2020). HFMA briefing. [online] Available at: </w:t>
      </w:r>
      <w:hyperlink w:history="1" r:id="rId13">
        <w:r w:rsidRPr="00F9326E" w:rsidR="00371DAD">
          <w:rPr>
            <w:rStyle w:val="Hyperlink"/>
            <w:rFonts w:ascii="Arial" w:hAnsi="Arial" w:cs="Arial"/>
          </w:rPr>
          <w:t>https://www.hfma.org.uk/system/files/summary-of-people-plan-2020-21.pdf</w:t>
        </w:r>
      </w:hyperlink>
      <w:r w:rsidRPr="00C81474">
        <w:rPr>
          <w:rFonts w:ascii="Arial" w:hAnsi="Arial" w:cs="Arial"/>
        </w:rPr>
        <w:t>.</w:t>
      </w:r>
    </w:p>
    <w:p w:rsidR="00371DAD" w:rsidP="00C81474" w:rsidRDefault="00A767CB" w14:paraId="190F9F26" w14:textId="77777777">
      <w:pPr>
        <w:jc w:val="both"/>
        <w:rPr>
          <w:rFonts w:ascii="Arial" w:hAnsi="Arial" w:cs="Arial"/>
        </w:rPr>
      </w:pPr>
      <w:r w:rsidRPr="00C81474">
        <w:rPr>
          <w:rFonts w:ascii="Arial" w:hAnsi="Arial" w:cs="Arial"/>
        </w:rPr>
        <w:t xml:space="preserve">lumen (2019). Models of Communication | Principles of Public Speaking. [online] Lumenlearning.com. Available at: </w:t>
      </w:r>
      <w:hyperlink w:history="1" r:id="rId14">
        <w:r w:rsidRPr="00F9326E" w:rsidR="00371DAD">
          <w:rPr>
            <w:rStyle w:val="Hyperlink"/>
            <w:rFonts w:ascii="Arial" w:hAnsi="Arial" w:cs="Arial"/>
          </w:rPr>
          <w:t>https://courses.lumenlearning.com/publicspeakingprinciples/chapter/models-of-communication/</w:t>
        </w:r>
      </w:hyperlink>
      <w:r w:rsidRPr="00C81474">
        <w:rPr>
          <w:rFonts w:ascii="Arial" w:hAnsi="Arial" w:cs="Arial"/>
        </w:rPr>
        <w:t>.</w:t>
      </w:r>
    </w:p>
    <w:p w:rsidR="00371DAD" w:rsidP="00C81474" w:rsidRDefault="00A767CB" w14:paraId="360C3B09" w14:textId="77777777">
      <w:pPr>
        <w:jc w:val="both"/>
        <w:rPr>
          <w:rFonts w:ascii="Arial" w:hAnsi="Arial" w:cs="Arial"/>
        </w:rPr>
      </w:pPr>
      <w:r w:rsidRPr="00C81474">
        <w:rPr>
          <w:rFonts w:ascii="Arial" w:hAnsi="Arial" w:cs="Arial"/>
        </w:rPr>
        <w:t xml:space="preserve">Mary Plummer and Erum Khan (2022). Maternity Health Records and Record Keeping. [online] https://www.mkuh.nhs.uk/. Available at: </w:t>
      </w:r>
      <w:hyperlink w:history="1" r:id="rId15">
        <w:r w:rsidRPr="00F9326E" w:rsidR="00371DAD">
          <w:rPr>
            <w:rStyle w:val="Hyperlink"/>
            <w:rFonts w:ascii="Arial" w:hAnsi="Arial" w:cs="Arial"/>
          </w:rPr>
          <w:t>https://www.mkuh.nhs.uk/wp-content/uploads/2022/10/Maternity-Health-Records-and-Record-Keeping-Guideline-.pdf</w:t>
        </w:r>
      </w:hyperlink>
      <w:r w:rsidRPr="00C81474">
        <w:rPr>
          <w:rFonts w:ascii="Arial" w:hAnsi="Arial" w:cs="Arial"/>
        </w:rPr>
        <w:t>.</w:t>
      </w:r>
    </w:p>
    <w:p w:rsidR="00A767CB" w:rsidP="00C81474" w:rsidRDefault="00A767CB" w14:paraId="7F5AFC84" w14:textId="1080A62F">
      <w:pPr>
        <w:jc w:val="both"/>
        <w:rPr>
          <w:rFonts w:ascii="Arial" w:hAnsi="Arial" w:cs="Arial"/>
        </w:rPr>
      </w:pPr>
      <w:r w:rsidRPr="00C81474">
        <w:rPr>
          <w:rFonts w:ascii="Arial" w:hAnsi="Arial" w:cs="Arial"/>
        </w:rPr>
        <w:t xml:space="preserve">NHS England (2016). NHS England» Accessible Information Standard comes into force. [online] England.nhs.uk. Available at: </w:t>
      </w:r>
      <w:hyperlink w:history="1" r:id="rId16">
        <w:r w:rsidRPr="00F9326E" w:rsidR="00371DAD">
          <w:rPr>
            <w:rStyle w:val="Hyperlink"/>
            <w:rFonts w:ascii="Arial" w:hAnsi="Arial" w:cs="Arial"/>
          </w:rPr>
          <w:t>https://www.england.nhs.uk/2016/08/accessible-information-standard/</w:t>
        </w:r>
      </w:hyperlink>
      <w:r w:rsidRPr="00C81474">
        <w:rPr>
          <w:rFonts w:ascii="Arial" w:hAnsi="Arial" w:cs="Arial"/>
        </w:rPr>
        <w:t>.</w:t>
      </w:r>
    </w:p>
    <w:p w:rsidR="00A767CB" w:rsidP="00C81474" w:rsidRDefault="00A767CB" w14:paraId="03DC40A0" w14:textId="5C00FC74">
      <w:pPr>
        <w:jc w:val="both"/>
        <w:rPr>
          <w:rFonts w:ascii="Arial" w:hAnsi="Arial" w:cs="Arial"/>
        </w:rPr>
      </w:pPr>
      <w:r w:rsidRPr="00C81474">
        <w:rPr>
          <w:rFonts w:ascii="Arial" w:hAnsi="Arial" w:cs="Arial"/>
        </w:rPr>
        <w:t xml:space="preserve">NHS RESOLUTION (2022). Available at: </w:t>
      </w:r>
      <w:hyperlink w:history="1" r:id="rId17">
        <w:r w:rsidRPr="00F9326E" w:rsidR="00371DAD">
          <w:rPr>
            <w:rStyle w:val="Hyperlink"/>
            <w:rFonts w:ascii="Arial" w:hAnsi="Arial" w:cs="Arial"/>
          </w:rPr>
          <w:t>https://www.judiciary.uk/wp-content/uploads/2023/05/62-NHS-Resolution-Response-to-CJC-Costs-v2-FINAL.pdf</w:t>
        </w:r>
      </w:hyperlink>
      <w:r w:rsidRPr="00C81474">
        <w:rPr>
          <w:rFonts w:ascii="Arial" w:hAnsi="Arial" w:cs="Arial"/>
        </w:rPr>
        <w:t>.</w:t>
      </w:r>
    </w:p>
    <w:p w:rsidR="00A767CB" w:rsidP="00C81474" w:rsidRDefault="00A767CB" w14:paraId="33A7E788" w14:textId="272921AE">
      <w:pPr>
        <w:jc w:val="both"/>
        <w:rPr>
          <w:rFonts w:ascii="Arial" w:hAnsi="Arial" w:cs="Arial"/>
        </w:rPr>
      </w:pPr>
      <w:r w:rsidRPr="00C81474">
        <w:rPr>
          <w:rFonts w:ascii="Arial" w:hAnsi="Arial" w:cs="Arial"/>
        </w:rPr>
        <w:t xml:space="preserve">NMC (2018). Nursing Midwifery Council (2018) The Code Professional Standards of Practice and </w:t>
      </w:r>
      <w:proofErr w:type="spellStart"/>
      <w:r w:rsidRPr="00C81474">
        <w:rPr>
          <w:rFonts w:ascii="Arial" w:hAnsi="Arial" w:cs="Arial"/>
        </w:rPr>
        <w:t>Behaviour</w:t>
      </w:r>
      <w:proofErr w:type="spellEnd"/>
      <w:r w:rsidRPr="00C81474">
        <w:rPr>
          <w:rFonts w:ascii="Arial" w:hAnsi="Arial" w:cs="Arial"/>
        </w:rPr>
        <w:t xml:space="preserve"> for Nurses, Midwives and Nursing Associates. NMC. - References - Scientific Research Publishing. [online] www.scirp.org. Available at: </w:t>
      </w:r>
      <w:hyperlink w:history="1" r:id="rId18">
        <w:r w:rsidRPr="00F9326E" w:rsidR="00371DAD">
          <w:rPr>
            <w:rStyle w:val="Hyperlink"/>
            <w:rFonts w:ascii="Arial" w:hAnsi="Arial" w:cs="Arial"/>
          </w:rPr>
          <w:t>https://www.scirp.org/reference/referencespapers?referenceid=2939141</w:t>
        </w:r>
      </w:hyperlink>
      <w:r w:rsidRPr="00C81474">
        <w:rPr>
          <w:rFonts w:ascii="Arial" w:hAnsi="Arial" w:cs="Arial"/>
        </w:rPr>
        <w:t>.</w:t>
      </w:r>
    </w:p>
    <w:p w:rsidR="00A767CB" w:rsidP="00C81474" w:rsidRDefault="00A767CB" w14:paraId="4B6A2918" w14:textId="3D0C9FFD">
      <w:pPr>
        <w:jc w:val="both"/>
        <w:rPr>
          <w:rFonts w:ascii="Arial" w:hAnsi="Arial" w:cs="Arial"/>
        </w:rPr>
      </w:pPr>
      <w:r w:rsidRPr="00C81474">
        <w:rPr>
          <w:rFonts w:ascii="Arial" w:hAnsi="Arial" w:cs="Arial"/>
        </w:rPr>
        <w:t xml:space="preserve">SCIE (2021). SOCIAL CARE INSTITUTE FOR EXCELLENCE – WRITTEN EVIDENCE (. [online] https://committees.parliament.uk/. Available at: </w:t>
      </w:r>
      <w:hyperlink w:history="1" r:id="rId19">
        <w:r w:rsidRPr="00F9326E" w:rsidR="00371DAD">
          <w:rPr>
            <w:rStyle w:val="Hyperlink"/>
            <w:rFonts w:ascii="Arial" w:hAnsi="Arial" w:cs="Arial"/>
          </w:rPr>
          <w:t>https://committees.parliament.uk/writtenevidence/108872/pdf/</w:t>
        </w:r>
      </w:hyperlink>
      <w:r w:rsidRPr="00C81474">
        <w:rPr>
          <w:rFonts w:ascii="Arial" w:hAnsi="Arial" w:cs="Arial"/>
        </w:rPr>
        <w:t>.</w:t>
      </w:r>
    </w:p>
    <w:p w:rsidR="00A767CB" w:rsidP="00C81474" w:rsidRDefault="00A767CB" w14:paraId="42B74BA5" w14:textId="12A18393">
      <w:pPr>
        <w:jc w:val="both"/>
        <w:rPr>
          <w:rFonts w:ascii="Arial" w:hAnsi="Arial" w:cs="Arial"/>
        </w:rPr>
      </w:pPr>
      <w:r w:rsidRPr="00C81474">
        <w:rPr>
          <w:rFonts w:ascii="Arial" w:hAnsi="Arial" w:cs="Arial"/>
        </w:rPr>
        <w:t xml:space="preserve">THE KING'S FUND (2022). Public satisfaction with the NHS and social care. [online] https://www.kingsfund.org.uk/. Available at: </w:t>
      </w:r>
      <w:hyperlink w:history="1" r:id="rId20">
        <w:r w:rsidRPr="00F9326E" w:rsidR="00371DAD">
          <w:rPr>
            <w:rStyle w:val="Hyperlink"/>
            <w:rFonts w:ascii="Arial" w:hAnsi="Arial" w:cs="Arial"/>
          </w:rPr>
          <w:t>https://www.kingsfund.org.uk/insight-and-analysis/reports/public-satisfaction-nhs-and-social-care-2022</w:t>
        </w:r>
      </w:hyperlink>
      <w:r w:rsidRPr="00C81474">
        <w:rPr>
          <w:rFonts w:ascii="Arial" w:hAnsi="Arial" w:cs="Arial"/>
        </w:rPr>
        <w:t>.</w:t>
      </w:r>
    </w:p>
    <w:p w:rsidR="00A767CB" w:rsidP="00C81474" w:rsidRDefault="00A767CB" w14:paraId="0CDDCF30" w14:textId="6288C3FC">
      <w:pPr>
        <w:jc w:val="both"/>
        <w:rPr>
          <w:rFonts w:ascii="Arial" w:hAnsi="Arial" w:cs="Arial"/>
        </w:rPr>
      </w:pPr>
      <w:r w:rsidRPr="00C81474">
        <w:rPr>
          <w:rFonts w:ascii="Arial" w:hAnsi="Arial" w:cs="Arial"/>
        </w:rPr>
        <w:t xml:space="preserve">The King's Fund (2024). The King’s Fund. [online] The King’s Fund. Available at: </w:t>
      </w:r>
      <w:hyperlink w:history="1" r:id="rId21">
        <w:r w:rsidRPr="00F9326E" w:rsidR="00371DAD">
          <w:rPr>
            <w:rStyle w:val="Hyperlink"/>
            <w:rFonts w:ascii="Arial" w:hAnsi="Arial" w:cs="Arial"/>
          </w:rPr>
          <w:t>https://www.kingsfund.org.uk/</w:t>
        </w:r>
      </w:hyperlink>
      <w:r w:rsidRPr="00C81474">
        <w:rPr>
          <w:rFonts w:ascii="Arial" w:hAnsi="Arial" w:cs="Arial"/>
        </w:rPr>
        <w:t>.</w:t>
      </w:r>
    </w:p>
    <w:p w:rsidR="00A767CB" w:rsidP="00C81474" w:rsidRDefault="00A767CB" w14:paraId="34621A89" w14:textId="77777777">
      <w:pPr>
        <w:jc w:val="both"/>
        <w:rPr>
          <w:rFonts w:ascii="Arial" w:hAnsi="Arial" w:cs="Arial"/>
        </w:rPr>
      </w:pPr>
      <w:r w:rsidRPr="00C81474">
        <w:rPr>
          <w:rFonts w:ascii="Arial" w:hAnsi="Arial" w:cs="Arial"/>
        </w:rPr>
        <w:t>Tuckman’s Model (2025). Institute of Project Management. [online] Institute of Project Management. Available at: https://instituteprojectmanagement.com/blog/the-5-stages-of-team-development/JOURNALS [Accessed 10 Oct. 2025].</w:t>
      </w:r>
    </w:p>
    <w:p w:rsidR="00A767CB" w:rsidP="00C81474" w:rsidRDefault="00A767CB" w14:paraId="32A0D928" w14:textId="2C9B7CA3">
      <w:pPr>
        <w:jc w:val="both"/>
        <w:rPr>
          <w:rFonts w:ascii="Arial" w:hAnsi="Arial" w:cs="Arial"/>
        </w:rPr>
      </w:pPr>
      <w:r w:rsidRPr="00C81474">
        <w:rPr>
          <w:rFonts w:ascii="Arial" w:hAnsi="Arial" w:cs="Arial"/>
        </w:rPr>
        <w:t xml:space="preserve">UK Government (2025). Data Protection Act. [online] Gov.uk. Available at: </w:t>
      </w:r>
      <w:hyperlink w:history="1" r:id="rId22">
        <w:r w:rsidRPr="00F9326E" w:rsidR="00371DAD">
          <w:rPr>
            <w:rStyle w:val="Hyperlink"/>
            <w:rFonts w:ascii="Arial" w:hAnsi="Arial" w:cs="Arial"/>
          </w:rPr>
          <w:t>https://www.gov.uk/data-protection</w:t>
        </w:r>
      </w:hyperlink>
      <w:r w:rsidRPr="00C81474">
        <w:rPr>
          <w:rFonts w:ascii="Arial" w:hAnsi="Arial" w:cs="Arial"/>
        </w:rPr>
        <w:t>.</w:t>
      </w:r>
    </w:p>
    <w:p w:rsidRPr="00C81474" w:rsidR="00371DAD" w:rsidP="00C81474" w:rsidRDefault="00371DAD" w14:paraId="18054A3D" w14:textId="77777777">
      <w:pPr>
        <w:jc w:val="both"/>
        <w:rPr>
          <w:rFonts w:ascii="Arial" w:hAnsi="Arial" w:cs="Arial"/>
        </w:rPr>
      </w:pPr>
    </w:p>
    <w:p w:rsidRPr="00C81474" w:rsidR="00A767CB" w:rsidP="00C81474" w:rsidRDefault="00A767CB" w14:paraId="5FB78FC6" w14:textId="77777777">
      <w:pPr>
        <w:jc w:val="both"/>
        <w:rPr>
          <w:rFonts w:ascii="Arial" w:hAnsi="Arial" w:cs="Arial"/>
        </w:rPr>
      </w:pPr>
    </w:p>
    <w:sectPr w:rsidRPr="00C81474" w:rsidR="00A767CB" w:rsidSect="00C81474">
      <w:headerReference w:type="default" r:id="rId23"/>
      <w:footerReference w:type="default" r:id="rId24"/>
      <w:pgSz w:w="12240" w:h="15840" w:orient="portrait"/>
      <w:pgMar w:top="1440" w:right="1440" w:bottom="1440" w:left="1440" w:header="720" w:footer="720" w:gutter="0"/>
      <w:pgBorders w:offsetFrom="page">
        <w:top w:val="double" w:color="auto" w:sz="4" w:space="24" w:shadow="1"/>
        <w:left w:val="double" w:color="auto" w:sz="4" w:space="24" w:shadow="1"/>
        <w:bottom w:val="double" w:color="auto" w:sz="4" w:space="24" w:shadow="1"/>
        <w:right w:val="double" w:color="auto" w:sz="4" w:space="24"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5A67" w:rsidP="00C81474" w:rsidRDefault="00A25A67" w14:paraId="7D59150F" w14:textId="77777777">
      <w:pPr>
        <w:spacing w:after="0" w:line="240" w:lineRule="auto"/>
      </w:pPr>
      <w:r>
        <w:separator/>
      </w:r>
    </w:p>
  </w:endnote>
  <w:endnote w:type="continuationSeparator" w:id="0">
    <w:p w:rsidR="00A25A67" w:rsidP="00C81474" w:rsidRDefault="00A25A67" w14:paraId="0D203C8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666674"/>
      <w:docPartObj>
        <w:docPartGallery w:val="Page Numbers (Bottom of Page)"/>
        <w:docPartUnique/>
      </w:docPartObj>
    </w:sdtPr>
    <w:sdtEndPr>
      <w:rPr>
        <w:noProof/>
      </w:rPr>
    </w:sdtEndPr>
    <w:sdtContent>
      <w:p w:rsidR="00C81474" w:rsidRDefault="00C81474" w14:paraId="157DA3F8" w14:textId="48FD41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81474" w:rsidRDefault="00C81474" w14:paraId="4FB080E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5A67" w:rsidP="00C81474" w:rsidRDefault="00A25A67" w14:paraId="5991E290" w14:textId="77777777">
      <w:pPr>
        <w:spacing w:after="0" w:line="240" w:lineRule="auto"/>
      </w:pPr>
      <w:r>
        <w:separator/>
      </w:r>
    </w:p>
  </w:footnote>
  <w:footnote w:type="continuationSeparator" w:id="0">
    <w:p w:rsidR="00A25A67" w:rsidP="00C81474" w:rsidRDefault="00A25A67" w14:paraId="37E5967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81474" w:rsidRDefault="00C81474" w14:paraId="7218EDA7" w14:textId="333A2B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A04CF"/>
    <w:multiLevelType w:val="hybridMultilevel"/>
    <w:tmpl w:val="B3067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16536C"/>
    <w:multiLevelType w:val="hybridMultilevel"/>
    <w:tmpl w:val="46D4A0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734F6FAB"/>
    <w:multiLevelType w:val="hybridMultilevel"/>
    <w:tmpl w:val="8904D002"/>
    <w:lvl w:ilvl="0" w:tplc="6D6AEB32">
      <w:start w:val="1"/>
      <w:numFmt w:val="decimal"/>
      <w:lvlText w:val="%1."/>
      <w:lvlJc w:val="left"/>
      <w:pPr>
        <w:ind w:left="144" w:hanging="248"/>
      </w:pPr>
      <w:rPr>
        <w:rFonts w:hint="default" w:ascii="Arial" w:hAnsi="Arial" w:eastAsia="Arial" w:cs="Arial"/>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3" w15:restartNumberingAfterBreak="0">
    <w:nsid w:val="767835AB"/>
    <w:multiLevelType w:val="multilevel"/>
    <w:tmpl w:val="EE247478"/>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num w:numId="1" w16cid:durableId="1232959221">
    <w:abstractNumId w:val="1"/>
  </w:num>
  <w:num w:numId="2" w16cid:durableId="964891334">
    <w:abstractNumId w:val="0"/>
  </w:num>
  <w:num w:numId="3" w16cid:durableId="940573660">
    <w:abstractNumId w:val="3"/>
  </w:num>
  <w:num w:numId="4" w16cid:durableId="1148592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EAD"/>
    <w:rsid w:val="000157FD"/>
    <w:rsid w:val="00153219"/>
    <w:rsid w:val="001F242F"/>
    <w:rsid w:val="00371DAD"/>
    <w:rsid w:val="00380E34"/>
    <w:rsid w:val="00411A81"/>
    <w:rsid w:val="004417B5"/>
    <w:rsid w:val="00473D22"/>
    <w:rsid w:val="004C1CC6"/>
    <w:rsid w:val="00517FA0"/>
    <w:rsid w:val="005D42EC"/>
    <w:rsid w:val="00636563"/>
    <w:rsid w:val="006C65D8"/>
    <w:rsid w:val="00752B38"/>
    <w:rsid w:val="007B247C"/>
    <w:rsid w:val="007B573E"/>
    <w:rsid w:val="008853CF"/>
    <w:rsid w:val="00A25A67"/>
    <w:rsid w:val="00A538DB"/>
    <w:rsid w:val="00A63340"/>
    <w:rsid w:val="00A66932"/>
    <w:rsid w:val="00A767CB"/>
    <w:rsid w:val="00AB4C56"/>
    <w:rsid w:val="00BB5CC1"/>
    <w:rsid w:val="00BD0EAD"/>
    <w:rsid w:val="00C81474"/>
    <w:rsid w:val="00D03D12"/>
    <w:rsid w:val="00E5101C"/>
    <w:rsid w:val="00E71EBA"/>
    <w:rsid w:val="00F22510"/>
    <w:rsid w:val="00F6525B"/>
    <w:rsid w:val="00F97243"/>
    <w:rsid w:val="00FE3437"/>
    <w:rsid w:val="0275B1AB"/>
    <w:rsid w:val="045A63E1"/>
    <w:rsid w:val="06ABCDE2"/>
    <w:rsid w:val="092BD745"/>
    <w:rsid w:val="0A0E4A93"/>
    <w:rsid w:val="0C03A0A7"/>
    <w:rsid w:val="0ECB033F"/>
    <w:rsid w:val="10987131"/>
    <w:rsid w:val="125DD27C"/>
    <w:rsid w:val="154706D4"/>
    <w:rsid w:val="178CAE17"/>
    <w:rsid w:val="183CC1C1"/>
    <w:rsid w:val="18F7AFAE"/>
    <w:rsid w:val="1A102A20"/>
    <w:rsid w:val="1A5638EB"/>
    <w:rsid w:val="1AA79E89"/>
    <w:rsid w:val="1D00966B"/>
    <w:rsid w:val="1D44C213"/>
    <w:rsid w:val="1D4ECCEB"/>
    <w:rsid w:val="1E9B478B"/>
    <w:rsid w:val="1F113547"/>
    <w:rsid w:val="20116150"/>
    <w:rsid w:val="20912F87"/>
    <w:rsid w:val="22323019"/>
    <w:rsid w:val="2264184A"/>
    <w:rsid w:val="22AF9AB4"/>
    <w:rsid w:val="235A5E6C"/>
    <w:rsid w:val="2612B908"/>
    <w:rsid w:val="2B3AF461"/>
    <w:rsid w:val="2DFD9D0A"/>
    <w:rsid w:val="31136272"/>
    <w:rsid w:val="33E9627D"/>
    <w:rsid w:val="363CAEDD"/>
    <w:rsid w:val="372055D4"/>
    <w:rsid w:val="38267209"/>
    <w:rsid w:val="3A549A43"/>
    <w:rsid w:val="3F7C8DA2"/>
    <w:rsid w:val="408844B7"/>
    <w:rsid w:val="41D5B401"/>
    <w:rsid w:val="42CDBD2C"/>
    <w:rsid w:val="436DAA21"/>
    <w:rsid w:val="4711470B"/>
    <w:rsid w:val="49258061"/>
    <w:rsid w:val="493163E6"/>
    <w:rsid w:val="4A063C84"/>
    <w:rsid w:val="4C482077"/>
    <w:rsid w:val="52D5C630"/>
    <w:rsid w:val="52F283BE"/>
    <w:rsid w:val="5357C0D9"/>
    <w:rsid w:val="53BF8CB9"/>
    <w:rsid w:val="54DF99AF"/>
    <w:rsid w:val="551E92DD"/>
    <w:rsid w:val="58E40F0D"/>
    <w:rsid w:val="5AEC6F26"/>
    <w:rsid w:val="5D5B60AF"/>
    <w:rsid w:val="5DF94640"/>
    <w:rsid w:val="5E457FE1"/>
    <w:rsid w:val="5E7E7557"/>
    <w:rsid w:val="5EF0BA6E"/>
    <w:rsid w:val="60A9D6AF"/>
    <w:rsid w:val="62ADDE93"/>
    <w:rsid w:val="62F10236"/>
    <w:rsid w:val="62F73A3D"/>
    <w:rsid w:val="6345A55A"/>
    <w:rsid w:val="652793B6"/>
    <w:rsid w:val="686AC759"/>
    <w:rsid w:val="6B2455C2"/>
    <w:rsid w:val="6C258E56"/>
    <w:rsid w:val="6C50E82F"/>
    <w:rsid w:val="6CC95E08"/>
    <w:rsid w:val="6F49F074"/>
    <w:rsid w:val="71051AEC"/>
    <w:rsid w:val="7151DD52"/>
    <w:rsid w:val="73450770"/>
    <w:rsid w:val="7359E60A"/>
    <w:rsid w:val="744972DD"/>
    <w:rsid w:val="7465AE4E"/>
    <w:rsid w:val="778ED018"/>
    <w:rsid w:val="77F7ACED"/>
    <w:rsid w:val="791E85C4"/>
    <w:rsid w:val="797126D1"/>
    <w:rsid w:val="7D769104"/>
    <w:rsid w:val="7EC7D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DC381"/>
  <w15:docId w15:val="{4E741A44-BDA4-423F-8D3B-806A7B5E7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71DAD"/>
    <w:pPr>
      <w:keepNext/>
      <w:keepLines/>
      <w:spacing w:before="240" w:after="0"/>
      <w:outlineLvl w:val="0"/>
    </w:pPr>
    <w:rPr>
      <w:rFonts w:ascii="Arial" w:hAnsi="Arial" w:eastAsiaTheme="majorEastAsia" w:cstheme="majorBidi"/>
      <w:b/>
      <w:color w:val="002060"/>
      <w:sz w:val="32"/>
      <w:szCs w:val="32"/>
    </w:rPr>
  </w:style>
  <w:style w:type="paragraph" w:styleId="Heading2">
    <w:name w:val="heading 2"/>
    <w:basedOn w:val="Normal"/>
    <w:link w:val="Heading2Char"/>
    <w:uiPriority w:val="9"/>
    <w:qFormat/>
    <w:rsid w:val="00371DAD"/>
    <w:pPr>
      <w:spacing w:before="100" w:beforeAutospacing="1" w:after="100" w:afterAutospacing="1" w:line="240" w:lineRule="auto"/>
      <w:outlineLvl w:val="1"/>
    </w:pPr>
    <w:rPr>
      <w:rFonts w:ascii="Arial" w:hAnsi="Arial" w:eastAsia="Times New Roman" w:cs="Times New Roman"/>
      <w:b/>
      <w:bCs/>
      <w:i/>
      <w:color w:val="002060"/>
      <w:sz w:val="28"/>
      <w:szCs w:val="36"/>
    </w:rPr>
  </w:style>
  <w:style w:type="paragraph" w:styleId="Heading3">
    <w:name w:val="heading 3"/>
    <w:basedOn w:val="Normal"/>
    <w:link w:val="Heading3Char"/>
    <w:uiPriority w:val="9"/>
    <w:qFormat/>
    <w:rsid w:val="00F97243"/>
    <w:pPr>
      <w:spacing w:before="100" w:beforeAutospacing="1" w:after="100" w:afterAutospacing="1" w:line="240" w:lineRule="auto"/>
      <w:outlineLvl w:val="2"/>
    </w:pPr>
    <w:rPr>
      <w:rFonts w:ascii="Times New Roman" w:hAnsi="Times New Roman" w:eastAsia="Times New Roman" w:cs="Times New Roman"/>
      <w:b/>
      <w:bCs/>
      <w:sz w:val="27"/>
      <w:szCs w:val="27"/>
    </w:rPr>
  </w:style>
  <w:style w:type="paragraph" w:styleId="Heading4">
    <w:name w:val="heading 4"/>
    <w:basedOn w:val="Normal"/>
    <w:link w:val="Heading4Char"/>
    <w:uiPriority w:val="9"/>
    <w:qFormat/>
    <w:rsid w:val="00F97243"/>
    <w:pPr>
      <w:spacing w:before="100" w:beforeAutospacing="1" w:after="100" w:afterAutospacing="1" w:line="240" w:lineRule="auto"/>
      <w:outlineLvl w:val="3"/>
    </w:pPr>
    <w:rPr>
      <w:rFonts w:ascii="Times New Roman" w:hAnsi="Times New Roman" w:eastAsia="Times New Roman" w:cs="Times New Roman"/>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mphasis">
    <w:name w:val="Emphasis"/>
    <w:basedOn w:val="DefaultParagraphFont"/>
    <w:uiPriority w:val="20"/>
    <w:qFormat/>
    <w:rsid w:val="00BD0EAD"/>
    <w:rPr>
      <w:i/>
      <w:iCs/>
    </w:rPr>
  </w:style>
  <w:style w:type="character" w:styleId="Strong">
    <w:name w:val="Strong"/>
    <w:basedOn w:val="DefaultParagraphFont"/>
    <w:uiPriority w:val="22"/>
    <w:qFormat/>
    <w:rsid w:val="00BD0EAD"/>
    <w:rPr>
      <w:b/>
      <w:bCs/>
    </w:rPr>
  </w:style>
  <w:style w:type="paragraph" w:styleId="NormalWeb">
    <w:name w:val="Normal (Web)"/>
    <w:basedOn w:val="Normal"/>
    <w:uiPriority w:val="99"/>
    <w:unhideWhenUsed/>
    <w:rsid w:val="00BD0EAD"/>
    <w:pPr>
      <w:spacing w:before="100" w:beforeAutospacing="1" w:after="100" w:afterAutospacing="1" w:line="240" w:lineRule="auto"/>
    </w:pPr>
    <w:rPr>
      <w:rFonts w:ascii="Times New Roman" w:hAnsi="Times New Roman" w:eastAsia="Times New Roman" w:cs="Times New Roman"/>
      <w:sz w:val="24"/>
      <w:szCs w:val="24"/>
    </w:rPr>
  </w:style>
  <w:style w:type="character" w:styleId="Heading2Char" w:customStyle="1">
    <w:name w:val="Heading 2 Char"/>
    <w:basedOn w:val="DefaultParagraphFont"/>
    <w:link w:val="Heading2"/>
    <w:uiPriority w:val="9"/>
    <w:rsid w:val="00371DAD"/>
    <w:rPr>
      <w:rFonts w:ascii="Arial" w:hAnsi="Arial" w:eastAsia="Times New Roman" w:cs="Times New Roman"/>
      <w:b/>
      <w:bCs/>
      <w:i/>
      <w:color w:val="002060"/>
      <w:sz w:val="28"/>
      <w:szCs w:val="36"/>
    </w:rPr>
  </w:style>
  <w:style w:type="character" w:styleId="Heading3Char" w:customStyle="1">
    <w:name w:val="Heading 3 Char"/>
    <w:basedOn w:val="DefaultParagraphFont"/>
    <w:link w:val="Heading3"/>
    <w:uiPriority w:val="9"/>
    <w:rsid w:val="00F97243"/>
    <w:rPr>
      <w:rFonts w:ascii="Times New Roman" w:hAnsi="Times New Roman" w:eastAsia="Times New Roman" w:cs="Times New Roman"/>
      <w:b/>
      <w:bCs/>
      <w:sz w:val="27"/>
      <w:szCs w:val="27"/>
    </w:rPr>
  </w:style>
  <w:style w:type="character" w:styleId="Heading4Char" w:customStyle="1">
    <w:name w:val="Heading 4 Char"/>
    <w:basedOn w:val="DefaultParagraphFont"/>
    <w:link w:val="Heading4"/>
    <w:uiPriority w:val="9"/>
    <w:rsid w:val="00F97243"/>
    <w:rPr>
      <w:rFonts w:ascii="Times New Roman" w:hAnsi="Times New Roman" w:eastAsia="Times New Roman" w:cs="Times New Roman"/>
      <w:b/>
      <w:bCs/>
      <w:sz w:val="24"/>
      <w:szCs w:val="24"/>
    </w:rPr>
  </w:style>
  <w:style w:type="paragraph" w:styleId="ListParagraph">
    <w:name w:val="List Paragraph"/>
    <w:basedOn w:val="Normal"/>
    <w:uiPriority w:val="34"/>
    <w:qFormat/>
    <w:rsid w:val="00A767CB"/>
    <w:pPr>
      <w:ind w:left="720"/>
      <w:contextualSpacing/>
    </w:pPr>
  </w:style>
  <w:style w:type="table" w:styleId="TableGrid">
    <w:name w:val="Table Grid"/>
    <w:basedOn w:val="TableNormal"/>
    <w:uiPriority w:val="59"/>
    <w:rsid w:val="001F242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81474"/>
    <w:pPr>
      <w:tabs>
        <w:tab w:val="center" w:pos="4680"/>
        <w:tab w:val="right" w:pos="9360"/>
      </w:tabs>
      <w:spacing w:after="0" w:line="240" w:lineRule="auto"/>
    </w:pPr>
  </w:style>
  <w:style w:type="character" w:styleId="HeaderChar" w:customStyle="1">
    <w:name w:val="Header Char"/>
    <w:basedOn w:val="DefaultParagraphFont"/>
    <w:link w:val="Header"/>
    <w:uiPriority w:val="99"/>
    <w:rsid w:val="00C81474"/>
  </w:style>
  <w:style w:type="paragraph" w:styleId="Footer">
    <w:name w:val="footer"/>
    <w:basedOn w:val="Normal"/>
    <w:link w:val="FooterChar"/>
    <w:uiPriority w:val="99"/>
    <w:unhideWhenUsed/>
    <w:rsid w:val="00C81474"/>
    <w:pPr>
      <w:tabs>
        <w:tab w:val="center" w:pos="4680"/>
        <w:tab w:val="right" w:pos="9360"/>
      </w:tabs>
      <w:spacing w:after="0" w:line="240" w:lineRule="auto"/>
    </w:pPr>
  </w:style>
  <w:style w:type="character" w:styleId="FooterChar" w:customStyle="1">
    <w:name w:val="Footer Char"/>
    <w:basedOn w:val="DefaultParagraphFont"/>
    <w:link w:val="Footer"/>
    <w:uiPriority w:val="99"/>
    <w:rsid w:val="00C81474"/>
  </w:style>
  <w:style w:type="character" w:styleId="Heading1Char" w:customStyle="1">
    <w:name w:val="Heading 1 Char"/>
    <w:basedOn w:val="DefaultParagraphFont"/>
    <w:link w:val="Heading1"/>
    <w:uiPriority w:val="9"/>
    <w:rsid w:val="00371DAD"/>
    <w:rPr>
      <w:rFonts w:ascii="Arial" w:hAnsi="Arial" w:eastAsiaTheme="majorEastAsia" w:cstheme="majorBidi"/>
      <w:b/>
      <w:color w:val="002060"/>
      <w:sz w:val="32"/>
      <w:szCs w:val="32"/>
    </w:rPr>
  </w:style>
  <w:style w:type="paragraph" w:styleId="TOCHeading">
    <w:name w:val="TOC Heading"/>
    <w:basedOn w:val="Heading1"/>
    <w:next w:val="Normal"/>
    <w:uiPriority w:val="39"/>
    <w:unhideWhenUsed/>
    <w:qFormat/>
    <w:rsid w:val="00371DAD"/>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371DAD"/>
    <w:pPr>
      <w:spacing w:after="100"/>
    </w:pPr>
  </w:style>
  <w:style w:type="paragraph" w:styleId="TOC2">
    <w:name w:val="toc 2"/>
    <w:basedOn w:val="Normal"/>
    <w:next w:val="Normal"/>
    <w:autoRedefine/>
    <w:uiPriority w:val="39"/>
    <w:unhideWhenUsed/>
    <w:rsid w:val="00371DAD"/>
    <w:pPr>
      <w:spacing w:after="100"/>
      <w:ind w:left="220"/>
    </w:pPr>
  </w:style>
  <w:style w:type="character" w:styleId="Hyperlink">
    <w:name w:val="Hyperlink"/>
    <w:basedOn w:val="DefaultParagraphFont"/>
    <w:uiPriority w:val="99"/>
    <w:unhideWhenUsed/>
    <w:rsid w:val="00371DAD"/>
    <w:rPr>
      <w:color w:val="0000FF" w:themeColor="hyperlink"/>
      <w:u w:val="single"/>
    </w:rPr>
  </w:style>
  <w:style w:type="character" w:styleId="UnresolvedMention">
    <w:name w:val="Unresolved Mention"/>
    <w:basedOn w:val="DefaultParagraphFont"/>
    <w:uiPriority w:val="99"/>
    <w:semiHidden/>
    <w:unhideWhenUsed/>
    <w:rsid w:val="00371D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0397">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8383660">
      <w:bodyDiv w:val="1"/>
      <w:marLeft w:val="0"/>
      <w:marRight w:val="0"/>
      <w:marTop w:val="0"/>
      <w:marBottom w:val="0"/>
      <w:divBdr>
        <w:top w:val="none" w:sz="0" w:space="0" w:color="auto"/>
        <w:left w:val="none" w:sz="0" w:space="0" w:color="auto"/>
        <w:bottom w:val="none" w:sz="0" w:space="0" w:color="auto"/>
        <w:right w:val="none" w:sz="0" w:space="0" w:color="auto"/>
      </w:divBdr>
    </w:div>
    <w:div w:id="62071109">
      <w:bodyDiv w:val="1"/>
      <w:marLeft w:val="0"/>
      <w:marRight w:val="0"/>
      <w:marTop w:val="0"/>
      <w:marBottom w:val="0"/>
      <w:divBdr>
        <w:top w:val="none" w:sz="0" w:space="0" w:color="auto"/>
        <w:left w:val="none" w:sz="0" w:space="0" w:color="auto"/>
        <w:bottom w:val="none" w:sz="0" w:space="0" w:color="auto"/>
        <w:right w:val="none" w:sz="0" w:space="0" w:color="auto"/>
      </w:divBdr>
    </w:div>
    <w:div w:id="81028115">
      <w:bodyDiv w:val="1"/>
      <w:marLeft w:val="0"/>
      <w:marRight w:val="0"/>
      <w:marTop w:val="0"/>
      <w:marBottom w:val="0"/>
      <w:divBdr>
        <w:top w:val="none" w:sz="0" w:space="0" w:color="auto"/>
        <w:left w:val="none" w:sz="0" w:space="0" w:color="auto"/>
        <w:bottom w:val="none" w:sz="0" w:space="0" w:color="auto"/>
        <w:right w:val="none" w:sz="0" w:space="0" w:color="auto"/>
      </w:divBdr>
    </w:div>
    <w:div w:id="100341526">
      <w:bodyDiv w:val="1"/>
      <w:marLeft w:val="0"/>
      <w:marRight w:val="0"/>
      <w:marTop w:val="0"/>
      <w:marBottom w:val="0"/>
      <w:divBdr>
        <w:top w:val="none" w:sz="0" w:space="0" w:color="auto"/>
        <w:left w:val="none" w:sz="0" w:space="0" w:color="auto"/>
        <w:bottom w:val="none" w:sz="0" w:space="0" w:color="auto"/>
        <w:right w:val="none" w:sz="0" w:space="0" w:color="auto"/>
      </w:divBdr>
    </w:div>
    <w:div w:id="210388212">
      <w:bodyDiv w:val="1"/>
      <w:marLeft w:val="0"/>
      <w:marRight w:val="0"/>
      <w:marTop w:val="0"/>
      <w:marBottom w:val="0"/>
      <w:divBdr>
        <w:top w:val="none" w:sz="0" w:space="0" w:color="auto"/>
        <w:left w:val="none" w:sz="0" w:space="0" w:color="auto"/>
        <w:bottom w:val="none" w:sz="0" w:space="0" w:color="auto"/>
        <w:right w:val="none" w:sz="0" w:space="0" w:color="auto"/>
      </w:divBdr>
    </w:div>
    <w:div w:id="379789570">
      <w:bodyDiv w:val="1"/>
      <w:marLeft w:val="0"/>
      <w:marRight w:val="0"/>
      <w:marTop w:val="0"/>
      <w:marBottom w:val="0"/>
      <w:divBdr>
        <w:top w:val="none" w:sz="0" w:space="0" w:color="auto"/>
        <w:left w:val="none" w:sz="0" w:space="0" w:color="auto"/>
        <w:bottom w:val="none" w:sz="0" w:space="0" w:color="auto"/>
        <w:right w:val="none" w:sz="0" w:space="0" w:color="auto"/>
      </w:divBdr>
    </w:div>
    <w:div w:id="384839878">
      <w:bodyDiv w:val="1"/>
      <w:marLeft w:val="0"/>
      <w:marRight w:val="0"/>
      <w:marTop w:val="0"/>
      <w:marBottom w:val="0"/>
      <w:divBdr>
        <w:top w:val="none" w:sz="0" w:space="0" w:color="auto"/>
        <w:left w:val="none" w:sz="0" w:space="0" w:color="auto"/>
        <w:bottom w:val="none" w:sz="0" w:space="0" w:color="auto"/>
        <w:right w:val="none" w:sz="0" w:space="0" w:color="auto"/>
      </w:divBdr>
    </w:div>
    <w:div w:id="449983011">
      <w:bodyDiv w:val="1"/>
      <w:marLeft w:val="0"/>
      <w:marRight w:val="0"/>
      <w:marTop w:val="0"/>
      <w:marBottom w:val="0"/>
      <w:divBdr>
        <w:top w:val="none" w:sz="0" w:space="0" w:color="auto"/>
        <w:left w:val="none" w:sz="0" w:space="0" w:color="auto"/>
        <w:bottom w:val="none" w:sz="0" w:space="0" w:color="auto"/>
        <w:right w:val="none" w:sz="0" w:space="0" w:color="auto"/>
      </w:divBdr>
    </w:div>
    <w:div w:id="453065749">
      <w:bodyDiv w:val="1"/>
      <w:marLeft w:val="0"/>
      <w:marRight w:val="0"/>
      <w:marTop w:val="0"/>
      <w:marBottom w:val="0"/>
      <w:divBdr>
        <w:top w:val="none" w:sz="0" w:space="0" w:color="auto"/>
        <w:left w:val="none" w:sz="0" w:space="0" w:color="auto"/>
        <w:bottom w:val="none" w:sz="0" w:space="0" w:color="auto"/>
        <w:right w:val="none" w:sz="0" w:space="0" w:color="auto"/>
      </w:divBdr>
    </w:div>
    <w:div w:id="519898713">
      <w:bodyDiv w:val="1"/>
      <w:marLeft w:val="0"/>
      <w:marRight w:val="0"/>
      <w:marTop w:val="0"/>
      <w:marBottom w:val="0"/>
      <w:divBdr>
        <w:top w:val="none" w:sz="0" w:space="0" w:color="auto"/>
        <w:left w:val="none" w:sz="0" w:space="0" w:color="auto"/>
        <w:bottom w:val="none" w:sz="0" w:space="0" w:color="auto"/>
        <w:right w:val="none" w:sz="0" w:space="0" w:color="auto"/>
      </w:divBdr>
    </w:div>
    <w:div w:id="586887800">
      <w:bodyDiv w:val="1"/>
      <w:marLeft w:val="0"/>
      <w:marRight w:val="0"/>
      <w:marTop w:val="0"/>
      <w:marBottom w:val="0"/>
      <w:divBdr>
        <w:top w:val="none" w:sz="0" w:space="0" w:color="auto"/>
        <w:left w:val="none" w:sz="0" w:space="0" w:color="auto"/>
        <w:bottom w:val="none" w:sz="0" w:space="0" w:color="auto"/>
        <w:right w:val="none" w:sz="0" w:space="0" w:color="auto"/>
      </w:divBdr>
    </w:div>
    <w:div w:id="593053718">
      <w:bodyDiv w:val="1"/>
      <w:marLeft w:val="0"/>
      <w:marRight w:val="0"/>
      <w:marTop w:val="0"/>
      <w:marBottom w:val="0"/>
      <w:divBdr>
        <w:top w:val="none" w:sz="0" w:space="0" w:color="auto"/>
        <w:left w:val="none" w:sz="0" w:space="0" w:color="auto"/>
        <w:bottom w:val="none" w:sz="0" w:space="0" w:color="auto"/>
        <w:right w:val="none" w:sz="0" w:space="0" w:color="auto"/>
      </w:divBdr>
    </w:div>
    <w:div w:id="616255530">
      <w:bodyDiv w:val="1"/>
      <w:marLeft w:val="0"/>
      <w:marRight w:val="0"/>
      <w:marTop w:val="0"/>
      <w:marBottom w:val="0"/>
      <w:divBdr>
        <w:top w:val="none" w:sz="0" w:space="0" w:color="auto"/>
        <w:left w:val="none" w:sz="0" w:space="0" w:color="auto"/>
        <w:bottom w:val="none" w:sz="0" w:space="0" w:color="auto"/>
        <w:right w:val="none" w:sz="0" w:space="0" w:color="auto"/>
      </w:divBdr>
    </w:div>
    <w:div w:id="684093345">
      <w:bodyDiv w:val="1"/>
      <w:marLeft w:val="0"/>
      <w:marRight w:val="0"/>
      <w:marTop w:val="0"/>
      <w:marBottom w:val="0"/>
      <w:divBdr>
        <w:top w:val="none" w:sz="0" w:space="0" w:color="auto"/>
        <w:left w:val="none" w:sz="0" w:space="0" w:color="auto"/>
        <w:bottom w:val="none" w:sz="0" w:space="0" w:color="auto"/>
        <w:right w:val="none" w:sz="0" w:space="0" w:color="auto"/>
      </w:divBdr>
    </w:div>
    <w:div w:id="750152825">
      <w:bodyDiv w:val="1"/>
      <w:marLeft w:val="0"/>
      <w:marRight w:val="0"/>
      <w:marTop w:val="0"/>
      <w:marBottom w:val="0"/>
      <w:divBdr>
        <w:top w:val="none" w:sz="0" w:space="0" w:color="auto"/>
        <w:left w:val="none" w:sz="0" w:space="0" w:color="auto"/>
        <w:bottom w:val="none" w:sz="0" w:space="0" w:color="auto"/>
        <w:right w:val="none" w:sz="0" w:space="0" w:color="auto"/>
      </w:divBdr>
    </w:div>
    <w:div w:id="759914354">
      <w:bodyDiv w:val="1"/>
      <w:marLeft w:val="0"/>
      <w:marRight w:val="0"/>
      <w:marTop w:val="0"/>
      <w:marBottom w:val="0"/>
      <w:divBdr>
        <w:top w:val="none" w:sz="0" w:space="0" w:color="auto"/>
        <w:left w:val="none" w:sz="0" w:space="0" w:color="auto"/>
        <w:bottom w:val="none" w:sz="0" w:space="0" w:color="auto"/>
        <w:right w:val="none" w:sz="0" w:space="0" w:color="auto"/>
      </w:divBdr>
    </w:div>
    <w:div w:id="902449405">
      <w:bodyDiv w:val="1"/>
      <w:marLeft w:val="0"/>
      <w:marRight w:val="0"/>
      <w:marTop w:val="0"/>
      <w:marBottom w:val="0"/>
      <w:divBdr>
        <w:top w:val="none" w:sz="0" w:space="0" w:color="auto"/>
        <w:left w:val="none" w:sz="0" w:space="0" w:color="auto"/>
        <w:bottom w:val="none" w:sz="0" w:space="0" w:color="auto"/>
        <w:right w:val="none" w:sz="0" w:space="0" w:color="auto"/>
      </w:divBdr>
    </w:div>
    <w:div w:id="904146791">
      <w:bodyDiv w:val="1"/>
      <w:marLeft w:val="0"/>
      <w:marRight w:val="0"/>
      <w:marTop w:val="0"/>
      <w:marBottom w:val="0"/>
      <w:divBdr>
        <w:top w:val="none" w:sz="0" w:space="0" w:color="auto"/>
        <w:left w:val="none" w:sz="0" w:space="0" w:color="auto"/>
        <w:bottom w:val="none" w:sz="0" w:space="0" w:color="auto"/>
        <w:right w:val="none" w:sz="0" w:space="0" w:color="auto"/>
      </w:divBdr>
    </w:div>
    <w:div w:id="908612504">
      <w:bodyDiv w:val="1"/>
      <w:marLeft w:val="0"/>
      <w:marRight w:val="0"/>
      <w:marTop w:val="0"/>
      <w:marBottom w:val="0"/>
      <w:divBdr>
        <w:top w:val="none" w:sz="0" w:space="0" w:color="auto"/>
        <w:left w:val="none" w:sz="0" w:space="0" w:color="auto"/>
        <w:bottom w:val="none" w:sz="0" w:space="0" w:color="auto"/>
        <w:right w:val="none" w:sz="0" w:space="0" w:color="auto"/>
      </w:divBdr>
    </w:div>
    <w:div w:id="913662688">
      <w:bodyDiv w:val="1"/>
      <w:marLeft w:val="0"/>
      <w:marRight w:val="0"/>
      <w:marTop w:val="0"/>
      <w:marBottom w:val="0"/>
      <w:divBdr>
        <w:top w:val="none" w:sz="0" w:space="0" w:color="auto"/>
        <w:left w:val="none" w:sz="0" w:space="0" w:color="auto"/>
        <w:bottom w:val="none" w:sz="0" w:space="0" w:color="auto"/>
        <w:right w:val="none" w:sz="0" w:space="0" w:color="auto"/>
      </w:divBdr>
    </w:div>
    <w:div w:id="947585355">
      <w:bodyDiv w:val="1"/>
      <w:marLeft w:val="0"/>
      <w:marRight w:val="0"/>
      <w:marTop w:val="0"/>
      <w:marBottom w:val="0"/>
      <w:divBdr>
        <w:top w:val="none" w:sz="0" w:space="0" w:color="auto"/>
        <w:left w:val="none" w:sz="0" w:space="0" w:color="auto"/>
        <w:bottom w:val="none" w:sz="0" w:space="0" w:color="auto"/>
        <w:right w:val="none" w:sz="0" w:space="0" w:color="auto"/>
      </w:divBdr>
    </w:div>
    <w:div w:id="960527452">
      <w:bodyDiv w:val="1"/>
      <w:marLeft w:val="0"/>
      <w:marRight w:val="0"/>
      <w:marTop w:val="0"/>
      <w:marBottom w:val="0"/>
      <w:divBdr>
        <w:top w:val="none" w:sz="0" w:space="0" w:color="auto"/>
        <w:left w:val="none" w:sz="0" w:space="0" w:color="auto"/>
        <w:bottom w:val="none" w:sz="0" w:space="0" w:color="auto"/>
        <w:right w:val="none" w:sz="0" w:space="0" w:color="auto"/>
      </w:divBdr>
    </w:div>
    <w:div w:id="961377527">
      <w:bodyDiv w:val="1"/>
      <w:marLeft w:val="0"/>
      <w:marRight w:val="0"/>
      <w:marTop w:val="0"/>
      <w:marBottom w:val="0"/>
      <w:divBdr>
        <w:top w:val="none" w:sz="0" w:space="0" w:color="auto"/>
        <w:left w:val="none" w:sz="0" w:space="0" w:color="auto"/>
        <w:bottom w:val="none" w:sz="0" w:space="0" w:color="auto"/>
        <w:right w:val="none" w:sz="0" w:space="0" w:color="auto"/>
      </w:divBdr>
    </w:div>
    <w:div w:id="1011956446">
      <w:bodyDiv w:val="1"/>
      <w:marLeft w:val="0"/>
      <w:marRight w:val="0"/>
      <w:marTop w:val="0"/>
      <w:marBottom w:val="0"/>
      <w:divBdr>
        <w:top w:val="none" w:sz="0" w:space="0" w:color="auto"/>
        <w:left w:val="none" w:sz="0" w:space="0" w:color="auto"/>
        <w:bottom w:val="none" w:sz="0" w:space="0" w:color="auto"/>
        <w:right w:val="none" w:sz="0" w:space="0" w:color="auto"/>
      </w:divBdr>
    </w:div>
    <w:div w:id="1107039758">
      <w:bodyDiv w:val="1"/>
      <w:marLeft w:val="0"/>
      <w:marRight w:val="0"/>
      <w:marTop w:val="0"/>
      <w:marBottom w:val="0"/>
      <w:divBdr>
        <w:top w:val="none" w:sz="0" w:space="0" w:color="auto"/>
        <w:left w:val="none" w:sz="0" w:space="0" w:color="auto"/>
        <w:bottom w:val="none" w:sz="0" w:space="0" w:color="auto"/>
        <w:right w:val="none" w:sz="0" w:space="0" w:color="auto"/>
      </w:divBdr>
    </w:div>
    <w:div w:id="1120761912">
      <w:bodyDiv w:val="1"/>
      <w:marLeft w:val="0"/>
      <w:marRight w:val="0"/>
      <w:marTop w:val="0"/>
      <w:marBottom w:val="0"/>
      <w:divBdr>
        <w:top w:val="none" w:sz="0" w:space="0" w:color="auto"/>
        <w:left w:val="none" w:sz="0" w:space="0" w:color="auto"/>
        <w:bottom w:val="none" w:sz="0" w:space="0" w:color="auto"/>
        <w:right w:val="none" w:sz="0" w:space="0" w:color="auto"/>
      </w:divBdr>
    </w:div>
    <w:div w:id="1157310023">
      <w:bodyDiv w:val="1"/>
      <w:marLeft w:val="0"/>
      <w:marRight w:val="0"/>
      <w:marTop w:val="0"/>
      <w:marBottom w:val="0"/>
      <w:divBdr>
        <w:top w:val="none" w:sz="0" w:space="0" w:color="auto"/>
        <w:left w:val="none" w:sz="0" w:space="0" w:color="auto"/>
        <w:bottom w:val="none" w:sz="0" w:space="0" w:color="auto"/>
        <w:right w:val="none" w:sz="0" w:space="0" w:color="auto"/>
      </w:divBdr>
    </w:div>
    <w:div w:id="1173226454">
      <w:bodyDiv w:val="1"/>
      <w:marLeft w:val="0"/>
      <w:marRight w:val="0"/>
      <w:marTop w:val="0"/>
      <w:marBottom w:val="0"/>
      <w:divBdr>
        <w:top w:val="none" w:sz="0" w:space="0" w:color="auto"/>
        <w:left w:val="none" w:sz="0" w:space="0" w:color="auto"/>
        <w:bottom w:val="none" w:sz="0" w:space="0" w:color="auto"/>
        <w:right w:val="none" w:sz="0" w:space="0" w:color="auto"/>
      </w:divBdr>
    </w:div>
    <w:div w:id="1181168199">
      <w:bodyDiv w:val="1"/>
      <w:marLeft w:val="0"/>
      <w:marRight w:val="0"/>
      <w:marTop w:val="0"/>
      <w:marBottom w:val="0"/>
      <w:divBdr>
        <w:top w:val="none" w:sz="0" w:space="0" w:color="auto"/>
        <w:left w:val="none" w:sz="0" w:space="0" w:color="auto"/>
        <w:bottom w:val="none" w:sz="0" w:space="0" w:color="auto"/>
        <w:right w:val="none" w:sz="0" w:space="0" w:color="auto"/>
      </w:divBdr>
      <w:divsChild>
        <w:div w:id="1860774750">
          <w:marLeft w:val="0"/>
          <w:marRight w:val="0"/>
          <w:marTop w:val="0"/>
          <w:marBottom w:val="0"/>
          <w:divBdr>
            <w:top w:val="none" w:sz="0" w:space="0" w:color="auto"/>
            <w:left w:val="none" w:sz="0" w:space="0" w:color="auto"/>
            <w:bottom w:val="none" w:sz="0" w:space="0" w:color="auto"/>
            <w:right w:val="none" w:sz="0" w:space="0" w:color="auto"/>
          </w:divBdr>
        </w:div>
      </w:divsChild>
    </w:div>
    <w:div w:id="1202211106">
      <w:bodyDiv w:val="1"/>
      <w:marLeft w:val="0"/>
      <w:marRight w:val="0"/>
      <w:marTop w:val="0"/>
      <w:marBottom w:val="0"/>
      <w:divBdr>
        <w:top w:val="none" w:sz="0" w:space="0" w:color="auto"/>
        <w:left w:val="none" w:sz="0" w:space="0" w:color="auto"/>
        <w:bottom w:val="none" w:sz="0" w:space="0" w:color="auto"/>
        <w:right w:val="none" w:sz="0" w:space="0" w:color="auto"/>
      </w:divBdr>
    </w:div>
    <w:div w:id="1311053714">
      <w:bodyDiv w:val="1"/>
      <w:marLeft w:val="0"/>
      <w:marRight w:val="0"/>
      <w:marTop w:val="0"/>
      <w:marBottom w:val="0"/>
      <w:divBdr>
        <w:top w:val="none" w:sz="0" w:space="0" w:color="auto"/>
        <w:left w:val="none" w:sz="0" w:space="0" w:color="auto"/>
        <w:bottom w:val="none" w:sz="0" w:space="0" w:color="auto"/>
        <w:right w:val="none" w:sz="0" w:space="0" w:color="auto"/>
      </w:divBdr>
    </w:div>
    <w:div w:id="1328824755">
      <w:bodyDiv w:val="1"/>
      <w:marLeft w:val="0"/>
      <w:marRight w:val="0"/>
      <w:marTop w:val="0"/>
      <w:marBottom w:val="0"/>
      <w:divBdr>
        <w:top w:val="none" w:sz="0" w:space="0" w:color="auto"/>
        <w:left w:val="none" w:sz="0" w:space="0" w:color="auto"/>
        <w:bottom w:val="none" w:sz="0" w:space="0" w:color="auto"/>
        <w:right w:val="none" w:sz="0" w:space="0" w:color="auto"/>
      </w:divBdr>
    </w:div>
    <w:div w:id="1436172995">
      <w:bodyDiv w:val="1"/>
      <w:marLeft w:val="0"/>
      <w:marRight w:val="0"/>
      <w:marTop w:val="0"/>
      <w:marBottom w:val="0"/>
      <w:divBdr>
        <w:top w:val="none" w:sz="0" w:space="0" w:color="auto"/>
        <w:left w:val="none" w:sz="0" w:space="0" w:color="auto"/>
        <w:bottom w:val="none" w:sz="0" w:space="0" w:color="auto"/>
        <w:right w:val="none" w:sz="0" w:space="0" w:color="auto"/>
      </w:divBdr>
    </w:div>
    <w:div w:id="1437670818">
      <w:bodyDiv w:val="1"/>
      <w:marLeft w:val="0"/>
      <w:marRight w:val="0"/>
      <w:marTop w:val="0"/>
      <w:marBottom w:val="0"/>
      <w:divBdr>
        <w:top w:val="none" w:sz="0" w:space="0" w:color="auto"/>
        <w:left w:val="none" w:sz="0" w:space="0" w:color="auto"/>
        <w:bottom w:val="none" w:sz="0" w:space="0" w:color="auto"/>
        <w:right w:val="none" w:sz="0" w:space="0" w:color="auto"/>
      </w:divBdr>
    </w:div>
    <w:div w:id="1580016050">
      <w:bodyDiv w:val="1"/>
      <w:marLeft w:val="0"/>
      <w:marRight w:val="0"/>
      <w:marTop w:val="0"/>
      <w:marBottom w:val="0"/>
      <w:divBdr>
        <w:top w:val="none" w:sz="0" w:space="0" w:color="auto"/>
        <w:left w:val="none" w:sz="0" w:space="0" w:color="auto"/>
        <w:bottom w:val="none" w:sz="0" w:space="0" w:color="auto"/>
        <w:right w:val="none" w:sz="0" w:space="0" w:color="auto"/>
      </w:divBdr>
    </w:div>
    <w:div w:id="1671104582">
      <w:bodyDiv w:val="1"/>
      <w:marLeft w:val="0"/>
      <w:marRight w:val="0"/>
      <w:marTop w:val="0"/>
      <w:marBottom w:val="0"/>
      <w:divBdr>
        <w:top w:val="none" w:sz="0" w:space="0" w:color="auto"/>
        <w:left w:val="none" w:sz="0" w:space="0" w:color="auto"/>
        <w:bottom w:val="none" w:sz="0" w:space="0" w:color="auto"/>
        <w:right w:val="none" w:sz="0" w:space="0" w:color="auto"/>
      </w:divBdr>
    </w:div>
    <w:div w:id="1754736528">
      <w:bodyDiv w:val="1"/>
      <w:marLeft w:val="0"/>
      <w:marRight w:val="0"/>
      <w:marTop w:val="0"/>
      <w:marBottom w:val="0"/>
      <w:divBdr>
        <w:top w:val="none" w:sz="0" w:space="0" w:color="auto"/>
        <w:left w:val="none" w:sz="0" w:space="0" w:color="auto"/>
        <w:bottom w:val="none" w:sz="0" w:space="0" w:color="auto"/>
        <w:right w:val="none" w:sz="0" w:space="0" w:color="auto"/>
      </w:divBdr>
    </w:div>
    <w:div w:id="1783066207">
      <w:bodyDiv w:val="1"/>
      <w:marLeft w:val="0"/>
      <w:marRight w:val="0"/>
      <w:marTop w:val="0"/>
      <w:marBottom w:val="0"/>
      <w:divBdr>
        <w:top w:val="none" w:sz="0" w:space="0" w:color="auto"/>
        <w:left w:val="none" w:sz="0" w:space="0" w:color="auto"/>
        <w:bottom w:val="none" w:sz="0" w:space="0" w:color="auto"/>
        <w:right w:val="none" w:sz="0" w:space="0" w:color="auto"/>
      </w:divBdr>
    </w:div>
    <w:div w:id="1807580467">
      <w:bodyDiv w:val="1"/>
      <w:marLeft w:val="0"/>
      <w:marRight w:val="0"/>
      <w:marTop w:val="0"/>
      <w:marBottom w:val="0"/>
      <w:divBdr>
        <w:top w:val="none" w:sz="0" w:space="0" w:color="auto"/>
        <w:left w:val="none" w:sz="0" w:space="0" w:color="auto"/>
        <w:bottom w:val="none" w:sz="0" w:space="0" w:color="auto"/>
        <w:right w:val="none" w:sz="0" w:space="0" w:color="auto"/>
      </w:divBdr>
    </w:div>
    <w:div w:id="1860505267">
      <w:bodyDiv w:val="1"/>
      <w:marLeft w:val="0"/>
      <w:marRight w:val="0"/>
      <w:marTop w:val="0"/>
      <w:marBottom w:val="0"/>
      <w:divBdr>
        <w:top w:val="none" w:sz="0" w:space="0" w:color="auto"/>
        <w:left w:val="none" w:sz="0" w:space="0" w:color="auto"/>
        <w:bottom w:val="none" w:sz="0" w:space="0" w:color="auto"/>
        <w:right w:val="none" w:sz="0" w:space="0" w:color="auto"/>
      </w:divBdr>
    </w:div>
    <w:div w:id="1880121195">
      <w:bodyDiv w:val="1"/>
      <w:marLeft w:val="0"/>
      <w:marRight w:val="0"/>
      <w:marTop w:val="0"/>
      <w:marBottom w:val="0"/>
      <w:divBdr>
        <w:top w:val="none" w:sz="0" w:space="0" w:color="auto"/>
        <w:left w:val="none" w:sz="0" w:space="0" w:color="auto"/>
        <w:bottom w:val="none" w:sz="0" w:space="0" w:color="auto"/>
        <w:right w:val="none" w:sz="0" w:space="0" w:color="auto"/>
      </w:divBdr>
    </w:div>
    <w:div w:id="2008827819">
      <w:bodyDiv w:val="1"/>
      <w:marLeft w:val="0"/>
      <w:marRight w:val="0"/>
      <w:marTop w:val="0"/>
      <w:marBottom w:val="0"/>
      <w:divBdr>
        <w:top w:val="none" w:sz="0" w:space="0" w:color="auto"/>
        <w:left w:val="none" w:sz="0" w:space="0" w:color="auto"/>
        <w:bottom w:val="none" w:sz="0" w:space="0" w:color="auto"/>
        <w:right w:val="none" w:sz="0" w:space="0" w:color="auto"/>
      </w:divBdr>
    </w:div>
    <w:div w:id="2084834384">
      <w:bodyDiv w:val="1"/>
      <w:marLeft w:val="0"/>
      <w:marRight w:val="0"/>
      <w:marTop w:val="0"/>
      <w:marBottom w:val="0"/>
      <w:divBdr>
        <w:top w:val="none" w:sz="0" w:space="0" w:color="auto"/>
        <w:left w:val="none" w:sz="0" w:space="0" w:color="auto"/>
        <w:bottom w:val="none" w:sz="0" w:space="0" w:color="auto"/>
        <w:right w:val="none" w:sz="0" w:space="0" w:color="auto"/>
      </w:divBdr>
    </w:div>
    <w:div w:id="213702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fma.org.uk/system/files/summary-of-people-plan-2020-21.pdf" TargetMode="External" Id="rId13" /><Relationship Type="http://schemas.openxmlformats.org/officeDocument/2006/relationships/hyperlink" Target="https://www.scirp.org/reference/referencespapers?referenceid=2939141" TargetMode="External" Id="rId18"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hyperlink" Target="https://www.kingsfund.org.uk/" TargetMode="External" Id="rId21" /><Relationship Type="http://schemas.openxmlformats.org/officeDocument/2006/relationships/endnotes" Target="endnotes.xml" Id="rId7" /><Relationship Type="http://schemas.openxmlformats.org/officeDocument/2006/relationships/hyperlink" Target="https://www.equalityhumanrights.com/equality/equality-act-2010" TargetMode="External" Id="rId12" /><Relationship Type="http://schemas.openxmlformats.org/officeDocument/2006/relationships/hyperlink" Target="https://www.judiciary.uk/wp-content/uploads/2023/05/62-NHS-Resolution-Response-to-CJC-Costs-v2-FINAL.pdf" TargetMode="External" Id="rId1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hyperlink" Target="https://www.england.nhs.uk/2016/08/accessible-information-standard/" TargetMode="External" Id="rId16" /><Relationship Type="http://schemas.openxmlformats.org/officeDocument/2006/relationships/hyperlink" Target="https://www.kingsfund.org.uk/insight-and-analysis/reports/public-satisfaction-nhs-and-social-care-2022"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managers.org.uk/wp-content/uploads/2020/03/L5-Management-Leadership-Syllabus-1.pdf" TargetMode="External" Id="rId11" /><Relationship Type="http://schemas.openxmlformats.org/officeDocument/2006/relationships/footer" Target="footer1.xml" Id="rId24" /><Relationship Type="http://schemas.openxmlformats.org/officeDocument/2006/relationships/webSettings" Target="webSettings.xml" Id="rId5" /><Relationship Type="http://schemas.openxmlformats.org/officeDocument/2006/relationships/hyperlink" Target="https://www.mkuh.nhs.uk/wp-content/uploads/2022/10/Maternity-Health-Records-and-Record-Keeping-Guideline-.pdf" TargetMode="External" Id="rId15" /><Relationship Type="http://schemas.openxmlformats.org/officeDocument/2006/relationships/header" Target="header1.xml" Id="rId23" /><Relationship Type="http://schemas.openxmlformats.org/officeDocument/2006/relationships/hyperlink" Target="https://psnet.ahrq.gov/web-mm/impact-communication-medication-errors" TargetMode="External" Id="rId10" /><Relationship Type="http://schemas.openxmlformats.org/officeDocument/2006/relationships/hyperlink" Target="https://committees.parliament.uk/writtenevidence/108872/pdf/" TargetMode="External" Id="rId19" /><Relationship Type="http://schemas.openxmlformats.org/officeDocument/2006/relationships/settings" Target="settings.xml" Id="rId4" /><Relationship Type="http://schemas.openxmlformats.org/officeDocument/2006/relationships/hyperlink" Target="https://qualitysafety.bmj.com/content/33/11/726" TargetMode="External" Id="rId9" /><Relationship Type="http://schemas.openxmlformats.org/officeDocument/2006/relationships/hyperlink" Target="https://courses.lumenlearning.com/publicspeakingprinciples/chapter/models-of-communication/" TargetMode="External" Id="rId14" /><Relationship Type="http://schemas.openxmlformats.org/officeDocument/2006/relationships/hyperlink" Target="https://www.gov.uk/data-protection" TargetMode="Externa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9BC4C-F49E-40A4-A9C3-7A915BBA7CF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Azhar compuer</dc:creator>
  <lastModifiedBy>Haleema Kashaf (2433461)</lastModifiedBy>
  <revision>4</revision>
  <dcterms:created xsi:type="dcterms:W3CDTF">2025-10-11T06:34:00.0000000Z</dcterms:created>
  <dcterms:modified xsi:type="dcterms:W3CDTF">2025-11-17T19:03:23.2318591Z</dcterms:modified>
</coreProperties>
</file>