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6F837819"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68CC16A6" w:rsidR="00AD4EBD" w:rsidRDefault="004276C5" w:rsidP="00AE1A4C">
            <w:pPr>
              <w:pStyle w:val="AssignBody"/>
            </w:pPr>
            <w:r w:rsidRPr="004276C5">
              <w:t xml:space="preserve">Re-look at </w:t>
            </w:r>
            <w:proofErr w:type="spellStart"/>
            <w:r w:rsidRPr="004276C5">
              <w:t>Havard</w:t>
            </w:r>
            <w:proofErr w:type="spellEnd"/>
            <w:r w:rsidRPr="004276C5">
              <w:t xml:space="preserve"> referencing conventions to ensure that you are referencing appropriately</w:t>
            </w:r>
          </w:p>
        </w:tc>
        <w:tc>
          <w:tcPr>
            <w:tcW w:w="3647" w:type="dxa"/>
          </w:tcPr>
          <w:p w14:paraId="5F7F611A" w14:textId="068DEEEE" w:rsidR="00AD4EBD" w:rsidRDefault="004276C5" w:rsidP="00AE1A4C">
            <w:pPr>
              <w:pStyle w:val="AssignBody"/>
            </w:pPr>
            <w:r>
              <w:t>I have used the UWTSD Harvard referencing guide, alongside searching for examples online.</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79F789E2" w:rsidR="00AD4EBD" w:rsidRDefault="004276C5" w:rsidP="00AE1A4C">
            <w:pPr>
              <w:pStyle w:val="AssignBody"/>
            </w:pPr>
            <w:r w:rsidRPr="004276C5">
              <w:t>Use a range of literature to support assertions and engage with concepts more deeply</w:t>
            </w:r>
          </w:p>
        </w:tc>
        <w:tc>
          <w:tcPr>
            <w:tcW w:w="3647" w:type="dxa"/>
          </w:tcPr>
          <w:p w14:paraId="54F0029C" w14:textId="291DADFF" w:rsidR="00AD4EBD" w:rsidRDefault="004276C5" w:rsidP="00AE1A4C">
            <w:pPr>
              <w:pStyle w:val="AssignBody"/>
            </w:pPr>
            <w:r>
              <w:t xml:space="preserve">I have used the UWTSD library and Google Scholar to read and select a range of appropriate literature. I have attempted to engage with concepts more deeply, using literature </w:t>
            </w:r>
            <w:r>
              <w:t>to support assertations.</w:t>
            </w:r>
          </w:p>
        </w:tc>
      </w:tr>
    </w:tbl>
    <w:p w14:paraId="45E34BBD" w14:textId="77777777" w:rsidR="002229F0" w:rsidRDefault="002229F0" w:rsidP="00E611D9">
      <w:pPr>
        <w:pStyle w:val="AssignBody"/>
      </w:pPr>
    </w:p>
    <w:p w14:paraId="11FC6168" w14:textId="7233FCE1" w:rsidR="00D811FA" w:rsidRDefault="00BC5BE5" w:rsidP="00BC5BE5">
      <w:pPr>
        <w:pStyle w:val="AssignBody"/>
      </w:pPr>
      <w:r>
        <w:t>Word count: 2,746</w:t>
      </w:r>
    </w:p>
    <w:p w14:paraId="4F793AE0" w14:textId="77777777" w:rsidR="00BC5BE5" w:rsidRDefault="00BC5BE5" w:rsidP="00BC5BE5">
      <w:pPr>
        <w:pStyle w:val="AssignBody"/>
      </w:pPr>
    </w:p>
    <w:p w14:paraId="6CA0A1B6" w14:textId="77777777" w:rsidR="00BC5BE5" w:rsidRDefault="00BC5BE5" w:rsidP="00BC5BE5">
      <w:pPr>
        <w:pStyle w:val="AssignBody"/>
      </w:pPr>
    </w:p>
    <w:p w14:paraId="69FC7C76" w14:textId="21A354E4" w:rsidR="00D811FA" w:rsidRDefault="00D811FA" w:rsidP="005579EA">
      <w:pPr>
        <w:pStyle w:val="AssignSubHeader"/>
        <w:rPr>
          <w:sz w:val="36"/>
          <w:u w:val="single"/>
        </w:rPr>
      </w:pPr>
      <w:r w:rsidRPr="00D811FA">
        <w:rPr>
          <w:sz w:val="36"/>
          <w:u w:val="single"/>
        </w:rPr>
        <w:t>How a school develops one aspect of its SDP: a report that critically reflects on the actions, impact and evidence base</w:t>
      </w:r>
      <w:r>
        <w:rPr>
          <w:sz w:val="36"/>
          <w:u w:val="single"/>
        </w:rPr>
        <w:t>.</w:t>
      </w:r>
    </w:p>
    <w:p w14:paraId="21A5C501" w14:textId="77777777" w:rsidR="00D811FA" w:rsidRDefault="00D811FA" w:rsidP="005579EA">
      <w:pPr>
        <w:pStyle w:val="AssignSubHeader"/>
        <w:rPr>
          <w:sz w:val="36"/>
          <w:u w:val="single"/>
        </w:rPr>
      </w:pPr>
    </w:p>
    <w:p w14:paraId="26F79B93" w14:textId="163F9E3A" w:rsidR="005579EA" w:rsidRDefault="005579EA" w:rsidP="005579EA">
      <w:pPr>
        <w:pStyle w:val="AssignSubHeader"/>
      </w:pPr>
      <w:r>
        <w:t xml:space="preserve">Introduction </w:t>
      </w:r>
    </w:p>
    <w:p w14:paraId="041815F2" w14:textId="6E12B16B" w:rsidR="005579EA" w:rsidRDefault="005579EA" w:rsidP="005579EA">
      <w:pPr>
        <w:pStyle w:val="AssignBody"/>
      </w:pPr>
      <w:r>
        <w:t xml:space="preserve">The report will consider one action point from a School Development Plan (SDP). A literature review will demonstrate theoretical awareness of the process followed by schools in determining an SDP, alongside expressing understanding of the chosen action point. To expand upon the development process, elements including evaluation, analysis, planning and measures implemented by the school will be critically evaluated. Theoretical knowledge will support reflection on the school’s action in relation to the SDP, making suggestions for future development. This knowledge and understanding will support critical reflection and inform future teaching practice and professional development. </w:t>
      </w:r>
    </w:p>
    <w:p w14:paraId="5E2D3FAB" w14:textId="77777777" w:rsidR="005579EA" w:rsidRDefault="005579EA" w:rsidP="005579EA">
      <w:pPr>
        <w:pStyle w:val="AssignBody"/>
      </w:pPr>
    </w:p>
    <w:p w14:paraId="2B0E9997" w14:textId="77777777" w:rsidR="005579EA" w:rsidRDefault="005579EA" w:rsidP="005579EA">
      <w:pPr>
        <w:pStyle w:val="AssignBody"/>
      </w:pPr>
      <w:r>
        <w:lastRenderedPageBreak/>
        <w:t xml:space="preserve">The school considered in this report is situated in a previously industrial area. Pupils on roll live within the 30% most deprived areas of Wales. The school consists of seven classes alongside a nursery and Flying Start provision. At the time of the last Estyn inspection, around 38% of pupils were entitled to free school meals (FSM), above the national average. Around half of pupils speak English as an additional language (EAL), many of which are of Asian heritage. Approximately 30% of pupils have additional learning needs (ALN), higher than the national average. There are pupils within the school who have statements (Estyn, 2014). </w:t>
      </w:r>
    </w:p>
    <w:p w14:paraId="6A2703EE" w14:textId="77777777" w:rsidR="005579EA" w:rsidRDefault="005579EA" w:rsidP="005579EA">
      <w:pPr>
        <w:pStyle w:val="AssignBody"/>
      </w:pPr>
    </w:p>
    <w:p w14:paraId="75CEA5A3" w14:textId="77777777" w:rsidR="005579EA" w:rsidRDefault="005579EA" w:rsidP="005579EA">
      <w:pPr>
        <w:pStyle w:val="AssignSubHeader"/>
      </w:pPr>
      <w:r>
        <w:t xml:space="preserve">Literature review </w:t>
      </w:r>
    </w:p>
    <w:p w14:paraId="13B558CD" w14:textId="08F06F3F" w:rsidR="005579EA" w:rsidRDefault="005579EA" w:rsidP="005579EA">
      <w:pPr>
        <w:pStyle w:val="AssignBody"/>
      </w:pPr>
      <w:r>
        <w:t xml:space="preserve">An SDP is a school-produced document which outlines priorities, targets and action for improved teaching and learning. Governors and school staff question: the school currently; necessary changes and how these will be implemented; how success will be determined (Hargreaves and Hopkins, 1994). These questions inform the school development planning process of: self-evaluation; strategic planning; implementing action; reviewing impact (Welsh Government, 2014). Estyn (n.d.) report these stages create improvement when led by a strong school vision. Bernhardt (2013) adds when a clear purpose accounting for the school’s context is understood by all, intended outcomes can be reached. </w:t>
      </w:r>
    </w:p>
    <w:p w14:paraId="0AE87B7D" w14:textId="77777777" w:rsidR="005579EA" w:rsidRDefault="005579EA" w:rsidP="005579EA">
      <w:pPr>
        <w:pStyle w:val="AssignBody"/>
      </w:pPr>
    </w:p>
    <w:p w14:paraId="2F1C6A3E" w14:textId="13D61559" w:rsidR="005579EA" w:rsidRDefault="005579EA" w:rsidP="005579EA">
      <w:pPr>
        <w:pStyle w:val="AssignBody"/>
      </w:pPr>
      <w:r>
        <w:t xml:space="preserve">To achieve intended outcomes, SDPs cover three to five years, perhaps so action can be implemented and reviewed. Priorities and targets encompass the total timeframe, supported by a detailed outline of priorities, targets and action for the current academic year. Timescale is vital in effective development planning, as deadlines inspire momentum and motivation in implementing action (Broadhead et al. 1996, p278; SDPI, 1999). Targets describe short and long-term goals (Davies and Ellison, 2003). This presents school development as model of continuous progression in long-term planning </w:t>
      </w:r>
    </w:p>
    <w:p w14:paraId="16FDADE2" w14:textId="77777777" w:rsidR="005579EA" w:rsidRDefault="005579EA" w:rsidP="005579EA">
      <w:pPr>
        <w:pStyle w:val="AssignBody"/>
      </w:pPr>
    </w:p>
    <w:p w14:paraId="7024A815" w14:textId="1D047392" w:rsidR="005579EA" w:rsidRDefault="005579EA" w:rsidP="005579EA">
      <w:pPr>
        <w:pStyle w:val="AssignBody"/>
      </w:pPr>
      <w:r>
        <w:t>Timescale-oriented targets should be supported by clear details of responsibilities, to ensure effective use of resources. Moreover, ambiguity regarding roles can cause uncertainty and reduced performance (</w:t>
      </w:r>
      <w:proofErr w:type="spellStart"/>
      <w:r>
        <w:t>Prezyna</w:t>
      </w:r>
      <w:proofErr w:type="spellEnd"/>
      <w:r>
        <w:t xml:space="preserve"> et al. 2017, p2). The document should be readily available and used to guide decisions and reflection regarding improvement. The plan should be considered an everchanging document which reflects performance data and improvements which have led to priorities being met (Welsh Government, 2014). </w:t>
      </w:r>
    </w:p>
    <w:p w14:paraId="4ED271EB" w14:textId="77777777" w:rsidR="005579EA" w:rsidRDefault="005579EA" w:rsidP="005579EA">
      <w:pPr>
        <w:pStyle w:val="AssignBody"/>
      </w:pPr>
    </w:p>
    <w:p w14:paraId="49512C7B" w14:textId="7A6921F4" w:rsidR="005579EA" w:rsidRDefault="005579EA" w:rsidP="005579EA">
      <w:pPr>
        <w:pStyle w:val="AssignBody"/>
      </w:pPr>
      <w:proofErr w:type="spellStart"/>
      <w:r>
        <w:t>Creemers</w:t>
      </w:r>
      <w:proofErr w:type="spellEnd"/>
      <w:r>
        <w:t xml:space="preserve"> and </w:t>
      </w:r>
      <w:proofErr w:type="spellStart"/>
      <w:r>
        <w:t>Kyriakides</w:t>
      </w:r>
      <w:proofErr w:type="spellEnd"/>
      <w:r>
        <w:t xml:space="preserve"> (2012) propose evaluation betters education provision by concentrating on teaching and learning regarding improving pupils’ attainment. The school’s </w:t>
      </w:r>
      <w:r>
        <w:lastRenderedPageBreak/>
        <w:t xml:space="preserve">strengths, areas needing improvement, and action required to produce improvement are identifiable through self-evaluation for school development planning. </w:t>
      </w:r>
      <w:proofErr w:type="spellStart"/>
      <w:r>
        <w:t>Ketchatturat</w:t>
      </w:r>
      <w:proofErr w:type="spellEnd"/>
      <w:r>
        <w:t xml:space="preserve"> (2012, p3493) suggests self-evaluation follows a framework, perhaps beneficial by focusing the procedure to identify the school’s needs. </w:t>
      </w:r>
    </w:p>
    <w:p w14:paraId="2E4888D3" w14:textId="77777777" w:rsidR="005579EA" w:rsidRDefault="005579EA" w:rsidP="005579EA">
      <w:pPr>
        <w:pStyle w:val="AssignBody"/>
      </w:pPr>
    </w:p>
    <w:p w14:paraId="4A245874" w14:textId="2FB5D1CF" w:rsidR="005579EA" w:rsidRDefault="005579EA" w:rsidP="005579EA">
      <w:pPr>
        <w:pStyle w:val="AssignBody"/>
      </w:pPr>
      <w:r>
        <w:t xml:space="preserve">Incorporating inspection feedback in development planning articulates how recommendations will be addressed. Informed by inspection feedback, the plan is recommended to include: priorities, previous and future targets, intended outcomes, strategy, professional development, community engagement, resources (Welsh Government, 2014). These areas correlate with the self-evaluation process, considering the school at the time of review and how it is to progress. Hanover Research (2014) recommend a limit of five priorities to ensure sufficient efforts are distributed to all priorities. This insinuates widespread attention could subdue the impact made on each priority if more were undertaken, questionably resulting from reduced time and resources. </w:t>
      </w:r>
    </w:p>
    <w:p w14:paraId="6D3EACCA" w14:textId="77777777" w:rsidR="005579EA" w:rsidRDefault="005579EA" w:rsidP="005579EA">
      <w:pPr>
        <w:pStyle w:val="AssignBody"/>
      </w:pPr>
    </w:p>
    <w:p w14:paraId="6F6237F3" w14:textId="1877C33C" w:rsidR="005579EA" w:rsidRDefault="005579EA" w:rsidP="005579EA">
      <w:pPr>
        <w:pStyle w:val="AssignBody"/>
      </w:pPr>
      <w:r>
        <w:t xml:space="preserve">In measuring the impact of action on school improvement, the Welsh Government (2014) recommend frequent examination of the SDP throughout its use and an annual formal re-evaluation. The governing body should evaluate and update the SDP, so it reflects the current needs and context of the school. Doing so supports sustained improvement by authorizing change in line with the school’s vision and needs. Hanover Research (2014) add that continuous review means new targets can be introduced to continue development. </w:t>
      </w:r>
    </w:p>
    <w:p w14:paraId="4589A665" w14:textId="77777777" w:rsidR="005579EA" w:rsidRDefault="005579EA" w:rsidP="005579EA">
      <w:pPr>
        <w:pStyle w:val="AssignBody"/>
      </w:pPr>
    </w:p>
    <w:p w14:paraId="26094F01" w14:textId="4CC1431D" w:rsidR="005579EA" w:rsidRDefault="005579EA" w:rsidP="005579EA">
      <w:pPr>
        <w:pStyle w:val="AssignBody"/>
      </w:pPr>
      <w:r>
        <w:t xml:space="preserve">The OECD (2017) proposes education which enables all learners to reach their individual potential produces a stronger society and economy. Therefore, the Welsh Government (2017) seeks to raise standards to create a thriving country. Early education is viewed as the foundation for a lifelong passion for learning. Student support and post-compulsory education can assist this system, as attention towards raising extends beyond schools. Therefore, education can enhance pupils’ lives, from an early stage into the future. </w:t>
      </w:r>
    </w:p>
    <w:p w14:paraId="5FC2EC2E" w14:textId="77777777" w:rsidR="005579EA" w:rsidRDefault="005579EA" w:rsidP="005579EA">
      <w:pPr>
        <w:pStyle w:val="AssignBody"/>
      </w:pPr>
    </w:p>
    <w:p w14:paraId="4E28983A" w14:textId="53EB9646" w:rsidR="005579EA" w:rsidRDefault="005579EA" w:rsidP="005579EA">
      <w:pPr>
        <w:pStyle w:val="AssignBody"/>
      </w:pPr>
      <w:r>
        <w:t xml:space="preserve">Schools seek to improve attainment to give pupils an education which leads to opportunities in later life. Statistics show those in disadvantaged groups form a majority of those not achieving successful qualifications in English and Maths. This generates personal, social and economic implications (Goodall, 2017). Therefore, closing the gap could improve pupils’ future prospects and benefit the country through an ambitious, capable workforce. Raising standards to address poverty and the attainment gap is a national priority (Welsh Government, 2017). Lee and Bowen (2006, p193) propose this is because research demonstrates a link between the attainment gap and a child’s socio-economic background. </w:t>
      </w:r>
      <w:r>
        <w:lastRenderedPageBreak/>
        <w:t xml:space="preserve">The attainment gap is most prevalent amongst FSM and ALN pupils. Disparity in attainment widens as children progress through education, highlighting the importance of early intervention (Education Endowment Foundation, 2017). </w:t>
      </w:r>
    </w:p>
    <w:p w14:paraId="0FF0D50C" w14:textId="77777777" w:rsidR="005579EA" w:rsidRDefault="005579EA" w:rsidP="005579EA">
      <w:pPr>
        <w:pStyle w:val="AssignBody"/>
      </w:pPr>
    </w:p>
    <w:p w14:paraId="0664D220" w14:textId="77777777" w:rsidR="005579EA" w:rsidRDefault="005579EA" w:rsidP="005579EA">
      <w:pPr>
        <w:pStyle w:val="AssignBody"/>
      </w:pPr>
      <w:r>
        <w:t xml:space="preserve">McCluskey (2017, p28) proposes parental engagement can address the attainment gap. Carter-Wall and Whitfield (2012) explain this is because parents influence their child’s participation in school and attitudes towards learning. Parental engagement encompasses: how parents engage with their child and the school; parents’ views towards learning; creating cohesive expectations of the child between school and home. Parents who lacked success in their own education may require upskilling, so they are equipped to support their child’s learning and development. Exposing disadvantaged families to prospects for later life could combat negative attitudes towards education and low aspirations for life. This could prove beneficial as disadvantaged families may be unaware of opportunities. </w:t>
      </w:r>
    </w:p>
    <w:p w14:paraId="64DDBC10" w14:textId="77777777" w:rsidR="005579EA" w:rsidRDefault="005579EA" w:rsidP="005579EA">
      <w:pPr>
        <w:pStyle w:val="AssignBody"/>
      </w:pPr>
    </w:p>
    <w:p w14:paraId="656DC401" w14:textId="3F053D58" w:rsidR="005579EA" w:rsidRPr="005579EA" w:rsidRDefault="005579EA" w:rsidP="005579EA">
      <w:pPr>
        <w:pStyle w:val="AssignSubHeader"/>
      </w:pPr>
      <w:r>
        <w:t xml:space="preserve">Developing an action point </w:t>
      </w:r>
    </w:p>
    <w:p w14:paraId="5DF9AB50" w14:textId="2529EA21" w:rsidR="005579EA" w:rsidRDefault="005579EA" w:rsidP="005579EA">
      <w:pPr>
        <w:pStyle w:val="AssignBody"/>
      </w:pPr>
      <w:r>
        <w:t xml:space="preserve">The SDP was produced using information from the school’s self-evaluation and latest inspection. The Pupil Deprivation Grant (PDG) was identified to provide funding to tackle disadvantage and improve pupils’ attainment.  </w:t>
      </w:r>
    </w:p>
    <w:p w14:paraId="5407B360" w14:textId="77777777" w:rsidR="005579EA" w:rsidRDefault="005579EA" w:rsidP="005579EA">
      <w:pPr>
        <w:pStyle w:val="AssignBody"/>
      </w:pPr>
    </w:p>
    <w:p w14:paraId="4E2DF5D3" w14:textId="46795D57" w:rsidR="005579EA" w:rsidRDefault="005579EA" w:rsidP="005579EA">
      <w:pPr>
        <w:pStyle w:val="AssignBody"/>
      </w:pPr>
      <w:r>
        <w:t xml:space="preserve">Self-evaluation during development planning enables schools to consider performance, strengths, necessary changes and actions required to generate improvement (Department of Education, n.d.; </w:t>
      </w:r>
      <w:proofErr w:type="spellStart"/>
      <w:r>
        <w:t>Kurum</w:t>
      </w:r>
      <w:proofErr w:type="spellEnd"/>
      <w:r>
        <w:t xml:space="preserve"> and </w:t>
      </w:r>
      <w:proofErr w:type="spellStart"/>
      <w:r>
        <w:t>Cinkir</w:t>
      </w:r>
      <w:proofErr w:type="spellEnd"/>
      <w:r>
        <w:t xml:space="preserve">, 2019, p255). Schools undertaking self-evaluation often find improvements in learners’ outcomes (Welsh Government, 2014). This demonstrates the importance of self-evaluation in assessing the extent action has generated improvement, to generate continuous progression. </w:t>
      </w:r>
    </w:p>
    <w:p w14:paraId="38FEA8EC" w14:textId="77777777" w:rsidR="005579EA" w:rsidRDefault="005579EA" w:rsidP="005579EA">
      <w:pPr>
        <w:pStyle w:val="AssignBody"/>
      </w:pPr>
    </w:p>
    <w:p w14:paraId="543C90B8" w14:textId="1CA3492B" w:rsidR="005579EA" w:rsidRDefault="005579EA" w:rsidP="005579EA">
      <w:pPr>
        <w:pStyle w:val="AssignBody"/>
      </w:pPr>
      <w:r>
        <w:t xml:space="preserve">As recommended by the Department of Education and Training (2020) the school identified strengths and areas requiring further development. This highlighted the need to raise standards, increasing Literacy and Numeracy attainment, and using this to break the link between poverty and attainment. Self-evaluation was supported by considering progress made following their last inspection. Referring to previous targets whilst setting new goals indicates continuous progress being made by the school to improve learning experiences and outcomes. </w:t>
      </w:r>
    </w:p>
    <w:p w14:paraId="3F3AAB85" w14:textId="77777777" w:rsidR="005579EA" w:rsidRDefault="005579EA" w:rsidP="005579EA">
      <w:pPr>
        <w:pStyle w:val="AssignBody"/>
      </w:pPr>
    </w:p>
    <w:p w14:paraId="3288C05B" w14:textId="77777777" w:rsidR="005579EA" w:rsidRDefault="005579EA" w:rsidP="005579EA">
      <w:pPr>
        <w:pStyle w:val="AssignBody"/>
      </w:pPr>
      <w:r>
        <w:t xml:space="preserve">Qualitative and quantitative data inform self-evaluation, considering the school’s performance alongside contextual data (Welsh Government, 2014). The SDP outlines </w:t>
      </w:r>
      <w:r>
        <w:lastRenderedPageBreak/>
        <w:t xml:space="preserve">Foundation Phase and Key Stage 2 target setting. Pupils are categorised to show the number of: boys and girls; EAL and non-EAL pupils; FSM and non-FSM pupils; ALN and non-ALN pupils. These categories are presented against data for: Literacy; Numeracy; Personal and Social Development in Foundation Phase, and Science in Key Stage 2. </w:t>
      </w:r>
    </w:p>
    <w:p w14:paraId="5F596B6C" w14:textId="77777777" w:rsidR="005579EA" w:rsidRDefault="005579EA" w:rsidP="005579EA">
      <w:pPr>
        <w:pStyle w:val="AssignBody"/>
      </w:pPr>
    </w:p>
    <w:p w14:paraId="434830E9" w14:textId="047B09F2" w:rsidR="005579EA" w:rsidRDefault="005579EA" w:rsidP="005579EA">
      <w:pPr>
        <w:pStyle w:val="AssignBody"/>
      </w:pPr>
      <w:r>
        <w:t xml:space="preserve">Bernhardt (2013) discusses the importance of analysing all data rather focusing on gaps. She suggests when only gaps in performance are considered, limited progress can be made as not every learner is considered and catered for. Boon (2011, p77) shares this view, stating it is vital teachers believe all pupils can learn to generate learning, as maintaining high expectations is found to improve attainment. This proposes including data from all pupils will enhance learning experiences and improve attainment, by valuing and involving all pupils in the development process. </w:t>
      </w:r>
    </w:p>
    <w:p w14:paraId="7F39381E" w14:textId="77777777" w:rsidR="005579EA" w:rsidRDefault="005579EA" w:rsidP="005579EA">
      <w:pPr>
        <w:pStyle w:val="AssignBody"/>
      </w:pPr>
    </w:p>
    <w:p w14:paraId="438929EB" w14:textId="512AC15F" w:rsidR="005579EA" w:rsidRDefault="005579EA" w:rsidP="005579EA">
      <w:pPr>
        <w:pStyle w:val="AssignBody"/>
      </w:pPr>
      <w:r>
        <w:t xml:space="preserve">Hargreaves and Hopkins (1994) and Roche and </w:t>
      </w:r>
      <w:proofErr w:type="spellStart"/>
      <w:r>
        <w:t>Strobach</w:t>
      </w:r>
      <w:proofErr w:type="spellEnd"/>
      <w:r>
        <w:t xml:space="preserve"> (2019) propose effective development should include all school partners and stakeholders to ensure commitment towards the school’s vision for improvement. The SDP lists governors, staff, parents and the community to participate in planning, implementing and reviewing development, perhaps to facilitate a cohesive process. Widespread involvement implies early communication of roles and expectations is vital, so everyone has a clear understanding of how to meet intended outcomes.</w:t>
      </w:r>
    </w:p>
    <w:p w14:paraId="704937B2" w14:textId="77777777" w:rsidR="005579EA" w:rsidRDefault="005579EA" w:rsidP="005579EA">
      <w:pPr>
        <w:pStyle w:val="AssignBody"/>
      </w:pPr>
    </w:p>
    <w:p w14:paraId="0019FCF5" w14:textId="43EA8DDE" w:rsidR="005579EA" w:rsidRDefault="005579EA" w:rsidP="005579EA">
      <w:pPr>
        <w:pStyle w:val="AssignBody"/>
      </w:pPr>
      <w:r>
        <w:t xml:space="preserve">The development process endeavours to generate school improvement through ownership and collaboration (Bernhardt, 2013; Welsh Government, 2014). Collaboration could build stronger relationships between staff, heads and governors by valuing everyone’s contribution. Staff involvement promotes ownership over improvements by distributing roles for the development process. As discussed by Hargreaves and Hopkins (1994), this could benefit staffs’ engagement by making them feel more in control of changes happening in their work environment. </w:t>
      </w:r>
    </w:p>
    <w:p w14:paraId="18514E33" w14:textId="77777777" w:rsidR="005579EA" w:rsidRDefault="005579EA" w:rsidP="005579EA">
      <w:pPr>
        <w:pStyle w:val="AssignBody"/>
      </w:pPr>
    </w:p>
    <w:p w14:paraId="0009FBA7" w14:textId="77777777" w:rsidR="005579EA" w:rsidRDefault="005579EA" w:rsidP="005579EA">
      <w:pPr>
        <w:pStyle w:val="AssignBody"/>
      </w:pPr>
      <w:r>
        <w:t xml:space="preserve">A pupil overview prefaces target setting. The data presents the number of FSM, EAL, ALN and vulnerable pupils. This information highlights those most likely to be affected by the poverty and attainment gap, linking to the priority. Isaksson, Lindqvist and Bergstrom (2008, p133-151) propose being aware of disadvantaged pupils means teachers can provide differentiated support to learners to meet individual needs, ensuring all pupils are appropriately challenged whilst meeting their individual potential. Oakes (2003) elaborates by stating the importance of making high quality education provision accessible to learners from disadvantaged backgrounds, so they can achieve academic success. Therefore, </w:t>
      </w:r>
      <w:r>
        <w:lastRenderedPageBreak/>
        <w:t xml:space="preserve">meeting the needs of these learners could tackle the poverty and attainment gap by ensuring these children can engage in learning and improve their Literacy and Numeracy attainment. </w:t>
      </w:r>
    </w:p>
    <w:p w14:paraId="48713C93" w14:textId="77777777" w:rsidR="005579EA" w:rsidRDefault="005579EA" w:rsidP="005579EA">
      <w:pPr>
        <w:pStyle w:val="AssignBody"/>
      </w:pPr>
    </w:p>
    <w:p w14:paraId="1A07F570" w14:textId="3B2DBFE7" w:rsidR="005579EA" w:rsidRDefault="005579EA" w:rsidP="005579EA">
      <w:pPr>
        <w:pStyle w:val="AssignBody"/>
      </w:pPr>
      <w:r>
        <w:t xml:space="preserve">Strategic planning for the identified priority over the current academic year mentions: action; resources; timescales; intended outcomes; monitoring and reporting. Continued professional development is also outlined. Lindon (2011, p3) and Thompson et al. (2013, p245-250) discuss the importance of upskilling staff for school development, so they are appropriately equipped to engage with the SDP. This implies providing staff Literacy and Numeracy training will improve the quality of education provision, addressing the identified priority by enhancing pupils’ learning opportunities. </w:t>
      </w:r>
    </w:p>
    <w:p w14:paraId="6527CBFF" w14:textId="77777777" w:rsidR="005579EA" w:rsidRDefault="005579EA" w:rsidP="005579EA">
      <w:pPr>
        <w:pStyle w:val="AssignBody"/>
      </w:pPr>
    </w:p>
    <w:p w14:paraId="3E5F7B47" w14:textId="42C9CFA0" w:rsidR="005579EA" w:rsidRDefault="005579EA" w:rsidP="005579EA">
      <w:pPr>
        <w:pStyle w:val="AssignBody"/>
      </w:pPr>
      <w:r>
        <w:t xml:space="preserve">Five priorities follows recommendations made by Hanover Research (2014). This implies the school will efficiently address all priorities, thus facilitating successful school development. Long-term strategic planning listed targets for years 2 and 3. This informs those involved of what they are working towards and the purpose of action taken (SDPI, 1999, p33). </w:t>
      </w:r>
    </w:p>
    <w:p w14:paraId="532F0CBC" w14:textId="77777777" w:rsidR="005579EA" w:rsidRDefault="005579EA" w:rsidP="005579EA">
      <w:pPr>
        <w:pStyle w:val="AssignBody"/>
      </w:pPr>
    </w:p>
    <w:p w14:paraId="70092FB8" w14:textId="77777777" w:rsidR="005579EA" w:rsidRDefault="005579EA" w:rsidP="005579EA">
      <w:pPr>
        <w:pStyle w:val="AssignBody"/>
      </w:pPr>
      <w:r>
        <w:t xml:space="preserve">As proposed by Baumgartner, </w:t>
      </w:r>
      <w:proofErr w:type="spellStart"/>
      <w:r>
        <w:t>Lipowski</w:t>
      </w:r>
      <w:proofErr w:type="spellEnd"/>
      <w:r>
        <w:t xml:space="preserve"> and Rush (2003) the SDP looks to improve attainment through differentiation, to ensure all pupils can reach their individual learning potential. This was to be measured through monitoring pupil progress and data, alongside observing planning and teaching to ensure learning experiences support the development process. To reduce the gap between poverty and attainment, FSM pupils were to be monitored. Providing additional support reinforces the writing of Griffin (2014), who suggests disadvantaged pupils require differentiated support to ensure they can engage in learning and achieve academic success. </w:t>
      </w:r>
    </w:p>
    <w:p w14:paraId="2B78A72C" w14:textId="77777777" w:rsidR="005579EA" w:rsidRDefault="005579EA" w:rsidP="005579EA">
      <w:pPr>
        <w:pStyle w:val="AssignBody"/>
      </w:pPr>
    </w:p>
    <w:p w14:paraId="4EB20A3E" w14:textId="77777777" w:rsidR="005579EA" w:rsidRDefault="005579EA" w:rsidP="005579EA">
      <w:pPr>
        <w:pStyle w:val="AssignSubHeader"/>
      </w:pPr>
      <w:r>
        <w:t xml:space="preserve">Reflection and evaluation </w:t>
      </w:r>
    </w:p>
    <w:p w14:paraId="1F3FBC66" w14:textId="4F085972" w:rsidR="005579EA" w:rsidRDefault="005579EA" w:rsidP="005579EA">
      <w:pPr>
        <w:pStyle w:val="AssignBody"/>
      </w:pPr>
      <w:r>
        <w:t xml:space="preserve">To raise standards and address the attainment gap, the PDG funded a variety of support to pupils, families and school staff. </w:t>
      </w:r>
    </w:p>
    <w:p w14:paraId="0E5C3964" w14:textId="77777777" w:rsidR="005579EA" w:rsidRDefault="005579EA" w:rsidP="005579EA">
      <w:pPr>
        <w:pStyle w:val="AssignBody"/>
      </w:pPr>
    </w:p>
    <w:p w14:paraId="6B2B60A8" w14:textId="77777777" w:rsidR="005579EA" w:rsidRDefault="005579EA" w:rsidP="005579EA">
      <w:pPr>
        <w:pStyle w:val="AssignBody"/>
      </w:pPr>
      <w:r>
        <w:t xml:space="preserve">Newman-Ford et al. (2008, p699) propose a correlation between attendance and attainment. Studies show the more pupils attend learning experiences, the more likely they are to succeed academically. Therefore, the school instated an Attendance Officer to liaise with school staff, the Education Welfare Officer and parents. This created community links. Consequently, attendance rose, and punctuality improved. Reid (2008, p345-357) discusses the impact negative parental attitudes towards education can have on attendance, particularly in disadvantaged areas, indicating the importance of parental engagement. </w:t>
      </w:r>
      <w:r>
        <w:lastRenderedPageBreak/>
        <w:t xml:space="preserve">Ensuring parents are informed of attendance procedures and model positive attitudes towards education could improve attainment through increased attendance and participation in school. Hence, the Attendance Officer liaised with parents to ensure awareness of school procedures on sickness, holidays, lateness and appointments. This tackled the attitude of parents allowing their child a day off from school, communicating the importance of their child’s attendance on their attainment, and so more pupils consistently attended school. </w:t>
      </w:r>
    </w:p>
    <w:p w14:paraId="764726C3" w14:textId="77777777" w:rsidR="005579EA" w:rsidRDefault="005579EA" w:rsidP="005579EA">
      <w:pPr>
        <w:pStyle w:val="AssignBody"/>
      </w:pPr>
    </w:p>
    <w:p w14:paraId="7A27F16F" w14:textId="22A6EB79" w:rsidR="005579EA" w:rsidRDefault="005579EA" w:rsidP="005579EA">
      <w:pPr>
        <w:pStyle w:val="AssignBody"/>
      </w:pPr>
      <w:r>
        <w:t xml:space="preserve">Newman-Ford et al. (2008, p699) and Reid (2008, p345-357) propose positive attitudes towards attendance can improve attainment. Therefore, a reward system could be implemented so pupils receive recognition for punctuality and attendance. Promoting positive attitudes towards school participation for pupils could improve their engagement in learning. </w:t>
      </w:r>
    </w:p>
    <w:p w14:paraId="78A44942" w14:textId="77777777" w:rsidR="005579EA" w:rsidRDefault="005579EA" w:rsidP="005579EA">
      <w:pPr>
        <w:pStyle w:val="AssignBody"/>
      </w:pPr>
    </w:p>
    <w:p w14:paraId="69661872" w14:textId="1FFD7388" w:rsidR="005579EA" w:rsidRDefault="005579EA" w:rsidP="005579EA">
      <w:pPr>
        <w:pStyle w:val="AssignBody"/>
      </w:pPr>
      <w:r>
        <w:t xml:space="preserve">Parental engagement was used by the school to improve attainment. Literature supports this decision, as McCluskey (2017, p28) proposes parental engagement can tackle the attainment gap. A Family Liaison Officer created a bridge between the home and school environment. They helped families tackle barriers to learning and engagement, through workshops and counselling. This benefited all pupils, particularly those disadvantaged, by making learning accessible for everyone. </w:t>
      </w:r>
    </w:p>
    <w:p w14:paraId="53BFA8A1" w14:textId="77777777" w:rsidR="005579EA" w:rsidRDefault="005579EA" w:rsidP="005579EA">
      <w:pPr>
        <w:pStyle w:val="AssignBody"/>
      </w:pPr>
    </w:p>
    <w:p w14:paraId="0CC4C7A0" w14:textId="77777777" w:rsidR="005579EA" w:rsidRDefault="005579EA" w:rsidP="005579EA">
      <w:pPr>
        <w:pStyle w:val="AssignBody"/>
      </w:pPr>
      <w:r>
        <w:t xml:space="preserve">The school upskilled parents by holding workshops in: health and fitness, English, family learning and parenting. Carter-Wall and Whitfield (2012) explain disadvantaged parents who lacked academic success may not have the skills or knowledge to support their child’s learning. Therefore, providing learning opportunities for parents addressed the priority as upskilled parents can more effectively support their child’s learning and development. </w:t>
      </w:r>
    </w:p>
    <w:p w14:paraId="0F85A6E7" w14:textId="77777777" w:rsidR="005579EA" w:rsidRDefault="005579EA" w:rsidP="005579EA">
      <w:pPr>
        <w:pStyle w:val="AssignBody"/>
      </w:pPr>
    </w:p>
    <w:p w14:paraId="742B026A" w14:textId="1560ABD6" w:rsidR="005579EA" w:rsidRDefault="005579EA" w:rsidP="005579EA">
      <w:pPr>
        <w:pStyle w:val="AssignBody"/>
      </w:pPr>
      <w:r>
        <w:t xml:space="preserve">Future opportunities could be provided for parents and their children to work together within the school setting. Parental engagement workshops could prove beneficial to learning, as McCluskey (2017, p28) suggests doing so addresses the attainment gap. Staff would be present to support parents in leading the learning for their child, improving parental confidence that can be transferred to the home environment. </w:t>
      </w:r>
    </w:p>
    <w:p w14:paraId="38ACE1E5" w14:textId="77777777" w:rsidR="005579EA" w:rsidRDefault="005579EA" w:rsidP="005579EA">
      <w:pPr>
        <w:pStyle w:val="AssignBody"/>
      </w:pPr>
    </w:p>
    <w:p w14:paraId="31088CAD" w14:textId="5B62EE06" w:rsidR="005579EA" w:rsidRDefault="005579EA" w:rsidP="005579EA">
      <w:pPr>
        <w:pStyle w:val="AssignBody"/>
      </w:pPr>
      <w:r>
        <w:t xml:space="preserve">To raise standards, the school invested in Literacy, Numeracy, assessment and pupil tracking resources. Lindon (2011, p3) and Thompson et al. (2013, p245-250) discuss the importance of providing professional development opportunities so staff are equipped to participate in school development. Therefore, school staff underwent Read, Write, Inc. and Big Maths training. These have been implemented as a whole-school approach, ensuring </w:t>
      </w:r>
      <w:r>
        <w:lastRenderedPageBreak/>
        <w:t xml:space="preserve">unified committed to the school’s vision to raise standards. This proved successful, potentially as Bernhardt (2013) advises a clear purpose understood by all means intended outcomes can be reached. Providing resources and training meant staff provided differentiated support to all learners, improving Literacy and Numeracy attainment. This indicates Literacy and Numeracy training can improve the quality of education provision, successfully addressing the priority. </w:t>
      </w:r>
    </w:p>
    <w:p w14:paraId="7D52423B" w14:textId="77777777" w:rsidR="005579EA" w:rsidRDefault="005579EA" w:rsidP="005579EA">
      <w:pPr>
        <w:pStyle w:val="AssignBody"/>
      </w:pPr>
    </w:p>
    <w:p w14:paraId="30099F8A" w14:textId="77777777" w:rsidR="005579EA" w:rsidRDefault="005579EA" w:rsidP="005579EA">
      <w:pPr>
        <w:pStyle w:val="AssignBody"/>
      </w:pPr>
      <w:r>
        <w:t xml:space="preserve">Moving forward, parents could observe Literacy and Numeracy strategies to use these for home learning. This could improve attainment as Carter-Wall and Whitfield (2012) propose parental engagement creates cohesive expectations between the home and school environment. A consistent teaching approach could allow pupils to engage and progress in learning regardless of environment and improve attainment, possibly as Bernhardt (2013) suggests a clear purpose leads to development. </w:t>
      </w:r>
    </w:p>
    <w:p w14:paraId="7C3A510A" w14:textId="77777777" w:rsidR="005579EA" w:rsidRDefault="005579EA" w:rsidP="005579EA">
      <w:pPr>
        <w:pStyle w:val="AssignSubHeader"/>
      </w:pPr>
    </w:p>
    <w:p w14:paraId="6443D9A7" w14:textId="77777777" w:rsidR="005579EA" w:rsidRDefault="005579EA" w:rsidP="005579EA">
      <w:pPr>
        <w:pStyle w:val="AssignSubHeader"/>
      </w:pPr>
      <w:r>
        <w:t xml:space="preserve">Conclusion </w:t>
      </w:r>
    </w:p>
    <w:p w14:paraId="1A01C099" w14:textId="57C3BA68" w:rsidR="005579EA" w:rsidRDefault="005579EA" w:rsidP="005579EA">
      <w:pPr>
        <w:pStyle w:val="AssignBody"/>
      </w:pPr>
      <w:r>
        <w:t xml:space="preserve">To conclude, the assignment discusses the role of school development planning in improving teaching and learning. School development is possible when strengths and areas requiring improvement are identified, and action is implemented to generate change. This is effective when all stakeholders are involved, to ensure commitment to the school’s vision for change and cohesion throughout the process. Consistently reviewing targets and development means action can be adapted to meet the school’s needs. </w:t>
      </w:r>
    </w:p>
    <w:p w14:paraId="0AD3140E" w14:textId="77777777" w:rsidR="005579EA" w:rsidRDefault="005579EA" w:rsidP="005579EA">
      <w:pPr>
        <w:pStyle w:val="AssignBody"/>
      </w:pPr>
    </w:p>
    <w:p w14:paraId="50467AC2" w14:textId="5EB5229E" w:rsidR="005579EA" w:rsidRDefault="005579EA" w:rsidP="005579EA">
      <w:pPr>
        <w:pStyle w:val="AssignBody"/>
      </w:pPr>
      <w:r>
        <w:t>There is a drive to raise standards, as it is believed education provides the foundations for a successful future. The link between poverty and the attainment gap means there is a focus on providing additional support for the disadvantaged. This is so barriers to learning created by poverty are overcome, and learning is accessible to all. Therefore, raising standards and breaking the link between poverty and attainment seeks to create a stronger society and economy.</w:t>
      </w:r>
    </w:p>
    <w:p w14:paraId="65FDF6D1" w14:textId="77777777" w:rsidR="005579EA" w:rsidRDefault="005579EA" w:rsidP="005579EA">
      <w:pPr>
        <w:pStyle w:val="AssignBody"/>
      </w:pPr>
    </w:p>
    <w:p w14:paraId="3AE041C3" w14:textId="5AF28D96" w:rsidR="005579EA" w:rsidRDefault="005579EA" w:rsidP="005579EA">
      <w:pPr>
        <w:pStyle w:val="AssignBody"/>
      </w:pPr>
      <w:r>
        <w:t xml:space="preserve">Strategic planning identified the need to improve Literacy and Numeracy attainment, and the high number of disadvantaged pupils. This generated the priority to raise standards and break the link between poverty and attainment. Upskilling staff and parents and providing resources supported disadvantaged families and developed Literacy and Numeracy skills in all pupils. Improving Literacy and Numeracy provision and attainment benefits all pupils by giving them an education which enriches their lives and ensures they meet their individual potential. Involving all stakeholders alongside instating a Family Liaison Officer and </w:t>
      </w:r>
      <w:r>
        <w:lastRenderedPageBreak/>
        <w:t xml:space="preserve">Attendance Officer ensured pupils were supported at home and school, seeing Literacy and Numeracy attainment improve regardless of pupils’ backgrounds. </w:t>
      </w:r>
    </w:p>
    <w:p w14:paraId="262E8F48" w14:textId="77777777" w:rsidR="005579EA" w:rsidRDefault="005579EA" w:rsidP="005579EA">
      <w:pPr>
        <w:pStyle w:val="AssignBody"/>
      </w:pPr>
    </w:p>
    <w:p w14:paraId="4847B526" w14:textId="4D417B83" w:rsidR="005579EA" w:rsidRDefault="005579EA" w:rsidP="005579EA">
      <w:pPr>
        <w:pStyle w:val="AssignBody"/>
      </w:pPr>
      <w:r>
        <w:t>This will influence me professionally in the future when working collaboratively. I will engage with parents to create cohesion between the school and home environment, and ensure learning is accessible. This will be to provide all pupils an equal opportunity to receive an education that enhances their life prospects. I will undertake continuous professional development, to improve teaching and learning. In consistently upskilling myself I will strive to provide high-quality education provision, helping</w:t>
      </w:r>
      <w:r w:rsidR="00BA702D">
        <w:t xml:space="preserve"> all</w:t>
      </w:r>
      <w:r>
        <w:t xml:space="preserve"> pupils achieve their individual learning potential. </w:t>
      </w:r>
    </w:p>
    <w:p w14:paraId="01FD4E72" w14:textId="77777777" w:rsidR="005579EA" w:rsidRDefault="005579EA" w:rsidP="005579EA">
      <w:pPr>
        <w:pStyle w:val="AssignBody"/>
      </w:pPr>
    </w:p>
    <w:p w14:paraId="6DB72482" w14:textId="77777777" w:rsidR="005579EA" w:rsidRDefault="005579EA" w:rsidP="005579EA">
      <w:pPr>
        <w:pStyle w:val="AssignBody"/>
      </w:pPr>
    </w:p>
    <w:p w14:paraId="260078CE" w14:textId="77777777" w:rsidR="005579EA" w:rsidRDefault="005579EA" w:rsidP="005579EA">
      <w:pPr>
        <w:pStyle w:val="AssignBody"/>
      </w:pPr>
    </w:p>
    <w:p w14:paraId="7B273EB0" w14:textId="77777777" w:rsidR="005579EA" w:rsidRDefault="005579EA" w:rsidP="005579EA">
      <w:pPr>
        <w:pStyle w:val="AssignBody"/>
      </w:pPr>
    </w:p>
    <w:p w14:paraId="2B9CED8F" w14:textId="77777777" w:rsidR="005579EA" w:rsidRDefault="005579EA" w:rsidP="005579EA">
      <w:pPr>
        <w:pStyle w:val="AssignBody"/>
      </w:pPr>
      <w:bookmarkStart w:id="1" w:name="_GoBack"/>
      <w:bookmarkEnd w:id="1"/>
    </w:p>
    <w:p w14:paraId="3E525819" w14:textId="77777777" w:rsidR="005579EA" w:rsidRDefault="005579EA" w:rsidP="005579EA">
      <w:pPr>
        <w:pStyle w:val="AssignBody"/>
      </w:pPr>
    </w:p>
    <w:p w14:paraId="780A860E" w14:textId="77777777" w:rsidR="005579EA" w:rsidRDefault="005579EA" w:rsidP="005579EA">
      <w:pPr>
        <w:pStyle w:val="AssignBody"/>
      </w:pPr>
    </w:p>
    <w:p w14:paraId="46C5B229" w14:textId="77777777" w:rsidR="005579EA" w:rsidRDefault="005579EA" w:rsidP="005579EA">
      <w:pPr>
        <w:pStyle w:val="AssignBody"/>
      </w:pPr>
    </w:p>
    <w:p w14:paraId="2950981A" w14:textId="77777777" w:rsidR="005579EA" w:rsidRDefault="005579EA" w:rsidP="005579EA">
      <w:pPr>
        <w:pStyle w:val="AssignBody"/>
      </w:pPr>
    </w:p>
    <w:p w14:paraId="13E7E2AF" w14:textId="77777777" w:rsidR="005579EA" w:rsidRDefault="005579EA" w:rsidP="005579EA">
      <w:pPr>
        <w:pStyle w:val="AssignBody"/>
      </w:pPr>
    </w:p>
    <w:p w14:paraId="41F000C2" w14:textId="77777777" w:rsidR="005579EA" w:rsidRDefault="005579EA" w:rsidP="005579EA">
      <w:pPr>
        <w:pStyle w:val="AssignBody"/>
      </w:pPr>
    </w:p>
    <w:p w14:paraId="2F59DA42" w14:textId="77777777" w:rsidR="005579EA" w:rsidRDefault="005579EA" w:rsidP="005579EA">
      <w:pPr>
        <w:pStyle w:val="AssignBody"/>
      </w:pPr>
    </w:p>
    <w:p w14:paraId="2516F044" w14:textId="77777777" w:rsidR="005579EA" w:rsidRDefault="005579EA" w:rsidP="005579EA">
      <w:pPr>
        <w:pStyle w:val="AssignBody"/>
      </w:pPr>
    </w:p>
    <w:p w14:paraId="7C0C35D1" w14:textId="77777777" w:rsidR="005579EA" w:rsidRDefault="005579EA" w:rsidP="005579EA">
      <w:pPr>
        <w:pStyle w:val="AssignBody"/>
      </w:pPr>
    </w:p>
    <w:p w14:paraId="7B79A050" w14:textId="77777777" w:rsidR="005579EA" w:rsidRDefault="005579EA" w:rsidP="005579EA">
      <w:pPr>
        <w:pStyle w:val="AssignBody"/>
      </w:pPr>
    </w:p>
    <w:p w14:paraId="040813FA" w14:textId="5D506239" w:rsidR="005579EA" w:rsidRDefault="005579EA" w:rsidP="005579EA">
      <w:pPr>
        <w:pStyle w:val="AssignBody"/>
      </w:pPr>
    </w:p>
    <w:p w14:paraId="6FD510C0" w14:textId="5BF0931B" w:rsidR="00632A71" w:rsidRDefault="00632A71" w:rsidP="005579EA">
      <w:pPr>
        <w:pStyle w:val="AssignBody"/>
      </w:pPr>
    </w:p>
    <w:p w14:paraId="3748484D" w14:textId="6B0A957A" w:rsidR="00632A71" w:rsidRDefault="00632A71" w:rsidP="005579EA">
      <w:pPr>
        <w:pStyle w:val="AssignBody"/>
      </w:pPr>
    </w:p>
    <w:p w14:paraId="10154B8E" w14:textId="1C003F29" w:rsidR="00632A71" w:rsidRDefault="00632A71" w:rsidP="005579EA">
      <w:pPr>
        <w:pStyle w:val="AssignBody"/>
      </w:pPr>
    </w:p>
    <w:p w14:paraId="5083C0B1" w14:textId="69841400" w:rsidR="00632A71" w:rsidRDefault="00632A71" w:rsidP="005579EA">
      <w:pPr>
        <w:pStyle w:val="AssignBody"/>
      </w:pPr>
    </w:p>
    <w:p w14:paraId="0B002BB4" w14:textId="20995ADB" w:rsidR="00632A71" w:rsidRDefault="00632A71" w:rsidP="005579EA">
      <w:pPr>
        <w:pStyle w:val="AssignBody"/>
      </w:pPr>
    </w:p>
    <w:p w14:paraId="363F3B75" w14:textId="32D8BE50" w:rsidR="00632A71" w:rsidRDefault="00632A71" w:rsidP="005579EA">
      <w:pPr>
        <w:pStyle w:val="AssignBody"/>
      </w:pPr>
    </w:p>
    <w:p w14:paraId="4009CF7D" w14:textId="5369D2BD" w:rsidR="00632A71" w:rsidRDefault="00632A71" w:rsidP="005579EA">
      <w:pPr>
        <w:pStyle w:val="AssignBody"/>
      </w:pPr>
    </w:p>
    <w:p w14:paraId="1DC67ED2" w14:textId="62FBEFD1" w:rsidR="00632A71" w:rsidRDefault="00632A71" w:rsidP="005579EA">
      <w:pPr>
        <w:pStyle w:val="AssignBody"/>
      </w:pPr>
    </w:p>
    <w:p w14:paraId="762C013C" w14:textId="1138529C" w:rsidR="00632A71" w:rsidRDefault="00632A71" w:rsidP="005579EA">
      <w:pPr>
        <w:pStyle w:val="AssignBody"/>
      </w:pPr>
    </w:p>
    <w:p w14:paraId="3FE351F3" w14:textId="77777777" w:rsidR="00BC5BE5" w:rsidRDefault="00BC5BE5" w:rsidP="00632A71">
      <w:pPr>
        <w:pStyle w:val="AssignSubHeader"/>
      </w:pPr>
    </w:p>
    <w:p w14:paraId="269E8DAA" w14:textId="39BDC2B4" w:rsidR="005579EA" w:rsidRDefault="005579EA" w:rsidP="00632A71">
      <w:pPr>
        <w:pStyle w:val="AssignSubHeader"/>
      </w:pPr>
      <w:r>
        <w:lastRenderedPageBreak/>
        <w:t>References</w:t>
      </w:r>
    </w:p>
    <w:p w14:paraId="5A961CDA" w14:textId="77777777" w:rsidR="00632A71" w:rsidRPr="00632A71" w:rsidRDefault="00632A71" w:rsidP="00632A71">
      <w:pPr>
        <w:pStyle w:val="AssignBody"/>
      </w:pPr>
    </w:p>
    <w:p w14:paraId="2BAD6BEE" w14:textId="4BDDBD2C" w:rsidR="005579EA" w:rsidRDefault="005579EA" w:rsidP="005579EA">
      <w:pPr>
        <w:pStyle w:val="AssignBody"/>
      </w:pPr>
      <w:r>
        <w:t xml:space="preserve">BAUMGARTNER, T., LIPOWSKI, M. and RUSH, C. (2003) Increasing reading achievement of primary and middle school students through differentiated instruction. Available at:  https://files.eric.ed.gov/fulltext/ED479203.pdf (Accessed: 30 March 2020). </w:t>
      </w:r>
    </w:p>
    <w:p w14:paraId="14AF22FE" w14:textId="77777777" w:rsidR="00632A71" w:rsidRDefault="00632A71" w:rsidP="005579EA">
      <w:pPr>
        <w:pStyle w:val="AssignBody"/>
      </w:pPr>
    </w:p>
    <w:p w14:paraId="371253A4" w14:textId="1DDE343B" w:rsidR="005579EA" w:rsidRDefault="005579EA" w:rsidP="005579EA">
      <w:pPr>
        <w:pStyle w:val="AssignBody"/>
      </w:pPr>
      <w:r>
        <w:t xml:space="preserve">BERHARDT, V. (2013) Data Analysis for Continuous School Improvement. London: Routledge. </w:t>
      </w:r>
    </w:p>
    <w:p w14:paraId="7086799F" w14:textId="77777777" w:rsidR="00632A71" w:rsidRDefault="00632A71" w:rsidP="005579EA">
      <w:pPr>
        <w:pStyle w:val="AssignBody"/>
      </w:pPr>
    </w:p>
    <w:p w14:paraId="551F8DAC" w14:textId="71F4BFD2" w:rsidR="005579EA" w:rsidRDefault="005579EA" w:rsidP="005579EA">
      <w:pPr>
        <w:pStyle w:val="AssignBody"/>
      </w:pPr>
      <w:r>
        <w:t xml:space="preserve">BOON, H. (2011) ‘Raising the Bar: Ethics Education for Quality Teachers,’ Australian Journal of Teacher Education, 36(7), pp. 76-93. Available at: https://files.eric.ed.gov/fulltext/EJ937001.pdf (Accessed: 30 March 2020). </w:t>
      </w:r>
    </w:p>
    <w:p w14:paraId="556FCD41" w14:textId="77777777" w:rsidR="00632A71" w:rsidRDefault="00632A71" w:rsidP="005579EA">
      <w:pPr>
        <w:pStyle w:val="AssignBody"/>
      </w:pPr>
    </w:p>
    <w:p w14:paraId="368AEA2F" w14:textId="3D221B18" w:rsidR="005579EA" w:rsidRDefault="005579EA" w:rsidP="005579EA">
      <w:pPr>
        <w:pStyle w:val="AssignBody"/>
      </w:pPr>
      <w:r>
        <w:t>BROADHEAD, P. et al. (1996) ‘Improving Primary Schools through School Development Planning,’ Educational Management &amp; Administration, 24(3), pp.277-290. Available at: https://journals.sagepub.com/doi/pdf/10.1177/0263211X9602400305 (Accessed: 26 March 2020).</w:t>
      </w:r>
    </w:p>
    <w:p w14:paraId="60763172" w14:textId="77777777" w:rsidR="00632A71" w:rsidRDefault="00632A71" w:rsidP="005579EA">
      <w:pPr>
        <w:pStyle w:val="AssignBody"/>
      </w:pPr>
    </w:p>
    <w:p w14:paraId="0A46D9BB" w14:textId="3153D86D" w:rsidR="005579EA" w:rsidRDefault="005579EA" w:rsidP="005579EA">
      <w:pPr>
        <w:pStyle w:val="AssignBody"/>
      </w:pPr>
      <w:r>
        <w:t xml:space="preserve">CARTER-WALL, C. and WHITFIELD, G. (2012) The role of aspirations, attitudes and behaviour in closing the educational attainment gap. Available at: https://www.nationalnumeracy.org.uk/sites/default/files/education-achievement-poverty-summary.pdf (Accessed: 24 March 2020). </w:t>
      </w:r>
    </w:p>
    <w:p w14:paraId="78A2AAA8" w14:textId="77777777" w:rsidR="00632A71" w:rsidRDefault="00632A71" w:rsidP="005579EA">
      <w:pPr>
        <w:pStyle w:val="AssignBody"/>
      </w:pPr>
    </w:p>
    <w:p w14:paraId="5B1B8771" w14:textId="1379DFCD" w:rsidR="005579EA" w:rsidRDefault="005579EA" w:rsidP="005579EA">
      <w:pPr>
        <w:pStyle w:val="AssignBody"/>
      </w:pPr>
      <w:r>
        <w:t>CREEMERS, B. P. M., and KYRIAKIDES, L. (2012) Improving quality in education: Dynamic approaches to school improvement. London: Routledge.</w:t>
      </w:r>
    </w:p>
    <w:p w14:paraId="458B7D2F" w14:textId="77777777" w:rsidR="00632A71" w:rsidRDefault="00632A71" w:rsidP="005579EA">
      <w:pPr>
        <w:pStyle w:val="AssignBody"/>
      </w:pPr>
    </w:p>
    <w:p w14:paraId="4A27CFD8" w14:textId="77777777" w:rsidR="005579EA" w:rsidRDefault="005579EA" w:rsidP="005579EA">
      <w:pPr>
        <w:pStyle w:val="AssignBody"/>
      </w:pPr>
      <w:r>
        <w:t xml:space="preserve">DAVIES, B. and ELLISON, L. (2003) The New Strategic Direction and Development of the School: Key frameworks for school improvement planning. London: </w:t>
      </w:r>
      <w:proofErr w:type="spellStart"/>
      <w:r>
        <w:t>RoutledgeFalmer</w:t>
      </w:r>
      <w:proofErr w:type="spellEnd"/>
      <w:r>
        <w:t>.</w:t>
      </w:r>
    </w:p>
    <w:p w14:paraId="208E6D79" w14:textId="77777777" w:rsidR="00A66638" w:rsidRDefault="00A66638" w:rsidP="005579EA">
      <w:pPr>
        <w:pStyle w:val="AssignBody"/>
      </w:pPr>
    </w:p>
    <w:p w14:paraId="745D6A7B" w14:textId="33535FC9" w:rsidR="005579EA" w:rsidRDefault="005579EA" w:rsidP="005579EA">
      <w:pPr>
        <w:pStyle w:val="AssignBody"/>
      </w:pPr>
      <w:r>
        <w:t>Department of Education. (n.d.) School Development Planning. Available at: https://www.education-ni.gov.uk/articles/school-development-planning (Accessed: 24 March 2020).</w:t>
      </w:r>
    </w:p>
    <w:p w14:paraId="3FC7A7E5" w14:textId="77777777" w:rsidR="00632A71" w:rsidRDefault="00632A71" w:rsidP="005579EA">
      <w:pPr>
        <w:pStyle w:val="AssignBody"/>
      </w:pPr>
    </w:p>
    <w:p w14:paraId="3ECAE8CB" w14:textId="130A916D" w:rsidR="005579EA" w:rsidRDefault="005579EA" w:rsidP="005579EA">
      <w:pPr>
        <w:pStyle w:val="AssignBody"/>
      </w:pPr>
      <w:r>
        <w:t xml:space="preserve">Department of Education and Training. (2020) Strategic Planning: Improving school governance. Available at: </w:t>
      </w:r>
      <w:r>
        <w:lastRenderedPageBreak/>
        <w:t xml:space="preserve">https://www.education.vic.gov.au/Documents/school/principals/governance/strategicplanningph.pdf (Accessed: 27 March 2020). </w:t>
      </w:r>
    </w:p>
    <w:p w14:paraId="1779CD9B" w14:textId="77777777" w:rsidR="00A66638" w:rsidRDefault="00A66638" w:rsidP="005579EA">
      <w:pPr>
        <w:pStyle w:val="AssignBody"/>
      </w:pPr>
    </w:p>
    <w:p w14:paraId="0951942F" w14:textId="6980C4DF" w:rsidR="005579EA" w:rsidRDefault="005579EA" w:rsidP="005579EA">
      <w:pPr>
        <w:pStyle w:val="AssignBody"/>
      </w:pPr>
      <w:r>
        <w:t xml:space="preserve">Education Endowment Foundation. (2017) The Attainment Gap. Available at: https://educationendowmentfoundation.org.uk/public/files/Annual_Reports/EEF_Attainment_Gap_Report_2018.pdf (Accessed: 24 March 2020). </w:t>
      </w:r>
    </w:p>
    <w:p w14:paraId="0C0D8032" w14:textId="77777777" w:rsidR="00632A71" w:rsidRDefault="00632A71" w:rsidP="005579EA">
      <w:pPr>
        <w:pStyle w:val="AssignBody"/>
      </w:pPr>
    </w:p>
    <w:p w14:paraId="19AE79C9" w14:textId="7CFBC831" w:rsidR="005579EA" w:rsidRDefault="005579EA" w:rsidP="005579EA">
      <w:pPr>
        <w:pStyle w:val="AssignBody"/>
      </w:pPr>
      <w:r>
        <w:t xml:space="preserve">Estyn. (2014) </w:t>
      </w:r>
      <w:r w:rsidRPr="00632A71">
        <w:rPr>
          <w:highlight w:val="black"/>
        </w:rPr>
        <w:t>Hafod</w:t>
      </w:r>
      <w:r>
        <w:t xml:space="preserve"> Primary School. Available at: https://www.estyn.gov.wales/provider/</w:t>
      </w:r>
      <w:r w:rsidRPr="00632A71">
        <w:rPr>
          <w:highlight w:val="black"/>
        </w:rPr>
        <w:t>hafod</w:t>
      </w:r>
      <w:r>
        <w:t xml:space="preserve">-primary-school (Accessed: 24 March 2020). </w:t>
      </w:r>
    </w:p>
    <w:p w14:paraId="623BEB52" w14:textId="77777777" w:rsidR="00632A71" w:rsidRDefault="00632A71" w:rsidP="005579EA">
      <w:pPr>
        <w:pStyle w:val="AssignBody"/>
      </w:pPr>
    </w:p>
    <w:p w14:paraId="5582DC06" w14:textId="0E2CF58D" w:rsidR="005579EA" w:rsidRDefault="005579EA" w:rsidP="005579EA">
      <w:pPr>
        <w:pStyle w:val="AssignBody"/>
      </w:pPr>
      <w:r>
        <w:t>Estyn. (n.d.) Developing a strategic vision for improving education. Available at: https://www.estyn.gov.wales/effective-practice/developing-strategic-vision-improving-education (Accessed: 26 March 2020)</w:t>
      </w:r>
    </w:p>
    <w:p w14:paraId="6DD4D4DF" w14:textId="77777777" w:rsidR="00632A71" w:rsidRDefault="00632A71" w:rsidP="005579EA">
      <w:pPr>
        <w:pStyle w:val="AssignBody"/>
      </w:pPr>
    </w:p>
    <w:p w14:paraId="183FC160" w14:textId="18F76720" w:rsidR="005579EA" w:rsidRDefault="005579EA" w:rsidP="005579EA">
      <w:pPr>
        <w:pStyle w:val="AssignBody"/>
      </w:pPr>
      <w:r>
        <w:t xml:space="preserve">GOODALL, J. (2017) Narrowing the Achievement Gap: Parental Engagement with Children’s Learning. London: Routledge. </w:t>
      </w:r>
    </w:p>
    <w:p w14:paraId="663BF0B1" w14:textId="77777777" w:rsidR="00632A71" w:rsidRDefault="00632A71" w:rsidP="005579EA">
      <w:pPr>
        <w:pStyle w:val="AssignBody"/>
      </w:pPr>
    </w:p>
    <w:p w14:paraId="60EA48A1" w14:textId="71E6AFF3" w:rsidR="005579EA" w:rsidRDefault="005579EA" w:rsidP="005579EA">
      <w:pPr>
        <w:pStyle w:val="AssignBody"/>
      </w:pPr>
      <w:r>
        <w:t xml:space="preserve">GRIFFIN, T. (2014) Disadvantaged learners and VET to higher education transition. Available at: https://files.eric.ed.gov/fulltext/ED546832.pdf (Accessed: 01 April 2020).  </w:t>
      </w:r>
    </w:p>
    <w:p w14:paraId="39F8EC66" w14:textId="77777777" w:rsidR="00632A71" w:rsidRDefault="00632A71" w:rsidP="005579EA">
      <w:pPr>
        <w:pStyle w:val="AssignBody"/>
      </w:pPr>
    </w:p>
    <w:p w14:paraId="16F130A4" w14:textId="248DADBD" w:rsidR="005579EA" w:rsidRDefault="005579EA" w:rsidP="005579EA">
      <w:pPr>
        <w:pStyle w:val="AssignBody"/>
      </w:pPr>
      <w:r>
        <w:t xml:space="preserve">Hanover Research. (2014) Best Practices for School Improvement Planning. Available at: https://www.hanoverresearch.com/media/Best-Practices-for-School-Improvement-Planning.pdf (Accessed: 24 March 2020). </w:t>
      </w:r>
    </w:p>
    <w:p w14:paraId="6A4EF3AA" w14:textId="77777777" w:rsidR="00632A71" w:rsidRDefault="00632A71" w:rsidP="005579EA">
      <w:pPr>
        <w:pStyle w:val="AssignBody"/>
      </w:pPr>
    </w:p>
    <w:p w14:paraId="3DE3C97D" w14:textId="1D91C6EB" w:rsidR="005579EA" w:rsidRDefault="005579EA" w:rsidP="005579EA">
      <w:pPr>
        <w:pStyle w:val="AssignBody"/>
      </w:pPr>
      <w:r>
        <w:t xml:space="preserve">HARGREAVES, D. and HOPKINS, D. (1994) Development Planning for School Improvement. London: Cassell. </w:t>
      </w:r>
    </w:p>
    <w:p w14:paraId="7C88F23F" w14:textId="77777777" w:rsidR="00632A71" w:rsidRDefault="00632A71" w:rsidP="005579EA">
      <w:pPr>
        <w:pStyle w:val="AssignBody"/>
      </w:pPr>
    </w:p>
    <w:p w14:paraId="66B585F1" w14:textId="2CC242AA" w:rsidR="005579EA" w:rsidRDefault="005579EA" w:rsidP="005579EA">
      <w:pPr>
        <w:pStyle w:val="AssignBody"/>
      </w:pPr>
      <w:r>
        <w:t xml:space="preserve">ISAKSSON, J., LINDQVIST, R. and BERGSTROM, E. (2008) ‘Pupils with special educational needs: a study of the assessments and categorising processes regarding pupils’ school difficulties in Sweden,’ International Journal of Inclusive Education, 14(2), pp.133-151. DOI: 10.1080/13603110802504176 </w:t>
      </w:r>
    </w:p>
    <w:p w14:paraId="33843D43" w14:textId="77777777" w:rsidR="00632A71" w:rsidRDefault="00632A71" w:rsidP="005579EA">
      <w:pPr>
        <w:pStyle w:val="AssignBody"/>
      </w:pPr>
    </w:p>
    <w:p w14:paraId="5CE05DF8" w14:textId="732F1472" w:rsidR="005579EA" w:rsidRDefault="005579EA" w:rsidP="005579EA">
      <w:pPr>
        <w:pStyle w:val="AssignBody"/>
      </w:pPr>
      <w:r>
        <w:t>KETCHATTURAT, J. (2012) ‘Development of a self-evaluation checklist for increasing the value of educational provision processes,’ Procedia Social and Behavioural Sciences, 46, pp.3492-3496. DOI: 10.1016/j.sbspro.2012.06.091</w:t>
      </w:r>
    </w:p>
    <w:p w14:paraId="703042D6" w14:textId="77777777" w:rsidR="00632A71" w:rsidRDefault="00632A71" w:rsidP="005579EA">
      <w:pPr>
        <w:pStyle w:val="AssignBody"/>
      </w:pPr>
    </w:p>
    <w:p w14:paraId="2681D0C2" w14:textId="0680FB77" w:rsidR="005579EA" w:rsidRDefault="005579EA" w:rsidP="005579EA">
      <w:pPr>
        <w:pStyle w:val="AssignBody"/>
      </w:pPr>
      <w:r>
        <w:lastRenderedPageBreak/>
        <w:t xml:space="preserve">KURUM, G. and CINKIR, S. (2019) ‘An Authentic Look at Evaluation in Education: A School Self-Evaluation Model Supporting School Development,’ Eurasian Journal of Educational Research, 83, pp.253-285. Available at: https://web-a-ebscohost-com.ezproxy.uwtsd.ac.uk/ehost/detail/detail?vid=1&amp;sid=7d7a14ae-69ad-4773-b7c6-54fc3913d98f%40sessionmgr4006&amp;bdata=JnNpdGU9ZWhvc3QtbGl2ZQ%3d%3d#anchor=GoToAllQVI&amp;AN=138929013&amp;db=eue (Accessed: 25 March 2020). </w:t>
      </w:r>
    </w:p>
    <w:p w14:paraId="1D3BB11D" w14:textId="77777777" w:rsidR="00632A71" w:rsidRDefault="00632A71" w:rsidP="005579EA">
      <w:pPr>
        <w:pStyle w:val="AssignBody"/>
      </w:pPr>
    </w:p>
    <w:p w14:paraId="5D3257E6" w14:textId="160677CF" w:rsidR="005579EA" w:rsidRDefault="005579EA" w:rsidP="005579EA">
      <w:pPr>
        <w:pStyle w:val="AssignBody"/>
      </w:pPr>
      <w:r>
        <w:t xml:space="preserve">LEE, J. and BOWEN, N. (2006) ’Parent Involvement, Cultural Capital, and the Achievement Gap Among Elementary School Children,’ American Education Research Journal, 43(2), pp.193-218. Available at: https://journals.sagepub.com/doi/pdf/10.3102/00028312043002193 (Accessed: 27 March 2020). </w:t>
      </w:r>
    </w:p>
    <w:p w14:paraId="112F049D" w14:textId="77777777" w:rsidR="00632A71" w:rsidRDefault="00632A71" w:rsidP="005579EA">
      <w:pPr>
        <w:pStyle w:val="AssignBody"/>
      </w:pPr>
    </w:p>
    <w:p w14:paraId="6F62FFF3" w14:textId="53D0A84A" w:rsidR="005579EA" w:rsidRDefault="005579EA" w:rsidP="005579EA">
      <w:pPr>
        <w:pStyle w:val="AssignBody"/>
      </w:pPr>
      <w:r>
        <w:t xml:space="preserve">LINDON, J. (2011) ‘Creating a culture of coaching: upskilling the workforce in times of change,’ National College for Leadership of Schools and Children’s Services. Available at: https://webcontent.ssatuk.co.uk/wp-content/uploads/2017/02/10093109/Table-7-Creating-a-culture-of-culture-of-coaching.pdf (Accessed: 30 March 2020). </w:t>
      </w:r>
    </w:p>
    <w:p w14:paraId="06D51400" w14:textId="77777777" w:rsidR="00632A71" w:rsidRDefault="00632A71" w:rsidP="005579EA">
      <w:pPr>
        <w:pStyle w:val="AssignBody"/>
      </w:pPr>
    </w:p>
    <w:p w14:paraId="4401EE9C" w14:textId="376CF3CE" w:rsidR="005579EA" w:rsidRDefault="005579EA" w:rsidP="005579EA">
      <w:pPr>
        <w:pStyle w:val="AssignBody"/>
      </w:pPr>
      <w:proofErr w:type="spellStart"/>
      <w:r>
        <w:t>McCLUSKEY</w:t>
      </w:r>
      <w:proofErr w:type="spellEnd"/>
      <w:r>
        <w:t xml:space="preserve">, G. (2017) ‘Closing the attainment gap in Scottish schools: Three challenges in an unequal society,’ Education, Citizenship and Social Justice, 12(1), pp.24-35. DOI: 10.1177/1746197916683468 </w:t>
      </w:r>
    </w:p>
    <w:p w14:paraId="69D1FB54" w14:textId="77777777" w:rsidR="00632A71" w:rsidRDefault="00632A71" w:rsidP="005579EA">
      <w:pPr>
        <w:pStyle w:val="AssignBody"/>
      </w:pPr>
    </w:p>
    <w:p w14:paraId="192BAEB7" w14:textId="37A3A905" w:rsidR="005579EA" w:rsidRDefault="005579EA" w:rsidP="005579EA">
      <w:pPr>
        <w:pStyle w:val="AssignBody"/>
      </w:pPr>
      <w:r>
        <w:t xml:space="preserve">NEWMAN-FORD, L. et al. (2008) ‘A large-scale investigation into the relationship between attendance and attainment: a study using an innovative, electronic attendance monitoring system,’ Studies in Higher Education, 33(6), pp.699-717. DOI: 10.1080/03075070802457066 </w:t>
      </w:r>
    </w:p>
    <w:p w14:paraId="1C98070D" w14:textId="77777777" w:rsidR="00632A71" w:rsidRDefault="00632A71" w:rsidP="005579EA">
      <w:pPr>
        <w:pStyle w:val="AssignBody"/>
      </w:pPr>
    </w:p>
    <w:p w14:paraId="3BDA665E" w14:textId="0F533639" w:rsidR="005579EA" w:rsidRDefault="005579EA" w:rsidP="005579EA">
      <w:pPr>
        <w:pStyle w:val="AssignBody"/>
      </w:pPr>
      <w:r>
        <w:t xml:space="preserve">OAKES, J. (2003) Critical Condition for Equity and Diversity in College Access: Informing Policy and Monitoring Results. Available at: https://escholarship.org/content/qt427737xt/qt427737xt.pdf (Accessed: 30 March 2020). </w:t>
      </w:r>
    </w:p>
    <w:p w14:paraId="0653DA8A" w14:textId="77777777" w:rsidR="00632A71" w:rsidRDefault="00632A71" w:rsidP="005579EA">
      <w:pPr>
        <w:pStyle w:val="AssignBody"/>
      </w:pPr>
    </w:p>
    <w:p w14:paraId="4495ED5A" w14:textId="59F38B97" w:rsidR="005579EA" w:rsidRDefault="005579EA" w:rsidP="005579EA">
      <w:pPr>
        <w:pStyle w:val="AssignBody"/>
      </w:pPr>
      <w:r>
        <w:t xml:space="preserve">OECD. (2017) The Welsh Education Reform Journey: A rapid policy assessment. Available at: https://www.oecd.org/education/The-Welsh-Education-Reform-Journey-FINAL.pdf (Accessed: 27 March 2020). </w:t>
      </w:r>
    </w:p>
    <w:p w14:paraId="6F3F072E" w14:textId="77777777" w:rsidR="00632A71" w:rsidRDefault="00632A71" w:rsidP="005579EA">
      <w:pPr>
        <w:pStyle w:val="AssignBody"/>
      </w:pPr>
    </w:p>
    <w:p w14:paraId="46BF814B" w14:textId="60035C0E" w:rsidR="005579EA" w:rsidRDefault="005579EA" w:rsidP="005579EA">
      <w:pPr>
        <w:pStyle w:val="AssignBody"/>
      </w:pPr>
      <w:r>
        <w:t xml:space="preserve">PREZYNA, D. et al. (2017) ‘Principal Leadership and Reading Specialist Role Understanding in the Era of Test-Based Accountability Policies’, International Journal of </w:t>
      </w:r>
      <w:r>
        <w:lastRenderedPageBreak/>
        <w:t xml:space="preserve">Education Policy &amp; Leadership, 12(2), pp.1-16. Available at: https://files.eric.ed.gov/fulltext/EJ1148448.pdf (Accessed: 30 March 2020). </w:t>
      </w:r>
    </w:p>
    <w:p w14:paraId="7BEF7819" w14:textId="77777777" w:rsidR="00632A71" w:rsidRDefault="00632A71" w:rsidP="005579EA">
      <w:pPr>
        <w:pStyle w:val="AssignBody"/>
      </w:pPr>
    </w:p>
    <w:p w14:paraId="3BCFEDCB" w14:textId="2CDF5051" w:rsidR="005579EA" w:rsidRDefault="005579EA" w:rsidP="005579EA">
      <w:pPr>
        <w:pStyle w:val="AssignBody"/>
      </w:pPr>
      <w:r>
        <w:t xml:space="preserve">REID, K. (2008) ‘The causes of non-attendance: an empirical study,’ Educational Review, 60(4), pp.345-357. DOI: 10.1080/00131910802393381 (Accessed: 31 March 2020). </w:t>
      </w:r>
    </w:p>
    <w:p w14:paraId="0E19095F" w14:textId="77777777" w:rsidR="00632A71" w:rsidRDefault="00632A71" w:rsidP="005579EA">
      <w:pPr>
        <w:pStyle w:val="AssignBody"/>
      </w:pPr>
    </w:p>
    <w:p w14:paraId="32E24C87" w14:textId="71894219" w:rsidR="005579EA" w:rsidRDefault="005579EA" w:rsidP="005579EA">
      <w:pPr>
        <w:pStyle w:val="AssignBody"/>
      </w:pPr>
      <w:r>
        <w:t xml:space="preserve">ROCHE, M. and STROBACH, K. (2019) Nine Elements of Effective School Community Partnerships to Address Student Mental Health, Physical Health, and Overall Wellness. Available at: https://files.eric.ed.gov/fulltext/ED593295.pdf (Accessed: 30 March 2020). </w:t>
      </w:r>
    </w:p>
    <w:p w14:paraId="39B9A8F3" w14:textId="77777777" w:rsidR="00632A71" w:rsidRDefault="00632A71" w:rsidP="005579EA">
      <w:pPr>
        <w:pStyle w:val="AssignBody"/>
      </w:pPr>
    </w:p>
    <w:p w14:paraId="08F59FE6" w14:textId="77777777" w:rsidR="00632A71" w:rsidRDefault="005579EA" w:rsidP="005579EA">
      <w:pPr>
        <w:pStyle w:val="AssignBody"/>
      </w:pPr>
      <w:r>
        <w:t>SDPI. (1999) School Development Planning: An introduction for second level schools. Available at: http://www.sdpi.ie/blue_book/SDPI_Book.pdf (Accessed: 26 March 2020).</w:t>
      </w:r>
    </w:p>
    <w:p w14:paraId="2E9EB155" w14:textId="22935376" w:rsidR="005579EA" w:rsidRDefault="005579EA" w:rsidP="005579EA">
      <w:pPr>
        <w:pStyle w:val="AssignBody"/>
      </w:pPr>
      <w:r>
        <w:t xml:space="preserve"> </w:t>
      </w:r>
    </w:p>
    <w:p w14:paraId="1905DF00" w14:textId="5203FFB6" w:rsidR="005579EA" w:rsidRDefault="005579EA" w:rsidP="005579EA">
      <w:pPr>
        <w:pStyle w:val="AssignBody"/>
      </w:pPr>
      <w:r>
        <w:t xml:space="preserve">THOMPSON, D. et al. (2013) ‘The Role of Teachers in Implementing Curriculum Changes,’ Association for Computing Machinery, pp.245-150. DOI: 10.1145/2445196.2445272 (Accessed: 30 March 2020). </w:t>
      </w:r>
    </w:p>
    <w:p w14:paraId="7E75DC0E" w14:textId="77777777" w:rsidR="00632A71" w:rsidRDefault="00632A71" w:rsidP="005579EA">
      <w:pPr>
        <w:pStyle w:val="AssignBody"/>
      </w:pPr>
    </w:p>
    <w:p w14:paraId="1148C3AB" w14:textId="0A87F75B" w:rsidR="005579EA" w:rsidRDefault="005579EA" w:rsidP="005579EA">
      <w:pPr>
        <w:pStyle w:val="AssignBody"/>
      </w:pPr>
      <w:r>
        <w:t xml:space="preserve">Welsh Government. (2014) School development plans. Available at: https://gov.wales/sites/default/files/publications/2018-03/school-development-plans.pdf (Accessed: 23 March 2020). </w:t>
      </w:r>
    </w:p>
    <w:p w14:paraId="1D2911B0" w14:textId="77777777" w:rsidR="00632A71" w:rsidRDefault="00632A71" w:rsidP="005579EA">
      <w:pPr>
        <w:pStyle w:val="AssignBody"/>
      </w:pPr>
    </w:p>
    <w:p w14:paraId="0D2F6EA6" w14:textId="2F87213B" w:rsidR="00E611D9" w:rsidRPr="00E611D9" w:rsidRDefault="005579EA" w:rsidP="005579EA">
      <w:pPr>
        <w:pStyle w:val="AssignBody"/>
      </w:pPr>
      <w:r>
        <w:t>Welsh Government. (2017) Education in Wales: Our national mission. Available at: https://gov.wales/sites/default/files/publications/2018-03/education-in-wales-our-national-mission.pdf (Accessed: 24 March 2020).</w:t>
      </w:r>
    </w:p>
    <w:sectPr w:rsidR="00E611D9" w:rsidRPr="00E611D9">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28CA40" w14:textId="77777777" w:rsidR="00E7176C" w:rsidRDefault="00E7176C" w:rsidP="00E611D9">
      <w:pPr>
        <w:spacing w:after="0" w:line="240" w:lineRule="auto"/>
      </w:pPr>
      <w:r>
        <w:separator/>
      </w:r>
    </w:p>
  </w:endnote>
  <w:endnote w:type="continuationSeparator" w:id="0">
    <w:p w14:paraId="2E2C01CA" w14:textId="77777777" w:rsidR="00E7176C" w:rsidRDefault="00E7176C"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EED1EA" w14:textId="77777777" w:rsidR="00E7176C" w:rsidRDefault="00E7176C" w:rsidP="00E611D9">
      <w:pPr>
        <w:spacing w:after="0" w:line="240" w:lineRule="auto"/>
      </w:pPr>
      <w:r>
        <w:separator/>
      </w:r>
    </w:p>
  </w:footnote>
  <w:footnote w:type="continuationSeparator" w:id="0">
    <w:p w14:paraId="1BFAE7AD" w14:textId="77777777" w:rsidR="00E7176C" w:rsidRDefault="00E7176C"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147B69FB"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632A71">
            <w:rPr>
              <w:rFonts w:ascii="Arial" w:hAnsi="Arial" w:cs="Arial"/>
            </w:rPr>
            <w:t>7003</w:t>
          </w:r>
        </w:p>
      </w:tc>
      <w:tc>
        <w:tcPr>
          <w:tcW w:w="4508" w:type="dxa"/>
        </w:tcPr>
        <w:p w14:paraId="51D506A0" w14:textId="352B6863"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sidR="00632A71">
            <w:rPr>
              <w:rFonts w:ascii="Arial" w:hAnsi="Arial" w:cs="Arial"/>
            </w:rPr>
            <w:t xml:space="preserve"> 1901791</w:t>
          </w:r>
          <w:r>
            <w:rPr>
              <w:rFonts w:ascii="Arial" w:hAnsi="Arial" w:cs="Arial"/>
            </w:rPr>
            <w:t xml:space="preserve"> </w:t>
          </w:r>
        </w:p>
      </w:tc>
    </w:tr>
  </w:tbl>
  <w:p w14:paraId="31028CA5" w14:textId="0219573E" w:rsidR="00E611D9" w:rsidRDefault="00E611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87FFD"/>
    <w:rsid w:val="002229F0"/>
    <w:rsid w:val="003E55AE"/>
    <w:rsid w:val="004276C5"/>
    <w:rsid w:val="00433F17"/>
    <w:rsid w:val="005579EA"/>
    <w:rsid w:val="00632A71"/>
    <w:rsid w:val="006419C3"/>
    <w:rsid w:val="00691A46"/>
    <w:rsid w:val="006B5861"/>
    <w:rsid w:val="006C2EAB"/>
    <w:rsid w:val="00817F7A"/>
    <w:rsid w:val="00967D9E"/>
    <w:rsid w:val="00A66638"/>
    <w:rsid w:val="00AD4EBD"/>
    <w:rsid w:val="00BA702D"/>
    <w:rsid w:val="00BC5BE5"/>
    <w:rsid w:val="00BC651E"/>
    <w:rsid w:val="00C02F72"/>
    <w:rsid w:val="00CD1240"/>
    <w:rsid w:val="00D811FA"/>
    <w:rsid w:val="00E611D9"/>
    <w:rsid w:val="00E7176C"/>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13</Pages>
  <Words>4101</Words>
  <Characters>23376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Abigail McFarlane</cp:lastModifiedBy>
  <cp:revision>7</cp:revision>
  <dcterms:created xsi:type="dcterms:W3CDTF">2020-04-02T10:45:00Z</dcterms:created>
  <dcterms:modified xsi:type="dcterms:W3CDTF">2020-04-02T14:35:00Z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