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A500E5" w14:textId="77777777" w:rsidR="009C64A8" w:rsidRPr="009C64A8" w:rsidRDefault="009C64A8" w:rsidP="009C64A8">
      <w:pPr>
        <w:rPr>
          <w:rFonts w:ascii="Bookman Old Style" w:hAnsi="Bookman Old Style"/>
          <w:sz w:val="44"/>
          <w:szCs w:val="44"/>
        </w:rPr>
      </w:pPr>
      <w:r w:rsidRPr="009C64A8">
        <w:rPr>
          <w:rFonts w:ascii="Bookman Old Style" w:hAnsi="Bookman Old Style"/>
          <w:sz w:val="44"/>
          <w:szCs w:val="44"/>
        </w:rPr>
        <w:t>Criminal Law (BMLW4000)</w:t>
      </w:r>
    </w:p>
    <w:p w14:paraId="77200E7B" w14:textId="77777777" w:rsidR="009C64A8" w:rsidRPr="009C64A8" w:rsidRDefault="009C64A8" w:rsidP="009C64A8">
      <w:pPr>
        <w:rPr>
          <w:rFonts w:ascii="Bookman Old Style" w:hAnsi="Bookman Old Style"/>
          <w:sz w:val="44"/>
          <w:szCs w:val="44"/>
        </w:rPr>
      </w:pPr>
      <w:r w:rsidRPr="009C64A8">
        <w:rPr>
          <w:rFonts w:ascii="Bookman Old Style" w:hAnsi="Bookman Old Style"/>
          <w:sz w:val="44"/>
          <w:szCs w:val="44"/>
        </w:rPr>
        <w:t>Name: Valentine Okuribido (2014890)</w:t>
      </w:r>
    </w:p>
    <w:p w14:paraId="46A87373" w14:textId="58CDAE11" w:rsidR="009C64A8" w:rsidRDefault="009C64A8" w:rsidP="009C64A8">
      <w:pPr>
        <w:rPr>
          <w:rFonts w:ascii="Bookman Old Style" w:hAnsi="Bookman Old Style"/>
          <w:sz w:val="44"/>
          <w:szCs w:val="44"/>
        </w:rPr>
      </w:pPr>
      <w:r w:rsidRPr="009C64A8">
        <w:rPr>
          <w:rFonts w:ascii="Bookman Old Style" w:hAnsi="Bookman Old Style"/>
          <w:sz w:val="44"/>
          <w:szCs w:val="44"/>
        </w:rPr>
        <w:t>University: Trinity Saint Davi</w:t>
      </w:r>
      <w:r>
        <w:rPr>
          <w:rFonts w:ascii="Bookman Old Style" w:hAnsi="Bookman Old Style"/>
          <w:sz w:val="44"/>
          <w:szCs w:val="44"/>
        </w:rPr>
        <w:t>d</w:t>
      </w:r>
    </w:p>
    <w:p w14:paraId="0DCAD79E" w14:textId="77777777" w:rsidR="00033CAF" w:rsidRDefault="009C64A8" w:rsidP="009C64A8">
      <w:pPr>
        <w:rPr>
          <w:rFonts w:ascii="Bookman Old Style" w:hAnsi="Bookman Old Style"/>
          <w:sz w:val="32"/>
          <w:szCs w:val="32"/>
        </w:rPr>
      </w:pPr>
      <w:r w:rsidRPr="009C64A8">
        <w:rPr>
          <w:rFonts w:ascii="Bookman Old Style" w:hAnsi="Bookman Old Style"/>
          <w:sz w:val="32"/>
          <w:szCs w:val="32"/>
        </w:rPr>
        <w:t>Assignment</w:t>
      </w:r>
      <w:r w:rsidRPr="00685DA2">
        <w:rPr>
          <w:rFonts w:ascii="Bookman Old Style" w:hAnsi="Bookman Old Style"/>
          <w:sz w:val="32"/>
          <w:szCs w:val="32"/>
        </w:rPr>
        <w:t xml:space="preserve">. </w:t>
      </w:r>
    </w:p>
    <w:p w14:paraId="730F7A76" w14:textId="22E7D545" w:rsidR="007E0149" w:rsidRDefault="009C64A8" w:rsidP="009C64A8">
      <w:pPr>
        <w:rPr>
          <w:rFonts w:ascii="Bookman Old Style" w:hAnsi="Bookman Old Style"/>
          <w:sz w:val="32"/>
          <w:szCs w:val="32"/>
          <w:u w:val="single"/>
        </w:rPr>
      </w:pPr>
      <w:r w:rsidRPr="00033CAF">
        <w:rPr>
          <w:rFonts w:ascii="Bookman Old Style" w:hAnsi="Bookman Old Style"/>
          <w:sz w:val="32"/>
          <w:szCs w:val="32"/>
          <w:u w:val="single"/>
        </w:rPr>
        <w:t>Reform of Homicide</w:t>
      </w:r>
    </w:p>
    <w:p w14:paraId="74517C2C" w14:textId="0B0A9102" w:rsidR="007E0149" w:rsidRDefault="007E0149" w:rsidP="009C64A8">
      <w:pPr>
        <w:rPr>
          <w:rFonts w:ascii="Bookman Old Style" w:hAnsi="Bookman Old Style"/>
          <w:sz w:val="24"/>
          <w:szCs w:val="24"/>
        </w:rPr>
      </w:pPr>
      <w:r w:rsidRPr="007E0149">
        <w:rPr>
          <w:rFonts w:ascii="Bookman Old Style" w:hAnsi="Bookman Old Style"/>
          <w:sz w:val="24"/>
          <w:szCs w:val="24"/>
        </w:rPr>
        <w:t>Firstly,</w:t>
      </w:r>
      <w:r>
        <w:rPr>
          <w:rFonts w:ascii="Bookman Old Style" w:hAnsi="Bookman Old Style"/>
          <w:sz w:val="24"/>
          <w:szCs w:val="24"/>
        </w:rPr>
        <w:t xml:space="preserve"> the bills governing homicide in England and Wales have fostered a debate on whether the action of reform should take place, this is due to the insignificant, unaltered set of rules since the early seventeenth century.</w:t>
      </w:r>
    </w:p>
    <w:p w14:paraId="123D5F6B" w14:textId="26844BAD" w:rsidR="007E0149" w:rsidRDefault="007E0149" w:rsidP="009C64A8">
      <w:pPr>
        <w:rPr>
          <w:rFonts w:ascii="Bookman Old Style" w:hAnsi="Bookman Old Style"/>
          <w:sz w:val="24"/>
          <w:szCs w:val="24"/>
        </w:rPr>
      </w:pPr>
      <w:r>
        <w:rPr>
          <w:rFonts w:ascii="Bookman Old Style" w:hAnsi="Bookman Old Style"/>
          <w:sz w:val="24"/>
          <w:szCs w:val="24"/>
        </w:rPr>
        <w:t>The questionable statement of reform was criticized by the Law Commission, 2006 on a report “Murder, Manslaughter and Infanticide” when the bill was described as rickety, shaky with unstable foundations which emphasises the acknowledgment that the bill is in dir</w:t>
      </w:r>
      <w:r w:rsidR="00BE18D2">
        <w:rPr>
          <w:rFonts w:ascii="Bookman Old Style" w:hAnsi="Bookman Old Style"/>
          <w:sz w:val="24"/>
          <w:szCs w:val="24"/>
        </w:rPr>
        <w:t>e</w:t>
      </w:r>
      <w:r>
        <w:rPr>
          <w:rFonts w:ascii="Bookman Old Style" w:hAnsi="Bookman Old Style"/>
          <w:sz w:val="24"/>
          <w:szCs w:val="24"/>
        </w:rPr>
        <w:t xml:space="preserve"> need of a reform. Moreover, what is todays meaning of a homicide? A </w:t>
      </w:r>
      <w:r w:rsidRPr="007E0149">
        <w:rPr>
          <w:rFonts w:ascii="Bookman Old Style" w:hAnsi="Bookman Old Style"/>
          <w:sz w:val="24"/>
          <w:szCs w:val="24"/>
        </w:rPr>
        <w:t>homicide is the act of a human being killing another human</w:t>
      </w:r>
      <w:r>
        <w:rPr>
          <w:rFonts w:ascii="Bookman Old Style" w:hAnsi="Bookman Old Style"/>
          <w:sz w:val="24"/>
          <w:szCs w:val="24"/>
        </w:rPr>
        <w:t xml:space="preserve"> which simply expands the </w:t>
      </w:r>
      <w:r w:rsidRPr="007E0149">
        <w:rPr>
          <w:rFonts w:ascii="Bookman Old Style" w:hAnsi="Bookman Old Style"/>
          <w:sz w:val="24"/>
          <w:szCs w:val="24"/>
        </w:rPr>
        <w:t>broader scope of a murder</w:t>
      </w:r>
      <w:r>
        <w:rPr>
          <w:rFonts w:ascii="Bookman Old Style" w:hAnsi="Bookman Old Style"/>
          <w:sz w:val="24"/>
          <w:szCs w:val="24"/>
        </w:rPr>
        <w:t xml:space="preserve"> whereby the term</w:t>
      </w:r>
      <w:r w:rsidRPr="007E0149">
        <w:rPr>
          <w:rFonts w:ascii="Bookman Old Style" w:hAnsi="Bookman Old Style"/>
          <w:sz w:val="24"/>
          <w:szCs w:val="24"/>
        </w:rPr>
        <w:t xml:space="preserve"> “homicide” can be </w:t>
      </w:r>
      <w:r>
        <w:rPr>
          <w:rFonts w:ascii="Bookman Old Style" w:hAnsi="Bookman Old Style"/>
          <w:sz w:val="24"/>
          <w:szCs w:val="24"/>
        </w:rPr>
        <w:t>categorised into interpersonal violence, murder, involuntary and voluntary manslaughter.</w:t>
      </w:r>
    </w:p>
    <w:p w14:paraId="64B03385" w14:textId="6ABABD25" w:rsidR="00AB107C" w:rsidRDefault="007E0149" w:rsidP="009C64A8">
      <w:pPr>
        <w:rPr>
          <w:rFonts w:ascii="Bookman Old Style" w:hAnsi="Bookman Old Style"/>
          <w:sz w:val="24"/>
          <w:szCs w:val="24"/>
        </w:rPr>
      </w:pPr>
      <w:r>
        <w:rPr>
          <w:rFonts w:ascii="Bookman Old Style" w:hAnsi="Bookman Old Style"/>
          <w:sz w:val="24"/>
          <w:szCs w:val="24"/>
        </w:rPr>
        <w:t xml:space="preserve"> Interpersonal violence is a scenario involving a civilian and military death during a regional war, which England experienced in World War 1, whereby military and members of the police enforce justice and protection of the country by fatal means and are ex</w:t>
      </w:r>
      <w:r w:rsidR="00991C60">
        <w:rPr>
          <w:rFonts w:ascii="Bookman Old Style" w:hAnsi="Bookman Old Style"/>
          <w:sz w:val="24"/>
          <w:szCs w:val="24"/>
        </w:rPr>
        <w:t>em</w:t>
      </w:r>
      <w:r>
        <w:rPr>
          <w:rFonts w:ascii="Bookman Old Style" w:hAnsi="Bookman Old Style"/>
          <w:sz w:val="24"/>
          <w:szCs w:val="24"/>
        </w:rPr>
        <w:t>pt from the law when protecting themselves or the public. Murder</w:t>
      </w:r>
      <w:r w:rsidR="00BE18D2">
        <w:rPr>
          <w:rFonts w:ascii="Bookman Old Style" w:hAnsi="Bookman Old Style"/>
          <w:sz w:val="24"/>
          <w:szCs w:val="24"/>
        </w:rPr>
        <w:t xml:space="preserve">, </w:t>
      </w:r>
      <w:r w:rsidR="00D237AB">
        <w:rPr>
          <w:rFonts w:ascii="Bookman Old Style" w:hAnsi="Bookman Old Style"/>
          <w:sz w:val="24"/>
          <w:szCs w:val="24"/>
        </w:rPr>
        <w:t xml:space="preserve">this </w:t>
      </w:r>
      <w:r>
        <w:rPr>
          <w:rFonts w:ascii="Bookman Old Style" w:hAnsi="Bookman Old Style"/>
          <w:sz w:val="24"/>
          <w:szCs w:val="24"/>
        </w:rPr>
        <w:t>scenario involves the intent of causing harm which involves one human taking another life, is evident, while manslaughter is the action taking a life without thought or malice toward the victim.</w:t>
      </w:r>
      <w:r w:rsidR="00D03570">
        <w:rPr>
          <w:rFonts w:ascii="Bookman Old Style" w:hAnsi="Bookman Old Style"/>
          <w:sz w:val="24"/>
          <w:szCs w:val="24"/>
        </w:rPr>
        <w:t xml:space="preserve"> </w:t>
      </w:r>
      <w:r w:rsidR="00AB107C">
        <w:rPr>
          <w:rFonts w:ascii="Bookman Old Style" w:hAnsi="Bookman Old Style"/>
          <w:sz w:val="24"/>
          <w:szCs w:val="24"/>
        </w:rPr>
        <w:t>Voluntary manslaughter is partial defence, while involuntary is the crime of killing another human by being unla</w:t>
      </w:r>
      <w:r w:rsidR="00E57C01">
        <w:rPr>
          <w:rFonts w:ascii="Bookman Old Style" w:hAnsi="Bookman Old Style"/>
          <w:sz w:val="24"/>
          <w:szCs w:val="24"/>
        </w:rPr>
        <w:t>wfully but unintentionally, an example of this is drunk driven accidents etc.</w:t>
      </w:r>
    </w:p>
    <w:p w14:paraId="2DCE2627" w14:textId="56B554D9" w:rsidR="00D03570" w:rsidRDefault="000E3106" w:rsidP="009C64A8">
      <w:pPr>
        <w:rPr>
          <w:rFonts w:ascii="Bookman Old Style" w:hAnsi="Bookman Old Style"/>
          <w:sz w:val="24"/>
          <w:szCs w:val="24"/>
        </w:rPr>
      </w:pPr>
      <w:r w:rsidRPr="000E3106">
        <w:rPr>
          <w:rFonts w:ascii="Bookman Old Style" w:hAnsi="Bookman Old Style"/>
          <w:sz w:val="24"/>
          <w:szCs w:val="24"/>
        </w:rPr>
        <w:t xml:space="preserve">Depending on </w:t>
      </w:r>
      <w:r w:rsidR="00D237AB">
        <w:rPr>
          <w:rFonts w:ascii="Bookman Old Style" w:hAnsi="Bookman Old Style"/>
          <w:sz w:val="24"/>
          <w:szCs w:val="24"/>
        </w:rPr>
        <w:t xml:space="preserve">the </w:t>
      </w:r>
      <w:r w:rsidRPr="000E3106">
        <w:rPr>
          <w:rFonts w:ascii="Bookman Old Style" w:hAnsi="Bookman Old Style"/>
          <w:sz w:val="24"/>
          <w:szCs w:val="24"/>
        </w:rPr>
        <w:t>intent</w:t>
      </w:r>
      <w:r w:rsidR="00D237AB">
        <w:rPr>
          <w:rFonts w:ascii="Bookman Old Style" w:hAnsi="Bookman Old Style"/>
          <w:sz w:val="24"/>
          <w:szCs w:val="24"/>
        </w:rPr>
        <w:t xml:space="preserve">, </w:t>
      </w:r>
      <w:r w:rsidRPr="000E3106">
        <w:rPr>
          <w:rFonts w:ascii="Bookman Old Style" w:hAnsi="Bookman Old Style"/>
          <w:sz w:val="24"/>
          <w:szCs w:val="24"/>
        </w:rPr>
        <w:t>voluntary or involuntary of manslaughter can give a defendant up to 2-10years in prison</w:t>
      </w:r>
      <w:r>
        <w:rPr>
          <w:rFonts w:ascii="Bookman Old Style" w:hAnsi="Bookman Old Style"/>
          <w:sz w:val="24"/>
          <w:szCs w:val="24"/>
        </w:rPr>
        <w:t xml:space="preserve"> while murder can give max sentencing of </w:t>
      </w:r>
      <w:r w:rsidR="00D237AB">
        <w:rPr>
          <w:rFonts w:ascii="Bookman Old Style" w:hAnsi="Bookman Old Style"/>
          <w:sz w:val="24"/>
          <w:szCs w:val="24"/>
        </w:rPr>
        <w:t xml:space="preserve">life in prison </w:t>
      </w:r>
      <w:r w:rsidR="00D03570">
        <w:rPr>
          <w:rFonts w:ascii="Bookman Old Style" w:hAnsi="Bookman Old Style"/>
          <w:sz w:val="24"/>
          <w:szCs w:val="24"/>
        </w:rPr>
        <w:t xml:space="preserve">25 </w:t>
      </w:r>
      <w:r w:rsidR="005D7A43">
        <w:rPr>
          <w:rFonts w:ascii="Bookman Old Style" w:hAnsi="Bookman Old Style"/>
          <w:sz w:val="24"/>
          <w:szCs w:val="24"/>
        </w:rPr>
        <w:t xml:space="preserve">to 30 years </w:t>
      </w:r>
      <w:r w:rsidR="00D03570">
        <w:rPr>
          <w:rFonts w:ascii="Bookman Old Style" w:hAnsi="Bookman Old Style"/>
          <w:sz w:val="24"/>
          <w:szCs w:val="24"/>
        </w:rPr>
        <w:t>in which you may even serve longer if the defendant still seems a threat to the outside society.</w:t>
      </w:r>
    </w:p>
    <w:p w14:paraId="61CC3A1A" w14:textId="5B27B817" w:rsidR="00BE02E9" w:rsidRDefault="007E0149" w:rsidP="009C64A8">
      <w:pPr>
        <w:rPr>
          <w:rFonts w:ascii="Bookman Old Style" w:hAnsi="Bookman Old Style"/>
          <w:sz w:val="24"/>
          <w:szCs w:val="24"/>
        </w:rPr>
      </w:pPr>
      <w:r>
        <w:rPr>
          <w:rFonts w:ascii="Bookman Old Style" w:hAnsi="Bookman Old Style"/>
          <w:sz w:val="24"/>
          <w:szCs w:val="24"/>
        </w:rPr>
        <w:t xml:space="preserve">Currently, </w:t>
      </w:r>
      <w:r w:rsidR="000E3106">
        <w:rPr>
          <w:rFonts w:ascii="Bookman Old Style" w:hAnsi="Bookman Old Style"/>
          <w:sz w:val="24"/>
          <w:szCs w:val="24"/>
        </w:rPr>
        <w:t xml:space="preserve">the </w:t>
      </w:r>
      <w:r>
        <w:rPr>
          <w:rFonts w:ascii="Bookman Old Style" w:hAnsi="Bookman Old Style"/>
          <w:sz w:val="24"/>
          <w:szCs w:val="24"/>
        </w:rPr>
        <w:t>laws governing homicides in England and Wales are under the</w:t>
      </w:r>
      <w:r w:rsidR="00D03570">
        <w:rPr>
          <w:rFonts w:ascii="Bookman Old Style" w:hAnsi="Bookman Old Style"/>
          <w:sz w:val="24"/>
          <w:szCs w:val="24"/>
        </w:rPr>
        <w:t xml:space="preserve"> </w:t>
      </w:r>
      <w:r w:rsidR="005D7A43">
        <w:rPr>
          <w:rFonts w:ascii="Bookman Old Style" w:hAnsi="Bookman Old Style"/>
          <w:sz w:val="24"/>
          <w:szCs w:val="24"/>
        </w:rPr>
        <w:t>Homicides</w:t>
      </w:r>
      <w:r>
        <w:rPr>
          <w:rFonts w:ascii="Bookman Old Style" w:hAnsi="Bookman Old Style"/>
          <w:sz w:val="24"/>
          <w:szCs w:val="24"/>
        </w:rPr>
        <w:t xml:space="preserve"> Act</w:t>
      </w:r>
      <w:r w:rsidR="000E3106">
        <w:rPr>
          <w:rFonts w:ascii="Bookman Old Style" w:hAnsi="Bookman Old Style"/>
          <w:sz w:val="24"/>
          <w:szCs w:val="24"/>
        </w:rPr>
        <w:t>,</w:t>
      </w:r>
      <w:r>
        <w:rPr>
          <w:rFonts w:ascii="Bookman Old Style" w:hAnsi="Bookman Old Style"/>
          <w:sz w:val="24"/>
          <w:szCs w:val="24"/>
        </w:rPr>
        <w:t xml:space="preserve"> 1957 </w:t>
      </w:r>
      <w:r w:rsidR="000E3106">
        <w:rPr>
          <w:rFonts w:ascii="Bookman Old Style" w:hAnsi="Bookman Old Style"/>
          <w:sz w:val="24"/>
          <w:szCs w:val="24"/>
        </w:rPr>
        <w:t xml:space="preserve">which </w:t>
      </w:r>
      <w:r w:rsidR="005D7A43">
        <w:rPr>
          <w:rFonts w:ascii="Bookman Old Style" w:hAnsi="Bookman Old Style"/>
          <w:sz w:val="24"/>
          <w:szCs w:val="24"/>
        </w:rPr>
        <w:t xml:space="preserve">was given to the public by parliament to make a </w:t>
      </w:r>
      <w:r w:rsidR="00DB1936">
        <w:rPr>
          <w:rFonts w:ascii="Bookman Old Style" w:hAnsi="Bookman Old Style"/>
          <w:sz w:val="24"/>
          <w:szCs w:val="24"/>
        </w:rPr>
        <w:t>proposal for</w:t>
      </w:r>
      <w:r w:rsidR="005D7A43">
        <w:rPr>
          <w:rFonts w:ascii="Bookman Old Style" w:hAnsi="Bookman Old Style"/>
          <w:sz w:val="24"/>
          <w:szCs w:val="24"/>
        </w:rPr>
        <w:t xml:space="preserve"> a partial reform of the common Law offence of murder in English law.</w:t>
      </w:r>
      <w:r w:rsidR="00101786">
        <w:rPr>
          <w:rFonts w:ascii="Bookman Old Style" w:hAnsi="Bookman Old Style"/>
          <w:sz w:val="24"/>
          <w:szCs w:val="24"/>
        </w:rPr>
        <w:t xml:space="preserve"> </w:t>
      </w:r>
      <w:r w:rsidR="00FD62BF">
        <w:rPr>
          <w:rFonts w:ascii="Bookman Old Style" w:hAnsi="Bookman Old Style"/>
          <w:sz w:val="24"/>
          <w:szCs w:val="24"/>
        </w:rPr>
        <w:t>S</w:t>
      </w:r>
      <w:r w:rsidR="00101786">
        <w:rPr>
          <w:rFonts w:ascii="Bookman Old Style" w:hAnsi="Bookman Old Style"/>
          <w:sz w:val="24"/>
          <w:szCs w:val="24"/>
        </w:rPr>
        <w:t xml:space="preserve">ection 3 of this bill made it imperative </w:t>
      </w:r>
      <w:r w:rsidR="00DB1936">
        <w:rPr>
          <w:rFonts w:ascii="Bookman Old Style" w:hAnsi="Bookman Old Style"/>
          <w:sz w:val="24"/>
          <w:szCs w:val="24"/>
        </w:rPr>
        <w:t>to remove</w:t>
      </w:r>
      <w:r w:rsidR="00101786">
        <w:rPr>
          <w:rFonts w:ascii="Bookman Old Style" w:hAnsi="Bookman Old Style"/>
          <w:sz w:val="24"/>
          <w:szCs w:val="24"/>
        </w:rPr>
        <w:t xml:space="preserve"> </w:t>
      </w:r>
      <w:r w:rsidR="005D7A43">
        <w:rPr>
          <w:rFonts w:ascii="Bookman Old Style" w:hAnsi="Bookman Old Style"/>
          <w:sz w:val="24"/>
          <w:szCs w:val="24"/>
        </w:rPr>
        <w:t xml:space="preserve">of </w:t>
      </w:r>
      <w:r w:rsidR="00B22DA1">
        <w:rPr>
          <w:rFonts w:ascii="Bookman Old Style" w:hAnsi="Bookman Old Style"/>
          <w:sz w:val="24"/>
          <w:szCs w:val="24"/>
        </w:rPr>
        <w:t xml:space="preserve">doctrine (the belief set and taught by a church, political </w:t>
      </w:r>
      <w:r w:rsidR="00101786">
        <w:rPr>
          <w:rFonts w:ascii="Bookman Old Style" w:hAnsi="Bookman Old Style"/>
          <w:sz w:val="24"/>
          <w:szCs w:val="24"/>
        </w:rPr>
        <w:t>party,</w:t>
      </w:r>
      <w:r w:rsidR="00B22DA1">
        <w:rPr>
          <w:rFonts w:ascii="Bookman Old Style" w:hAnsi="Bookman Old Style"/>
          <w:sz w:val="24"/>
          <w:szCs w:val="24"/>
        </w:rPr>
        <w:t xml:space="preserve"> or other organisation) of malice, reforming the partial defence of provocation and this made it remove responsibility and suicide pact.</w:t>
      </w:r>
      <w:r w:rsidR="00101786">
        <w:rPr>
          <w:rFonts w:ascii="Bookman Old Style" w:hAnsi="Bookman Old Style"/>
          <w:sz w:val="24"/>
          <w:szCs w:val="24"/>
        </w:rPr>
        <w:t xml:space="preserve"> While diminishing &amp; restricting the use of death penalty in the United Kingdom.</w:t>
      </w:r>
      <w:r w:rsidR="00BE02E9">
        <w:rPr>
          <w:rFonts w:ascii="Bookman Old Style" w:hAnsi="Bookman Old Style"/>
          <w:sz w:val="24"/>
          <w:szCs w:val="24"/>
        </w:rPr>
        <w:t xml:space="preserve"> </w:t>
      </w:r>
    </w:p>
    <w:p w14:paraId="0E31F62B" w14:textId="554218C0" w:rsidR="00A55401" w:rsidRDefault="00A55401" w:rsidP="009C64A8">
      <w:pPr>
        <w:rPr>
          <w:rFonts w:ascii="Bookman Old Style" w:hAnsi="Bookman Old Style"/>
          <w:sz w:val="24"/>
          <w:szCs w:val="24"/>
        </w:rPr>
      </w:pPr>
      <w:r>
        <w:rPr>
          <w:rFonts w:ascii="Bookman Old Style" w:hAnsi="Bookman Old Style"/>
          <w:sz w:val="24"/>
          <w:szCs w:val="24"/>
        </w:rPr>
        <w:lastRenderedPageBreak/>
        <w:t xml:space="preserve">When </w:t>
      </w:r>
      <w:r w:rsidRPr="00A55401">
        <w:rPr>
          <w:rFonts w:ascii="Bookman Old Style" w:hAnsi="Bookman Old Style"/>
          <w:sz w:val="24"/>
          <w:szCs w:val="24"/>
        </w:rPr>
        <w:t>scrutiniz</w:t>
      </w:r>
      <w:r>
        <w:rPr>
          <w:rFonts w:ascii="Bookman Old Style" w:hAnsi="Bookman Old Style"/>
          <w:sz w:val="24"/>
          <w:szCs w:val="24"/>
        </w:rPr>
        <w:t>ing the</w:t>
      </w:r>
      <w:r w:rsidR="00AB294D">
        <w:rPr>
          <w:rFonts w:ascii="Bookman Old Style" w:hAnsi="Bookman Old Style"/>
          <w:sz w:val="24"/>
          <w:szCs w:val="24"/>
        </w:rPr>
        <w:t xml:space="preserve"> </w:t>
      </w:r>
      <w:r w:rsidR="00F070A3">
        <w:rPr>
          <w:rFonts w:ascii="Bookman Old Style" w:hAnsi="Bookman Old Style"/>
          <w:sz w:val="24"/>
          <w:szCs w:val="24"/>
        </w:rPr>
        <w:t>homicide laws</w:t>
      </w:r>
      <w:r>
        <w:rPr>
          <w:rFonts w:ascii="Bookman Old Style" w:hAnsi="Bookman Old Style"/>
          <w:sz w:val="24"/>
          <w:szCs w:val="24"/>
        </w:rPr>
        <w:t xml:space="preserve"> governing England &amp; Wales</w:t>
      </w:r>
      <w:r w:rsidR="00AB294D">
        <w:rPr>
          <w:rFonts w:ascii="Bookman Old Style" w:hAnsi="Bookman Old Style"/>
          <w:sz w:val="24"/>
          <w:szCs w:val="24"/>
        </w:rPr>
        <w:t xml:space="preserve"> </w:t>
      </w:r>
      <w:r w:rsidR="0081461D">
        <w:rPr>
          <w:rFonts w:ascii="Bookman Old Style" w:hAnsi="Bookman Old Style"/>
          <w:sz w:val="24"/>
          <w:szCs w:val="24"/>
        </w:rPr>
        <w:t>the problems</w:t>
      </w:r>
      <w:r w:rsidR="00AB294D">
        <w:rPr>
          <w:rFonts w:ascii="Bookman Old Style" w:hAnsi="Bookman Old Style"/>
          <w:sz w:val="24"/>
          <w:szCs w:val="24"/>
        </w:rPr>
        <w:t xml:space="preserve"> are </w:t>
      </w:r>
      <w:r w:rsidR="00F070A3">
        <w:rPr>
          <w:rFonts w:ascii="Bookman Old Style" w:hAnsi="Bookman Old Style"/>
          <w:sz w:val="24"/>
          <w:szCs w:val="24"/>
        </w:rPr>
        <w:t>that there</w:t>
      </w:r>
      <w:r w:rsidR="00AB294D">
        <w:rPr>
          <w:rFonts w:ascii="Bookman Old Style" w:hAnsi="Bookman Old Style"/>
          <w:sz w:val="24"/>
          <w:szCs w:val="24"/>
        </w:rPr>
        <w:t xml:space="preserve"> is a storm of injustice to defendants </w:t>
      </w:r>
      <w:r w:rsidR="00F070A3">
        <w:rPr>
          <w:rFonts w:ascii="Bookman Old Style" w:hAnsi="Bookman Old Style"/>
          <w:sz w:val="24"/>
          <w:szCs w:val="24"/>
        </w:rPr>
        <w:t xml:space="preserve">seeing as the general homicide offences holds severe </w:t>
      </w:r>
      <w:r w:rsidR="00696B77">
        <w:rPr>
          <w:rFonts w:ascii="Bookman Old Style" w:hAnsi="Bookman Old Style"/>
          <w:sz w:val="24"/>
          <w:szCs w:val="24"/>
        </w:rPr>
        <w:t xml:space="preserve">jail </w:t>
      </w:r>
      <w:r w:rsidR="005B5721">
        <w:rPr>
          <w:rFonts w:ascii="Bookman Old Style" w:hAnsi="Bookman Old Style"/>
          <w:sz w:val="24"/>
          <w:szCs w:val="24"/>
        </w:rPr>
        <w:t>time,</w:t>
      </w:r>
      <w:r w:rsidR="00C4732E">
        <w:rPr>
          <w:rFonts w:ascii="Bookman Old Style" w:hAnsi="Bookman Old Style"/>
          <w:sz w:val="24"/>
          <w:szCs w:val="24"/>
        </w:rPr>
        <w:t xml:space="preserve"> the liberty of the offender forms a part of state obligation to protect the defendant’s rights to life under Article 2 European convention on human rights (ECHR), said by the European court of human rights.</w:t>
      </w:r>
      <w:r w:rsidR="00C4732E" w:rsidRPr="00C4732E">
        <w:t xml:space="preserve"> </w:t>
      </w:r>
      <w:r w:rsidR="00C4732E">
        <w:rPr>
          <w:rFonts w:ascii="Bookman Old Style" w:hAnsi="Bookman Old Style"/>
          <w:sz w:val="24"/>
          <w:szCs w:val="24"/>
        </w:rPr>
        <w:t>In addition to this they</w:t>
      </w:r>
      <w:r w:rsidR="00696B77">
        <w:rPr>
          <w:rFonts w:ascii="Bookman Old Style" w:hAnsi="Bookman Old Style"/>
          <w:sz w:val="24"/>
          <w:szCs w:val="24"/>
        </w:rPr>
        <w:t xml:space="preserve"> would see that </w:t>
      </w:r>
      <w:r w:rsidR="005B5721">
        <w:rPr>
          <w:rFonts w:ascii="Bookman Old Style" w:hAnsi="Bookman Old Style"/>
          <w:sz w:val="24"/>
          <w:szCs w:val="24"/>
        </w:rPr>
        <w:t>a</w:t>
      </w:r>
      <w:r w:rsidR="002158A7">
        <w:rPr>
          <w:rFonts w:ascii="Bookman Old Style" w:hAnsi="Bookman Old Style"/>
          <w:sz w:val="24"/>
          <w:szCs w:val="24"/>
        </w:rPr>
        <w:t>n</w:t>
      </w:r>
      <w:r w:rsidR="00FD62BF">
        <w:rPr>
          <w:rFonts w:ascii="Bookman Old Style" w:hAnsi="Bookman Old Style"/>
          <w:sz w:val="24"/>
          <w:szCs w:val="24"/>
        </w:rPr>
        <w:t xml:space="preserve"> </w:t>
      </w:r>
      <w:r w:rsidR="000F7826">
        <w:rPr>
          <w:rFonts w:ascii="Bookman Old Style" w:hAnsi="Bookman Old Style"/>
          <w:sz w:val="24"/>
          <w:szCs w:val="24"/>
        </w:rPr>
        <w:t>action to</w:t>
      </w:r>
      <w:r w:rsidR="0081461D">
        <w:rPr>
          <w:rFonts w:ascii="Bookman Old Style" w:hAnsi="Bookman Old Style"/>
          <w:sz w:val="24"/>
          <w:szCs w:val="24"/>
        </w:rPr>
        <w:t xml:space="preserve"> </w:t>
      </w:r>
      <w:r w:rsidR="00B33784">
        <w:rPr>
          <w:rFonts w:ascii="Bookman Old Style" w:hAnsi="Bookman Old Style"/>
          <w:sz w:val="24"/>
          <w:szCs w:val="24"/>
        </w:rPr>
        <w:t>deliberative cause</w:t>
      </w:r>
      <w:r w:rsidR="005B5721">
        <w:rPr>
          <w:rFonts w:ascii="Bookman Old Style" w:hAnsi="Bookman Old Style"/>
          <w:sz w:val="24"/>
          <w:szCs w:val="24"/>
        </w:rPr>
        <w:t xml:space="preserve"> an angry reaction </w:t>
      </w:r>
      <w:r w:rsidR="000F7816">
        <w:rPr>
          <w:rFonts w:ascii="Bookman Old Style" w:hAnsi="Bookman Old Style"/>
          <w:sz w:val="24"/>
          <w:szCs w:val="24"/>
        </w:rPr>
        <w:t xml:space="preserve">or trigger (provocation) </w:t>
      </w:r>
      <w:r w:rsidR="000F7826">
        <w:rPr>
          <w:rFonts w:ascii="Bookman Old Style" w:hAnsi="Bookman Old Style"/>
          <w:sz w:val="24"/>
          <w:szCs w:val="24"/>
        </w:rPr>
        <w:t xml:space="preserve">to make the defendant venerable would be replaced by killing in circumstances where </w:t>
      </w:r>
      <w:r w:rsidR="00296D8E">
        <w:rPr>
          <w:rFonts w:ascii="Bookman Old Style" w:hAnsi="Bookman Old Style"/>
          <w:sz w:val="24"/>
          <w:szCs w:val="24"/>
        </w:rPr>
        <w:t xml:space="preserve">the defendant must have had a fear of serious violence. Or things must have been amounted to an </w:t>
      </w:r>
      <w:r w:rsidR="00423296">
        <w:rPr>
          <w:rFonts w:ascii="Bookman Old Style" w:hAnsi="Bookman Old Style"/>
          <w:sz w:val="24"/>
          <w:szCs w:val="24"/>
        </w:rPr>
        <w:t>exceptional happening</w:t>
      </w:r>
      <w:r w:rsidR="00296D8E">
        <w:rPr>
          <w:rFonts w:ascii="Bookman Old Style" w:hAnsi="Bookman Old Style"/>
          <w:sz w:val="24"/>
          <w:szCs w:val="24"/>
        </w:rPr>
        <w:t xml:space="preserve"> </w:t>
      </w:r>
      <w:r w:rsidR="00423296">
        <w:rPr>
          <w:rFonts w:ascii="Bookman Old Style" w:hAnsi="Bookman Old Style"/>
          <w:sz w:val="24"/>
          <w:szCs w:val="24"/>
        </w:rPr>
        <w:t xml:space="preserve">though </w:t>
      </w:r>
      <w:r w:rsidR="00296D8E">
        <w:rPr>
          <w:rFonts w:ascii="Bookman Old Style" w:hAnsi="Bookman Old Style"/>
          <w:sz w:val="24"/>
          <w:szCs w:val="24"/>
        </w:rPr>
        <w:t>which caused the defendant to have acted in a justifiable sense of being seriously offended, wrong in which the main requirement of loss of self-control has been judged albeit that shouldn’t be unexplainable or ‘sudden’.</w:t>
      </w:r>
    </w:p>
    <w:p w14:paraId="4E08700A" w14:textId="77777777" w:rsidR="00FD62BF" w:rsidRDefault="00FD62BF" w:rsidP="009C64A8">
      <w:pPr>
        <w:rPr>
          <w:rFonts w:ascii="Bookman Old Style" w:hAnsi="Bookman Old Style"/>
          <w:sz w:val="24"/>
          <w:szCs w:val="24"/>
        </w:rPr>
      </w:pPr>
    </w:p>
    <w:p w14:paraId="3522479E" w14:textId="2200A50D" w:rsidR="000A71E2" w:rsidRDefault="00423296" w:rsidP="009C64A8">
      <w:pPr>
        <w:rPr>
          <w:rFonts w:ascii="Bookman Old Style" w:hAnsi="Bookman Old Style"/>
          <w:sz w:val="24"/>
          <w:szCs w:val="24"/>
        </w:rPr>
      </w:pPr>
      <w:r>
        <w:rPr>
          <w:rFonts w:ascii="Bookman Old Style" w:hAnsi="Bookman Old Style"/>
          <w:sz w:val="24"/>
          <w:szCs w:val="24"/>
        </w:rPr>
        <w:t>In addition to this the</w:t>
      </w:r>
      <w:r w:rsidR="00F651DE" w:rsidRPr="00F651DE">
        <w:t xml:space="preserve"> </w:t>
      </w:r>
      <w:r w:rsidR="00F651DE" w:rsidRPr="00F651DE">
        <w:rPr>
          <w:rFonts w:ascii="Bookman Old Style" w:hAnsi="Bookman Old Style"/>
          <w:sz w:val="24"/>
          <w:szCs w:val="24"/>
        </w:rPr>
        <w:t>homicide bill</w:t>
      </w:r>
      <w:r>
        <w:rPr>
          <w:rFonts w:ascii="Bookman Old Style" w:hAnsi="Bookman Old Style"/>
          <w:sz w:val="24"/>
          <w:szCs w:val="24"/>
        </w:rPr>
        <w:t xml:space="preserve"> </w:t>
      </w:r>
      <w:r w:rsidR="00F651DE">
        <w:rPr>
          <w:rFonts w:ascii="Bookman Old Style" w:hAnsi="Bookman Old Style"/>
          <w:sz w:val="24"/>
          <w:szCs w:val="24"/>
        </w:rPr>
        <w:t>controversy</w:t>
      </w:r>
      <w:r w:rsidR="00F651DE" w:rsidRPr="00423296">
        <w:rPr>
          <w:rFonts w:ascii="Bookman Old Style" w:hAnsi="Bookman Old Style"/>
          <w:sz w:val="24"/>
          <w:szCs w:val="24"/>
        </w:rPr>
        <w:t xml:space="preserve"> surrounding</w:t>
      </w:r>
      <w:r w:rsidR="00B52280">
        <w:rPr>
          <w:rFonts w:ascii="Bookman Old Style" w:hAnsi="Bookman Old Style"/>
          <w:sz w:val="24"/>
          <w:szCs w:val="24"/>
        </w:rPr>
        <w:t xml:space="preserve"> the </w:t>
      </w:r>
      <w:proofErr w:type="gramStart"/>
      <w:r w:rsidR="00B52280">
        <w:rPr>
          <w:rFonts w:ascii="Bookman Old Style" w:hAnsi="Bookman Old Style"/>
          <w:sz w:val="24"/>
          <w:szCs w:val="24"/>
        </w:rPr>
        <w:t>intent</w:t>
      </w:r>
      <w:r w:rsidR="00CC5EB1">
        <w:rPr>
          <w:rFonts w:ascii="Bookman Old Style" w:hAnsi="Bookman Old Style"/>
          <w:sz w:val="24"/>
          <w:szCs w:val="24"/>
        </w:rPr>
        <w:t xml:space="preserve"> </w:t>
      </w:r>
      <w:r w:rsidR="00F651DE">
        <w:rPr>
          <w:rFonts w:ascii="Bookman Old Style" w:hAnsi="Bookman Old Style"/>
          <w:sz w:val="24"/>
          <w:szCs w:val="24"/>
        </w:rPr>
        <w:t xml:space="preserve"> has</w:t>
      </w:r>
      <w:proofErr w:type="gramEnd"/>
      <w:r w:rsidR="00F651DE">
        <w:rPr>
          <w:rFonts w:ascii="Bookman Old Style" w:hAnsi="Bookman Old Style"/>
          <w:sz w:val="24"/>
          <w:szCs w:val="24"/>
        </w:rPr>
        <w:t xml:space="preserve"> been questioned due to  section </w:t>
      </w:r>
      <w:r w:rsidR="000F7816">
        <w:rPr>
          <w:rFonts w:ascii="Bookman Old Style" w:hAnsi="Bookman Old Style"/>
          <w:sz w:val="24"/>
          <w:szCs w:val="24"/>
        </w:rPr>
        <w:t>3 of HA</w:t>
      </w:r>
      <w:r w:rsidR="00C96B5A">
        <w:rPr>
          <w:rFonts w:ascii="Bookman Old Style" w:hAnsi="Bookman Old Style"/>
          <w:sz w:val="24"/>
          <w:szCs w:val="24"/>
        </w:rPr>
        <w:t xml:space="preserve"> (Homicide Act)</w:t>
      </w:r>
      <w:r w:rsidR="000F7816">
        <w:rPr>
          <w:rFonts w:ascii="Bookman Old Style" w:hAnsi="Bookman Old Style"/>
          <w:sz w:val="24"/>
          <w:szCs w:val="24"/>
        </w:rPr>
        <w:t xml:space="preserve"> has flaws </w:t>
      </w:r>
      <w:r w:rsidR="00C538B7">
        <w:rPr>
          <w:rFonts w:ascii="Bookman Old Style" w:hAnsi="Bookman Old Style"/>
          <w:sz w:val="24"/>
          <w:szCs w:val="24"/>
        </w:rPr>
        <w:t>they should consider rather than the defendant has require some provocation, the partial defence needs a qualifying trigger for example there are two section 55 (3) &amp; (4) whereby the defendant loses control caused by fear of serious violence from the victim against the defendant. A case support this is Pearson (1992): case where two biological brothers killed their violent and abusive father, one brother lived away from his home before the murder, but he was traumatized by the ill treatment suffered by his brother at his hands of their father that provoked him to commit such an offence. The consideration of if the defendant serious violence is a subjective test emphasising that if the defendant fear of violence is genuine not self-justifiable or reasonable to their account.</w:t>
      </w:r>
    </w:p>
    <w:p w14:paraId="68F741B3" w14:textId="77777777" w:rsidR="000A71E2" w:rsidRDefault="000A71E2" w:rsidP="009C64A8">
      <w:pPr>
        <w:rPr>
          <w:rFonts w:ascii="Bookman Old Style" w:hAnsi="Bookman Old Style"/>
          <w:sz w:val="24"/>
          <w:szCs w:val="24"/>
        </w:rPr>
      </w:pPr>
    </w:p>
    <w:p w14:paraId="030C1450" w14:textId="7EFFB915" w:rsidR="00D05591" w:rsidRDefault="00B33784" w:rsidP="003B5C9C">
      <w:pPr>
        <w:rPr>
          <w:rFonts w:ascii="Bookman Old Style" w:hAnsi="Bookman Old Style"/>
          <w:sz w:val="24"/>
          <w:szCs w:val="24"/>
        </w:rPr>
      </w:pPr>
      <w:r>
        <w:rPr>
          <w:rFonts w:ascii="Bookman Old Style" w:hAnsi="Bookman Old Style"/>
          <w:sz w:val="24"/>
          <w:szCs w:val="24"/>
        </w:rPr>
        <w:t>P</w:t>
      </w:r>
      <w:r w:rsidR="00423296">
        <w:rPr>
          <w:rFonts w:ascii="Bookman Old Style" w:hAnsi="Bookman Old Style"/>
          <w:sz w:val="24"/>
          <w:szCs w:val="24"/>
        </w:rPr>
        <w:t>roposal &amp;</w:t>
      </w:r>
      <w:r w:rsidR="00423296" w:rsidRPr="00423296">
        <w:rPr>
          <w:rFonts w:ascii="Bookman Old Style" w:hAnsi="Bookman Old Style"/>
          <w:sz w:val="24"/>
          <w:szCs w:val="24"/>
        </w:rPr>
        <w:t xml:space="preserve"> solution </w:t>
      </w:r>
      <w:r>
        <w:rPr>
          <w:rFonts w:ascii="Bookman Old Style" w:hAnsi="Bookman Old Style"/>
          <w:sz w:val="24"/>
          <w:szCs w:val="24"/>
        </w:rPr>
        <w:t xml:space="preserve">to </w:t>
      </w:r>
      <w:r w:rsidR="002158A7">
        <w:rPr>
          <w:rFonts w:ascii="Bookman Old Style" w:hAnsi="Bookman Old Style"/>
          <w:sz w:val="24"/>
          <w:szCs w:val="24"/>
        </w:rPr>
        <w:t>this has</w:t>
      </w:r>
      <w:r w:rsidR="00423296" w:rsidRPr="00423296">
        <w:rPr>
          <w:rFonts w:ascii="Bookman Old Style" w:hAnsi="Bookman Old Style"/>
          <w:sz w:val="24"/>
          <w:szCs w:val="24"/>
        </w:rPr>
        <w:t xml:space="preserve"> been stated that the current offence of murder should be split into two categories only, one being first degree murder and another second-degree murder while manslaughter should stay as before, though tighter circumcises.</w:t>
      </w:r>
      <w:r w:rsidR="002158A7">
        <w:rPr>
          <w:rFonts w:ascii="Bookman Old Style" w:hAnsi="Bookman Old Style"/>
          <w:sz w:val="24"/>
          <w:szCs w:val="24"/>
        </w:rPr>
        <w:t xml:space="preserve"> Back</w:t>
      </w:r>
      <w:r w:rsidR="00CF473A">
        <w:rPr>
          <w:rFonts w:ascii="Bookman Old Style" w:hAnsi="Bookman Old Style"/>
          <w:sz w:val="24"/>
          <w:szCs w:val="24"/>
        </w:rPr>
        <w:t xml:space="preserve"> in 2006 </w:t>
      </w:r>
      <w:r w:rsidR="00457912">
        <w:rPr>
          <w:rFonts w:ascii="Bookman Old Style" w:hAnsi="Bookman Old Style"/>
          <w:sz w:val="24"/>
          <w:szCs w:val="24"/>
        </w:rPr>
        <w:t>report the law commission prop</w:t>
      </w:r>
      <w:r w:rsidR="00BE02E9">
        <w:rPr>
          <w:rFonts w:ascii="Bookman Old Style" w:hAnsi="Bookman Old Style"/>
          <w:sz w:val="24"/>
          <w:szCs w:val="24"/>
        </w:rPr>
        <w:t xml:space="preserve">osed a three-tier process of the homicide offences first degree murder which would </w:t>
      </w:r>
      <w:r w:rsidR="00D223F0">
        <w:rPr>
          <w:rFonts w:ascii="Bookman Old Style" w:hAnsi="Bookman Old Style"/>
          <w:sz w:val="24"/>
          <w:szCs w:val="24"/>
        </w:rPr>
        <w:t xml:space="preserve">give a mandatory punishment of life sentence, secondly </w:t>
      </w:r>
      <w:r w:rsidR="000F7816">
        <w:rPr>
          <w:rFonts w:ascii="Bookman Old Style" w:hAnsi="Bookman Old Style"/>
          <w:sz w:val="24"/>
          <w:szCs w:val="24"/>
        </w:rPr>
        <w:t>second-degree</w:t>
      </w:r>
      <w:r w:rsidR="00D223F0">
        <w:rPr>
          <w:rFonts w:ascii="Bookman Old Style" w:hAnsi="Bookman Old Style"/>
          <w:sz w:val="24"/>
          <w:szCs w:val="24"/>
        </w:rPr>
        <w:t xml:space="preserve"> murder with discretionary life sentence, manslaughter with a discretionary life sentence.</w:t>
      </w:r>
      <w:r w:rsidR="00C96B5A">
        <w:rPr>
          <w:rFonts w:ascii="Bookman Old Style" w:hAnsi="Bookman Old Style"/>
          <w:sz w:val="24"/>
          <w:szCs w:val="24"/>
        </w:rPr>
        <w:t xml:space="preserve"> From a </w:t>
      </w:r>
      <w:r w:rsidR="00991C60">
        <w:rPr>
          <w:rFonts w:ascii="Bookman Old Style" w:hAnsi="Bookman Old Style"/>
          <w:sz w:val="24"/>
          <w:szCs w:val="24"/>
        </w:rPr>
        <w:t>main article “Criminal Jurisdiction” state</w:t>
      </w:r>
      <w:r w:rsidR="00C96B5A">
        <w:rPr>
          <w:rFonts w:ascii="Bookman Old Style" w:hAnsi="Bookman Old Style"/>
          <w:sz w:val="24"/>
          <w:szCs w:val="24"/>
        </w:rPr>
        <w:t xml:space="preserve"> that in Britain the defendant “may be dealt with, inquired of, tried in court, determined, and punished in England and Wales where nationality doesn’t </w:t>
      </w:r>
      <w:r w:rsidR="00991C60">
        <w:rPr>
          <w:rFonts w:ascii="Bookman Old Style" w:hAnsi="Bookman Old Style"/>
          <w:sz w:val="24"/>
          <w:szCs w:val="24"/>
        </w:rPr>
        <w:t>exempt</w:t>
      </w:r>
      <w:r w:rsidR="00C96B5A">
        <w:rPr>
          <w:rFonts w:ascii="Bookman Old Style" w:hAnsi="Bookman Old Style"/>
          <w:sz w:val="24"/>
          <w:szCs w:val="24"/>
        </w:rPr>
        <w:t xml:space="preserve"> </w:t>
      </w:r>
      <w:r w:rsidR="00991C60">
        <w:rPr>
          <w:rFonts w:ascii="Bookman Old Style" w:hAnsi="Bookman Old Style"/>
          <w:sz w:val="24"/>
          <w:szCs w:val="24"/>
        </w:rPr>
        <w:t xml:space="preserve">a person </w:t>
      </w:r>
      <w:r w:rsidR="00E678AA">
        <w:rPr>
          <w:rFonts w:ascii="Bookman Old Style" w:hAnsi="Bookman Old Style"/>
          <w:sz w:val="24"/>
          <w:szCs w:val="24"/>
        </w:rPr>
        <w:t>wherever</w:t>
      </w:r>
      <w:r w:rsidR="00991C60">
        <w:rPr>
          <w:rFonts w:ascii="Bookman Old Style" w:hAnsi="Bookman Old Style"/>
          <w:sz w:val="24"/>
          <w:szCs w:val="24"/>
        </w:rPr>
        <w:t xml:space="preserve"> the killing took place.</w:t>
      </w:r>
      <w:r w:rsidR="00ED41A0">
        <w:rPr>
          <w:rFonts w:ascii="Bookman Old Style" w:hAnsi="Bookman Old Style"/>
          <w:sz w:val="24"/>
          <w:szCs w:val="24"/>
        </w:rPr>
        <w:t xml:space="preserve"> The Actus Reus of murder also was put into place as a </w:t>
      </w:r>
      <w:r w:rsidR="00D05591">
        <w:rPr>
          <w:rFonts w:ascii="Bookman Old Style" w:hAnsi="Bookman Old Style"/>
          <w:sz w:val="24"/>
          <w:szCs w:val="24"/>
        </w:rPr>
        <w:t>prohibition</w:t>
      </w:r>
      <w:r w:rsidR="00ED41A0">
        <w:rPr>
          <w:rFonts w:ascii="Bookman Old Style" w:hAnsi="Bookman Old Style"/>
          <w:sz w:val="24"/>
          <w:szCs w:val="24"/>
        </w:rPr>
        <w:t xml:space="preserve"> of any conduct </w:t>
      </w:r>
      <w:r w:rsidR="00D05591">
        <w:rPr>
          <w:rFonts w:ascii="Bookman Old Style" w:hAnsi="Bookman Old Style"/>
          <w:sz w:val="24"/>
          <w:szCs w:val="24"/>
        </w:rPr>
        <w:t xml:space="preserve">that causes the result in which it removed the state of mind as some rely on mental illness to disguise and gain sympathy   in which the Actus Reus looks at the shooting, weapons, impact in </w:t>
      </w:r>
      <w:r w:rsidR="003B5C9C">
        <w:rPr>
          <w:rFonts w:ascii="Bookman Old Style" w:hAnsi="Bookman Old Style"/>
          <w:sz w:val="24"/>
          <w:szCs w:val="24"/>
        </w:rPr>
        <w:t>which an</w:t>
      </w:r>
      <w:r w:rsidR="00D05591">
        <w:rPr>
          <w:rFonts w:ascii="Bookman Old Style" w:hAnsi="Bookman Old Style"/>
          <w:sz w:val="24"/>
          <w:szCs w:val="24"/>
        </w:rPr>
        <w:t xml:space="preserve"> example is R </w:t>
      </w:r>
      <w:r w:rsidR="00D05591">
        <w:rPr>
          <w:rFonts w:ascii="Bookman Old Style" w:hAnsi="Bookman Old Style"/>
          <w:sz w:val="24"/>
          <w:szCs w:val="24"/>
        </w:rPr>
        <w:lastRenderedPageBreak/>
        <w:t>V Gibbins &amp; Proctor 1918.</w:t>
      </w:r>
      <w:r w:rsidR="00D05591" w:rsidRPr="00D05591">
        <w:t xml:space="preserve"> </w:t>
      </w:r>
      <w:r w:rsidR="00D05591">
        <w:rPr>
          <w:rFonts w:ascii="Bookman Old Style" w:hAnsi="Bookman Old Style"/>
          <w:sz w:val="24"/>
          <w:szCs w:val="24"/>
        </w:rPr>
        <w:t xml:space="preserve">This case involves </w:t>
      </w:r>
      <w:r w:rsidR="003B5C9C">
        <w:rPr>
          <w:rFonts w:ascii="Bookman Old Style" w:hAnsi="Bookman Old Style"/>
          <w:sz w:val="24"/>
          <w:szCs w:val="24"/>
        </w:rPr>
        <w:t>a defendant who was charged with a child’s murder, in which they argued that simply allowing the child to die was an omission and therefore could not constitute the act of killing. This is required for a murder, so they argued that this was the case even if they were under a duty to act to protect the victim &amp; the issue facing court is the testing of if the Actus Reus of the murder could be committed via omission.</w:t>
      </w:r>
    </w:p>
    <w:p w14:paraId="567C5AB2" w14:textId="77777777" w:rsidR="00D05591" w:rsidRDefault="00D05591" w:rsidP="009C64A8">
      <w:pPr>
        <w:rPr>
          <w:rFonts w:ascii="Bookman Old Style" w:hAnsi="Bookman Old Style"/>
          <w:sz w:val="24"/>
          <w:szCs w:val="24"/>
        </w:rPr>
      </w:pPr>
    </w:p>
    <w:p w14:paraId="4B1F6699" w14:textId="77777777" w:rsidR="00F651DE" w:rsidRDefault="003B5C9C" w:rsidP="009C64A8">
      <w:pPr>
        <w:rPr>
          <w:rFonts w:ascii="Bookman Old Style" w:hAnsi="Bookman Old Style"/>
          <w:sz w:val="24"/>
          <w:szCs w:val="24"/>
        </w:rPr>
      </w:pPr>
      <w:r>
        <w:rPr>
          <w:rFonts w:ascii="Bookman Old Style" w:hAnsi="Bookman Old Style"/>
          <w:sz w:val="24"/>
          <w:szCs w:val="24"/>
        </w:rPr>
        <w:t>In relation to t</w:t>
      </w:r>
      <w:r w:rsidR="00D05591">
        <w:rPr>
          <w:rFonts w:ascii="Bookman Old Style" w:hAnsi="Bookman Old Style"/>
          <w:sz w:val="24"/>
          <w:szCs w:val="24"/>
        </w:rPr>
        <w:t>he</w:t>
      </w:r>
      <w:r>
        <w:rPr>
          <w:rFonts w:ascii="Bookman Old Style" w:hAnsi="Bookman Old Style"/>
          <w:sz w:val="24"/>
          <w:szCs w:val="24"/>
        </w:rPr>
        <w:t xml:space="preserve"> governing laws concerning homicides in England and Wales in 17</w:t>
      </w:r>
      <w:r w:rsidR="00D925CD" w:rsidRPr="00D925CD">
        <w:rPr>
          <w:rFonts w:ascii="Bookman Old Style" w:hAnsi="Bookman Old Style"/>
          <w:sz w:val="24"/>
          <w:szCs w:val="24"/>
          <w:vertAlign w:val="superscript"/>
        </w:rPr>
        <w:t>th</w:t>
      </w:r>
      <w:r w:rsidR="00D925CD">
        <w:rPr>
          <w:rFonts w:ascii="Bookman Old Style" w:hAnsi="Bookman Old Style"/>
          <w:sz w:val="24"/>
          <w:szCs w:val="24"/>
        </w:rPr>
        <w:t xml:space="preserve"> century</w:t>
      </w:r>
      <w:r>
        <w:rPr>
          <w:rFonts w:ascii="Bookman Old Style" w:hAnsi="Bookman Old Style"/>
          <w:sz w:val="24"/>
          <w:szCs w:val="24"/>
        </w:rPr>
        <w:t xml:space="preserve"> a </w:t>
      </w:r>
      <w:r w:rsidR="00BD75FD">
        <w:rPr>
          <w:rFonts w:ascii="Bookman Old Style" w:hAnsi="Bookman Old Style"/>
          <w:sz w:val="24"/>
          <w:szCs w:val="24"/>
        </w:rPr>
        <w:t>clear definition</w:t>
      </w:r>
      <w:r w:rsidR="00D925CD">
        <w:rPr>
          <w:rFonts w:ascii="Bookman Old Style" w:hAnsi="Bookman Old Style"/>
          <w:sz w:val="24"/>
          <w:szCs w:val="24"/>
        </w:rPr>
        <w:t xml:space="preserve"> shows how unchanged the bill stayed as the </w:t>
      </w:r>
      <w:r w:rsidR="00227476">
        <w:rPr>
          <w:rFonts w:ascii="Bookman Old Style" w:hAnsi="Bookman Old Style"/>
          <w:sz w:val="24"/>
          <w:szCs w:val="24"/>
        </w:rPr>
        <w:t>old-style</w:t>
      </w:r>
      <w:r w:rsidR="00D925CD">
        <w:rPr>
          <w:rFonts w:ascii="Bookman Old Style" w:hAnsi="Bookman Old Style"/>
          <w:sz w:val="24"/>
          <w:szCs w:val="24"/>
        </w:rPr>
        <w:t xml:space="preserve"> language gives a brief dictation of how we would still describe a homicide. The classic definition of a homicide by Sir Edwards Coke (Lord Chief Justice, early 17</w:t>
      </w:r>
      <w:r w:rsidR="00D925CD" w:rsidRPr="00D925CD">
        <w:rPr>
          <w:rFonts w:ascii="Bookman Old Style" w:hAnsi="Bookman Old Style"/>
          <w:sz w:val="24"/>
          <w:szCs w:val="24"/>
          <w:vertAlign w:val="superscript"/>
        </w:rPr>
        <w:t>th</w:t>
      </w:r>
      <w:r w:rsidR="00D925CD">
        <w:rPr>
          <w:rFonts w:ascii="Bookman Old Style" w:hAnsi="Bookman Old Style"/>
          <w:sz w:val="24"/>
          <w:szCs w:val="24"/>
        </w:rPr>
        <w:t xml:space="preserve"> Century) “Unlawfully killing a reasonable person who is in being and under the king’s peace, the death following within a year and a day with malice aforethought”, the words “unlawfully  killing” is still being used as we have accepted in this generation that actions can cause a repercussion to a negative response even if such acts </w:t>
      </w:r>
      <w:r w:rsidR="00227476">
        <w:rPr>
          <w:rFonts w:ascii="Bookman Old Style" w:hAnsi="Bookman Old Style"/>
          <w:sz w:val="24"/>
          <w:szCs w:val="24"/>
        </w:rPr>
        <w:t>aren’t</w:t>
      </w:r>
      <w:r w:rsidR="00D925CD">
        <w:rPr>
          <w:rFonts w:ascii="Bookman Old Style" w:hAnsi="Bookman Old Style"/>
          <w:sz w:val="24"/>
          <w:szCs w:val="24"/>
        </w:rPr>
        <w:t xml:space="preserve"> recognized by laws or rules</w:t>
      </w:r>
      <w:r w:rsidR="00227476">
        <w:rPr>
          <w:rFonts w:ascii="Bookman Old Style" w:hAnsi="Bookman Old Style"/>
          <w:sz w:val="24"/>
          <w:szCs w:val="24"/>
        </w:rPr>
        <w:t xml:space="preserve">. </w:t>
      </w:r>
      <w:r w:rsidR="00AB107C">
        <w:rPr>
          <w:rFonts w:ascii="Bookman Old Style" w:hAnsi="Bookman Old Style"/>
          <w:sz w:val="24"/>
          <w:szCs w:val="24"/>
        </w:rPr>
        <w:t xml:space="preserve">Requirements for death to be within a year and a day of the incident was abolished by law reform (year and a day rule) Act 1996. </w:t>
      </w:r>
    </w:p>
    <w:p w14:paraId="78B4CB24" w14:textId="77777777" w:rsidR="00F651DE" w:rsidRDefault="00AB107C" w:rsidP="009C64A8">
      <w:pPr>
        <w:rPr>
          <w:rFonts w:ascii="Bookman Old Style" w:hAnsi="Bookman Old Style"/>
          <w:sz w:val="24"/>
          <w:szCs w:val="24"/>
        </w:rPr>
      </w:pPr>
      <w:r>
        <w:rPr>
          <w:rFonts w:ascii="Bookman Old Style" w:hAnsi="Bookman Old Style"/>
          <w:sz w:val="24"/>
          <w:szCs w:val="24"/>
        </w:rPr>
        <w:t>Another fault is shown by a case R</w:t>
      </w:r>
      <w:r w:rsidR="00E82B18">
        <w:rPr>
          <w:rFonts w:ascii="Bookman Old Style" w:hAnsi="Bookman Old Style"/>
          <w:sz w:val="24"/>
          <w:szCs w:val="24"/>
        </w:rPr>
        <w:t xml:space="preserve"> v Jogee (</w:t>
      </w:r>
      <w:r w:rsidR="00341289">
        <w:rPr>
          <w:rFonts w:ascii="Bookman Old Style" w:hAnsi="Bookman Old Style"/>
          <w:sz w:val="24"/>
          <w:szCs w:val="24"/>
        </w:rPr>
        <w:t xml:space="preserve">2016) in which ‘joint enterprise’ seeing as the law of murder has attracted </w:t>
      </w:r>
      <w:r w:rsidR="000872C7">
        <w:rPr>
          <w:rFonts w:ascii="Bookman Old Style" w:hAnsi="Bookman Old Style"/>
          <w:sz w:val="24"/>
          <w:szCs w:val="24"/>
        </w:rPr>
        <w:t xml:space="preserve">a decision by a supreme court where UKSC 8, which considered the law of parasitic accessory liability. This is because the second parties </w:t>
      </w:r>
      <w:r w:rsidR="00513771">
        <w:rPr>
          <w:rFonts w:ascii="Bookman Old Style" w:hAnsi="Bookman Old Style"/>
          <w:sz w:val="24"/>
          <w:szCs w:val="24"/>
        </w:rPr>
        <w:t xml:space="preserve">(member that are seen with the defendant usually) who engaged in criminal venture to commit crime, the case is explain and summarized that this principle has </w:t>
      </w:r>
      <w:r w:rsidR="00754A2B">
        <w:rPr>
          <w:rFonts w:ascii="Bookman Old Style" w:hAnsi="Bookman Old Style"/>
          <w:sz w:val="24"/>
          <w:szCs w:val="24"/>
        </w:rPr>
        <w:t>loopholes</w:t>
      </w:r>
      <w:r w:rsidR="00513771">
        <w:rPr>
          <w:rFonts w:ascii="Bookman Old Style" w:hAnsi="Bookman Old Style"/>
          <w:sz w:val="24"/>
          <w:szCs w:val="24"/>
        </w:rPr>
        <w:t xml:space="preserve"> in which some individuals have been imprison over an </w:t>
      </w:r>
      <w:r w:rsidR="00754A2B">
        <w:rPr>
          <w:rFonts w:ascii="Bookman Old Style" w:hAnsi="Bookman Old Style"/>
          <w:sz w:val="24"/>
          <w:szCs w:val="24"/>
        </w:rPr>
        <w:t>insignificant involvement</w:t>
      </w:r>
      <w:r w:rsidR="00513771">
        <w:rPr>
          <w:rFonts w:ascii="Bookman Old Style" w:hAnsi="Bookman Old Style"/>
          <w:sz w:val="24"/>
          <w:szCs w:val="24"/>
        </w:rPr>
        <w:t xml:space="preserve"> as they get the significant sentence of murder over there Codi (co- defendant) actions.</w:t>
      </w:r>
    </w:p>
    <w:p w14:paraId="1EC4950F" w14:textId="31FCB529" w:rsidR="00E678AA" w:rsidRDefault="00754A2B" w:rsidP="009C64A8">
      <w:pPr>
        <w:rPr>
          <w:rFonts w:ascii="Bookman Old Style" w:hAnsi="Bookman Old Style"/>
          <w:sz w:val="24"/>
          <w:szCs w:val="24"/>
        </w:rPr>
      </w:pPr>
      <w:r>
        <w:rPr>
          <w:rFonts w:ascii="Bookman Old Style" w:hAnsi="Bookman Old Style"/>
          <w:sz w:val="24"/>
          <w:szCs w:val="24"/>
        </w:rPr>
        <w:t xml:space="preserve"> </w:t>
      </w:r>
      <w:r w:rsidR="00F651DE">
        <w:rPr>
          <w:rFonts w:ascii="Bookman Old Style" w:hAnsi="Bookman Old Style"/>
          <w:sz w:val="24"/>
          <w:szCs w:val="24"/>
        </w:rPr>
        <w:t>A</w:t>
      </w:r>
      <w:r>
        <w:rPr>
          <w:rFonts w:ascii="Bookman Old Style" w:hAnsi="Bookman Old Style"/>
          <w:sz w:val="24"/>
          <w:szCs w:val="24"/>
        </w:rPr>
        <w:t>rgument</w:t>
      </w:r>
      <w:r w:rsidR="00CC5EB1">
        <w:rPr>
          <w:rFonts w:ascii="Bookman Old Style" w:hAnsi="Bookman Old Style"/>
          <w:sz w:val="24"/>
          <w:szCs w:val="24"/>
        </w:rPr>
        <w:t xml:space="preserve"> for </w:t>
      </w:r>
      <w:r w:rsidR="00B52280">
        <w:rPr>
          <w:rFonts w:ascii="Bookman Old Style" w:hAnsi="Bookman Old Style"/>
          <w:sz w:val="24"/>
          <w:szCs w:val="24"/>
        </w:rPr>
        <w:t xml:space="preserve">reform </w:t>
      </w:r>
      <w:r w:rsidR="00AB107C">
        <w:rPr>
          <w:rFonts w:ascii="Bookman Old Style" w:hAnsi="Bookman Old Style"/>
          <w:sz w:val="24"/>
          <w:szCs w:val="24"/>
        </w:rPr>
        <w:t>includes</w:t>
      </w:r>
      <w:r w:rsidR="00CC5EB1">
        <w:rPr>
          <w:rFonts w:ascii="Bookman Old Style" w:hAnsi="Bookman Old Style"/>
          <w:sz w:val="24"/>
          <w:szCs w:val="24"/>
        </w:rPr>
        <w:t xml:space="preserve"> </w:t>
      </w:r>
      <w:r w:rsidR="00056472">
        <w:rPr>
          <w:rFonts w:ascii="Bookman Old Style" w:hAnsi="Bookman Old Style"/>
          <w:sz w:val="24"/>
          <w:szCs w:val="24"/>
        </w:rPr>
        <w:t>the problem that a defendant who reasonably</w:t>
      </w:r>
      <w:r w:rsidR="00E57C01">
        <w:rPr>
          <w:rFonts w:ascii="Bookman Old Style" w:hAnsi="Bookman Old Style"/>
          <w:sz w:val="24"/>
          <w:szCs w:val="24"/>
        </w:rPr>
        <w:t xml:space="preserve"> law</w:t>
      </w:r>
      <w:r w:rsidR="00ED41A0">
        <w:rPr>
          <w:rFonts w:ascii="Bookman Old Style" w:hAnsi="Bookman Old Style"/>
          <w:sz w:val="24"/>
          <w:szCs w:val="24"/>
        </w:rPr>
        <w:t xml:space="preserve"> </w:t>
      </w:r>
      <w:r w:rsidR="00E57C01">
        <w:rPr>
          <w:rFonts w:ascii="Bookman Old Style" w:hAnsi="Bookman Old Style"/>
          <w:sz w:val="24"/>
          <w:szCs w:val="24"/>
        </w:rPr>
        <w:t xml:space="preserve">on manslaughter in the homicide act in </w:t>
      </w:r>
      <w:r w:rsidR="00ED41A0">
        <w:rPr>
          <w:rFonts w:ascii="Bookman Old Style" w:hAnsi="Bookman Old Style"/>
          <w:sz w:val="24"/>
          <w:szCs w:val="24"/>
        </w:rPr>
        <w:t xml:space="preserve">is that </w:t>
      </w:r>
      <w:r w:rsidR="008F75FC">
        <w:rPr>
          <w:rFonts w:ascii="Bookman Old Style" w:hAnsi="Bookman Old Style"/>
          <w:sz w:val="24"/>
          <w:szCs w:val="24"/>
        </w:rPr>
        <w:t>it</w:t>
      </w:r>
      <w:r w:rsidR="00ED41A0">
        <w:rPr>
          <w:rFonts w:ascii="Bookman Old Style" w:hAnsi="Bookman Old Style"/>
          <w:sz w:val="24"/>
          <w:szCs w:val="24"/>
        </w:rPr>
        <w:t xml:space="preserve"> displays a very wide spectrum of killings, due to that it’s been criticized for losing its functions, as defendants convicted for manslaughter face the life sentence whilst other defendants only face a probation is really underpinning the circumstances of encompassment of the wide range killings. </w:t>
      </w:r>
      <w:r w:rsidR="00832291">
        <w:rPr>
          <w:rFonts w:ascii="Bookman Old Style" w:hAnsi="Bookman Old Style"/>
          <w:sz w:val="24"/>
          <w:szCs w:val="24"/>
        </w:rPr>
        <w:t>Parties</w:t>
      </w:r>
      <w:r w:rsidR="008F75FC">
        <w:rPr>
          <w:rFonts w:ascii="Bookman Old Style" w:hAnsi="Bookman Old Style"/>
          <w:sz w:val="24"/>
          <w:szCs w:val="24"/>
        </w:rPr>
        <w:t xml:space="preserve"> against</w:t>
      </w:r>
      <w:r w:rsidR="00C4732E">
        <w:rPr>
          <w:rFonts w:ascii="Bookman Old Style" w:hAnsi="Bookman Old Style"/>
          <w:sz w:val="24"/>
          <w:szCs w:val="24"/>
        </w:rPr>
        <w:t xml:space="preserve"> this ref</w:t>
      </w:r>
      <w:r>
        <w:rPr>
          <w:rFonts w:ascii="Bookman Old Style" w:hAnsi="Bookman Old Style"/>
          <w:sz w:val="24"/>
          <w:szCs w:val="24"/>
        </w:rPr>
        <w:t>or</w:t>
      </w:r>
      <w:r w:rsidR="00C4732E">
        <w:rPr>
          <w:rFonts w:ascii="Bookman Old Style" w:hAnsi="Bookman Old Style"/>
          <w:sz w:val="24"/>
          <w:szCs w:val="24"/>
        </w:rPr>
        <w:t xml:space="preserve">m </w:t>
      </w:r>
      <w:r w:rsidR="003B5C9C">
        <w:rPr>
          <w:rFonts w:ascii="Bookman Old Style" w:hAnsi="Bookman Old Style"/>
          <w:sz w:val="24"/>
          <w:szCs w:val="24"/>
        </w:rPr>
        <w:t xml:space="preserve">of the laws relating homicides are Law </w:t>
      </w:r>
      <w:r w:rsidR="00D928B6">
        <w:rPr>
          <w:rFonts w:ascii="Bookman Old Style" w:hAnsi="Bookman Old Style"/>
          <w:sz w:val="24"/>
          <w:szCs w:val="24"/>
        </w:rPr>
        <w:t>Commission,</w:t>
      </w:r>
      <w:r w:rsidR="00BD75FD">
        <w:rPr>
          <w:rFonts w:ascii="Bookman Old Style" w:hAnsi="Bookman Old Style"/>
          <w:sz w:val="24"/>
          <w:szCs w:val="24"/>
        </w:rPr>
        <w:t xml:space="preserve"> big ego </w:t>
      </w:r>
      <w:r w:rsidR="004D002E">
        <w:rPr>
          <w:rFonts w:ascii="Bookman Old Style" w:hAnsi="Bookman Old Style"/>
          <w:sz w:val="24"/>
          <w:szCs w:val="24"/>
        </w:rPr>
        <w:t>media,</w:t>
      </w:r>
      <w:r w:rsidR="008F75FC">
        <w:rPr>
          <w:rFonts w:ascii="Bookman Old Style" w:hAnsi="Bookman Old Style"/>
          <w:sz w:val="24"/>
          <w:szCs w:val="24"/>
        </w:rPr>
        <w:t xml:space="preserve"> life as delinquent </w:t>
      </w:r>
      <w:r w:rsidR="00BD75FD">
        <w:rPr>
          <w:rFonts w:ascii="Bookman Old Style" w:hAnsi="Bookman Old Style"/>
          <w:sz w:val="24"/>
          <w:szCs w:val="24"/>
        </w:rPr>
        <w:t xml:space="preserve">which </w:t>
      </w:r>
      <w:r w:rsidR="004D002E">
        <w:rPr>
          <w:rFonts w:ascii="Bookman Old Style" w:hAnsi="Bookman Old Style"/>
          <w:sz w:val="24"/>
          <w:szCs w:val="24"/>
        </w:rPr>
        <w:t>is a</w:t>
      </w:r>
      <w:r w:rsidR="00BD75FD">
        <w:rPr>
          <w:rFonts w:ascii="Bookman Old Style" w:hAnsi="Bookman Old Style"/>
          <w:sz w:val="24"/>
          <w:szCs w:val="24"/>
        </w:rPr>
        <w:t xml:space="preserve"> prison</w:t>
      </w:r>
      <w:r w:rsidR="008F75FC">
        <w:rPr>
          <w:rFonts w:ascii="Bookman Old Style" w:hAnsi="Bookman Old Style"/>
          <w:sz w:val="24"/>
          <w:szCs w:val="24"/>
        </w:rPr>
        <w:t>/ entertainment podcast in which they have expressed their destress of the current laws concerning the homicide bill.</w:t>
      </w:r>
    </w:p>
    <w:p w14:paraId="1C7CC16E" w14:textId="77777777" w:rsidR="00E678AA" w:rsidRDefault="00E678AA" w:rsidP="009C64A8">
      <w:pPr>
        <w:rPr>
          <w:rFonts w:ascii="Bookman Old Style" w:hAnsi="Bookman Old Style"/>
          <w:sz w:val="24"/>
          <w:szCs w:val="24"/>
        </w:rPr>
      </w:pPr>
    </w:p>
    <w:p w14:paraId="3A54E2C3" w14:textId="027BBAF8" w:rsidR="005C57B7" w:rsidRDefault="00CF473A" w:rsidP="00DB1936">
      <w:pPr>
        <w:rPr>
          <w:rFonts w:ascii="Bookman Old Style" w:hAnsi="Bookman Old Style"/>
          <w:sz w:val="24"/>
          <w:szCs w:val="24"/>
        </w:rPr>
      </w:pPr>
      <w:r w:rsidRPr="00CF473A">
        <w:rPr>
          <w:rFonts w:ascii="Bookman Old Style" w:hAnsi="Bookman Old Style"/>
          <w:sz w:val="24"/>
          <w:szCs w:val="24"/>
        </w:rPr>
        <w:t xml:space="preserve">Aims and purpose of </w:t>
      </w:r>
      <w:r w:rsidR="005C57B7">
        <w:rPr>
          <w:rFonts w:ascii="Bookman Old Style" w:hAnsi="Bookman Old Style"/>
          <w:sz w:val="24"/>
          <w:szCs w:val="24"/>
        </w:rPr>
        <w:t xml:space="preserve">reform of the </w:t>
      </w:r>
      <w:r w:rsidRPr="00CF473A">
        <w:rPr>
          <w:rFonts w:ascii="Bookman Old Style" w:hAnsi="Bookman Old Style"/>
          <w:sz w:val="24"/>
          <w:szCs w:val="24"/>
        </w:rPr>
        <w:t>homicide bills</w:t>
      </w:r>
      <w:r w:rsidR="00E678AA">
        <w:rPr>
          <w:rFonts w:ascii="Bookman Old Style" w:hAnsi="Bookman Old Style"/>
          <w:sz w:val="24"/>
          <w:szCs w:val="24"/>
        </w:rPr>
        <w:t xml:space="preserve"> in England &amp; Wales </w:t>
      </w:r>
      <w:r w:rsidR="005C57B7">
        <w:rPr>
          <w:rFonts w:ascii="Bookman Old Style" w:hAnsi="Bookman Old Style"/>
          <w:sz w:val="24"/>
          <w:szCs w:val="24"/>
        </w:rPr>
        <w:t xml:space="preserve">was to change the provocation, diminished </w:t>
      </w:r>
      <w:r w:rsidR="008F75FC">
        <w:rPr>
          <w:rFonts w:ascii="Bookman Old Style" w:hAnsi="Bookman Old Style"/>
          <w:sz w:val="24"/>
          <w:szCs w:val="24"/>
        </w:rPr>
        <w:t>responsibility,</w:t>
      </w:r>
      <w:r w:rsidR="005C57B7">
        <w:rPr>
          <w:rFonts w:ascii="Bookman Old Style" w:hAnsi="Bookman Old Style"/>
          <w:sz w:val="24"/>
          <w:szCs w:val="24"/>
        </w:rPr>
        <w:t xml:space="preserve"> and complicity as the current law of provocation was settled in a case of Attorney- General V Holley, 2005 UKPC23, would be removed and replaced by a partial defence </w:t>
      </w:r>
      <w:r w:rsidR="005C57B7">
        <w:rPr>
          <w:rFonts w:ascii="Bookman Old Style" w:hAnsi="Bookman Old Style"/>
          <w:sz w:val="24"/>
          <w:szCs w:val="24"/>
        </w:rPr>
        <w:lastRenderedPageBreak/>
        <w:t xml:space="preserve">of killing in a response by a reaction to a gross provocation or to feel fear of serious violence. However, the requirement of a loss and uncontrollable </w:t>
      </w:r>
      <w:r w:rsidR="00BD75FD">
        <w:rPr>
          <w:rFonts w:ascii="Bookman Old Style" w:hAnsi="Bookman Old Style"/>
          <w:sz w:val="24"/>
          <w:szCs w:val="24"/>
        </w:rPr>
        <w:t>action of self-loss control would be removed, this change will also involve diminishment to be modernised with requirements of an abnormality of mental functioning arising from recognised medical conditions from a doctor with serval test and proofs. As a development of immaturity in the defendants mind the case continues will show the false narrative of guilt. Another would be the reduction of both partial defences, whereby first-degree murder to second degree unlike how it is now which is murder to manslaughter, this will improve the structure which would therefore apply to fewer cases in the first instance than the current partial defence.</w:t>
      </w:r>
    </w:p>
    <w:p w14:paraId="2F9FC31C" w14:textId="780E1C37" w:rsidR="00A55401" w:rsidRDefault="000F7816" w:rsidP="00DB1936">
      <w:pPr>
        <w:rPr>
          <w:rFonts w:ascii="Bookman Old Style" w:hAnsi="Bookman Old Style"/>
          <w:sz w:val="24"/>
          <w:szCs w:val="24"/>
        </w:rPr>
      </w:pPr>
      <w:r>
        <w:rPr>
          <w:rFonts w:ascii="Bookman Old Style" w:hAnsi="Bookman Old Style"/>
          <w:sz w:val="24"/>
          <w:szCs w:val="24"/>
        </w:rPr>
        <w:t xml:space="preserve">Impact of </w:t>
      </w:r>
      <w:r w:rsidR="00C4732E">
        <w:rPr>
          <w:rFonts w:ascii="Bookman Old Style" w:hAnsi="Bookman Old Style"/>
          <w:sz w:val="24"/>
          <w:szCs w:val="24"/>
        </w:rPr>
        <w:t>the homicide</w:t>
      </w:r>
      <w:r>
        <w:rPr>
          <w:rFonts w:ascii="Bookman Old Style" w:hAnsi="Bookman Old Style"/>
          <w:sz w:val="24"/>
          <w:szCs w:val="24"/>
        </w:rPr>
        <w:t xml:space="preserve"> bill if approved for reform would include </w:t>
      </w:r>
      <w:r w:rsidR="005C57B7">
        <w:rPr>
          <w:rFonts w:ascii="Bookman Old Style" w:hAnsi="Bookman Old Style"/>
          <w:sz w:val="24"/>
          <w:szCs w:val="24"/>
        </w:rPr>
        <w:t xml:space="preserve">the positive obligation in which the justifiable and appropriate steps to safeguard life for the purpose of a fair trial entails the primary duties to put </w:t>
      </w:r>
      <w:r w:rsidR="008F75FC">
        <w:rPr>
          <w:rFonts w:ascii="Bookman Old Style" w:hAnsi="Bookman Old Style"/>
          <w:sz w:val="24"/>
          <w:szCs w:val="24"/>
        </w:rPr>
        <w:t>an</w:t>
      </w:r>
      <w:r w:rsidR="005C57B7">
        <w:rPr>
          <w:rFonts w:ascii="Bookman Old Style" w:hAnsi="Bookman Old Style"/>
          <w:sz w:val="24"/>
          <w:szCs w:val="24"/>
        </w:rPr>
        <w:t xml:space="preserve"> administrative and legislative framework with intentions designed to provide effective deterrence against threats to the “right “of life.</w:t>
      </w:r>
    </w:p>
    <w:p w14:paraId="6D0DFCD6" w14:textId="774FEE50" w:rsidR="008E21C6" w:rsidRDefault="00BE02E9" w:rsidP="008F75FC">
      <w:pPr>
        <w:rPr>
          <w:rFonts w:ascii="Bookman Old Style" w:hAnsi="Bookman Old Style"/>
          <w:sz w:val="24"/>
          <w:szCs w:val="24"/>
        </w:rPr>
      </w:pPr>
      <w:r w:rsidRPr="00BE02E9">
        <w:rPr>
          <w:rFonts w:ascii="Bookman Old Style" w:hAnsi="Bookman Old Style"/>
          <w:sz w:val="24"/>
          <w:szCs w:val="24"/>
        </w:rPr>
        <w:t xml:space="preserve">In </w:t>
      </w:r>
      <w:r w:rsidR="000F7816">
        <w:rPr>
          <w:rFonts w:ascii="Bookman Old Style" w:hAnsi="Bookman Old Style"/>
          <w:sz w:val="24"/>
          <w:szCs w:val="24"/>
        </w:rPr>
        <w:t>conclusion,</w:t>
      </w:r>
      <w:r w:rsidRPr="00BE02E9">
        <w:rPr>
          <w:rFonts w:ascii="Bookman Old Style" w:hAnsi="Bookman Old Style"/>
          <w:sz w:val="24"/>
          <w:szCs w:val="24"/>
        </w:rPr>
        <w:t xml:space="preserve"> the problem is that the law </w:t>
      </w:r>
      <w:r w:rsidR="008F75FC">
        <w:rPr>
          <w:rFonts w:ascii="Bookman Old Style" w:hAnsi="Bookman Old Style"/>
          <w:sz w:val="24"/>
          <w:szCs w:val="24"/>
        </w:rPr>
        <w:t xml:space="preserve">of homicide </w:t>
      </w:r>
      <w:r w:rsidRPr="00BE02E9">
        <w:rPr>
          <w:rFonts w:ascii="Bookman Old Style" w:hAnsi="Bookman Old Style"/>
          <w:sz w:val="24"/>
          <w:szCs w:val="24"/>
        </w:rPr>
        <w:t>lacks a rational or defensible structure. It does not chime with common sense—and in this area of the law perhaps above all others, it should.</w:t>
      </w:r>
      <w:r w:rsidR="008F75FC">
        <w:rPr>
          <w:rFonts w:ascii="Bookman Old Style" w:hAnsi="Bookman Old Style"/>
          <w:sz w:val="24"/>
          <w:szCs w:val="24"/>
        </w:rPr>
        <w:t xml:space="preserve"> And a question to why the government accepted some proposals for reform and rejected others just displays the </w:t>
      </w:r>
      <w:r w:rsidR="00F651DE">
        <w:rPr>
          <w:rFonts w:ascii="Bookman Old Style" w:hAnsi="Bookman Old Style"/>
          <w:sz w:val="24"/>
          <w:szCs w:val="24"/>
        </w:rPr>
        <w:t xml:space="preserve">lack of seriousness towards a whole charge for a reform. In relation to this it deeper than the physical aspect of the action seeing as the statistics for homicides due to mental disorder are more complete after 1957 when the defence of diminished responsibility was introduced showing some cases </w:t>
      </w:r>
      <w:r w:rsidR="008E21C6">
        <w:rPr>
          <w:rFonts w:ascii="Bookman Old Style" w:hAnsi="Bookman Old Style"/>
          <w:sz w:val="24"/>
          <w:szCs w:val="24"/>
        </w:rPr>
        <w:t>defendants are</w:t>
      </w:r>
      <w:r w:rsidR="00F651DE">
        <w:rPr>
          <w:rFonts w:ascii="Bookman Old Style" w:hAnsi="Bookman Old Style"/>
          <w:sz w:val="24"/>
          <w:szCs w:val="24"/>
        </w:rPr>
        <w:t xml:space="preserve"> using this </w:t>
      </w:r>
      <w:r w:rsidR="008E21C6">
        <w:rPr>
          <w:rFonts w:ascii="Bookman Old Style" w:hAnsi="Bookman Old Style"/>
          <w:sz w:val="24"/>
          <w:szCs w:val="24"/>
        </w:rPr>
        <w:t>strategy</w:t>
      </w:r>
      <w:r w:rsidR="00F651DE">
        <w:rPr>
          <w:rFonts w:ascii="Bookman Old Style" w:hAnsi="Bookman Old Style"/>
          <w:sz w:val="24"/>
          <w:szCs w:val="24"/>
        </w:rPr>
        <w:t xml:space="preserve"> to make sense of </w:t>
      </w:r>
      <w:r w:rsidR="008E21C6">
        <w:rPr>
          <w:rFonts w:ascii="Bookman Old Style" w:hAnsi="Bookman Old Style"/>
          <w:sz w:val="24"/>
          <w:szCs w:val="24"/>
        </w:rPr>
        <w:t xml:space="preserve">horrific </w:t>
      </w:r>
      <w:r w:rsidR="00F651DE">
        <w:rPr>
          <w:rFonts w:ascii="Bookman Old Style" w:hAnsi="Bookman Old Style"/>
          <w:sz w:val="24"/>
          <w:szCs w:val="24"/>
        </w:rPr>
        <w:t xml:space="preserve">crimes which needs to </w:t>
      </w:r>
      <w:r w:rsidR="008E21C6">
        <w:rPr>
          <w:rFonts w:ascii="Bookman Old Style" w:hAnsi="Bookman Old Style"/>
          <w:sz w:val="24"/>
          <w:szCs w:val="24"/>
        </w:rPr>
        <w:t>stop,</w:t>
      </w:r>
      <w:r w:rsidR="00F651DE">
        <w:rPr>
          <w:rFonts w:ascii="Bookman Old Style" w:hAnsi="Bookman Old Style"/>
          <w:sz w:val="24"/>
          <w:szCs w:val="24"/>
        </w:rPr>
        <w:t xml:space="preserve"> and </w:t>
      </w:r>
      <w:r w:rsidR="008E21C6">
        <w:rPr>
          <w:rFonts w:ascii="Bookman Old Style" w:hAnsi="Bookman Old Style"/>
          <w:sz w:val="24"/>
          <w:szCs w:val="24"/>
        </w:rPr>
        <w:t>they feel less scared due to the mandatory death penalty was abolished.</w:t>
      </w:r>
    </w:p>
    <w:p w14:paraId="5076639B" w14:textId="77777777" w:rsidR="004E14EA" w:rsidRDefault="004E14EA" w:rsidP="008F75FC">
      <w:pPr>
        <w:rPr>
          <w:rFonts w:ascii="Bookman Old Style" w:hAnsi="Bookman Old Style"/>
          <w:sz w:val="24"/>
          <w:szCs w:val="24"/>
        </w:rPr>
      </w:pPr>
    </w:p>
    <w:p w14:paraId="242B8103" w14:textId="5BB9E29F" w:rsidR="00BF1EFD" w:rsidRDefault="00BF1EFD">
      <w:pPr>
        <w:pStyle w:val="Heading1"/>
      </w:pPr>
    </w:p>
    <w:sdt>
      <w:sdtPr>
        <w:id w:val="39432015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5522810" w14:textId="06BC9582" w:rsidR="00657C5B" w:rsidRPr="00657C5B" w:rsidRDefault="00657C5B">
          <w:pPr>
            <w:pStyle w:val="Heading1"/>
            <w:rPr>
              <w:rFonts w:ascii="Bookman Old Style" w:hAnsi="Bookman Old Style"/>
              <w:sz w:val="24"/>
              <w:szCs w:val="24"/>
            </w:rPr>
          </w:pPr>
          <w:r>
            <w:t>References</w:t>
          </w:r>
        </w:p>
        <w:sdt>
          <w:sdtPr>
            <w:rPr>
              <w:rFonts w:ascii="Bookman Old Style" w:hAnsi="Bookman Old Style"/>
              <w:sz w:val="24"/>
              <w:szCs w:val="24"/>
            </w:rPr>
            <w:id w:val="-573587230"/>
            <w:bibliography/>
          </w:sdtPr>
          <w:sdtEndPr>
            <w:rPr>
              <w:rFonts w:asciiTheme="minorHAnsi" w:hAnsiTheme="minorHAnsi"/>
              <w:sz w:val="22"/>
              <w:szCs w:val="22"/>
            </w:rPr>
          </w:sdtEndPr>
          <w:sdtContent>
            <w:p w14:paraId="57605A88" w14:textId="5FA9688A" w:rsidR="00657C5B" w:rsidRPr="00657C5B" w:rsidRDefault="00657C5B" w:rsidP="00657C5B">
              <w:pPr>
                <w:pStyle w:val="Bibliography"/>
                <w:ind w:left="720" w:hanging="720"/>
                <w:rPr>
                  <w:rFonts w:ascii="Bookman Old Style" w:hAnsi="Bookman Old Style"/>
                  <w:noProof/>
                  <w:sz w:val="24"/>
                  <w:szCs w:val="24"/>
                </w:rPr>
              </w:pPr>
              <w:r>
                <w:rPr>
                  <w:rFonts w:ascii="Bookman Old Style" w:hAnsi="Bookman Old Style"/>
                  <w:sz w:val="24"/>
                  <w:szCs w:val="24"/>
                </w:rPr>
                <w:t xml:space="preserve">1. </w:t>
              </w:r>
              <w:r w:rsidRPr="00657C5B">
                <w:rPr>
                  <w:rFonts w:ascii="Bookman Old Style" w:hAnsi="Bookman Old Style"/>
                  <w:sz w:val="24"/>
                  <w:szCs w:val="24"/>
                </w:rPr>
                <w:fldChar w:fldCharType="begin"/>
              </w:r>
              <w:r w:rsidRPr="00657C5B">
                <w:rPr>
                  <w:rFonts w:ascii="Bookman Old Style" w:hAnsi="Bookman Old Style"/>
                  <w:sz w:val="24"/>
                  <w:szCs w:val="24"/>
                </w:rPr>
                <w:instrText xml:space="preserve"> BIBLIOGRAPHY </w:instrText>
              </w:r>
              <w:r w:rsidRPr="00657C5B">
                <w:rPr>
                  <w:rFonts w:ascii="Bookman Old Style" w:hAnsi="Bookman Old Style"/>
                  <w:sz w:val="24"/>
                  <w:szCs w:val="24"/>
                </w:rPr>
                <w:fldChar w:fldCharType="separate"/>
              </w:r>
              <w:r w:rsidRPr="00657C5B">
                <w:rPr>
                  <w:rFonts w:ascii="Bookman Old Style" w:hAnsi="Bookman Old Style"/>
                  <w:noProof/>
                  <w:sz w:val="24"/>
                  <w:szCs w:val="24"/>
                </w:rPr>
                <w:t xml:space="preserve">Commission, L. (2006). </w:t>
              </w:r>
              <w:r w:rsidRPr="00657C5B">
                <w:rPr>
                  <w:rFonts w:ascii="Bookman Old Style" w:hAnsi="Bookman Old Style"/>
                  <w:i/>
                  <w:iCs/>
                  <w:noProof/>
                  <w:sz w:val="24"/>
                  <w:szCs w:val="24"/>
                </w:rPr>
                <w:t>Murder, Manslaughter and infanticide</w:t>
              </w:r>
              <w:r w:rsidRPr="00657C5B">
                <w:rPr>
                  <w:rFonts w:ascii="Bookman Old Style" w:hAnsi="Bookman Old Style"/>
                  <w:noProof/>
                  <w:sz w:val="24"/>
                  <w:szCs w:val="24"/>
                </w:rPr>
                <w:t>. Retrieved from assets.publishing.service.gov.uk</w:t>
              </w:r>
            </w:p>
            <w:p w14:paraId="267DE6BA" w14:textId="011C6B7A" w:rsidR="00657C5B" w:rsidRPr="00657C5B" w:rsidRDefault="00657C5B" w:rsidP="00657C5B">
              <w:pPr>
                <w:pStyle w:val="Bibliography"/>
                <w:ind w:left="720" w:hanging="720"/>
                <w:rPr>
                  <w:rFonts w:ascii="Bookman Old Style" w:hAnsi="Bookman Old Style"/>
                  <w:noProof/>
                  <w:sz w:val="24"/>
                  <w:szCs w:val="24"/>
                </w:rPr>
              </w:pPr>
              <w:r>
                <w:rPr>
                  <w:rFonts w:ascii="Bookman Old Style" w:hAnsi="Bookman Old Style"/>
                  <w:noProof/>
                  <w:sz w:val="24"/>
                  <w:szCs w:val="24"/>
                </w:rPr>
                <w:t xml:space="preserve">2. </w:t>
              </w:r>
              <w:r w:rsidRPr="00657C5B">
                <w:rPr>
                  <w:rFonts w:ascii="Bookman Old Style" w:hAnsi="Bookman Old Style"/>
                  <w:noProof/>
                  <w:sz w:val="24"/>
                  <w:szCs w:val="24"/>
                </w:rPr>
                <w:t>General V Holley, ukpc23 (2005).</w:t>
              </w:r>
            </w:p>
            <w:p w14:paraId="470946CF" w14:textId="3A53C5AB" w:rsidR="00657C5B" w:rsidRPr="00657C5B" w:rsidRDefault="00657C5B" w:rsidP="00657C5B">
              <w:pPr>
                <w:pStyle w:val="Bibliography"/>
                <w:ind w:left="720" w:hanging="720"/>
                <w:rPr>
                  <w:rFonts w:ascii="Bookman Old Style" w:hAnsi="Bookman Old Style"/>
                  <w:noProof/>
                  <w:sz w:val="24"/>
                  <w:szCs w:val="24"/>
                </w:rPr>
              </w:pPr>
              <w:r>
                <w:rPr>
                  <w:rFonts w:ascii="Bookman Old Style" w:hAnsi="Bookman Old Style"/>
                  <w:noProof/>
                  <w:sz w:val="24"/>
                  <w:szCs w:val="24"/>
                </w:rPr>
                <w:t xml:space="preserve">3. </w:t>
              </w:r>
              <w:r w:rsidRPr="00657C5B">
                <w:rPr>
                  <w:rFonts w:ascii="Bookman Old Style" w:hAnsi="Bookman Old Style"/>
                  <w:noProof/>
                  <w:sz w:val="24"/>
                  <w:szCs w:val="24"/>
                </w:rPr>
                <w:t>Justice, L. C. (1700). Definition of a Homicide. United Kingdom.</w:t>
              </w:r>
            </w:p>
            <w:p w14:paraId="49EE59DA" w14:textId="3AD2FA41" w:rsidR="00657C5B" w:rsidRPr="00657C5B" w:rsidRDefault="00657C5B" w:rsidP="00657C5B">
              <w:pPr>
                <w:pStyle w:val="Bibliography"/>
                <w:ind w:left="720" w:hanging="720"/>
                <w:rPr>
                  <w:rFonts w:ascii="Bookman Old Style" w:hAnsi="Bookman Old Style"/>
                  <w:noProof/>
                  <w:sz w:val="24"/>
                  <w:szCs w:val="24"/>
                </w:rPr>
              </w:pPr>
              <w:r>
                <w:rPr>
                  <w:rFonts w:ascii="Bookman Old Style" w:hAnsi="Bookman Old Style"/>
                  <w:noProof/>
                  <w:sz w:val="24"/>
                  <w:szCs w:val="24"/>
                </w:rPr>
                <w:t xml:space="preserve">4. </w:t>
              </w:r>
              <w:r w:rsidRPr="00657C5B">
                <w:rPr>
                  <w:rFonts w:ascii="Bookman Old Style" w:hAnsi="Bookman Old Style"/>
                  <w:noProof/>
                  <w:sz w:val="24"/>
                  <w:szCs w:val="24"/>
                </w:rPr>
                <w:t xml:space="preserve">Parliment. (n.d.). </w:t>
              </w:r>
              <w:r w:rsidRPr="00657C5B">
                <w:rPr>
                  <w:rFonts w:ascii="Bookman Old Style" w:hAnsi="Bookman Old Style"/>
                  <w:i/>
                  <w:iCs/>
                  <w:noProof/>
                  <w:sz w:val="24"/>
                  <w:szCs w:val="24"/>
                </w:rPr>
                <w:t>Homicide Act 1957.</w:t>
              </w:r>
              <w:r w:rsidRPr="00657C5B">
                <w:rPr>
                  <w:rFonts w:ascii="Bookman Old Style" w:hAnsi="Bookman Old Style"/>
                  <w:noProof/>
                  <w:sz w:val="24"/>
                  <w:szCs w:val="24"/>
                </w:rPr>
                <w:t xml:space="preserve"> swansea.</w:t>
              </w:r>
            </w:p>
            <w:p w14:paraId="57F9D430" w14:textId="4AD75958" w:rsidR="00657C5B" w:rsidRPr="00657C5B" w:rsidRDefault="00657C5B" w:rsidP="00657C5B">
              <w:pPr>
                <w:pStyle w:val="Bibliography"/>
                <w:ind w:left="720" w:hanging="720"/>
                <w:rPr>
                  <w:rFonts w:ascii="Bookman Old Style" w:hAnsi="Bookman Old Style"/>
                  <w:noProof/>
                  <w:sz w:val="24"/>
                  <w:szCs w:val="24"/>
                </w:rPr>
              </w:pPr>
              <w:r>
                <w:rPr>
                  <w:rFonts w:ascii="Bookman Old Style" w:hAnsi="Bookman Old Style"/>
                  <w:noProof/>
                  <w:sz w:val="24"/>
                  <w:szCs w:val="24"/>
                </w:rPr>
                <w:t xml:space="preserve">5. </w:t>
              </w:r>
              <w:r w:rsidRPr="00657C5B">
                <w:rPr>
                  <w:rFonts w:ascii="Bookman Old Style" w:hAnsi="Bookman Old Style"/>
                  <w:noProof/>
                  <w:sz w:val="24"/>
                  <w:szCs w:val="24"/>
                </w:rPr>
                <w:t>R V Jogee (2016).</w:t>
              </w:r>
            </w:p>
            <w:p w14:paraId="264E2708" w14:textId="428B549E" w:rsidR="00657C5B" w:rsidRPr="00657C5B" w:rsidRDefault="00657C5B" w:rsidP="00657C5B">
              <w:pPr>
                <w:pStyle w:val="Bibliography"/>
                <w:ind w:left="720" w:hanging="720"/>
                <w:rPr>
                  <w:rFonts w:ascii="Bookman Old Style" w:hAnsi="Bookman Old Style"/>
                  <w:noProof/>
                  <w:sz w:val="24"/>
                  <w:szCs w:val="24"/>
                </w:rPr>
              </w:pPr>
              <w:r>
                <w:rPr>
                  <w:rFonts w:ascii="Bookman Old Style" w:hAnsi="Bookman Old Style"/>
                  <w:noProof/>
                  <w:sz w:val="24"/>
                  <w:szCs w:val="24"/>
                </w:rPr>
                <w:t xml:space="preserve">6. </w:t>
              </w:r>
              <w:r w:rsidRPr="00657C5B">
                <w:rPr>
                  <w:rFonts w:ascii="Bookman Old Style" w:hAnsi="Bookman Old Style"/>
                  <w:noProof/>
                  <w:sz w:val="24"/>
                  <w:szCs w:val="24"/>
                </w:rPr>
                <w:t xml:space="preserve">The European court of Human Rights. (1957 ). </w:t>
              </w:r>
              <w:r w:rsidRPr="00657C5B">
                <w:rPr>
                  <w:rFonts w:ascii="Bookman Old Style" w:hAnsi="Bookman Old Style"/>
                  <w:i/>
                  <w:iCs/>
                  <w:noProof/>
                  <w:sz w:val="24"/>
                  <w:szCs w:val="24"/>
                </w:rPr>
                <w:t>statistics of Homicides</w:t>
              </w:r>
              <w:r w:rsidRPr="00657C5B">
                <w:rPr>
                  <w:rFonts w:ascii="Bookman Old Style" w:hAnsi="Bookman Old Style"/>
                  <w:noProof/>
                  <w:sz w:val="24"/>
                  <w:szCs w:val="24"/>
                </w:rPr>
                <w:t>, p. Justice.org.uk.</w:t>
              </w:r>
            </w:p>
            <w:p w14:paraId="3BD79659" w14:textId="2F41B4A9" w:rsidR="00657C5B" w:rsidRDefault="00657C5B" w:rsidP="00657C5B">
              <w:r w:rsidRPr="00657C5B">
                <w:rPr>
                  <w:rFonts w:ascii="Bookman Old Style" w:hAnsi="Bookman Old Style"/>
                  <w:b/>
                  <w:bCs/>
                  <w:noProof/>
                  <w:sz w:val="24"/>
                  <w:szCs w:val="24"/>
                </w:rPr>
                <w:lastRenderedPageBreak/>
                <w:fldChar w:fldCharType="end"/>
              </w:r>
            </w:p>
          </w:sdtContent>
        </w:sdt>
      </w:sdtContent>
    </w:sdt>
    <w:p w14:paraId="6CBAE825" w14:textId="5968C2B5" w:rsidR="008B7529" w:rsidRDefault="008B7529" w:rsidP="009C64A8">
      <w:pPr>
        <w:rPr>
          <w:rFonts w:ascii="Bookman Old Style" w:hAnsi="Bookman Old Style"/>
          <w:sz w:val="24"/>
          <w:szCs w:val="24"/>
        </w:rPr>
      </w:pPr>
    </w:p>
    <w:p w14:paraId="23028FEB" w14:textId="3457EF02" w:rsidR="008B7529" w:rsidRDefault="008B7529" w:rsidP="009C64A8">
      <w:pPr>
        <w:rPr>
          <w:rFonts w:ascii="Bookman Old Style" w:hAnsi="Bookman Old Style"/>
          <w:sz w:val="24"/>
          <w:szCs w:val="24"/>
        </w:rPr>
      </w:pPr>
    </w:p>
    <w:p w14:paraId="2C78E1E4" w14:textId="77777777" w:rsidR="008B7529" w:rsidRDefault="008B7529" w:rsidP="009C64A8">
      <w:pPr>
        <w:rPr>
          <w:rFonts w:ascii="Bookman Old Style" w:hAnsi="Bookman Old Style"/>
          <w:sz w:val="24"/>
          <w:szCs w:val="24"/>
        </w:rPr>
      </w:pPr>
    </w:p>
    <w:p w14:paraId="717E4C90" w14:textId="77777777" w:rsidR="008B7529" w:rsidRDefault="008B7529" w:rsidP="009C64A8">
      <w:pPr>
        <w:rPr>
          <w:rFonts w:ascii="Bookman Old Style" w:hAnsi="Bookman Old Style"/>
          <w:sz w:val="24"/>
          <w:szCs w:val="24"/>
        </w:rPr>
      </w:pPr>
    </w:p>
    <w:p w14:paraId="41B4E8DD" w14:textId="77777777" w:rsidR="005865F8" w:rsidRDefault="005865F8" w:rsidP="009C64A8">
      <w:pPr>
        <w:rPr>
          <w:rFonts w:ascii="Bookman Old Style" w:hAnsi="Bookman Old Style"/>
          <w:sz w:val="24"/>
          <w:szCs w:val="24"/>
        </w:rPr>
      </w:pPr>
    </w:p>
    <w:p w14:paraId="0BCFDE56" w14:textId="77777777" w:rsidR="005865F8" w:rsidRDefault="005865F8" w:rsidP="009C64A8">
      <w:pPr>
        <w:rPr>
          <w:rFonts w:ascii="Bookman Old Style" w:hAnsi="Bookman Old Style"/>
          <w:sz w:val="24"/>
          <w:szCs w:val="24"/>
        </w:rPr>
      </w:pPr>
    </w:p>
    <w:p w14:paraId="1DF2FA9B" w14:textId="77777777" w:rsidR="005865F8" w:rsidRDefault="005865F8" w:rsidP="009C64A8">
      <w:pPr>
        <w:rPr>
          <w:rFonts w:ascii="Bookman Old Style" w:hAnsi="Bookman Old Style"/>
          <w:sz w:val="24"/>
          <w:szCs w:val="24"/>
        </w:rPr>
      </w:pPr>
    </w:p>
    <w:p w14:paraId="25B7934C" w14:textId="0E9A923F" w:rsidR="002737C8" w:rsidRDefault="002737C8" w:rsidP="009C64A8">
      <w:pPr>
        <w:rPr>
          <w:rFonts w:ascii="Bookman Old Style" w:hAnsi="Bookman Old Style"/>
          <w:sz w:val="24"/>
          <w:szCs w:val="24"/>
        </w:rPr>
      </w:pPr>
    </w:p>
    <w:p w14:paraId="747CF6FA" w14:textId="77777777" w:rsidR="0022233E" w:rsidRDefault="0022233E" w:rsidP="009C64A8">
      <w:pPr>
        <w:rPr>
          <w:rFonts w:ascii="Bookman Old Style" w:hAnsi="Bookman Old Style"/>
          <w:sz w:val="24"/>
          <w:szCs w:val="24"/>
        </w:rPr>
      </w:pPr>
    </w:p>
    <w:p w14:paraId="5CE134AB" w14:textId="31510779" w:rsidR="006473E7" w:rsidRDefault="00384BA4" w:rsidP="009C64A8">
      <w:pPr>
        <w:rPr>
          <w:rFonts w:ascii="Bookman Old Style" w:hAnsi="Bookman Old Style"/>
          <w:sz w:val="24"/>
          <w:szCs w:val="24"/>
        </w:rPr>
      </w:pPr>
      <w:r>
        <w:rPr>
          <w:rFonts w:ascii="Bookman Old Style" w:hAnsi="Bookman Old Style"/>
          <w:sz w:val="24"/>
          <w:szCs w:val="24"/>
        </w:rPr>
        <w:t xml:space="preserve"> </w:t>
      </w:r>
    </w:p>
    <w:p w14:paraId="2AB933A5" w14:textId="6E4B2722" w:rsidR="006473E7" w:rsidRDefault="006473E7" w:rsidP="009C64A8">
      <w:pPr>
        <w:rPr>
          <w:rFonts w:ascii="Bookman Old Style" w:hAnsi="Bookman Old Style"/>
          <w:sz w:val="24"/>
          <w:szCs w:val="24"/>
        </w:rPr>
      </w:pPr>
    </w:p>
    <w:p w14:paraId="542923DC" w14:textId="2713F67F" w:rsidR="00384BA4" w:rsidRDefault="00384BA4" w:rsidP="009C64A8">
      <w:pPr>
        <w:rPr>
          <w:rFonts w:ascii="Bookman Old Style" w:hAnsi="Bookman Old Style"/>
          <w:sz w:val="24"/>
          <w:szCs w:val="24"/>
        </w:rPr>
      </w:pPr>
    </w:p>
    <w:p w14:paraId="6524A93C" w14:textId="4A7D49AC" w:rsidR="009C64A8" w:rsidRDefault="009C64A8" w:rsidP="009C64A8">
      <w:pPr>
        <w:rPr>
          <w:rFonts w:ascii="Bookman Old Style" w:hAnsi="Bookman Old Style"/>
          <w:sz w:val="24"/>
          <w:szCs w:val="24"/>
        </w:rPr>
      </w:pPr>
    </w:p>
    <w:p w14:paraId="788C723E" w14:textId="3F07B4BA" w:rsidR="009C64A8" w:rsidRDefault="009C64A8" w:rsidP="009C64A8">
      <w:pPr>
        <w:rPr>
          <w:rFonts w:ascii="Bookman Old Style" w:hAnsi="Bookman Old Style"/>
          <w:sz w:val="24"/>
          <w:szCs w:val="24"/>
        </w:rPr>
      </w:pPr>
    </w:p>
    <w:p w14:paraId="2C56FD4A" w14:textId="77777777" w:rsidR="0032191B" w:rsidRPr="0032191B" w:rsidRDefault="0032191B" w:rsidP="0032191B">
      <w:pPr>
        <w:rPr>
          <w:rFonts w:ascii="Bookman Old Style" w:hAnsi="Bookman Old Style"/>
          <w:sz w:val="24"/>
          <w:szCs w:val="24"/>
        </w:rPr>
      </w:pPr>
    </w:p>
    <w:p w14:paraId="4A8DD707" w14:textId="77777777" w:rsidR="0032191B" w:rsidRPr="0032191B" w:rsidRDefault="0032191B" w:rsidP="0032191B">
      <w:pPr>
        <w:rPr>
          <w:rFonts w:ascii="Bookman Old Style" w:hAnsi="Bookman Old Style"/>
          <w:sz w:val="24"/>
          <w:szCs w:val="24"/>
        </w:rPr>
      </w:pPr>
    </w:p>
    <w:p w14:paraId="73EA54B6" w14:textId="77777777" w:rsidR="0032191B" w:rsidRPr="009C64A8" w:rsidRDefault="0032191B" w:rsidP="009C64A8">
      <w:pPr>
        <w:rPr>
          <w:rFonts w:ascii="Bookman Old Style" w:hAnsi="Bookman Old Style"/>
          <w:sz w:val="24"/>
          <w:szCs w:val="24"/>
        </w:rPr>
      </w:pPr>
    </w:p>
    <w:sectPr w:rsidR="0032191B" w:rsidRPr="009C64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51A6EA" w14:textId="77777777" w:rsidR="00A73E48" w:rsidRDefault="00A73E48" w:rsidP="009C64A8">
      <w:pPr>
        <w:spacing w:after="0" w:line="240" w:lineRule="auto"/>
      </w:pPr>
      <w:r>
        <w:separator/>
      </w:r>
    </w:p>
  </w:endnote>
  <w:endnote w:type="continuationSeparator" w:id="0">
    <w:p w14:paraId="27BD4C29" w14:textId="77777777" w:rsidR="00A73E48" w:rsidRDefault="00A73E48" w:rsidP="009C6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6DCF38" w14:textId="77777777" w:rsidR="00A73E48" w:rsidRDefault="00A73E48" w:rsidP="009C64A8">
      <w:pPr>
        <w:spacing w:after="0" w:line="240" w:lineRule="auto"/>
      </w:pPr>
      <w:r>
        <w:separator/>
      </w:r>
    </w:p>
  </w:footnote>
  <w:footnote w:type="continuationSeparator" w:id="0">
    <w:p w14:paraId="1FEBA740" w14:textId="77777777" w:rsidR="00A73E48" w:rsidRDefault="00A73E48" w:rsidP="009C6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679CC"/>
    <w:multiLevelType w:val="hybridMultilevel"/>
    <w:tmpl w:val="B986EC50"/>
    <w:lvl w:ilvl="0" w:tplc="B56C67FC">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4A8"/>
    <w:rsid w:val="0003114B"/>
    <w:rsid w:val="00033CAF"/>
    <w:rsid w:val="00056472"/>
    <w:rsid w:val="00075DCF"/>
    <w:rsid w:val="000872C7"/>
    <w:rsid w:val="000A71E2"/>
    <w:rsid w:val="000E3106"/>
    <w:rsid w:val="000F7816"/>
    <w:rsid w:val="000F7826"/>
    <w:rsid w:val="00101786"/>
    <w:rsid w:val="00152744"/>
    <w:rsid w:val="002158A7"/>
    <w:rsid w:val="0022233E"/>
    <w:rsid w:val="00227476"/>
    <w:rsid w:val="00234572"/>
    <w:rsid w:val="00250BE4"/>
    <w:rsid w:val="002737C8"/>
    <w:rsid w:val="00296D8E"/>
    <w:rsid w:val="002C0C94"/>
    <w:rsid w:val="0032191B"/>
    <w:rsid w:val="00331712"/>
    <w:rsid w:val="00341289"/>
    <w:rsid w:val="00384BA4"/>
    <w:rsid w:val="003B5C9C"/>
    <w:rsid w:val="003C5C01"/>
    <w:rsid w:val="00423296"/>
    <w:rsid w:val="00431DCB"/>
    <w:rsid w:val="00436173"/>
    <w:rsid w:val="00457912"/>
    <w:rsid w:val="004D002E"/>
    <w:rsid w:val="004E14EA"/>
    <w:rsid w:val="0050229C"/>
    <w:rsid w:val="00511D01"/>
    <w:rsid w:val="00513771"/>
    <w:rsid w:val="005865F8"/>
    <w:rsid w:val="005B5721"/>
    <w:rsid w:val="005C57B7"/>
    <w:rsid w:val="005C7672"/>
    <w:rsid w:val="005D7A43"/>
    <w:rsid w:val="006473E7"/>
    <w:rsid w:val="00657C5B"/>
    <w:rsid w:val="00685DA2"/>
    <w:rsid w:val="006935B1"/>
    <w:rsid w:val="00696B77"/>
    <w:rsid w:val="00754A2B"/>
    <w:rsid w:val="007B60AF"/>
    <w:rsid w:val="007E0149"/>
    <w:rsid w:val="0081461D"/>
    <w:rsid w:val="00826C61"/>
    <w:rsid w:val="00832291"/>
    <w:rsid w:val="008B7529"/>
    <w:rsid w:val="008E21C6"/>
    <w:rsid w:val="008F3EC5"/>
    <w:rsid w:val="008F75FC"/>
    <w:rsid w:val="0095686C"/>
    <w:rsid w:val="00991C60"/>
    <w:rsid w:val="00996FB4"/>
    <w:rsid w:val="009C64A8"/>
    <w:rsid w:val="00A55401"/>
    <w:rsid w:val="00A73E48"/>
    <w:rsid w:val="00A97BA2"/>
    <w:rsid w:val="00AB107C"/>
    <w:rsid w:val="00AB294D"/>
    <w:rsid w:val="00B22DA1"/>
    <w:rsid w:val="00B23467"/>
    <w:rsid w:val="00B33784"/>
    <w:rsid w:val="00B52280"/>
    <w:rsid w:val="00B9364E"/>
    <w:rsid w:val="00BC2149"/>
    <w:rsid w:val="00BC6350"/>
    <w:rsid w:val="00BD75FD"/>
    <w:rsid w:val="00BE02E9"/>
    <w:rsid w:val="00BE18D2"/>
    <w:rsid w:val="00BF1EFD"/>
    <w:rsid w:val="00C204E7"/>
    <w:rsid w:val="00C329DF"/>
    <w:rsid w:val="00C4732E"/>
    <w:rsid w:val="00C538B7"/>
    <w:rsid w:val="00C96B5A"/>
    <w:rsid w:val="00CC5EB1"/>
    <w:rsid w:val="00CF473A"/>
    <w:rsid w:val="00D03570"/>
    <w:rsid w:val="00D035DB"/>
    <w:rsid w:val="00D05591"/>
    <w:rsid w:val="00D223F0"/>
    <w:rsid w:val="00D237AB"/>
    <w:rsid w:val="00D501ED"/>
    <w:rsid w:val="00D81B39"/>
    <w:rsid w:val="00D925CD"/>
    <w:rsid w:val="00D928B6"/>
    <w:rsid w:val="00DB1936"/>
    <w:rsid w:val="00E013FA"/>
    <w:rsid w:val="00E57C01"/>
    <w:rsid w:val="00E678AA"/>
    <w:rsid w:val="00E82B18"/>
    <w:rsid w:val="00ED41A0"/>
    <w:rsid w:val="00F070A3"/>
    <w:rsid w:val="00F651DE"/>
    <w:rsid w:val="00FD62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F5123"/>
  <w15:docId w15:val="{699EAC8F-41E8-40C8-ACA2-85E1AF02A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21C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6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64A8"/>
  </w:style>
  <w:style w:type="paragraph" w:styleId="Footer">
    <w:name w:val="footer"/>
    <w:basedOn w:val="Normal"/>
    <w:link w:val="FooterChar"/>
    <w:uiPriority w:val="99"/>
    <w:unhideWhenUsed/>
    <w:rsid w:val="009C6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64A8"/>
  </w:style>
  <w:style w:type="paragraph" w:styleId="NoSpacing">
    <w:name w:val="No Spacing"/>
    <w:link w:val="NoSpacingChar"/>
    <w:uiPriority w:val="1"/>
    <w:qFormat/>
    <w:rsid w:val="00431DC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31DCB"/>
    <w:rPr>
      <w:rFonts w:eastAsiaTheme="minorEastAsia"/>
      <w:lang w:val="en-US"/>
    </w:rPr>
  </w:style>
  <w:style w:type="character" w:styleId="Hyperlink">
    <w:name w:val="Hyperlink"/>
    <w:basedOn w:val="DefaultParagraphFont"/>
    <w:uiPriority w:val="99"/>
    <w:unhideWhenUsed/>
    <w:rsid w:val="007E0149"/>
    <w:rPr>
      <w:color w:val="0563C1" w:themeColor="hyperlink"/>
      <w:u w:val="single"/>
    </w:rPr>
  </w:style>
  <w:style w:type="character" w:styleId="UnresolvedMention">
    <w:name w:val="Unresolved Mention"/>
    <w:basedOn w:val="DefaultParagraphFont"/>
    <w:uiPriority w:val="99"/>
    <w:semiHidden/>
    <w:unhideWhenUsed/>
    <w:rsid w:val="007E0149"/>
    <w:rPr>
      <w:color w:val="605E5C"/>
      <w:shd w:val="clear" w:color="auto" w:fill="E1DFDD"/>
    </w:rPr>
  </w:style>
  <w:style w:type="character" w:customStyle="1" w:styleId="Heading1Char">
    <w:name w:val="Heading 1 Char"/>
    <w:basedOn w:val="DefaultParagraphFont"/>
    <w:link w:val="Heading1"/>
    <w:uiPriority w:val="9"/>
    <w:rsid w:val="008E21C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E21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61336">
      <w:bodyDiv w:val="1"/>
      <w:marLeft w:val="0"/>
      <w:marRight w:val="0"/>
      <w:marTop w:val="0"/>
      <w:marBottom w:val="0"/>
      <w:divBdr>
        <w:top w:val="none" w:sz="0" w:space="0" w:color="auto"/>
        <w:left w:val="none" w:sz="0" w:space="0" w:color="auto"/>
        <w:bottom w:val="none" w:sz="0" w:space="0" w:color="auto"/>
        <w:right w:val="none" w:sz="0" w:space="0" w:color="auto"/>
      </w:divBdr>
    </w:div>
    <w:div w:id="48892660">
      <w:bodyDiv w:val="1"/>
      <w:marLeft w:val="0"/>
      <w:marRight w:val="0"/>
      <w:marTop w:val="0"/>
      <w:marBottom w:val="0"/>
      <w:divBdr>
        <w:top w:val="none" w:sz="0" w:space="0" w:color="auto"/>
        <w:left w:val="none" w:sz="0" w:space="0" w:color="auto"/>
        <w:bottom w:val="none" w:sz="0" w:space="0" w:color="auto"/>
        <w:right w:val="none" w:sz="0" w:space="0" w:color="auto"/>
      </w:divBdr>
    </w:div>
    <w:div w:id="77673928">
      <w:bodyDiv w:val="1"/>
      <w:marLeft w:val="0"/>
      <w:marRight w:val="0"/>
      <w:marTop w:val="0"/>
      <w:marBottom w:val="0"/>
      <w:divBdr>
        <w:top w:val="none" w:sz="0" w:space="0" w:color="auto"/>
        <w:left w:val="none" w:sz="0" w:space="0" w:color="auto"/>
        <w:bottom w:val="none" w:sz="0" w:space="0" w:color="auto"/>
        <w:right w:val="none" w:sz="0" w:space="0" w:color="auto"/>
      </w:divBdr>
    </w:div>
    <w:div w:id="78911963">
      <w:bodyDiv w:val="1"/>
      <w:marLeft w:val="0"/>
      <w:marRight w:val="0"/>
      <w:marTop w:val="0"/>
      <w:marBottom w:val="0"/>
      <w:divBdr>
        <w:top w:val="none" w:sz="0" w:space="0" w:color="auto"/>
        <w:left w:val="none" w:sz="0" w:space="0" w:color="auto"/>
        <w:bottom w:val="none" w:sz="0" w:space="0" w:color="auto"/>
        <w:right w:val="none" w:sz="0" w:space="0" w:color="auto"/>
      </w:divBdr>
    </w:div>
    <w:div w:id="153881525">
      <w:bodyDiv w:val="1"/>
      <w:marLeft w:val="0"/>
      <w:marRight w:val="0"/>
      <w:marTop w:val="0"/>
      <w:marBottom w:val="0"/>
      <w:divBdr>
        <w:top w:val="none" w:sz="0" w:space="0" w:color="auto"/>
        <w:left w:val="none" w:sz="0" w:space="0" w:color="auto"/>
        <w:bottom w:val="none" w:sz="0" w:space="0" w:color="auto"/>
        <w:right w:val="none" w:sz="0" w:space="0" w:color="auto"/>
      </w:divBdr>
    </w:div>
    <w:div w:id="164321468">
      <w:bodyDiv w:val="1"/>
      <w:marLeft w:val="0"/>
      <w:marRight w:val="0"/>
      <w:marTop w:val="0"/>
      <w:marBottom w:val="0"/>
      <w:divBdr>
        <w:top w:val="none" w:sz="0" w:space="0" w:color="auto"/>
        <w:left w:val="none" w:sz="0" w:space="0" w:color="auto"/>
        <w:bottom w:val="none" w:sz="0" w:space="0" w:color="auto"/>
        <w:right w:val="none" w:sz="0" w:space="0" w:color="auto"/>
      </w:divBdr>
    </w:div>
    <w:div w:id="173541259">
      <w:bodyDiv w:val="1"/>
      <w:marLeft w:val="0"/>
      <w:marRight w:val="0"/>
      <w:marTop w:val="0"/>
      <w:marBottom w:val="0"/>
      <w:divBdr>
        <w:top w:val="none" w:sz="0" w:space="0" w:color="auto"/>
        <w:left w:val="none" w:sz="0" w:space="0" w:color="auto"/>
        <w:bottom w:val="none" w:sz="0" w:space="0" w:color="auto"/>
        <w:right w:val="none" w:sz="0" w:space="0" w:color="auto"/>
      </w:divBdr>
    </w:div>
    <w:div w:id="201215085">
      <w:bodyDiv w:val="1"/>
      <w:marLeft w:val="0"/>
      <w:marRight w:val="0"/>
      <w:marTop w:val="0"/>
      <w:marBottom w:val="0"/>
      <w:divBdr>
        <w:top w:val="none" w:sz="0" w:space="0" w:color="auto"/>
        <w:left w:val="none" w:sz="0" w:space="0" w:color="auto"/>
        <w:bottom w:val="none" w:sz="0" w:space="0" w:color="auto"/>
        <w:right w:val="none" w:sz="0" w:space="0" w:color="auto"/>
      </w:divBdr>
    </w:div>
    <w:div w:id="218129334">
      <w:bodyDiv w:val="1"/>
      <w:marLeft w:val="0"/>
      <w:marRight w:val="0"/>
      <w:marTop w:val="0"/>
      <w:marBottom w:val="0"/>
      <w:divBdr>
        <w:top w:val="none" w:sz="0" w:space="0" w:color="auto"/>
        <w:left w:val="none" w:sz="0" w:space="0" w:color="auto"/>
        <w:bottom w:val="none" w:sz="0" w:space="0" w:color="auto"/>
        <w:right w:val="none" w:sz="0" w:space="0" w:color="auto"/>
      </w:divBdr>
    </w:div>
    <w:div w:id="279604031">
      <w:bodyDiv w:val="1"/>
      <w:marLeft w:val="0"/>
      <w:marRight w:val="0"/>
      <w:marTop w:val="0"/>
      <w:marBottom w:val="0"/>
      <w:divBdr>
        <w:top w:val="none" w:sz="0" w:space="0" w:color="auto"/>
        <w:left w:val="none" w:sz="0" w:space="0" w:color="auto"/>
        <w:bottom w:val="none" w:sz="0" w:space="0" w:color="auto"/>
        <w:right w:val="none" w:sz="0" w:space="0" w:color="auto"/>
      </w:divBdr>
    </w:div>
    <w:div w:id="304895534">
      <w:bodyDiv w:val="1"/>
      <w:marLeft w:val="0"/>
      <w:marRight w:val="0"/>
      <w:marTop w:val="0"/>
      <w:marBottom w:val="0"/>
      <w:divBdr>
        <w:top w:val="none" w:sz="0" w:space="0" w:color="auto"/>
        <w:left w:val="none" w:sz="0" w:space="0" w:color="auto"/>
        <w:bottom w:val="none" w:sz="0" w:space="0" w:color="auto"/>
        <w:right w:val="none" w:sz="0" w:space="0" w:color="auto"/>
      </w:divBdr>
    </w:div>
    <w:div w:id="408114741">
      <w:bodyDiv w:val="1"/>
      <w:marLeft w:val="0"/>
      <w:marRight w:val="0"/>
      <w:marTop w:val="0"/>
      <w:marBottom w:val="0"/>
      <w:divBdr>
        <w:top w:val="none" w:sz="0" w:space="0" w:color="auto"/>
        <w:left w:val="none" w:sz="0" w:space="0" w:color="auto"/>
        <w:bottom w:val="none" w:sz="0" w:space="0" w:color="auto"/>
        <w:right w:val="none" w:sz="0" w:space="0" w:color="auto"/>
      </w:divBdr>
    </w:div>
    <w:div w:id="467548245">
      <w:bodyDiv w:val="1"/>
      <w:marLeft w:val="0"/>
      <w:marRight w:val="0"/>
      <w:marTop w:val="0"/>
      <w:marBottom w:val="0"/>
      <w:divBdr>
        <w:top w:val="none" w:sz="0" w:space="0" w:color="auto"/>
        <w:left w:val="none" w:sz="0" w:space="0" w:color="auto"/>
        <w:bottom w:val="none" w:sz="0" w:space="0" w:color="auto"/>
        <w:right w:val="none" w:sz="0" w:space="0" w:color="auto"/>
      </w:divBdr>
    </w:div>
    <w:div w:id="476385996">
      <w:bodyDiv w:val="1"/>
      <w:marLeft w:val="0"/>
      <w:marRight w:val="0"/>
      <w:marTop w:val="0"/>
      <w:marBottom w:val="0"/>
      <w:divBdr>
        <w:top w:val="none" w:sz="0" w:space="0" w:color="auto"/>
        <w:left w:val="none" w:sz="0" w:space="0" w:color="auto"/>
        <w:bottom w:val="none" w:sz="0" w:space="0" w:color="auto"/>
        <w:right w:val="none" w:sz="0" w:space="0" w:color="auto"/>
      </w:divBdr>
    </w:div>
    <w:div w:id="478226814">
      <w:bodyDiv w:val="1"/>
      <w:marLeft w:val="0"/>
      <w:marRight w:val="0"/>
      <w:marTop w:val="0"/>
      <w:marBottom w:val="0"/>
      <w:divBdr>
        <w:top w:val="none" w:sz="0" w:space="0" w:color="auto"/>
        <w:left w:val="none" w:sz="0" w:space="0" w:color="auto"/>
        <w:bottom w:val="none" w:sz="0" w:space="0" w:color="auto"/>
        <w:right w:val="none" w:sz="0" w:space="0" w:color="auto"/>
      </w:divBdr>
    </w:div>
    <w:div w:id="521675354">
      <w:bodyDiv w:val="1"/>
      <w:marLeft w:val="0"/>
      <w:marRight w:val="0"/>
      <w:marTop w:val="0"/>
      <w:marBottom w:val="0"/>
      <w:divBdr>
        <w:top w:val="none" w:sz="0" w:space="0" w:color="auto"/>
        <w:left w:val="none" w:sz="0" w:space="0" w:color="auto"/>
        <w:bottom w:val="none" w:sz="0" w:space="0" w:color="auto"/>
        <w:right w:val="none" w:sz="0" w:space="0" w:color="auto"/>
      </w:divBdr>
    </w:div>
    <w:div w:id="551700372">
      <w:bodyDiv w:val="1"/>
      <w:marLeft w:val="0"/>
      <w:marRight w:val="0"/>
      <w:marTop w:val="0"/>
      <w:marBottom w:val="0"/>
      <w:divBdr>
        <w:top w:val="none" w:sz="0" w:space="0" w:color="auto"/>
        <w:left w:val="none" w:sz="0" w:space="0" w:color="auto"/>
        <w:bottom w:val="none" w:sz="0" w:space="0" w:color="auto"/>
        <w:right w:val="none" w:sz="0" w:space="0" w:color="auto"/>
      </w:divBdr>
    </w:div>
    <w:div w:id="559169127">
      <w:bodyDiv w:val="1"/>
      <w:marLeft w:val="0"/>
      <w:marRight w:val="0"/>
      <w:marTop w:val="0"/>
      <w:marBottom w:val="0"/>
      <w:divBdr>
        <w:top w:val="none" w:sz="0" w:space="0" w:color="auto"/>
        <w:left w:val="none" w:sz="0" w:space="0" w:color="auto"/>
        <w:bottom w:val="none" w:sz="0" w:space="0" w:color="auto"/>
        <w:right w:val="none" w:sz="0" w:space="0" w:color="auto"/>
      </w:divBdr>
    </w:div>
    <w:div w:id="600456680">
      <w:bodyDiv w:val="1"/>
      <w:marLeft w:val="0"/>
      <w:marRight w:val="0"/>
      <w:marTop w:val="0"/>
      <w:marBottom w:val="0"/>
      <w:divBdr>
        <w:top w:val="none" w:sz="0" w:space="0" w:color="auto"/>
        <w:left w:val="none" w:sz="0" w:space="0" w:color="auto"/>
        <w:bottom w:val="none" w:sz="0" w:space="0" w:color="auto"/>
        <w:right w:val="none" w:sz="0" w:space="0" w:color="auto"/>
      </w:divBdr>
    </w:div>
    <w:div w:id="610939724">
      <w:bodyDiv w:val="1"/>
      <w:marLeft w:val="0"/>
      <w:marRight w:val="0"/>
      <w:marTop w:val="0"/>
      <w:marBottom w:val="0"/>
      <w:divBdr>
        <w:top w:val="none" w:sz="0" w:space="0" w:color="auto"/>
        <w:left w:val="none" w:sz="0" w:space="0" w:color="auto"/>
        <w:bottom w:val="none" w:sz="0" w:space="0" w:color="auto"/>
        <w:right w:val="none" w:sz="0" w:space="0" w:color="auto"/>
      </w:divBdr>
    </w:div>
    <w:div w:id="683165772">
      <w:bodyDiv w:val="1"/>
      <w:marLeft w:val="0"/>
      <w:marRight w:val="0"/>
      <w:marTop w:val="0"/>
      <w:marBottom w:val="0"/>
      <w:divBdr>
        <w:top w:val="none" w:sz="0" w:space="0" w:color="auto"/>
        <w:left w:val="none" w:sz="0" w:space="0" w:color="auto"/>
        <w:bottom w:val="none" w:sz="0" w:space="0" w:color="auto"/>
        <w:right w:val="none" w:sz="0" w:space="0" w:color="auto"/>
      </w:divBdr>
    </w:div>
    <w:div w:id="709888037">
      <w:bodyDiv w:val="1"/>
      <w:marLeft w:val="0"/>
      <w:marRight w:val="0"/>
      <w:marTop w:val="0"/>
      <w:marBottom w:val="0"/>
      <w:divBdr>
        <w:top w:val="none" w:sz="0" w:space="0" w:color="auto"/>
        <w:left w:val="none" w:sz="0" w:space="0" w:color="auto"/>
        <w:bottom w:val="none" w:sz="0" w:space="0" w:color="auto"/>
        <w:right w:val="none" w:sz="0" w:space="0" w:color="auto"/>
      </w:divBdr>
    </w:div>
    <w:div w:id="730618802">
      <w:bodyDiv w:val="1"/>
      <w:marLeft w:val="0"/>
      <w:marRight w:val="0"/>
      <w:marTop w:val="0"/>
      <w:marBottom w:val="0"/>
      <w:divBdr>
        <w:top w:val="none" w:sz="0" w:space="0" w:color="auto"/>
        <w:left w:val="none" w:sz="0" w:space="0" w:color="auto"/>
        <w:bottom w:val="none" w:sz="0" w:space="0" w:color="auto"/>
        <w:right w:val="none" w:sz="0" w:space="0" w:color="auto"/>
      </w:divBdr>
    </w:div>
    <w:div w:id="738288489">
      <w:bodyDiv w:val="1"/>
      <w:marLeft w:val="0"/>
      <w:marRight w:val="0"/>
      <w:marTop w:val="0"/>
      <w:marBottom w:val="0"/>
      <w:divBdr>
        <w:top w:val="none" w:sz="0" w:space="0" w:color="auto"/>
        <w:left w:val="none" w:sz="0" w:space="0" w:color="auto"/>
        <w:bottom w:val="none" w:sz="0" w:space="0" w:color="auto"/>
        <w:right w:val="none" w:sz="0" w:space="0" w:color="auto"/>
      </w:divBdr>
    </w:div>
    <w:div w:id="764303162">
      <w:bodyDiv w:val="1"/>
      <w:marLeft w:val="0"/>
      <w:marRight w:val="0"/>
      <w:marTop w:val="0"/>
      <w:marBottom w:val="0"/>
      <w:divBdr>
        <w:top w:val="none" w:sz="0" w:space="0" w:color="auto"/>
        <w:left w:val="none" w:sz="0" w:space="0" w:color="auto"/>
        <w:bottom w:val="none" w:sz="0" w:space="0" w:color="auto"/>
        <w:right w:val="none" w:sz="0" w:space="0" w:color="auto"/>
      </w:divBdr>
    </w:div>
    <w:div w:id="769424388">
      <w:bodyDiv w:val="1"/>
      <w:marLeft w:val="0"/>
      <w:marRight w:val="0"/>
      <w:marTop w:val="0"/>
      <w:marBottom w:val="0"/>
      <w:divBdr>
        <w:top w:val="none" w:sz="0" w:space="0" w:color="auto"/>
        <w:left w:val="none" w:sz="0" w:space="0" w:color="auto"/>
        <w:bottom w:val="none" w:sz="0" w:space="0" w:color="auto"/>
        <w:right w:val="none" w:sz="0" w:space="0" w:color="auto"/>
      </w:divBdr>
    </w:div>
    <w:div w:id="799570161">
      <w:bodyDiv w:val="1"/>
      <w:marLeft w:val="0"/>
      <w:marRight w:val="0"/>
      <w:marTop w:val="0"/>
      <w:marBottom w:val="0"/>
      <w:divBdr>
        <w:top w:val="none" w:sz="0" w:space="0" w:color="auto"/>
        <w:left w:val="none" w:sz="0" w:space="0" w:color="auto"/>
        <w:bottom w:val="none" w:sz="0" w:space="0" w:color="auto"/>
        <w:right w:val="none" w:sz="0" w:space="0" w:color="auto"/>
      </w:divBdr>
    </w:div>
    <w:div w:id="845751059">
      <w:bodyDiv w:val="1"/>
      <w:marLeft w:val="0"/>
      <w:marRight w:val="0"/>
      <w:marTop w:val="0"/>
      <w:marBottom w:val="0"/>
      <w:divBdr>
        <w:top w:val="none" w:sz="0" w:space="0" w:color="auto"/>
        <w:left w:val="none" w:sz="0" w:space="0" w:color="auto"/>
        <w:bottom w:val="none" w:sz="0" w:space="0" w:color="auto"/>
        <w:right w:val="none" w:sz="0" w:space="0" w:color="auto"/>
      </w:divBdr>
    </w:div>
    <w:div w:id="912354745">
      <w:bodyDiv w:val="1"/>
      <w:marLeft w:val="0"/>
      <w:marRight w:val="0"/>
      <w:marTop w:val="0"/>
      <w:marBottom w:val="0"/>
      <w:divBdr>
        <w:top w:val="none" w:sz="0" w:space="0" w:color="auto"/>
        <w:left w:val="none" w:sz="0" w:space="0" w:color="auto"/>
        <w:bottom w:val="none" w:sz="0" w:space="0" w:color="auto"/>
        <w:right w:val="none" w:sz="0" w:space="0" w:color="auto"/>
      </w:divBdr>
    </w:div>
    <w:div w:id="950018325">
      <w:bodyDiv w:val="1"/>
      <w:marLeft w:val="0"/>
      <w:marRight w:val="0"/>
      <w:marTop w:val="0"/>
      <w:marBottom w:val="0"/>
      <w:divBdr>
        <w:top w:val="none" w:sz="0" w:space="0" w:color="auto"/>
        <w:left w:val="none" w:sz="0" w:space="0" w:color="auto"/>
        <w:bottom w:val="none" w:sz="0" w:space="0" w:color="auto"/>
        <w:right w:val="none" w:sz="0" w:space="0" w:color="auto"/>
      </w:divBdr>
    </w:div>
    <w:div w:id="952202717">
      <w:bodyDiv w:val="1"/>
      <w:marLeft w:val="0"/>
      <w:marRight w:val="0"/>
      <w:marTop w:val="0"/>
      <w:marBottom w:val="0"/>
      <w:divBdr>
        <w:top w:val="none" w:sz="0" w:space="0" w:color="auto"/>
        <w:left w:val="none" w:sz="0" w:space="0" w:color="auto"/>
        <w:bottom w:val="none" w:sz="0" w:space="0" w:color="auto"/>
        <w:right w:val="none" w:sz="0" w:space="0" w:color="auto"/>
      </w:divBdr>
    </w:div>
    <w:div w:id="995689322">
      <w:bodyDiv w:val="1"/>
      <w:marLeft w:val="0"/>
      <w:marRight w:val="0"/>
      <w:marTop w:val="0"/>
      <w:marBottom w:val="0"/>
      <w:divBdr>
        <w:top w:val="none" w:sz="0" w:space="0" w:color="auto"/>
        <w:left w:val="none" w:sz="0" w:space="0" w:color="auto"/>
        <w:bottom w:val="none" w:sz="0" w:space="0" w:color="auto"/>
        <w:right w:val="none" w:sz="0" w:space="0" w:color="auto"/>
      </w:divBdr>
    </w:div>
    <w:div w:id="1151288228">
      <w:bodyDiv w:val="1"/>
      <w:marLeft w:val="0"/>
      <w:marRight w:val="0"/>
      <w:marTop w:val="0"/>
      <w:marBottom w:val="0"/>
      <w:divBdr>
        <w:top w:val="none" w:sz="0" w:space="0" w:color="auto"/>
        <w:left w:val="none" w:sz="0" w:space="0" w:color="auto"/>
        <w:bottom w:val="none" w:sz="0" w:space="0" w:color="auto"/>
        <w:right w:val="none" w:sz="0" w:space="0" w:color="auto"/>
      </w:divBdr>
    </w:div>
    <w:div w:id="1260259355">
      <w:bodyDiv w:val="1"/>
      <w:marLeft w:val="0"/>
      <w:marRight w:val="0"/>
      <w:marTop w:val="0"/>
      <w:marBottom w:val="0"/>
      <w:divBdr>
        <w:top w:val="none" w:sz="0" w:space="0" w:color="auto"/>
        <w:left w:val="none" w:sz="0" w:space="0" w:color="auto"/>
        <w:bottom w:val="none" w:sz="0" w:space="0" w:color="auto"/>
        <w:right w:val="none" w:sz="0" w:space="0" w:color="auto"/>
      </w:divBdr>
    </w:div>
    <w:div w:id="1290892220">
      <w:bodyDiv w:val="1"/>
      <w:marLeft w:val="0"/>
      <w:marRight w:val="0"/>
      <w:marTop w:val="0"/>
      <w:marBottom w:val="0"/>
      <w:divBdr>
        <w:top w:val="none" w:sz="0" w:space="0" w:color="auto"/>
        <w:left w:val="none" w:sz="0" w:space="0" w:color="auto"/>
        <w:bottom w:val="none" w:sz="0" w:space="0" w:color="auto"/>
        <w:right w:val="none" w:sz="0" w:space="0" w:color="auto"/>
      </w:divBdr>
    </w:div>
    <w:div w:id="1299998013">
      <w:bodyDiv w:val="1"/>
      <w:marLeft w:val="0"/>
      <w:marRight w:val="0"/>
      <w:marTop w:val="0"/>
      <w:marBottom w:val="0"/>
      <w:divBdr>
        <w:top w:val="none" w:sz="0" w:space="0" w:color="auto"/>
        <w:left w:val="none" w:sz="0" w:space="0" w:color="auto"/>
        <w:bottom w:val="none" w:sz="0" w:space="0" w:color="auto"/>
        <w:right w:val="none" w:sz="0" w:space="0" w:color="auto"/>
      </w:divBdr>
    </w:div>
    <w:div w:id="1314142255">
      <w:bodyDiv w:val="1"/>
      <w:marLeft w:val="0"/>
      <w:marRight w:val="0"/>
      <w:marTop w:val="0"/>
      <w:marBottom w:val="0"/>
      <w:divBdr>
        <w:top w:val="none" w:sz="0" w:space="0" w:color="auto"/>
        <w:left w:val="none" w:sz="0" w:space="0" w:color="auto"/>
        <w:bottom w:val="none" w:sz="0" w:space="0" w:color="auto"/>
        <w:right w:val="none" w:sz="0" w:space="0" w:color="auto"/>
      </w:divBdr>
    </w:div>
    <w:div w:id="1377192676">
      <w:bodyDiv w:val="1"/>
      <w:marLeft w:val="0"/>
      <w:marRight w:val="0"/>
      <w:marTop w:val="0"/>
      <w:marBottom w:val="0"/>
      <w:divBdr>
        <w:top w:val="none" w:sz="0" w:space="0" w:color="auto"/>
        <w:left w:val="none" w:sz="0" w:space="0" w:color="auto"/>
        <w:bottom w:val="none" w:sz="0" w:space="0" w:color="auto"/>
        <w:right w:val="none" w:sz="0" w:space="0" w:color="auto"/>
      </w:divBdr>
    </w:div>
    <w:div w:id="1383138900">
      <w:bodyDiv w:val="1"/>
      <w:marLeft w:val="0"/>
      <w:marRight w:val="0"/>
      <w:marTop w:val="0"/>
      <w:marBottom w:val="0"/>
      <w:divBdr>
        <w:top w:val="none" w:sz="0" w:space="0" w:color="auto"/>
        <w:left w:val="none" w:sz="0" w:space="0" w:color="auto"/>
        <w:bottom w:val="none" w:sz="0" w:space="0" w:color="auto"/>
        <w:right w:val="none" w:sz="0" w:space="0" w:color="auto"/>
      </w:divBdr>
    </w:div>
    <w:div w:id="1396588637">
      <w:bodyDiv w:val="1"/>
      <w:marLeft w:val="0"/>
      <w:marRight w:val="0"/>
      <w:marTop w:val="0"/>
      <w:marBottom w:val="0"/>
      <w:divBdr>
        <w:top w:val="none" w:sz="0" w:space="0" w:color="auto"/>
        <w:left w:val="none" w:sz="0" w:space="0" w:color="auto"/>
        <w:bottom w:val="none" w:sz="0" w:space="0" w:color="auto"/>
        <w:right w:val="none" w:sz="0" w:space="0" w:color="auto"/>
      </w:divBdr>
    </w:div>
    <w:div w:id="1456413107">
      <w:bodyDiv w:val="1"/>
      <w:marLeft w:val="0"/>
      <w:marRight w:val="0"/>
      <w:marTop w:val="0"/>
      <w:marBottom w:val="0"/>
      <w:divBdr>
        <w:top w:val="none" w:sz="0" w:space="0" w:color="auto"/>
        <w:left w:val="none" w:sz="0" w:space="0" w:color="auto"/>
        <w:bottom w:val="none" w:sz="0" w:space="0" w:color="auto"/>
        <w:right w:val="none" w:sz="0" w:space="0" w:color="auto"/>
      </w:divBdr>
    </w:div>
    <w:div w:id="1487890499">
      <w:bodyDiv w:val="1"/>
      <w:marLeft w:val="0"/>
      <w:marRight w:val="0"/>
      <w:marTop w:val="0"/>
      <w:marBottom w:val="0"/>
      <w:divBdr>
        <w:top w:val="none" w:sz="0" w:space="0" w:color="auto"/>
        <w:left w:val="none" w:sz="0" w:space="0" w:color="auto"/>
        <w:bottom w:val="none" w:sz="0" w:space="0" w:color="auto"/>
        <w:right w:val="none" w:sz="0" w:space="0" w:color="auto"/>
      </w:divBdr>
    </w:div>
    <w:div w:id="1496215598">
      <w:bodyDiv w:val="1"/>
      <w:marLeft w:val="0"/>
      <w:marRight w:val="0"/>
      <w:marTop w:val="0"/>
      <w:marBottom w:val="0"/>
      <w:divBdr>
        <w:top w:val="none" w:sz="0" w:space="0" w:color="auto"/>
        <w:left w:val="none" w:sz="0" w:space="0" w:color="auto"/>
        <w:bottom w:val="none" w:sz="0" w:space="0" w:color="auto"/>
        <w:right w:val="none" w:sz="0" w:space="0" w:color="auto"/>
      </w:divBdr>
    </w:div>
    <w:div w:id="1539974484">
      <w:bodyDiv w:val="1"/>
      <w:marLeft w:val="0"/>
      <w:marRight w:val="0"/>
      <w:marTop w:val="0"/>
      <w:marBottom w:val="0"/>
      <w:divBdr>
        <w:top w:val="none" w:sz="0" w:space="0" w:color="auto"/>
        <w:left w:val="none" w:sz="0" w:space="0" w:color="auto"/>
        <w:bottom w:val="none" w:sz="0" w:space="0" w:color="auto"/>
        <w:right w:val="none" w:sz="0" w:space="0" w:color="auto"/>
      </w:divBdr>
    </w:div>
    <w:div w:id="1557930564">
      <w:bodyDiv w:val="1"/>
      <w:marLeft w:val="0"/>
      <w:marRight w:val="0"/>
      <w:marTop w:val="0"/>
      <w:marBottom w:val="0"/>
      <w:divBdr>
        <w:top w:val="none" w:sz="0" w:space="0" w:color="auto"/>
        <w:left w:val="none" w:sz="0" w:space="0" w:color="auto"/>
        <w:bottom w:val="none" w:sz="0" w:space="0" w:color="auto"/>
        <w:right w:val="none" w:sz="0" w:space="0" w:color="auto"/>
      </w:divBdr>
    </w:div>
    <w:div w:id="1571691983">
      <w:bodyDiv w:val="1"/>
      <w:marLeft w:val="0"/>
      <w:marRight w:val="0"/>
      <w:marTop w:val="0"/>
      <w:marBottom w:val="0"/>
      <w:divBdr>
        <w:top w:val="none" w:sz="0" w:space="0" w:color="auto"/>
        <w:left w:val="none" w:sz="0" w:space="0" w:color="auto"/>
        <w:bottom w:val="none" w:sz="0" w:space="0" w:color="auto"/>
        <w:right w:val="none" w:sz="0" w:space="0" w:color="auto"/>
      </w:divBdr>
    </w:div>
    <w:div w:id="1575123492">
      <w:bodyDiv w:val="1"/>
      <w:marLeft w:val="0"/>
      <w:marRight w:val="0"/>
      <w:marTop w:val="0"/>
      <w:marBottom w:val="0"/>
      <w:divBdr>
        <w:top w:val="none" w:sz="0" w:space="0" w:color="auto"/>
        <w:left w:val="none" w:sz="0" w:space="0" w:color="auto"/>
        <w:bottom w:val="none" w:sz="0" w:space="0" w:color="auto"/>
        <w:right w:val="none" w:sz="0" w:space="0" w:color="auto"/>
      </w:divBdr>
    </w:div>
    <w:div w:id="1619876462">
      <w:bodyDiv w:val="1"/>
      <w:marLeft w:val="0"/>
      <w:marRight w:val="0"/>
      <w:marTop w:val="0"/>
      <w:marBottom w:val="0"/>
      <w:divBdr>
        <w:top w:val="none" w:sz="0" w:space="0" w:color="auto"/>
        <w:left w:val="none" w:sz="0" w:space="0" w:color="auto"/>
        <w:bottom w:val="none" w:sz="0" w:space="0" w:color="auto"/>
        <w:right w:val="none" w:sz="0" w:space="0" w:color="auto"/>
      </w:divBdr>
    </w:div>
    <w:div w:id="1654873958">
      <w:bodyDiv w:val="1"/>
      <w:marLeft w:val="0"/>
      <w:marRight w:val="0"/>
      <w:marTop w:val="0"/>
      <w:marBottom w:val="0"/>
      <w:divBdr>
        <w:top w:val="none" w:sz="0" w:space="0" w:color="auto"/>
        <w:left w:val="none" w:sz="0" w:space="0" w:color="auto"/>
        <w:bottom w:val="none" w:sz="0" w:space="0" w:color="auto"/>
        <w:right w:val="none" w:sz="0" w:space="0" w:color="auto"/>
      </w:divBdr>
    </w:div>
    <w:div w:id="1710229244">
      <w:bodyDiv w:val="1"/>
      <w:marLeft w:val="0"/>
      <w:marRight w:val="0"/>
      <w:marTop w:val="0"/>
      <w:marBottom w:val="0"/>
      <w:divBdr>
        <w:top w:val="none" w:sz="0" w:space="0" w:color="auto"/>
        <w:left w:val="none" w:sz="0" w:space="0" w:color="auto"/>
        <w:bottom w:val="none" w:sz="0" w:space="0" w:color="auto"/>
        <w:right w:val="none" w:sz="0" w:space="0" w:color="auto"/>
      </w:divBdr>
    </w:div>
    <w:div w:id="1723018685">
      <w:bodyDiv w:val="1"/>
      <w:marLeft w:val="0"/>
      <w:marRight w:val="0"/>
      <w:marTop w:val="0"/>
      <w:marBottom w:val="0"/>
      <w:divBdr>
        <w:top w:val="none" w:sz="0" w:space="0" w:color="auto"/>
        <w:left w:val="none" w:sz="0" w:space="0" w:color="auto"/>
        <w:bottom w:val="none" w:sz="0" w:space="0" w:color="auto"/>
        <w:right w:val="none" w:sz="0" w:space="0" w:color="auto"/>
      </w:divBdr>
    </w:div>
    <w:div w:id="1830363312">
      <w:bodyDiv w:val="1"/>
      <w:marLeft w:val="0"/>
      <w:marRight w:val="0"/>
      <w:marTop w:val="0"/>
      <w:marBottom w:val="0"/>
      <w:divBdr>
        <w:top w:val="none" w:sz="0" w:space="0" w:color="auto"/>
        <w:left w:val="none" w:sz="0" w:space="0" w:color="auto"/>
        <w:bottom w:val="none" w:sz="0" w:space="0" w:color="auto"/>
        <w:right w:val="none" w:sz="0" w:space="0" w:color="auto"/>
      </w:divBdr>
    </w:div>
    <w:div w:id="1879388263">
      <w:bodyDiv w:val="1"/>
      <w:marLeft w:val="0"/>
      <w:marRight w:val="0"/>
      <w:marTop w:val="0"/>
      <w:marBottom w:val="0"/>
      <w:divBdr>
        <w:top w:val="none" w:sz="0" w:space="0" w:color="auto"/>
        <w:left w:val="none" w:sz="0" w:space="0" w:color="auto"/>
        <w:bottom w:val="none" w:sz="0" w:space="0" w:color="auto"/>
        <w:right w:val="none" w:sz="0" w:space="0" w:color="auto"/>
      </w:divBdr>
    </w:div>
    <w:div w:id="1898055544">
      <w:bodyDiv w:val="1"/>
      <w:marLeft w:val="0"/>
      <w:marRight w:val="0"/>
      <w:marTop w:val="0"/>
      <w:marBottom w:val="0"/>
      <w:divBdr>
        <w:top w:val="none" w:sz="0" w:space="0" w:color="auto"/>
        <w:left w:val="none" w:sz="0" w:space="0" w:color="auto"/>
        <w:bottom w:val="none" w:sz="0" w:space="0" w:color="auto"/>
        <w:right w:val="none" w:sz="0" w:space="0" w:color="auto"/>
      </w:divBdr>
    </w:div>
    <w:div w:id="1964800032">
      <w:bodyDiv w:val="1"/>
      <w:marLeft w:val="0"/>
      <w:marRight w:val="0"/>
      <w:marTop w:val="0"/>
      <w:marBottom w:val="0"/>
      <w:divBdr>
        <w:top w:val="none" w:sz="0" w:space="0" w:color="auto"/>
        <w:left w:val="none" w:sz="0" w:space="0" w:color="auto"/>
        <w:bottom w:val="none" w:sz="0" w:space="0" w:color="auto"/>
        <w:right w:val="none" w:sz="0" w:space="0" w:color="auto"/>
      </w:divBdr>
    </w:div>
    <w:div w:id="1978486657">
      <w:bodyDiv w:val="1"/>
      <w:marLeft w:val="0"/>
      <w:marRight w:val="0"/>
      <w:marTop w:val="0"/>
      <w:marBottom w:val="0"/>
      <w:divBdr>
        <w:top w:val="none" w:sz="0" w:space="0" w:color="auto"/>
        <w:left w:val="none" w:sz="0" w:space="0" w:color="auto"/>
        <w:bottom w:val="none" w:sz="0" w:space="0" w:color="auto"/>
        <w:right w:val="none" w:sz="0" w:space="0" w:color="auto"/>
      </w:divBdr>
    </w:div>
    <w:div w:id="20253566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Law06</b:Tag>
    <b:SourceType>InternetSite</b:SourceType>
    <b:Guid>{56EE0E89-1EF5-4D51-B913-034775BEE837}</b:Guid>
    <b:Title>Murder, Manslaughter and infanticide</b:Title>
    <b:Author>
      <b:Writer>
        <b:NameList>
          <b:Person>
            <b:Last>Commission</b:Last>
            <b:First>Law</b:First>
          </b:Person>
        </b:NameList>
      </b:Writer>
      <b:Author>
        <b:NameList>
          <b:Person>
            <b:Last>Commission</b:Last>
            <b:First>Law</b:First>
          </b:Person>
        </b:NameList>
      </b:Author>
    </b:Author>
    <b:Year>2006</b:Year>
    <b:URL>assets.publishing.service.gov.uk</b:URL>
    <b:RefOrder>1</b:RefOrder>
  </b:Source>
  <b:Source>
    <b:Tag>Par</b:Tag>
    <b:SourceType>Report</b:SourceType>
    <b:Guid>{67AE6F77-DFA0-4531-AC25-B9AE8CAA3AAF}</b:Guid>
    <b:Title>Homicide Act  1957</b:Title>
    <b:LCID>en-GB</b:LCID>
    <b:Author>
      <b:Author>
        <b:NameList>
          <b:Person>
            <b:Last>Parliment</b:Last>
          </b:Person>
        </b:NameList>
      </b:Author>
    </b:Author>
    <b:City>swansea</b:City>
    <b:RefOrder>2</b:RefOrder>
  </b:Source>
  <b:Source>
    <b:Tag>The19</b:Tag>
    <b:SourceType>ArticleInAPeriodical</b:SourceType>
    <b:Guid>{FA193A01-FB34-4CD3-AA65-5CB258F7552B}</b:Guid>
    <b:Title>The European court of Human Rights</b:Title>
    <b:Year>1957 </b:Year>
    <b:PeriodicalTitle>statistics  of Homicides</b:PeriodicalTitle>
    <b:Pages>Justice.org.uk</b:Pages>
    <b:RefOrder>3</b:RefOrder>
  </b:Source>
  <b:Source>
    <b:Tag>Lor00</b:Tag>
    <b:SourceType>Misc</b:SourceType>
    <b:Guid>{7C3273EB-2083-42ED-8FAE-963553F42DCC}</b:Guid>
    <b:Title>Definition of a Homicide</b:Title>
    <b:Year>1700</b:Year>
    <b:Author>
      <b:Author>
        <b:NameList>
          <b:Person>
            <b:Last>Justice</b:Last>
            <b:First>Lord</b:First>
            <b:Middle>Chief</b:Middle>
          </b:Person>
        </b:NameList>
      </b:Author>
    </b:Author>
    <b:CountryRegion>United Kingdom</b:CountryRegion>
    <b:RefOrder>4</b:RefOrder>
  </b:Source>
  <b:Source>
    <b:Tag>Gen05</b:Tag>
    <b:SourceType>Case</b:SourceType>
    <b:Guid>{2A065EB2-47B0-41CE-9C0D-3171BDF32F84}</b:Guid>
    <b:Title>General V Holley</b:Title>
    <b:Year>2005</b:Year>
    <b:CaseNumber>ukpc23</b:CaseNumber>
    <b:RefOrder>5</b:RefOrder>
  </b:Source>
  <b:Source>
    <b:Tag>RVJ16</b:Tag>
    <b:SourceType>Case</b:SourceType>
    <b:Guid>{A4A79AC7-8923-4E27-BDCC-E6D87119C631}</b:Guid>
    <b:Title>R V Jogee </b:Title>
    <b:Year>2016</b:Year>
    <b:RefOrder>6</b:RefOrder>
  </b:Source>
</b:Sources>
</file>

<file path=customXml/itemProps1.xml><?xml version="1.0" encoding="utf-8"?>
<ds:datastoreItem xmlns:ds="http://schemas.openxmlformats.org/officeDocument/2006/customXml" ds:itemID="{B28CA4A8-A593-466C-8F92-17865DE85B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1590</Words>
  <Characters>9066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Valentine Joshua</dc:creator>
  <cp:keywords/>
  <dc:description/>
  <cp:lastModifiedBy>Valentine Joshua</cp:lastModifiedBy>
  <cp:revision>2</cp:revision>
  <dcterms:created xsi:type="dcterms:W3CDTF">2021-11-05T13:23:00Z</dcterms:created>
  <dcterms:modified xsi:type="dcterms:W3CDTF">2021-11-05T13:23:00Z</dcterms:modified>
</cp:coreProperties>
</file>