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001FB" w14:textId="67A6A7EB" w:rsidR="00D935CB" w:rsidRPr="00AB2737" w:rsidRDefault="006A4494" w:rsidP="006A4494">
      <w:pPr>
        <w:spacing w:line="360" w:lineRule="auto"/>
        <w:jc w:val="center"/>
        <w:rPr>
          <w:rFonts w:ascii="Arial" w:eastAsia="Times New Roman" w:hAnsi="Arial" w:cs="Arial"/>
          <w:b/>
          <w:bCs/>
          <w:color w:val="000000" w:themeColor="text1"/>
          <w:sz w:val="32"/>
          <w:szCs w:val="24"/>
          <w:lang w:eastAsia="en-IN"/>
        </w:rPr>
      </w:pPr>
      <w:r w:rsidRPr="006A4494">
        <w:rPr>
          <w:rFonts w:ascii="Arial" w:eastAsia="Times New Roman" w:hAnsi="Arial" w:cs="Arial"/>
          <w:b/>
          <w:bCs/>
          <w:noProof/>
          <w:color w:val="000000" w:themeColor="text1"/>
          <w:sz w:val="32"/>
          <w:szCs w:val="24"/>
          <w:lang w:eastAsia="en-IN"/>
        </w:rPr>
        <w:drawing>
          <wp:inline distT="0" distB="0" distL="0" distR="0" wp14:anchorId="2B5E0D6D" wp14:editId="55A64B61">
            <wp:extent cx="2819400" cy="10321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25367" cy="1034285"/>
                    </a:xfrm>
                    <a:prstGeom prst="rect">
                      <a:avLst/>
                    </a:prstGeom>
                  </pic:spPr>
                </pic:pic>
              </a:graphicData>
            </a:graphic>
          </wp:inline>
        </w:drawing>
      </w:r>
    </w:p>
    <w:p w14:paraId="0D0CBDF4" w14:textId="4C097488" w:rsidR="005C0F89" w:rsidRPr="00AB2737" w:rsidRDefault="005C0F89" w:rsidP="00AB2737">
      <w:pPr>
        <w:spacing w:line="360" w:lineRule="auto"/>
        <w:jc w:val="center"/>
        <w:rPr>
          <w:rFonts w:ascii="Arial" w:eastAsia="Times New Roman" w:hAnsi="Arial" w:cs="Arial"/>
          <w:b/>
          <w:bCs/>
          <w:color w:val="000000" w:themeColor="text1"/>
          <w:sz w:val="32"/>
          <w:szCs w:val="24"/>
          <w:lang w:eastAsia="en-IN"/>
        </w:rPr>
      </w:pPr>
      <w:r w:rsidRPr="00AB2737">
        <w:rPr>
          <w:rFonts w:ascii="Arial" w:eastAsia="Times New Roman" w:hAnsi="Arial" w:cs="Arial"/>
          <w:b/>
          <w:bCs/>
          <w:color w:val="000000" w:themeColor="text1"/>
          <w:sz w:val="32"/>
          <w:szCs w:val="24"/>
          <w:lang w:eastAsia="en-IN"/>
        </w:rPr>
        <w:t xml:space="preserve">MASTER OF BUSINESS ADMINISTRATION </w:t>
      </w:r>
    </w:p>
    <w:p w14:paraId="75A3E90D" w14:textId="77777777" w:rsidR="005C0F89" w:rsidRPr="00AB2737" w:rsidRDefault="005C0F89" w:rsidP="00AB2737">
      <w:pPr>
        <w:spacing w:line="360" w:lineRule="auto"/>
        <w:jc w:val="center"/>
        <w:rPr>
          <w:rFonts w:ascii="Arial" w:eastAsia="Times New Roman" w:hAnsi="Arial" w:cs="Arial"/>
          <w:b/>
          <w:bCs/>
          <w:color w:val="000000" w:themeColor="text1"/>
          <w:sz w:val="32"/>
          <w:szCs w:val="24"/>
          <w:lang w:eastAsia="en-IN"/>
        </w:rPr>
      </w:pPr>
    </w:p>
    <w:p w14:paraId="168EE100" w14:textId="22677E1E" w:rsidR="005C0F89" w:rsidRPr="00AB2737" w:rsidRDefault="005C0F89" w:rsidP="00AB2737">
      <w:pPr>
        <w:spacing w:line="360" w:lineRule="auto"/>
        <w:jc w:val="center"/>
        <w:rPr>
          <w:rFonts w:ascii="Arial" w:eastAsia="Times New Roman" w:hAnsi="Arial" w:cs="Arial"/>
          <w:b/>
          <w:bCs/>
          <w:color w:val="000000" w:themeColor="text1"/>
          <w:sz w:val="32"/>
          <w:szCs w:val="24"/>
          <w:lang w:eastAsia="en-IN"/>
        </w:rPr>
      </w:pPr>
      <w:r w:rsidRPr="00AB2737">
        <w:rPr>
          <w:rFonts w:ascii="Arial" w:eastAsia="Times New Roman" w:hAnsi="Arial" w:cs="Arial"/>
          <w:b/>
          <w:bCs/>
          <w:color w:val="000000" w:themeColor="text1"/>
          <w:sz w:val="32"/>
          <w:szCs w:val="24"/>
          <w:lang w:eastAsia="en-IN"/>
        </w:rPr>
        <w:t xml:space="preserve">MARKETING MANAGEMENT </w:t>
      </w:r>
    </w:p>
    <w:p w14:paraId="62382564" w14:textId="6C58DDAC" w:rsidR="005C0F89" w:rsidRPr="00AB2737" w:rsidRDefault="005C0F89" w:rsidP="00AB2737">
      <w:pPr>
        <w:spacing w:line="360" w:lineRule="auto"/>
        <w:jc w:val="center"/>
        <w:rPr>
          <w:rFonts w:ascii="Arial" w:eastAsia="Times New Roman" w:hAnsi="Arial" w:cs="Arial"/>
          <w:b/>
          <w:bCs/>
          <w:color w:val="000000" w:themeColor="text1"/>
          <w:sz w:val="32"/>
          <w:szCs w:val="24"/>
          <w:lang w:eastAsia="en-IN"/>
        </w:rPr>
      </w:pPr>
      <w:r w:rsidRPr="00AB2737">
        <w:rPr>
          <w:rFonts w:ascii="Arial" w:eastAsia="Times New Roman" w:hAnsi="Arial" w:cs="Arial"/>
          <w:b/>
          <w:bCs/>
          <w:color w:val="000000" w:themeColor="text1"/>
          <w:sz w:val="32"/>
          <w:szCs w:val="24"/>
          <w:lang w:eastAsia="en-IN"/>
        </w:rPr>
        <w:t>LCMB7024</w:t>
      </w:r>
    </w:p>
    <w:p w14:paraId="6C12B81A" w14:textId="648F951E" w:rsidR="005C0F89" w:rsidRPr="00AB2737" w:rsidRDefault="00D935CB" w:rsidP="00AB2737">
      <w:pPr>
        <w:spacing w:line="360" w:lineRule="auto"/>
        <w:jc w:val="center"/>
        <w:rPr>
          <w:rFonts w:ascii="Arial" w:eastAsia="Times New Roman" w:hAnsi="Arial" w:cs="Arial"/>
          <w:b/>
          <w:bCs/>
          <w:color w:val="000000" w:themeColor="text1"/>
          <w:sz w:val="32"/>
          <w:szCs w:val="24"/>
          <w:lang w:eastAsia="en-IN"/>
        </w:rPr>
      </w:pPr>
      <w:r w:rsidRPr="00AB2737">
        <w:rPr>
          <w:rFonts w:ascii="Arial" w:eastAsia="Times New Roman" w:hAnsi="Arial" w:cs="Arial"/>
          <w:b/>
          <w:bCs/>
          <w:color w:val="000000" w:themeColor="text1"/>
          <w:sz w:val="32"/>
          <w:szCs w:val="24"/>
          <w:lang w:eastAsia="en-IN"/>
        </w:rPr>
        <w:t xml:space="preserve">MARKETING ENVIRONMENT ANALYSIS </w:t>
      </w:r>
    </w:p>
    <w:p w14:paraId="73589DED" w14:textId="77777777" w:rsidR="005C0F89" w:rsidRPr="00AB2737" w:rsidRDefault="005C0F89" w:rsidP="00AB2737">
      <w:pPr>
        <w:spacing w:line="360" w:lineRule="auto"/>
        <w:jc w:val="center"/>
        <w:rPr>
          <w:rFonts w:ascii="Arial" w:eastAsia="Times New Roman" w:hAnsi="Arial" w:cs="Arial"/>
          <w:b/>
          <w:bCs/>
          <w:color w:val="000000" w:themeColor="text1"/>
          <w:sz w:val="32"/>
          <w:szCs w:val="24"/>
          <w:lang w:eastAsia="en-IN"/>
        </w:rPr>
      </w:pPr>
    </w:p>
    <w:p w14:paraId="5860C4BE" w14:textId="77777777" w:rsidR="005C0F89" w:rsidRPr="00AB2737" w:rsidRDefault="00D935CB" w:rsidP="00AB2737">
      <w:pPr>
        <w:spacing w:line="360" w:lineRule="auto"/>
        <w:jc w:val="center"/>
        <w:rPr>
          <w:rFonts w:ascii="Arial" w:eastAsia="Times New Roman" w:hAnsi="Arial" w:cs="Arial"/>
          <w:b/>
          <w:color w:val="000000" w:themeColor="text1"/>
          <w:sz w:val="32"/>
          <w:szCs w:val="24"/>
          <w:lang w:eastAsia="en-IN"/>
        </w:rPr>
      </w:pPr>
      <w:r w:rsidRPr="00AB2737">
        <w:rPr>
          <w:rFonts w:ascii="Arial" w:eastAsia="Times New Roman" w:hAnsi="Arial" w:cs="Arial"/>
          <w:b/>
          <w:bCs/>
          <w:color w:val="000000" w:themeColor="text1"/>
          <w:sz w:val="32"/>
          <w:szCs w:val="24"/>
          <w:lang w:eastAsia="en-IN"/>
        </w:rPr>
        <w:t xml:space="preserve">A CASE OF </w:t>
      </w:r>
      <w:r w:rsidRPr="00AB2737">
        <w:rPr>
          <w:rFonts w:ascii="Arial" w:eastAsia="Times New Roman" w:hAnsi="Arial" w:cs="Arial"/>
          <w:b/>
          <w:color w:val="000000" w:themeColor="text1"/>
          <w:sz w:val="32"/>
          <w:szCs w:val="24"/>
          <w:lang w:eastAsia="en-IN"/>
        </w:rPr>
        <w:t xml:space="preserve">NISSAN MOTOR AND TOYOTA MOTOR </w:t>
      </w:r>
    </w:p>
    <w:p w14:paraId="2FF8B0B2" w14:textId="3AFB8E20" w:rsidR="005C0F89" w:rsidRPr="00AB2737" w:rsidRDefault="005C0F89" w:rsidP="00AB2737">
      <w:pPr>
        <w:spacing w:line="360" w:lineRule="auto"/>
        <w:jc w:val="center"/>
        <w:rPr>
          <w:rFonts w:ascii="Arial" w:eastAsia="Times New Roman" w:hAnsi="Arial" w:cs="Arial"/>
          <w:b/>
          <w:color w:val="000000" w:themeColor="text1"/>
          <w:sz w:val="24"/>
          <w:szCs w:val="24"/>
          <w:lang w:eastAsia="en-IN"/>
        </w:rPr>
      </w:pPr>
    </w:p>
    <w:p w14:paraId="5F884008" w14:textId="77777777" w:rsidR="0064735E" w:rsidRPr="00AB2737" w:rsidRDefault="0064735E" w:rsidP="00AB2737">
      <w:pPr>
        <w:spacing w:line="360" w:lineRule="auto"/>
        <w:jc w:val="center"/>
        <w:rPr>
          <w:rFonts w:ascii="Arial" w:eastAsia="Times New Roman" w:hAnsi="Arial" w:cs="Arial"/>
          <w:b/>
          <w:color w:val="000000" w:themeColor="text1"/>
          <w:sz w:val="24"/>
          <w:szCs w:val="24"/>
          <w:lang w:eastAsia="en-IN"/>
        </w:rPr>
      </w:pPr>
    </w:p>
    <w:p w14:paraId="1001AF39" w14:textId="1E45E9AC" w:rsidR="005C0F89" w:rsidRPr="001241DE" w:rsidRDefault="005C0F89" w:rsidP="00AB2737">
      <w:pPr>
        <w:spacing w:line="360" w:lineRule="auto"/>
        <w:jc w:val="center"/>
        <w:rPr>
          <w:rFonts w:ascii="Arial" w:eastAsia="Times New Roman" w:hAnsi="Arial" w:cs="Arial"/>
          <w:b/>
          <w:color w:val="000000" w:themeColor="text1"/>
          <w:sz w:val="24"/>
          <w:szCs w:val="24"/>
          <w:lang w:eastAsia="en-IN"/>
        </w:rPr>
      </w:pPr>
      <w:r w:rsidRPr="001241DE">
        <w:rPr>
          <w:rFonts w:ascii="Arial" w:eastAsia="Times New Roman" w:hAnsi="Arial" w:cs="Arial"/>
          <w:b/>
          <w:color w:val="000000" w:themeColor="text1"/>
          <w:sz w:val="24"/>
          <w:szCs w:val="24"/>
          <w:lang w:eastAsia="en-IN"/>
        </w:rPr>
        <w:t>Student name:</w:t>
      </w:r>
      <w:r w:rsidR="001241DE" w:rsidRPr="001241DE">
        <w:rPr>
          <w:rFonts w:ascii="Arial" w:eastAsia="Times New Roman" w:hAnsi="Arial" w:cs="Arial"/>
          <w:b/>
          <w:color w:val="000000" w:themeColor="text1"/>
          <w:sz w:val="24"/>
          <w:szCs w:val="24"/>
          <w:lang w:eastAsia="en-IN"/>
        </w:rPr>
        <w:t xml:space="preserve"> </w:t>
      </w:r>
      <w:proofErr w:type="spellStart"/>
      <w:r w:rsidR="001241DE">
        <w:rPr>
          <w:rFonts w:ascii="Arial" w:hAnsi="Arial" w:cs="Arial"/>
          <w:color w:val="222222"/>
          <w:sz w:val="24"/>
          <w:szCs w:val="24"/>
          <w:shd w:val="clear" w:color="auto" w:fill="FFFFFF"/>
        </w:rPr>
        <w:t>K</w:t>
      </w:r>
      <w:r w:rsidR="001241DE" w:rsidRPr="001241DE">
        <w:rPr>
          <w:rFonts w:ascii="Arial" w:hAnsi="Arial" w:cs="Arial"/>
          <w:color w:val="222222"/>
          <w:sz w:val="24"/>
          <w:szCs w:val="24"/>
          <w:shd w:val="clear" w:color="auto" w:fill="FFFFFF"/>
        </w:rPr>
        <w:t>unjal</w:t>
      </w:r>
      <w:proofErr w:type="spellEnd"/>
      <w:r w:rsidR="001241DE" w:rsidRPr="001241DE">
        <w:rPr>
          <w:rFonts w:ascii="Arial" w:hAnsi="Arial" w:cs="Arial"/>
          <w:color w:val="222222"/>
          <w:sz w:val="24"/>
          <w:szCs w:val="24"/>
          <w:shd w:val="clear" w:color="auto" w:fill="FFFFFF"/>
        </w:rPr>
        <w:t xml:space="preserve"> </w:t>
      </w:r>
      <w:proofErr w:type="spellStart"/>
      <w:r w:rsidR="001241DE" w:rsidRPr="001241DE">
        <w:rPr>
          <w:rFonts w:ascii="Arial" w:hAnsi="Arial" w:cs="Arial"/>
          <w:color w:val="222222"/>
          <w:sz w:val="24"/>
          <w:szCs w:val="24"/>
          <w:shd w:val="clear" w:color="auto" w:fill="FFFFFF"/>
        </w:rPr>
        <w:t>Ghanshyambhai</w:t>
      </w:r>
      <w:proofErr w:type="spellEnd"/>
      <w:r w:rsidR="001241DE" w:rsidRPr="001241DE">
        <w:rPr>
          <w:rFonts w:ascii="Arial" w:hAnsi="Arial" w:cs="Arial"/>
          <w:color w:val="222222"/>
          <w:sz w:val="24"/>
          <w:szCs w:val="24"/>
          <w:shd w:val="clear" w:color="auto" w:fill="FFFFFF"/>
        </w:rPr>
        <w:t xml:space="preserve"> </w:t>
      </w:r>
      <w:proofErr w:type="spellStart"/>
      <w:r w:rsidR="001241DE" w:rsidRPr="001241DE">
        <w:rPr>
          <w:rFonts w:ascii="Arial" w:hAnsi="Arial" w:cs="Arial"/>
          <w:color w:val="222222"/>
          <w:sz w:val="24"/>
          <w:szCs w:val="24"/>
          <w:shd w:val="clear" w:color="auto" w:fill="FFFFFF"/>
        </w:rPr>
        <w:t>Amreliya</w:t>
      </w:r>
      <w:proofErr w:type="spellEnd"/>
    </w:p>
    <w:p w14:paraId="10155034" w14:textId="062B8050" w:rsidR="005C0F89" w:rsidRPr="001241DE" w:rsidRDefault="005C0F89" w:rsidP="00AB2737">
      <w:pPr>
        <w:spacing w:line="360" w:lineRule="auto"/>
        <w:jc w:val="center"/>
        <w:rPr>
          <w:rFonts w:ascii="Arial" w:eastAsia="Times New Roman" w:hAnsi="Arial" w:cs="Arial"/>
          <w:b/>
          <w:color w:val="000000" w:themeColor="text1"/>
          <w:sz w:val="24"/>
          <w:szCs w:val="24"/>
          <w:lang w:eastAsia="en-IN"/>
        </w:rPr>
      </w:pPr>
      <w:r w:rsidRPr="001241DE">
        <w:rPr>
          <w:rFonts w:ascii="Arial" w:eastAsia="Times New Roman" w:hAnsi="Arial" w:cs="Arial"/>
          <w:b/>
          <w:color w:val="000000" w:themeColor="text1"/>
          <w:sz w:val="24"/>
          <w:szCs w:val="24"/>
          <w:lang w:eastAsia="en-IN"/>
        </w:rPr>
        <w:t>Student ID:</w:t>
      </w:r>
      <w:r w:rsidR="001241DE" w:rsidRPr="001241DE">
        <w:rPr>
          <w:rFonts w:ascii="Arial" w:eastAsia="Times New Roman" w:hAnsi="Arial" w:cs="Arial"/>
          <w:b/>
          <w:color w:val="000000" w:themeColor="text1"/>
          <w:sz w:val="24"/>
          <w:szCs w:val="24"/>
          <w:lang w:eastAsia="en-IN"/>
        </w:rPr>
        <w:t xml:space="preserve"> </w:t>
      </w:r>
      <w:r w:rsidR="001241DE" w:rsidRPr="001241DE">
        <w:rPr>
          <w:rFonts w:ascii="Arial" w:hAnsi="Arial" w:cs="Arial"/>
          <w:color w:val="222222"/>
          <w:sz w:val="24"/>
          <w:szCs w:val="24"/>
          <w:shd w:val="clear" w:color="auto" w:fill="FFFFFF"/>
        </w:rPr>
        <w:t>2531260</w:t>
      </w:r>
    </w:p>
    <w:p w14:paraId="634253A3" w14:textId="77777777" w:rsidR="0064735E" w:rsidRPr="001241DE" w:rsidRDefault="0064735E" w:rsidP="00AB2737">
      <w:pPr>
        <w:spacing w:line="360" w:lineRule="auto"/>
        <w:jc w:val="center"/>
        <w:rPr>
          <w:rFonts w:ascii="Arial" w:eastAsia="Times New Roman" w:hAnsi="Arial" w:cs="Arial"/>
          <w:b/>
          <w:color w:val="000000" w:themeColor="text1"/>
          <w:sz w:val="24"/>
          <w:szCs w:val="24"/>
          <w:lang w:eastAsia="en-IN"/>
        </w:rPr>
      </w:pPr>
    </w:p>
    <w:p w14:paraId="0CAFD3EC" w14:textId="40EB2DDE" w:rsidR="005C0F89" w:rsidRPr="001241DE" w:rsidRDefault="0064735E" w:rsidP="00AB2737">
      <w:pPr>
        <w:spacing w:line="360" w:lineRule="auto"/>
        <w:jc w:val="center"/>
        <w:rPr>
          <w:rFonts w:ascii="Arial" w:eastAsia="Times New Roman" w:hAnsi="Arial" w:cs="Arial"/>
          <w:b/>
          <w:color w:val="000000" w:themeColor="text1"/>
          <w:sz w:val="24"/>
          <w:szCs w:val="24"/>
          <w:lang w:eastAsia="en-IN"/>
        </w:rPr>
      </w:pPr>
      <w:r w:rsidRPr="001241DE">
        <w:rPr>
          <w:rFonts w:ascii="Arial" w:eastAsia="Times New Roman" w:hAnsi="Arial" w:cs="Arial"/>
          <w:b/>
          <w:color w:val="000000" w:themeColor="text1"/>
          <w:sz w:val="24"/>
          <w:szCs w:val="24"/>
          <w:lang w:eastAsia="en-IN"/>
        </w:rPr>
        <w:t>Lecturer name:</w:t>
      </w:r>
      <w:r w:rsidR="001241DE" w:rsidRPr="001241DE">
        <w:rPr>
          <w:rFonts w:ascii="Arial" w:eastAsia="Times New Roman" w:hAnsi="Arial" w:cs="Arial"/>
          <w:b/>
          <w:color w:val="000000" w:themeColor="text1"/>
          <w:sz w:val="24"/>
          <w:szCs w:val="24"/>
          <w:lang w:eastAsia="en-IN"/>
        </w:rPr>
        <w:t xml:space="preserve"> </w:t>
      </w:r>
      <w:proofErr w:type="spellStart"/>
      <w:r w:rsidR="001241DE" w:rsidRPr="001241DE">
        <w:rPr>
          <w:rFonts w:ascii="Arial" w:hAnsi="Arial" w:cs="Arial"/>
          <w:color w:val="222222"/>
          <w:sz w:val="24"/>
          <w:szCs w:val="24"/>
          <w:shd w:val="clear" w:color="auto" w:fill="FFFFFF"/>
        </w:rPr>
        <w:t>Dr.</w:t>
      </w:r>
      <w:proofErr w:type="spellEnd"/>
      <w:r w:rsidR="001241DE" w:rsidRPr="001241DE">
        <w:rPr>
          <w:rFonts w:ascii="Arial" w:hAnsi="Arial" w:cs="Arial"/>
          <w:color w:val="222222"/>
          <w:sz w:val="24"/>
          <w:szCs w:val="24"/>
          <w:shd w:val="clear" w:color="auto" w:fill="FFFFFF"/>
        </w:rPr>
        <w:t xml:space="preserve"> Laila </w:t>
      </w:r>
      <w:proofErr w:type="spellStart"/>
      <w:r w:rsidR="001241DE" w:rsidRPr="001241DE">
        <w:rPr>
          <w:rFonts w:ascii="Arial" w:hAnsi="Arial" w:cs="Arial"/>
          <w:color w:val="222222"/>
          <w:sz w:val="24"/>
          <w:szCs w:val="24"/>
          <w:shd w:val="clear" w:color="auto" w:fill="FFFFFF"/>
        </w:rPr>
        <w:t>Maazouz</w:t>
      </w:r>
      <w:proofErr w:type="spellEnd"/>
    </w:p>
    <w:p w14:paraId="552D0D5C" w14:textId="77777777" w:rsidR="0064735E" w:rsidRPr="00AB2737" w:rsidRDefault="0064735E" w:rsidP="00AB2737">
      <w:pPr>
        <w:spacing w:line="360" w:lineRule="auto"/>
        <w:jc w:val="center"/>
        <w:rPr>
          <w:rFonts w:ascii="Arial" w:eastAsia="Times New Roman" w:hAnsi="Arial" w:cs="Arial"/>
          <w:b/>
          <w:color w:val="000000" w:themeColor="text1"/>
          <w:sz w:val="24"/>
          <w:szCs w:val="24"/>
          <w:lang w:eastAsia="en-IN"/>
        </w:rPr>
      </w:pPr>
    </w:p>
    <w:p w14:paraId="13914A9B" w14:textId="79903823" w:rsidR="00E1718D" w:rsidRDefault="005C0F89" w:rsidP="00E1718D">
      <w:pPr>
        <w:spacing w:line="360" w:lineRule="auto"/>
        <w:jc w:val="center"/>
        <w:rPr>
          <w:rFonts w:ascii="Arial" w:eastAsia="Times New Roman" w:hAnsi="Arial" w:cs="Arial"/>
          <w:bCs/>
          <w:color w:val="000000" w:themeColor="text1"/>
          <w:sz w:val="24"/>
          <w:szCs w:val="24"/>
          <w:lang w:eastAsia="en-IN"/>
        </w:rPr>
      </w:pPr>
      <w:r w:rsidRPr="00AB2737">
        <w:rPr>
          <w:rFonts w:ascii="Arial" w:eastAsia="Times New Roman" w:hAnsi="Arial" w:cs="Arial"/>
          <w:b/>
          <w:color w:val="000000" w:themeColor="text1"/>
          <w:sz w:val="24"/>
          <w:szCs w:val="24"/>
          <w:lang w:eastAsia="en-IN"/>
        </w:rPr>
        <w:t>Word count:</w:t>
      </w:r>
      <w:r w:rsidRPr="00AB2737">
        <w:rPr>
          <w:rFonts w:ascii="Arial" w:eastAsia="Times New Roman" w:hAnsi="Arial" w:cs="Arial"/>
          <w:b/>
          <w:color w:val="000000" w:themeColor="text1"/>
          <w:sz w:val="32"/>
          <w:szCs w:val="24"/>
          <w:lang w:eastAsia="en-IN"/>
        </w:rPr>
        <w:t xml:space="preserve"> </w:t>
      </w:r>
      <w:r w:rsidR="000C5F63" w:rsidRPr="000C5F63">
        <w:rPr>
          <w:rFonts w:ascii="Arial" w:eastAsia="Times New Roman" w:hAnsi="Arial" w:cs="Arial"/>
          <w:bCs/>
          <w:color w:val="000000" w:themeColor="text1"/>
          <w:sz w:val="24"/>
          <w:szCs w:val="24"/>
          <w:lang w:eastAsia="en-IN"/>
        </w:rPr>
        <w:t>2507</w:t>
      </w:r>
    </w:p>
    <w:p w14:paraId="1E9D3B0A" w14:textId="79B03FE5" w:rsidR="00B64E20" w:rsidRPr="00AB2737" w:rsidRDefault="00E1718D" w:rsidP="00AB2737">
      <w:pPr>
        <w:spacing w:line="360" w:lineRule="auto"/>
        <w:jc w:val="center"/>
        <w:rPr>
          <w:rFonts w:ascii="Arial" w:eastAsia="Times New Roman" w:hAnsi="Arial" w:cs="Arial"/>
          <w:b/>
          <w:color w:val="000000" w:themeColor="text1"/>
          <w:sz w:val="32"/>
          <w:szCs w:val="24"/>
          <w:lang w:eastAsia="en-IN"/>
        </w:rPr>
      </w:pPr>
      <w:r w:rsidRPr="00E1718D">
        <w:rPr>
          <w:rFonts w:ascii="Arial" w:eastAsia="Times New Roman" w:hAnsi="Arial" w:cs="Arial"/>
          <w:b/>
          <w:color w:val="000000" w:themeColor="text1"/>
          <w:sz w:val="24"/>
          <w:szCs w:val="24"/>
          <w:lang w:eastAsia="en-IN"/>
        </w:rPr>
        <w:t>Date of submission:</w:t>
      </w:r>
      <w:r>
        <w:rPr>
          <w:rFonts w:ascii="Arial" w:eastAsia="Times New Roman" w:hAnsi="Arial" w:cs="Arial"/>
          <w:bCs/>
          <w:color w:val="000000" w:themeColor="text1"/>
          <w:sz w:val="24"/>
          <w:szCs w:val="24"/>
          <w:lang w:eastAsia="en-IN"/>
        </w:rPr>
        <w:t xml:space="preserve"> </w:t>
      </w:r>
      <w:r w:rsidRPr="00E1718D">
        <w:rPr>
          <w:rFonts w:ascii="Arial" w:eastAsia="Times New Roman" w:hAnsi="Arial" w:cs="Arial"/>
          <w:bCs/>
          <w:color w:val="000000" w:themeColor="text1"/>
          <w:sz w:val="24"/>
          <w:szCs w:val="24"/>
          <w:lang w:eastAsia="en-IN"/>
        </w:rPr>
        <w:t>27th March 2026</w:t>
      </w:r>
      <w:r w:rsidR="00B64E20" w:rsidRPr="00AB2737">
        <w:rPr>
          <w:rFonts w:ascii="Arial" w:eastAsia="Times New Roman" w:hAnsi="Arial" w:cs="Arial"/>
          <w:b/>
          <w:color w:val="000000" w:themeColor="text1"/>
          <w:sz w:val="32"/>
          <w:szCs w:val="24"/>
          <w:lang w:eastAsia="en-IN"/>
        </w:rPr>
        <w:br w:type="page"/>
      </w:r>
    </w:p>
    <w:p w14:paraId="19BAE3D0" w14:textId="77777777" w:rsidR="00B64E20" w:rsidRPr="00AB2737" w:rsidRDefault="00B64E20" w:rsidP="00AB2737">
      <w:pPr>
        <w:spacing w:line="360" w:lineRule="auto"/>
        <w:jc w:val="center"/>
        <w:rPr>
          <w:rFonts w:ascii="Arial" w:eastAsia="Times New Roman" w:hAnsi="Arial" w:cs="Arial"/>
          <w:b/>
          <w:bCs/>
          <w:color w:val="000000" w:themeColor="text1"/>
          <w:sz w:val="24"/>
          <w:szCs w:val="24"/>
          <w:lang w:eastAsia="en-IN"/>
        </w:rPr>
      </w:pPr>
      <w:r w:rsidRPr="00AB2737">
        <w:rPr>
          <w:rFonts w:ascii="Arial" w:eastAsia="Times New Roman" w:hAnsi="Arial" w:cs="Arial"/>
          <w:b/>
          <w:bCs/>
          <w:color w:val="000000" w:themeColor="text1"/>
          <w:sz w:val="24"/>
          <w:szCs w:val="24"/>
          <w:lang w:eastAsia="en-IN"/>
        </w:rPr>
        <w:lastRenderedPageBreak/>
        <w:t>Executive summary</w:t>
      </w:r>
    </w:p>
    <w:p w14:paraId="7F18DCDC" w14:textId="3D73E818" w:rsidR="00D935CB" w:rsidRPr="00AB2737" w:rsidRDefault="0027592B" w:rsidP="00AB2737">
      <w:pPr>
        <w:spacing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The automotive industry is rapidly transforming owing to technological development, environmental preservation, and evolving consumer demands. In this report, the macro-marks environmental factors of two automaker giants, Nissan </w:t>
      </w:r>
      <w:r w:rsidR="00A977F7" w:rsidRPr="00AB2737">
        <w:rPr>
          <w:rFonts w:ascii="Arial" w:eastAsia="Times New Roman" w:hAnsi="Arial" w:cs="Arial"/>
          <w:color w:val="000000" w:themeColor="text1"/>
          <w:sz w:val="24"/>
          <w:szCs w:val="24"/>
          <w:lang w:eastAsia="en-IN"/>
        </w:rPr>
        <w:t xml:space="preserve">Motor </w:t>
      </w:r>
      <w:r w:rsidRPr="00AB2737">
        <w:rPr>
          <w:rFonts w:ascii="Arial" w:eastAsia="Times New Roman" w:hAnsi="Arial" w:cs="Arial"/>
          <w:color w:val="000000" w:themeColor="text1"/>
          <w:sz w:val="24"/>
          <w:szCs w:val="24"/>
          <w:lang w:eastAsia="en-IN"/>
        </w:rPr>
        <w:t xml:space="preserve">Co., Ltd. and Toyota Motor Corporation, which are the pioneer and follower strategies in the automaker business, are </w:t>
      </w:r>
      <w:r w:rsidR="00644B59" w:rsidRPr="00AB2737">
        <w:rPr>
          <w:rFonts w:ascii="Arial" w:eastAsia="Times New Roman" w:hAnsi="Arial" w:cs="Arial"/>
          <w:color w:val="000000" w:themeColor="text1"/>
          <w:sz w:val="24"/>
          <w:szCs w:val="24"/>
          <w:lang w:eastAsia="en-IN"/>
        </w:rPr>
        <w:t>analysed</w:t>
      </w:r>
      <w:r w:rsidRPr="00AB2737">
        <w:rPr>
          <w:rFonts w:ascii="Arial" w:eastAsia="Times New Roman" w:hAnsi="Arial" w:cs="Arial"/>
          <w:color w:val="000000" w:themeColor="text1"/>
          <w:sz w:val="24"/>
          <w:szCs w:val="24"/>
          <w:lang w:eastAsia="en-IN"/>
        </w:rPr>
        <w:t>. The report has identif</w:t>
      </w:r>
      <w:r w:rsidR="000C5F63">
        <w:rPr>
          <w:rFonts w:ascii="Arial" w:eastAsia="Times New Roman" w:hAnsi="Arial" w:cs="Arial"/>
          <w:color w:val="000000" w:themeColor="text1"/>
          <w:sz w:val="24"/>
          <w:szCs w:val="24"/>
          <w:lang w:eastAsia="en-IN"/>
        </w:rPr>
        <w:t>ied</w:t>
      </w:r>
      <w:r w:rsidRPr="00AB2737">
        <w:rPr>
          <w:rFonts w:ascii="Arial" w:eastAsia="Times New Roman" w:hAnsi="Arial" w:cs="Arial"/>
          <w:color w:val="000000" w:themeColor="text1"/>
          <w:sz w:val="24"/>
          <w:szCs w:val="24"/>
          <w:lang w:eastAsia="en-IN"/>
        </w:rPr>
        <w:t xml:space="preserve"> technological innovation and environmental regulation as the most influential macro-environmental forces </w:t>
      </w:r>
      <w:r w:rsidR="000C5F63">
        <w:rPr>
          <w:rFonts w:ascii="Arial" w:eastAsia="Times New Roman" w:hAnsi="Arial" w:cs="Arial"/>
          <w:color w:val="000000" w:themeColor="text1"/>
          <w:sz w:val="24"/>
          <w:szCs w:val="24"/>
          <w:lang w:eastAsia="en-IN"/>
        </w:rPr>
        <w:t>using</w:t>
      </w:r>
      <w:r w:rsidR="000C5F63" w:rsidRPr="00AB2737">
        <w:rPr>
          <w:rFonts w:ascii="Arial" w:eastAsia="Times New Roman" w:hAnsi="Arial" w:cs="Arial"/>
          <w:color w:val="000000" w:themeColor="text1"/>
          <w:sz w:val="24"/>
          <w:szCs w:val="24"/>
          <w:lang w:eastAsia="en-IN"/>
        </w:rPr>
        <w:t xml:space="preserve"> the PESTLE framework</w:t>
      </w:r>
      <w:r w:rsidRPr="00AB2737">
        <w:rPr>
          <w:rFonts w:ascii="Arial" w:eastAsia="Times New Roman" w:hAnsi="Arial" w:cs="Arial"/>
          <w:color w:val="000000" w:themeColor="text1"/>
          <w:sz w:val="24"/>
          <w:szCs w:val="24"/>
          <w:lang w:eastAsia="en-IN"/>
        </w:rPr>
        <w:t>. The discussion</w:t>
      </w:r>
      <w:r w:rsidR="0064735E" w:rsidRPr="00AB2737">
        <w:rPr>
          <w:rFonts w:ascii="Arial" w:eastAsia="Times New Roman" w:hAnsi="Arial" w:cs="Arial"/>
          <w:color w:val="000000" w:themeColor="text1"/>
          <w:sz w:val="24"/>
          <w:szCs w:val="24"/>
          <w:lang w:eastAsia="en-IN"/>
        </w:rPr>
        <w:t xml:space="preserve"> specifically</w:t>
      </w:r>
      <w:r w:rsidRPr="00AB2737">
        <w:rPr>
          <w:rFonts w:ascii="Arial" w:eastAsia="Times New Roman" w:hAnsi="Arial" w:cs="Arial"/>
          <w:color w:val="000000" w:themeColor="text1"/>
          <w:sz w:val="24"/>
          <w:szCs w:val="24"/>
          <w:lang w:eastAsia="en-IN"/>
        </w:rPr>
        <w:t xml:space="preserve"> illustrate</w:t>
      </w:r>
      <w:r w:rsidR="000C5F63">
        <w:rPr>
          <w:rFonts w:ascii="Arial" w:eastAsia="Times New Roman" w:hAnsi="Arial" w:cs="Arial"/>
          <w:color w:val="000000" w:themeColor="text1"/>
          <w:sz w:val="24"/>
          <w:szCs w:val="24"/>
          <w:lang w:eastAsia="en-IN"/>
        </w:rPr>
        <w:t>d</w:t>
      </w:r>
      <w:r w:rsidRPr="00AB2737">
        <w:rPr>
          <w:rFonts w:ascii="Arial" w:eastAsia="Times New Roman" w:hAnsi="Arial" w:cs="Arial"/>
          <w:color w:val="000000" w:themeColor="text1"/>
          <w:sz w:val="24"/>
          <w:szCs w:val="24"/>
          <w:lang w:eastAsia="en-IN"/>
        </w:rPr>
        <w:t xml:space="preserve"> the innovative nature of Nissan in the development of electric cars. Toyota, on the other hand, has pursued a follower approach by focusing on hybrid technology as the transitional solution to the electrification. The company has been able to integrate cost efficiency and technological differentiation through the Toyota Production System and its powerful manufacturing operations in the global scale. </w:t>
      </w:r>
      <w:r w:rsidR="00D935CB" w:rsidRPr="00AB2737">
        <w:rPr>
          <w:rFonts w:ascii="Arial" w:eastAsia="Times New Roman" w:hAnsi="Arial" w:cs="Arial"/>
          <w:b/>
          <w:bCs/>
          <w:color w:val="000000" w:themeColor="text1"/>
          <w:sz w:val="24"/>
          <w:szCs w:val="24"/>
          <w:lang w:eastAsia="en-IN"/>
        </w:rPr>
        <w:br w:type="page"/>
      </w:r>
    </w:p>
    <w:sdt>
      <w:sdtPr>
        <w:rPr>
          <w:rFonts w:ascii="Arial" w:eastAsiaTheme="minorHAnsi" w:hAnsi="Arial" w:cs="Arial"/>
          <w:b w:val="0"/>
          <w:bCs w:val="0"/>
          <w:color w:val="auto"/>
          <w:sz w:val="24"/>
          <w:szCs w:val="24"/>
          <w:lang w:val="en-IN"/>
        </w:rPr>
        <w:id w:val="8691547"/>
        <w:docPartObj>
          <w:docPartGallery w:val="Table of Contents"/>
          <w:docPartUnique/>
        </w:docPartObj>
      </w:sdtPr>
      <w:sdtEndPr/>
      <w:sdtContent>
        <w:p w14:paraId="77DDEC97" w14:textId="2D26D7B1" w:rsidR="00A159D5" w:rsidRDefault="00A159D5" w:rsidP="00AB2737">
          <w:pPr>
            <w:pStyle w:val="TOCHeading"/>
            <w:spacing w:line="360" w:lineRule="auto"/>
            <w:jc w:val="center"/>
            <w:rPr>
              <w:rFonts w:ascii="Arial" w:hAnsi="Arial" w:cs="Arial"/>
              <w:color w:val="000000" w:themeColor="text1"/>
              <w:sz w:val="24"/>
              <w:szCs w:val="24"/>
            </w:rPr>
          </w:pPr>
          <w:r w:rsidRPr="00AB2737">
            <w:rPr>
              <w:rFonts w:ascii="Arial" w:hAnsi="Arial" w:cs="Arial"/>
              <w:color w:val="000000" w:themeColor="text1"/>
              <w:sz w:val="24"/>
              <w:szCs w:val="24"/>
            </w:rPr>
            <w:t>Table of Contents</w:t>
          </w:r>
        </w:p>
        <w:p w14:paraId="462D7F69" w14:textId="77777777" w:rsidR="00AB2737" w:rsidRPr="00AB2737" w:rsidRDefault="00AB2737" w:rsidP="00AB2737">
          <w:pPr>
            <w:rPr>
              <w:lang w:val="en-US"/>
            </w:rPr>
          </w:pPr>
        </w:p>
        <w:p w14:paraId="1F165556" w14:textId="44925FC6" w:rsidR="00AB2737" w:rsidRPr="00AB2737" w:rsidRDefault="00A159D5" w:rsidP="00AB2737">
          <w:pPr>
            <w:pStyle w:val="TOC1"/>
            <w:tabs>
              <w:tab w:val="right" w:leader="dot" w:pos="9016"/>
            </w:tabs>
            <w:spacing w:line="360" w:lineRule="auto"/>
            <w:jc w:val="both"/>
            <w:rPr>
              <w:rFonts w:ascii="Arial" w:eastAsiaTheme="minorEastAsia" w:hAnsi="Arial" w:cs="Arial"/>
              <w:noProof/>
              <w:sz w:val="24"/>
              <w:szCs w:val="24"/>
              <w:lang w:eastAsia="en-IN"/>
            </w:rPr>
          </w:pPr>
          <w:r w:rsidRPr="00AB2737">
            <w:rPr>
              <w:rFonts w:ascii="Arial" w:hAnsi="Arial" w:cs="Arial"/>
              <w:color w:val="000000" w:themeColor="text1"/>
              <w:sz w:val="24"/>
              <w:szCs w:val="24"/>
            </w:rPr>
            <w:fldChar w:fldCharType="begin"/>
          </w:r>
          <w:r w:rsidRPr="00AB2737">
            <w:rPr>
              <w:rFonts w:ascii="Arial" w:hAnsi="Arial" w:cs="Arial"/>
              <w:color w:val="000000" w:themeColor="text1"/>
              <w:sz w:val="24"/>
              <w:szCs w:val="24"/>
            </w:rPr>
            <w:instrText xml:space="preserve"> TOC \o "1-3" \h \z \u </w:instrText>
          </w:r>
          <w:r w:rsidRPr="00AB2737">
            <w:rPr>
              <w:rFonts w:ascii="Arial" w:hAnsi="Arial" w:cs="Arial"/>
              <w:color w:val="000000" w:themeColor="text1"/>
              <w:sz w:val="24"/>
              <w:szCs w:val="24"/>
            </w:rPr>
            <w:fldChar w:fldCharType="separate"/>
          </w:r>
          <w:hyperlink w:anchor="_Toc223947146" w:history="1">
            <w:r w:rsidR="00AB2737" w:rsidRPr="00AB2737">
              <w:rPr>
                <w:rStyle w:val="Hyperlink"/>
                <w:rFonts w:ascii="Arial" w:eastAsia="Times New Roman" w:hAnsi="Arial" w:cs="Arial"/>
                <w:noProof/>
                <w:sz w:val="24"/>
                <w:szCs w:val="24"/>
                <w:lang w:eastAsia="en-IN"/>
              </w:rPr>
              <w:t>Introduction</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_Toc223947146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4</w:t>
            </w:r>
            <w:r w:rsidR="00AB2737" w:rsidRPr="00AB2737">
              <w:rPr>
                <w:rFonts w:ascii="Arial" w:hAnsi="Arial" w:cs="Arial"/>
                <w:noProof/>
                <w:webHidden/>
                <w:sz w:val="24"/>
                <w:szCs w:val="24"/>
              </w:rPr>
              <w:fldChar w:fldCharType="end"/>
            </w:r>
          </w:hyperlink>
        </w:p>
        <w:p w14:paraId="36D491DE" w14:textId="7E6471FC" w:rsidR="00AB2737" w:rsidRPr="00AB2737" w:rsidRDefault="00892380" w:rsidP="00AB2737">
          <w:pPr>
            <w:pStyle w:val="TOC1"/>
            <w:tabs>
              <w:tab w:val="right" w:leader="dot" w:pos="9016"/>
            </w:tabs>
            <w:spacing w:line="360" w:lineRule="auto"/>
            <w:jc w:val="both"/>
            <w:rPr>
              <w:rFonts w:ascii="Arial" w:eastAsiaTheme="minorEastAsia" w:hAnsi="Arial" w:cs="Arial"/>
              <w:noProof/>
              <w:sz w:val="24"/>
              <w:szCs w:val="24"/>
              <w:lang w:eastAsia="en-IN"/>
            </w:rPr>
          </w:pPr>
          <w:hyperlink w:anchor="_Toc223947147" w:history="1">
            <w:r w:rsidR="00AB2737" w:rsidRPr="00AB2737">
              <w:rPr>
                <w:rStyle w:val="Hyperlink"/>
                <w:rFonts w:ascii="Arial" w:eastAsia="Times New Roman" w:hAnsi="Arial" w:cs="Arial"/>
                <w:noProof/>
                <w:sz w:val="24"/>
                <w:szCs w:val="24"/>
                <w:lang w:eastAsia="en-IN"/>
              </w:rPr>
              <w:t>Task 1: Macro-marketing environmental influencing factors of strategic marketing management</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_Toc223947147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4</w:t>
            </w:r>
            <w:r w:rsidR="00AB2737" w:rsidRPr="00AB2737">
              <w:rPr>
                <w:rFonts w:ascii="Arial" w:hAnsi="Arial" w:cs="Arial"/>
                <w:noProof/>
                <w:webHidden/>
                <w:sz w:val="24"/>
                <w:szCs w:val="24"/>
              </w:rPr>
              <w:fldChar w:fldCharType="end"/>
            </w:r>
          </w:hyperlink>
        </w:p>
        <w:p w14:paraId="13ECD262" w14:textId="79AB83B2" w:rsidR="00AB2737" w:rsidRPr="00AB2737" w:rsidRDefault="00892380" w:rsidP="00AB2737">
          <w:pPr>
            <w:pStyle w:val="TOC2"/>
            <w:tabs>
              <w:tab w:val="right" w:leader="dot" w:pos="9016"/>
            </w:tabs>
            <w:spacing w:line="360" w:lineRule="auto"/>
            <w:jc w:val="both"/>
            <w:rPr>
              <w:rFonts w:ascii="Arial" w:hAnsi="Arial" w:cs="Arial"/>
              <w:noProof/>
              <w:sz w:val="24"/>
              <w:szCs w:val="24"/>
            </w:rPr>
          </w:pPr>
          <w:hyperlink w:anchor="_Toc223947148" w:history="1">
            <w:r w:rsidR="00AB2737" w:rsidRPr="00AB2737">
              <w:rPr>
                <w:rStyle w:val="Hyperlink"/>
                <w:rFonts w:ascii="Arial" w:hAnsi="Arial" w:cs="Arial"/>
                <w:noProof/>
                <w:sz w:val="24"/>
                <w:szCs w:val="24"/>
              </w:rPr>
              <w:t>1.1 Technological environment</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_Toc223947148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4</w:t>
            </w:r>
            <w:r w:rsidR="00AB2737" w:rsidRPr="00AB2737">
              <w:rPr>
                <w:rFonts w:ascii="Arial" w:hAnsi="Arial" w:cs="Arial"/>
                <w:noProof/>
                <w:webHidden/>
                <w:sz w:val="24"/>
                <w:szCs w:val="24"/>
              </w:rPr>
              <w:fldChar w:fldCharType="end"/>
            </w:r>
          </w:hyperlink>
        </w:p>
        <w:p w14:paraId="7F4FC02E" w14:textId="1E388982" w:rsidR="00AB2737" w:rsidRPr="00AB2737" w:rsidRDefault="00892380" w:rsidP="00AB2737">
          <w:pPr>
            <w:pStyle w:val="TOC2"/>
            <w:tabs>
              <w:tab w:val="right" w:leader="dot" w:pos="9016"/>
            </w:tabs>
            <w:spacing w:line="360" w:lineRule="auto"/>
            <w:jc w:val="both"/>
            <w:rPr>
              <w:rFonts w:ascii="Arial" w:hAnsi="Arial" w:cs="Arial"/>
              <w:noProof/>
              <w:sz w:val="24"/>
              <w:szCs w:val="24"/>
            </w:rPr>
          </w:pPr>
          <w:hyperlink w:anchor="_Toc223947149" w:history="1">
            <w:r w:rsidR="00AB2737" w:rsidRPr="00AB2737">
              <w:rPr>
                <w:rStyle w:val="Hyperlink"/>
                <w:rFonts w:ascii="Arial" w:hAnsi="Arial" w:cs="Arial"/>
                <w:noProof/>
                <w:sz w:val="24"/>
                <w:szCs w:val="24"/>
              </w:rPr>
              <w:t>1.2 Environmental and regulatory environment</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_Toc223947149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7</w:t>
            </w:r>
            <w:r w:rsidR="00AB2737" w:rsidRPr="00AB2737">
              <w:rPr>
                <w:rFonts w:ascii="Arial" w:hAnsi="Arial" w:cs="Arial"/>
                <w:noProof/>
                <w:webHidden/>
                <w:sz w:val="24"/>
                <w:szCs w:val="24"/>
              </w:rPr>
              <w:fldChar w:fldCharType="end"/>
            </w:r>
          </w:hyperlink>
        </w:p>
        <w:p w14:paraId="318CA8F6" w14:textId="4CA99540" w:rsidR="00AB2737" w:rsidRPr="00AB2737" w:rsidRDefault="00892380" w:rsidP="00AB2737">
          <w:pPr>
            <w:pStyle w:val="TOC1"/>
            <w:tabs>
              <w:tab w:val="right" w:leader="dot" w:pos="9016"/>
            </w:tabs>
            <w:spacing w:line="360" w:lineRule="auto"/>
            <w:jc w:val="both"/>
            <w:rPr>
              <w:rFonts w:ascii="Arial" w:eastAsiaTheme="minorEastAsia" w:hAnsi="Arial" w:cs="Arial"/>
              <w:noProof/>
              <w:sz w:val="24"/>
              <w:szCs w:val="24"/>
              <w:lang w:eastAsia="en-IN"/>
            </w:rPr>
          </w:pPr>
          <w:hyperlink w:anchor="_Toc223947150" w:history="1">
            <w:r w:rsidR="00AB2737" w:rsidRPr="00AB2737">
              <w:rPr>
                <w:rStyle w:val="Hyperlink"/>
                <w:rFonts w:ascii="Arial" w:eastAsia="Times New Roman" w:hAnsi="Arial" w:cs="Arial"/>
                <w:noProof/>
                <w:sz w:val="24"/>
                <w:szCs w:val="24"/>
                <w:lang w:eastAsia="en-IN"/>
              </w:rPr>
              <w:t>Task 2: strategic responses and competitive strategies to sustain growth in light of the identified macro-environmental factors</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_Toc223947150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10</w:t>
            </w:r>
            <w:r w:rsidR="00AB2737" w:rsidRPr="00AB2737">
              <w:rPr>
                <w:rFonts w:ascii="Arial" w:hAnsi="Arial" w:cs="Arial"/>
                <w:noProof/>
                <w:webHidden/>
                <w:sz w:val="24"/>
                <w:szCs w:val="24"/>
              </w:rPr>
              <w:fldChar w:fldCharType="end"/>
            </w:r>
          </w:hyperlink>
        </w:p>
        <w:p w14:paraId="7C3AAFC5" w14:textId="5791BC8A" w:rsidR="00AB2737" w:rsidRPr="00AB2737" w:rsidRDefault="00892380" w:rsidP="00AB2737">
          <w:pPr>
            <w:pStyle w:val="TOC2"/>
            <w:tabs>
              <w:tab w:val="right" w:leader="dot" w:pos="9016"/>
            </w:tabs>
            <w:spacing w:line="360" w:lineRule="auto"/>
            <w:jc w:val="both"/>
            <w:rPr>
              <w:rFonts w:ascii="Arial" w:hAnsi="Arial" w:cs="Arial"/>
              <w:noProof/>
              <w:sz w:val="24"/>
              <w:szCs w:val="24"/>
            </w:rPr>
          </w:pPr>
          <w:hyperlink w:anchor="_Toc223947151" w:history="1">
            <w:r w:rsidR="00AB2737" w:rsidRPr="00AB2737">
              <w:rPr>
                <w:rStyle w:val="Hyperlink"/>
                <w:rFonts w:ascii="Arial" w:hAnsi="Arial" w:cs="Arial"/>
                <w:noProof/>
                <w:sz w:val="24"/>
                <w:szCs w:val="24"/>
              </w:rPr>
              <w:t>2.1 Strategic responses of Nissan</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_Toc223947151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10</w:t>
            </w:r>
            <w:r w:rsidR="00AB2737" w:rsidRPr="00AB2737">
              <w:rPr>
                <w:rFonts w:ascii="Arial" w:hAnsi="Arial" w:cs="Arial"/>
                <w:noProof/>
                <w:webHidden/>
                <w:sz w:val="24"/>
                <w:szCs w:val="24"/>
              </w:rPr>
              <w:fldChar w:fldCharType="end"/>
            </w:r>
          </w:hyperlink>
        </w:p>
        <w:p w14:paraId="72760090" w14:textId="6154601A" w:rsidR="00AB2737" w:rsidRPr="00AB2737" w:rsidRDefault="00892380" w:rsidP="00AB2737">
          <w:pPr>
            <w:pStyle w:val="TOC2"/>
            <w:tabs>
              <w:tab w:val="right" w:leader="dot" w:pos="9016"/>
            </w:tabs>
            <w:spacing w:line="360" w:lineRule="auto"/>
            <w:jc w:val="both"/>
            <w:rPr>
              <w:rFonts w:ascii="Arial" w:hAnsi="Arial" w:cs="Arial"/>
              <w:noProof/>
              <w:sz w:val="24"/>
              <w:szCs w:val="24"/>
            </w:rPr>
          </w:pPr>
          <w:hyperlink w:anchor="_Toc223947152" w:history="1">
            <w:r w:rsidR="00AB2737" w:rsidRPr="00AB2737">
              <w:rPr>
                <w:rStyle w:val="Hyperlink"/>
                <w:rFonts w:ascii="Arial" w:hAnsi="Arial" w:cs="Arial"/>
                <w:noProof/>
                <w:sz w:val="24"/>
                <w:szCs w:val="24"/>
              </w:rPr>
              <w:t>2.2 Strategic responses of Toyota</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_Toc223947152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11</w:t>
            </w:r>
            <w:r w:rsidR="00AB2737" w:rsidRPr="00AB2737">
              <w:rPr>
                <w:rFonts w:ascii="Arial" w:hAnsi="Arial" w:cs="Arial"/>
                <w:noProof/>
                <w:webHidden/>
                <w:sz w:val="24"/>
                <w:szCs w:val="24"/>
              </w:rPr>
              <w:fldChar w:fldCharType="end"/>
            </w:r>
          </w:hyperlink>
        </w:p>
        <w:p w14:paraId="34009903" w14:textId="1CE5708D" w:rsidR="00AB2737" w:rsidRPr="00AB2737" w:rsidRDefault="00892380" w:rsidP="00AB2737">
          <w:pPr>
            <w:pStyle w:val="TOC1"/>
            <w:tabs>
              <w:tab w:val="right" w:leader="dot" w:pos="9016"/>
            </w:tabs>
            <w:spacing w:line="360" w:lineRule="auto"/>
            <w:jc w:val="both"/>
            <w:rPr>
              <w:rFonts w:ascii="Arial" w:eastAsiaTheme="minorEastAsia" w:hAnsi="Arial" w:cs="Arial"/>
              <w:noProof/>
              <w:sz w:val="24"/>
              <w:szCs w:val="24"/>
              <w:lang w:eastAsia="en-IN"/>
            </w:rPr>
          </w:pPr>
          <w:hyperlink w:anchor="_Toc223947153" w:history="1">
            <w:r w:rsidR="00AB2737" w:rsidRPr="00AB2737">
              <w:rPr>
                <w:rStyle w:val="Hyperlink"/>
                <w:rFonts w:ascii="Arial" w:eastAsia="Times New Roman" w:hAnsi="Arial" w:cs="Arial"/>
                <w:noProof/>
                <w:sz w:val="24"/>
                <w:szCs w:val="24"/>
                <w:lang w:eastAsia="en-IN"/>
              </w:rPr>
              <w:t>Conclusion</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_Toc223947153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12</w:t>
            </w:r>
            <w:r w:rsidR="00AB2737" w:rsidRPr="00AB2737">
              <w:rPr>
                <w:rFonts w:ascii="Arial" w:hAnsi="Arial" w:cs="Arial"/>
                <w:noProof/>
                <w:webHidden/>
                <w:sz w:val="24"/>
                <w:szCs w:val="24"/>
              </w:rPr>
              <w:fldChar w:fldCharType="end"/>
            </w:r>
          </w:hyperlink>
        </w:p>
        <w:p w14:paraId="15FAD5F1" w14:textId="6B52B787" w:rsidR="00AB2737" w:rsidRPr="00AB2737" w:rsidRDefault="00892380" w:rsidP="00AB2737">
          <w:pPr>
            <w:pStyle w:val="TOC1"/>
            <w:tabs>
              <w:tab w:val="right" w:leader="dot" w:pos="9016"/>
            </w:tabs>
            <w:spacing w:line="360" w:lineRule="auto"/>
            <w:jc w:val="both"/>
            <w:rPr>
              <w:rFonts w:ascii="Arial" w:eastAsiaTheme="minorEastAsia" w:hAnsi="Arial" w:cs="Arial"/>
              <w:noProof/>
              <w:sz w:val="24"/>
              <w:szCs w:val="24"/>
              <w:lang w:eastAsia="en-IN"/>
            </w:rPr>
          </w:pPr>
          <w:hyperlink w:anchor="_Toc223947154" w:history="1">
            <w:r w:rsidR="00AB2737" w:rsidRPr="00AB2737">
              <w:rPr>
                <w:rStyle w:val="Hyperlink"/>
                <w:rFonts w:ascii="Arial" w:eastAsia="Times New Roman" w:hAnsi="Arial" w:cs="Arial"/>
                <w:noProof/>
                <w:sz w:val="24"/>
                <w:szCs w:val="24"/>
                <w:lang w:eastAsia="en-IN"/>
              </w:rPr>
              <w:t>References</w:t>
            </w:r>
            <w:r w:rsidR="00AB2737" w:rsidRPr="00AB2737">
              <w:rPr>
                <w:rFonts w:ascii="Arial" w:hAnsi="Arial" w:cs="Arial"/>
                <w:noProof/>
                <w:webHidden/>
                <w:sz w:val="24"/>
                <w:szCs w:val="24"/>
              </w:rPr>
              <w:tab/>
            </w:r>
            <w:r w:rsidR="00AB2737" w:rsidRPr="00AB2737">
              <w:rPr>
                <w:rFonts w:ascii="Arial" w:hAnsi="Arial" w:cs="Arial"/>
                <w:noProof/>
                <w:webHidden/>
                <w:sz w:val="24"/>
                <w:szCs w:val="24"/>
              </w:rPr>
              <w:fldChar w:fldCharType="begin"/>
            </w:r>
            <w:r w:rsidR="00AB2737" w:rsidRPr="00AB2737">
              <w:rPr>
                <w:rFonts w:ascii="Arial" w:hAnsi="Arial" w:cs="Arial"/>
                <w:noProof/>
                <w:webHidden/>
                <w:sz w:val="24"/>
                <w:szCs w:val="24"/>
              </w:rPr>
              <w:instrText xml:space="preserve"> PAGEREF _Toc223947154 \h </w:instrText>
            </w:r>
            <w:r w:rsidR="00AB2737" w:rsidRPr="00AB2737">
              <w:rPr>
                <w:rFonts w:ascii="Arial" w:hAnsi="Arial" w:cs="Arial"/>
                <w:noProof/>
                <w:webHidden/>
                <w:sz w:val="24"/>
                <w:szCs w:val="24"/>
              </w:rPr>
            </w:r>
            <w:r w:rsidR="00AB2737" w:rsidRPr="00AB2737">
              <w:rPr>
                <w:rFonts w:ascii="Arial" w:hAnsi="Arial" w:cs="Arial"/>
                <w:noProof/>
                <w:webHidden/>
                <w:sz w:val="24"/>
                <w:szCs w:val="24"/>
              </w:rPr>
              <w:fldChar w:fldCharType="separate"/>
            </w:r>
            <w:r w:rsidR="00AB2737" w:rsidRPr="00AB2737">
              <w:rPr>
                <w:rFonts w:ascii="Arial" w:hAnsi="Arial" w:cs="Arial"/>
                <w:noProof/>
                <w:webHidden/>
                <w:sz w:val="24"/>
                <w:szCs w:val="24"/>
              </w:rPr>
              <w:t>14</w:t>
            </w:r>
            <w:r w:rsidR="00AB2737" w:rsidRPr="00AB2737">
              <w:rPr>
                <w:rFonts w:ascii="Arial" w:hAnsi="Arial" w:cs="Arial"/>
                <w:noProof/>
                <w:webHidden/>
                <w:sz w:val="24"/>
                <w:szCs w:val="24"/>
              </w:rPr>
              <w:fldChar w:fldCharType="end"/>
            </w:r>
          </w:hyperlink>
        </w:p>
        <w:p w14:paraId="09420F33" w14:textId="52EE4DD3" w:rsidR="00A159D5" w:rsidRPr="00AB2737" w:rsidRDefault="00A159D5" w:rsidP="00AB2737">
          <w:pPr>
            <w:spacing w:line="360" w:lineRule="auto"/>
            <w:jc w:val="both"/>
            <w:rPr>
              <w:rFonts w:ascii="Arial" w:hAnsi="Arial" w:cs="Arial"/>
              <w:sz w:val="24"/>
              <w:szCs w:val="24"/>
            </w:rPr>
          </w:pPr>
          <w:r w:rsidRPr="00AB2737">
            <w:rPr>
              <w:rFonts w:ascii="Arial" w:hAnsi="Arial" w:cs="Arial"/>
              <w:color w:val="000000" w:themeColor="text1"/>
              <w:sz w:val="24"/>
              <w:szCs w:val="24"/>
            </w:rPr>
            <w:fldChar w:fldCharType="end"/>
          </w:r>
        </w:p>
      </w:sdtContent>
    </w:sdt>
    <w:p w14:paraId="4C917E91" w14:textId="4B261EAD" w:rsidR="00A159D5" w:rsidRPr="00AB2737" w:rsidRDefault="00A159D5" w:rsidP="00AB2737">
      <w:pPr>
        <w:spacing w:line="360" w:lineRule="auto"/>
        <w:rPr>
          <w:rFonts w:ascii="Arial" w:eastAsia="Times New Roman" w:hAnsi="Arial" w:cs="Arial"/>
          <w:b/>
          <w:bCs/>
          <w:color w:val="000000" w:themeColor="text1"/>
          <w:sz w:val="24"/>
          <w:szCs w:val="24"/>
          <w:lang w:eastAsia="en-IN"/>
        </w:rPr>
      </w:pPr>
      <w:r w:rsidRPr="00AB2737">
        <w:rPr>
          <w:rFonts w:ascii="Arial" w:eastAsia="Times New Roman" w:hAnsi="Arial" w:cs="Arial"/>
          <w:sz w:val="24"/>
          <w:szCs w:val="24"/>
          <w:lang w:eastAsia="en-IN"/>
        </w:rPr>
        <w:br w:type="page"/>
      </w:r>
    </w:p>
    <w:p w14:paraId="04B1689B" w14:textId="77777777" w:rsidR="00D935CB" w:rsidRPr="00AB2737" w:rsidRDefault="00D935CB" w:rsidP="00AB2737">
      <w:pPr>
        <w:pStyle w:val="Heading1"/>
        <w:rPr>
          <w:rFonts w:eastAsia="Times New Roman" w:cs="Arial"/>
          <w:sz w:val="24"/>
          <w:szCs w:val="24"/>
          <w:lang w:eastAsia="en-IN"/>
        </w:rPr>
      </w:pPr>
      <w:bookmarkStart w:id="0" w:name="_Toc223947146"/>
      <w:r w:rsidRPr="00AB2737">
        <w:rPr>
          <w:rFonts w:eastAsia="Times New Roman" w:cs="Arial"/>
          <w:sz w:val="24"/>
          <w:szCs w:val="24"/>
          <w:lang w:eastAsia="en-IN"/>
        </w:rPr>
        <w:lastRenderedPageBreak/>
        <w:t>Introduction</w:t>
      </w:r>
      <w:bookmarkEnd w:id="0"/>
    </w:p>
    <w:p w14:paraId="2506B350" w14:textId="77777777"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The automotive industry at a global scale is operating in a highly shifting industry with various macro-marketing environments influencing the presence through aspects like environmental regulations, changing consumer expectations, and even technological changes. With a consideration of these factors, strategic marketing management thus develops a need for companies to continuously analyse external forces that can develop opportunities or even threats. This report is focused on analysing two key automotive manufacturers including Nissan Motor, which was chosen as the pioneering organisation, and Toyota Motor Corporation as follower company.  The report will analyse how key macro-environmental factors influence companies and manage their strategic responses for sustainable growth in relation to managing competitive advantage.</w:t>
      </w:r>
    </w:p>
    <w:p w14:paraId="0D19D5F6" w14:textId="33E21B74" w:rsidR="00D935CB" w:rsidRPr="00AB2737" w:rsidRDefault="00D935CB" w:rsidP="00AB2737">
      <w:pPr>
        <w:pStyle w:val="Heading1"/>
        <w:rPr>
          <w:rFonts w:eastAsia="Times New Roman" w:cs="Arial"/>
          <w:sz w:val="24"/>
          <w:szCs w:val="24"/>
          <w:lang w:eastAsia="en-IN"/>
        </w:rPr>
      </w:pPr>
      <w:bookmarkStart w:id="1" w:name="_Toc223947147"/>
      <w:r w:rsidRPr="00AB2737">
        <w:rPr>
          <w:rFonts w:eastAsia="Times New Roman" w:cs="Arial"/>
          <w:sz w:val="24"/>
          <w:szCs w:val="24"/>
          <w:lang w:eastAsia="en-IN"/>
        </w:rPr>
        <w:t>Task 1: Macro-marketing environmental influencing factors</w:t>
      </w:r>
      <w:r w:rsidR="00155BCA" w:rsidRPr="00AB2737">
        <w:rPr>
          <w:rFonts w:eastAsia="Times New Roman" w:cs="Arial"/>
          <w:sz w:val="24"/>
          <w:szCs w:val="24"/>
          <w:lang w:eastAsia="en-IN"/>
        </w:rPr>
        <w:t xml:space="preserve"> of strategic marketing management</w:t>
      </w:r>
      <w:bookmarkEnd w:id="1"/>
    </w:p>
    <w:p w14:paraId="3332064D" w14:textId="5CD6DFBC"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Strategic level of marketing decisions are factors which is majorly influenced through external environmental forces. The macro-marketing environment often includes major factors which are not possible to be controlled at the organisational level and that manage opportunities and risks in an industry. Through the use of PESTLE perspective, two major macro-environmental </w:t>
      </w:r>
      <w:r w:rsidR="00F170EE" w:rsidRPr="00AB2737">
        <w:rPr>
          <w:rFonts w:ascii="Arial" w:eastAsia="Times New Roman" w:hAnsi="Arial" w:cs="Arial"/>
          <w:color w:val="000000" w:themeColor="text1"/>
          <w:sz w:val="24"/>
          <w:szCs w:val="24"/>
          <w:lang w:eastAsia="en-IN"/>
        </w:rPr>
        <w:t>factors that</w:t>
      </w:r>
      <w:r w:rsidRPr="00AB2737">
        <w:rPr>
          <w:rFonts w:ascii="Arial" w:eastAsia="Times New Roman" w:hAnsi="Arial" w:cs="Arial"/>
          <w:color w:val="000000" w:themeColor="text1"/>
          <w:sz w:val="24"/>
          <w:szCs w:val="24"/>
          <w:lang w:eastAsia="en-IN"/>
        </w:rPr>
        <w:t xml:space="preserve"> are relevant in this particular situation for the global automotive sector can be considered as technological change and environmental regulations. These forces have majorly influenced the strategic approaches of Nissan Motor Co., Ltd. and Toyota in the global automotive industry. A detailed analysis of both actors is conducted below.</w:t>
      </w:r>
    </w:p>
    <w:p w14:paraId="212879D6" w14:textId="4BA20674" w:rsidR="00D935CB" w:rsidRPr="00AB2737" w:rsidRDefault="00155BCA" w:rsidP="00AB2737">
      <w:pPr>
        <w:pStyle w:val="Heading2"/>
      </w:pPr>
      <w:bookmarkStart w:id="2" w:name="_Toc223947148"/>
      <w:r w:rsidRPr="00AB2737">
        <w:t xml:space="preserve">1.1 </w:t>
      </w:r>
      <w:r w:rsidR="00D935CB" w:rsidRPr="00AB2737">
        <w:t>Technological environment</w:t>
      </w:r>
      <w:bookmarkEnd w:id="2"/>
    </w:p>
    <w:p w14:paraId="28D6D39F" w14:textId="792F6A22" w:rsidR="00A159D5"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In the macro-environmental aspects that can affect the automotive industry, the technological innovation is a key factor. The rapid level of shifts and advancements made in the electric vehicle (EV) technology, battery development, and digital mobility has contributed majorly in the global competitive environment (</w:t>
      </w:r>
      <w:proofErr w:type="spellStart"/>
      <w:r w:rsidRPr="00AB2737">
        <w:rPr>
          <w:rFonts w:ascii="Arial" w:eastAsia="Times New Roman" w:hAnsi="Arial" w:cs="Arial"/>
          <w:color w:val="000000" w:themeColor="text1"/>
          <w:sz w:val="24"/>
          <w:szCs w:val="24"/>
          <w:lang w:eastAsia="en-IN"/>
        </w:rPr>
        <w:t>Akinsooto</w:t>
      </w:r>
      <w:proofErr w:type="spellEnd"/>
      <w:r w:rsidRPr="00AB2737">
        <w:rPr>
          <w:rFonts w:ascii="Arial" w:eastAsia="Times New Roman" w:hAnsi="Arial" w:cs="Arial"/>
          <w:color w:val="000000" w:themeColor="text1"/>
          <w:sz w:val="24"/>
          <w:szCs w:val="24"/>
          <w:lang w:eastAsia="en-IN"/>
        </w:rPr>
        <w:t xml:space="preserve">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xml:space="preserve">., 2025). In terms of pioneering companies, technological investments can provide first-mover advantages, while for the follower companies it can offer various </w:t>
      </w:r>
      <w:r w:rsidR="00F170EE" w:rsidRPr="00AB2737">
        <w:rPr>
          <w:rFonts w:ascii="Arial" w:eastAsia="Times New Roman" w:hAnsi="Arial" w:cs="Arial"/>
          <w:color w:val="000000" w:themeColor="text1"/>
          <w:sz w:val="24"/>
          <w:szCs w:val="24"/>
          <w:lang w:eastAsia="en-IN"/>
        </w:rPr>
        <w:t>opportunities for</w:t>
      </w:r>
      <w:r w:rsidRPr="00AB2737">
        <w:rPr>
          <w:rFonts w:ascii="Arial" w:eastAsia="Times New Roman" w:hAnsi="Arial" w:cs="Arial"/>
          <w:color w:val="000000" w:themeColor="text1"/>
          <w:sz w:val="24"/>
          <w:szCs w:val="24"/>
          <w:lang w:eastAsia="en-IN"/>
        </w:rPr>
        <w:t xml:space="preserve"> adapting the already proven technologies with a reduced level of risks. Nissan Motor is widely considered to be the very first level of a committed </w:t>
      </w:r>
      <w:r w:rsidRPr="00AB2737">
        <w:rPr>
          <w:rFonts w:ascii="Arial" w:eastAsia="Times New Roman" w:hAnsi="Arial" w:cs="Arial"/>
          <w:color w:val="000000" w:themeColor="text1"/>
          <w:sz w:val="24"/>
          <w:szCs w:val="24"/>
          <w:lang w:eastAsia="en-IN"/>
        </w:rPr>
        <w:lastRenderedPageBreak/>
        <w:t>automotive company that entered the electric mobility context/. The company first introduced its Nissan Leaf in 2010, which eventually became the first mass-produced electric vehicle (Oki and Sato, 2024). This complete approach allows Nissan to become a pioneering force in the EV market. Based on the disclosures of Nissan on their websites, the EV sales of Nissan vehicles around the globe surpassed the 1 million milestone by 2023, which shows their major market impact of early-level investment in the EV technology (</w:t>
      </w:r>
      <w:proofErr w:type="spellStart"/>
      <w:r w:rsidRPr="00AB2737">
        <w:rPr>
          <w:rFonts w:ascii="Arial" w:eastAsia="Times New Roman" w:hAnsi="Arial" w:cs="Arial"/>
          <w:color w:val="000000" w:themeColor="text1"/>
          <w:sz w:val="24"/>
          <w:szCs w:val="24"/>
          <w:lang w:eastAsia="en-IN"/>
        </w:rPr>
        <w:t>Nissannews</w:t>
      </w:r>
      <w:proofErr w:type="spellEnd"/>
      <w:r w:rsidRPr="00AB2737">
        <w:rPr>
          <w:rFonts w:ascii="Arial" w:eastAsia="Times New Roman" w:hAnsi="Arial" w:cs="Arial"/>
          <w:color w:val="000000" w:themeColor="text1"/>
          <w:sz w:val="24"/>
          <w:szCs w:val="24"/>
          <w:lang w:eastAsia="en-IN"/>
        </w:rPr>
        <w:t xml:space="preserve">, 2023). </w:t>
      </w:r>
    </w:p>
    <w:p w14:paraId="54813C2C" w14:textId="4CABCFA8"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The stats also showcased that Nissan LEAF, from the launch in December 2010, sold more than 650,000 units alone across the globe. This technological leadership has developed various opportunities for the company, among which the early entry in the EV mark</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xml:space="preserve">lowed them to develop a significant level of market presence and recognition in sustainable mobility. Nissan has also been able to gain expertise in technological aspects, like electric drive-trains battery systems, and others. Yet, with major technological advancements, there are also challenges to be faced, like higher R&amp;D costs and financial risks. </w:t>
      </w:r>
      <w:proofErr w:type="spellStart"/>
      <w:r w:rsidR="0064735E" w:rsidRPr="00AB2737">
        <w:rPr>
          <w:rFonts w:ascii="Arial" w:eastAsia="Times New Roman" w:hAnsi="Arial" w:cs="Arial"/>
          <w:color w:val="000000" w:themeColor="text1"/>
          <w:sz w:val="24"/>
          <w:szCs w:val="24"/>
          <w:lang w:eastAsia="en-IN"/>
        </w:rPr>
        <w:t>Dzienis</w:t>
      </w:r>
      <w:proofErr w:type="spellEnd"/>
      <w:r w:rsidR="0064735E" w:rsidRPr="00AB2737">
        <w:rPr>
          <w:rFonts w:ascii="Arial" w:eastAsia="Times New Roman" w:hAnsi="Arial" w:cs="Arial"/>
          <w:color w:val="000000" w:themeColor="text1"/>
          <w:sz w:val="24"/>
          <w:szCs w:val="24"/>
          <w:lang w:eastAsia="en-IN"/>
        </w:rPr>
        <w:t xml:space="preserve"> and </w:t>
      </w:r>
      <w:proofErr w:type="spellStart"/>
      <w:r w:rsidR="0064735E" w:rsidRPr="00AB2737">
        <w:rPr>
          <w:rFonts w:ascii="Arial" w:eastAsia="Times New Roman" w:hAnsi="Arial" w:cs="Arial"/>
          <w:color w:val="000000" w:themeColor="text1"/>
          <w:sz w:val="24"/>
          <w:szCs w:val="24"/>
          <w:lang w:eastAsia="en-IN"/>
        </w:rPr>
        <w:t>McCaleb</w:t>
      </w:r>
      <w:proofErr w:type="spellEnd"/>
      <w:r w:rsidR="0064735E" w:rsidRPr="00AB2737">
        <w:rPr>
          <w:rFonts w:ascii="Arial" w:eastAsia="Times New Roman" w:hAnsi="Arial" w:cs="Arial"/>
          <w:color w:val="000000" w:themeColor="text1"/>
          <w:sz w:val="24"/>
          <w:szCs w:val="24"/>
          <w:lang w:eastAsia="en-IN"/>
        </w:rPr>
        <w:t xml:space="preserve"> (2025) stated that w</w:t>
      </w:r>
      <w:r w:rsidRPr="00AB2737">
        <w:rPr>
          <w:rFonts w:ascii="Arial" w:eastAsia="Times New Roman" w:hAnsi="Arial" w:cs="Arial"/>
          <w:color w:val="000000" w:themeColor="text1"/>
          <w:sz w:val="24"/>
          <w:szCs w:val="24"/>
          <w:lang w:eastAsia="en-IN"/>
        </w:rPr>
        <w:t>ith rapid advancements of EV and the complete automotive industry, there have been major automotive competitors rising and investing majorly in electric mobility, and also increasing competition for Nissan. Technological changes also affect the production approaches and the complete supply chain aspects. Nissan reported global sales, regardless of increased sales competition is still at 3.346 million units, highlighting their continuous presence in the international automotive market (</w:t>
      </w:r>
      <w:proofErr w:type="spellStart"/>
      <w:r w:rsidRPr="00AB2737">
        <w:rPr>
          <w:rFonts w:ascii="Arial" w:eastAsia="Times New Roman" w:hAnsi="Arial" w:cs="Arial"/>
          <w:color w:val="000000" w:themeColor="text1"/>
          <w:sz w:val="24"/>
          <w:szCs w:val="24"/>
          <w:lang w:eastAsia="en-IN"/>
        </w:rPr>
        <w:t>Nissannews</w:t>
      </w:r>
      <w:proofErr w:type="spellEnd"/>
      <w:r w:rsidRPr="00AB2737">
        <w:rPr>
          <w:rFonts w:ascii="Arial" w:eastAsia="Times New Roman" w:hAnsi="Arial" w:cs="Arial"/>
          <w:color w:val="000000" w:themeColor="text1"/>
          <w:sz w:val="24"/>
          <w:szCs w:val="24"/>
          <w:lang w:eastAsia="en-IN"/>
        </w:rPr>
        <w:t>, 2025).</w:t>
      </w:r>
    </w:p>
    <w:p w14:paraId="7CEE53C6" w14:textId="77777777" w:rsidR="00EC1C74" w:rsidRPr="00AB2737" w:rsidRDefault="00EC1C74" w:rsidP="00AB2737">
      <w:pPr>
        <w:spacing w:after="120" w:line="360" w:lineRule="auto"/>
        <w:jc w:val="center"/>
        <w:rPr>
          <w:rFonts w:ascii="Arial" w:eastAsia="Times New Roman" w:hAnsi="Arial" w:cs="Arial"/>
          <w:b/>
          <w:bCs/>
          <w:color w:val="000000" w:themeColor="text1"/>
          <w:sz w:val="24"/>
          <w:szCs w:val="24"/>
          <w:lang w:eastAsia="en-IN"/>
        </w:rPr>
      </w:pPr>
      <w:r w:rsidRPr="00AB2737">
        <w:rPr>
          <w:rFonts w:ascii="Arial" w:eastAsia="Times New Roman" w:hAnsi="Arial" w:cs="Arial"/>
          <w:b/>
          <w:bCs/>
          <w:noProof/>
          <w:color w:val="000000" w:themeColor="text1"/>
          <w:sz w:val="24"/>
          <w:szCs w:val="24"/>
          <w:lang w:eastAsia="en-IN"/>
        </w:rPr>
        <w:drawing>
          <wp:inline distT="0" distB="0" distL="0" distR="0" wp14:anchorId="1C1A7617" wp14:editId="55DF2EBD">
            <wp:extent cx="6019800" cy="2457438"/>
            <wp:effectExtent l="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6038985" cy="2465270"/>
                    </a:xfrm>
                    <a:prstGeom prst="rect">
                      <a:avLst/>
                    </a:prstGeom>
                    <a:noFill/>
                    <a:ln w="9525">
                      <a:noFill/>
                      <a:miter lim="800000"/>
                      <a:headEnd/>
                      <a:tailEnd/>
                    </a:ln>
                  </pic:spPr>
                </pic:pic>
              </a:graphicData>
            </a:graphic>
          </wp:inline>
        </w:drawing>
      </w:r>
    </w:p>
    <w:p w14:paraId="5E10D36E" w14:textId="6B40802B" w:rsidR="00D935CB" w:rsidRPr="00AB2737" w:rsidRDefault="00D935CB" w:rsidP="00AB2737">
      <w:pPr>
        <w:pStyle w:val="Heading5"/>
        <w:rPr>
          <w:rFonts w:eastAsia="Times New Roman" w:cs="Arial"/>
          <w:szCs w:val="24"/>
          <w:lang w:eastAsia="en-IN"/>
        </w:rPr>
      </w:pPr>
      <w:bookmarkStart w:id="3" w:name="_Toc223800287"/>
      <w:r w:rsidRPr="00AB2737">
        <w:rPr>
          <w:rFonts w:eastAsia="Times New Roman" w:cs="Arial"/>
          <w:szCs w:val="24"/>
          <w:lang w:eastAsia="en-IN"/>
        </w:rPr>
        <w:lastRenderedPageBreak/>
        <w:t xml:space="preserve">Figure 1: 2025 </w:t>
      </w:r>
      <w:r w:rsidR="0064735E" w:rsidRPr="00AB2737">
        <w:rPr>
          <w:rFonts w:eastAsia="Times New Roman" w:cs="Arial"/>
          <w:szCs w:val="24"/>
          <w:lang w:eastAsia="en-IN"/>
        </w:rPr>
        <w:t xml:space="preserve">business </w:t>
      </w:r>
      <w:r w:rsidRPr="00AB2737">
        <w:rPr>
          <w:rFonts w:eastAsia="Times New Roman" w:cs="Arial"/>
          <w:szCs w:val="24"/>
          <w:lang w:eastAsia="en-IN"/>
        </w:rPr>
        <w:t>overview</w:t>
      </w:r>
      <w:bookmarkEnd w:id="3"/>
      <w:r w:rsidR="0064735E" w:rsidRPr="00AB2737">
        <w:rPr>
          <w:rFonts w:eastAsia="Times New Roman" w:cs="Arial"/>
          <w:szCs w:val="24"/>
          <w:lang w:eastAsia="en-IN"/>
        </w:rPr>
        <w:t xml:space="preserve"> of Nissan</w:t>
      </w:r>
    </w:p>
    <w:p w14:paraId="468C1095" w14:textId="3F13E05D" w:rsidR="00D935CB" w:rsidRPr="00AB2737" w:rsidRDefault="00D935CB" w:rsidP="00AB2737">
      <w:pPr>
        <w:spacing w:after="120" w:line="360" w:lineRule="auto"/>
        <w:jc w:val="center"/>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w:t>
      </w:r>
      <w:r w:rsidR="0064735E" w:rsidRPr="00AB2737">
        <w:rPr>
          <w:rFonts w:ascii="Arial" w:eastAsia="Times New Roman" w:hAnsi="Arial" w:cs="Arial"/>
          <w:color w:val="000000" w:themeColor="text1"/>
          <w:sz w:val="24"/>
          <w:szCs w:val="24"/>
          <w:lang w:eastAsia="en-IN"/>
        </w:rPr>
        <w:t>Source</w:t>
      </w:r>
      <w:r w:rsidRPr="00AB2737">
        <w:rPr>
          <w:rFonts w:ascii="Arial" w:eastAsia="Times New Roman" w:hAnsi="Arial" w:cs="Arial"/>
          <w:color w:val="000000" w:themeColor="text1"/>
          <w:sz w:val="24"/>
          <w:szCs w:val="24"/>
          <w:lang w:eastAsia="en-IN"/>
        </w:rPr>
        <w:t xml:space="preserve">: </w:t>
      </w:r>
      <w:proofErr w:type="spellStart"/>
      <w:r w:rsidRPr="00AB2737">
        <w:rPr>
          <w:rFonts w:ascii="Arial" w:eastAsia="Times New Roman" w:hAnsi="Arial" w:cs="Arial"/>
          <w:color w:val="000000" w:themeColor="text1"/>
          <w:sz w:val="24"/>
          <w:szCs w:val="24"/>
          <w:lang w:eastAsia="en-IN"/>
        </w:rPr>
        <w:t>Nissannews</w:t>
      </w:r>
      <w:proofErr w:type="spellEnd"/>
      <w:r w:rsidRPr="00AB2737">
        <w:rPr>
          <w:rFonts w:ascii="Arial" w:eastAsia="Times New Roman" w:hAnsi="Arial" w:cs="Arial"/>
          <w:color w:val="000000" w:themeColor="text1"/>
          <w:sz w:val="24"/>
          <w:szCs w:val="24"/>
          <w:lang w:eastAsia="en-IN"/>
        </w:rPr>
        <w:t>, 2025)</w:t>
      </w:r>
    </w:p>
    <w:p w14:paraId="237B3333" w14:textId="77777777" w:rsidR="0064735E"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Although to properly maintain the competitiveness in this situation, ongoing technological innovation is still crucial, especially as the new entrants and established manufacturers are enhancing their EV development approaches. On the contrary, Toyota Motors has focused on adapting a more focused technological approach. This is identified through their approach of not considering full electric vehicles and focusing first on hybrid technology as a transitional solution for reducing potential emissions and managing fuel efficiency (Toyota, 2023). The strategy is potentially identifying how the behaviour of a follower company, which aims to reduce risks related to technology, is observing the early market developments before making major investments. </w:t>
      </w:r>
    </w:p>
    <w:p w14:paraId="0664F402" w14:textId="7D995D12"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Hyun (2025)</w:t>
      </w:r>
      <w:r w:rsidR="0064735E" w:rsidRPr="00AB2737">
        <w:rPr>
          <w:rFonts w:ascii="Arial" w:eastAsia="Times New Roman" w:hAnsi="Arial" w:cs="Arial"/>
          <w:color w:val="000000" w:themeColor="text1"/>
          <w:sz w:val="24"/>
          <w:szCs w:val="24"/>
          <w:lang w:eastAsia="en-IN"/>
        </w:rPr>
        <w:t xml:space="preserve"> focused </w:t>
      </w:r>
      <w:r w:rsidRPr="00AB2737">
        <w:rPr>
          <w:rFonts w:ascii="Arial" w:eastAsia="Times New Roman" w:hAnsi="Arial" w:cs="Arial"/>
          <w:color w:val="000000" w:themeColor="text1"/>
          <w:sz w:val="24"/>
          <w:szCs w:val="24"/>
          <w:lang w:eastAsia="en-IN"/>
        </w:rPr>
        <w:t xml:space="preserve">on the aspect the Toyota’s hybrid approach strategy has been highly successful and can be identified via their major portfolio. This also allows them to adapt and respond to changing environmental expectations and fuel efficiency regulations. As per the company reports, the electrified vehicle sales reached 883,426 in 2024, which is an all-time-best and up 56.1%, almost representation the 44.5% of their total sales (Toyota, 2025). These </w:t>
      </w:r>
      <w:r w:rsidR="0064735E" w:rsidRPr="00AB2737">
        <w:rPr>
          <w:rFonts w:ascii="Arial" w:eastAsia="Times New Roman" w:hAnsi="Arial" w:cs="Arial"/>
          <w:color w:val="000000" w:themeColor="text1"/>
          <w:sz w:val="24"/>
          <w:szCs w:val="24"/>
          <w:lang w:eastAsia="en-IN"/>
        </w:rPr>
        <w:t>statistics</w:t>
      </w:r>
      <w:r w:rsidRPr="00AB2737">
        <w:rPr>
          <w:rFonts w:ascii="Arial" w:eastAsia="Times New Roman" w:hAnsi="Arial" w:cs="Arial"/>
          <w:color w:val="000000" w:themeColor="text1"/>
          <w:sz w:val="24"/>
          <w:szCs w:val="24"/>
          <w:lang w:eastAsia="en-IN"/>
        </w:rPr>
        <w:t xml:space="preserve"> are also enhancing the solid base of understanding of how the company has gained advancements in this section. Toyota has maintained its status as the world’s top-selling automaker for a fifth straight year in 2024 due to massive sales of 10.8 million in that year</w:t>
      </w:r>
      <w:r w:rsidR="0064735E" w:rsidRPr="00AB2737">
        <w:rPr>
          <w:rFonts w:ascii="Arial" w:eastAsia="Times New Roman" w:hAnsi="Arial" w:cs="Arial"/>
          <w:color w:val="000000" w:themeColor="text1"/>
          <w:sz w:val="24"/>
          <w:szCs w:val="24"/>
          <w:lang w:eastAsia="en-IN"/>
        </w:rPr>
        <w:t xml:space="preserve"> (Reuters, 2025)</w:t>
      </w:r>
      <w:r w:rsidRPr="00AB2737">
        <w:rPr>
          <w:rFonts w:ascii="Arial" w:eastAsia="Times New Roman" w:hAnsi="Arial" w:cs="Arial"/>
          <w:color w:val="000000" w:themeColor="text1"/>
          <w:sz w:val="24"/>
          <w:szCs w:val="24"/>
          <w:lang w:eastAsia="en-IN"/>
        </w:rPr>
        <w:t>. This major production capability of Toyota allows them to utilise economies of scale while eventually integrating new technologies in the product ranges.</w:t>
      </w:r>
    </w:p>
    <w:p w14:paraId="69F195F7" w14:textId="77777777" w:rsidR="00DE7236" w:rsidRPr="00AB2737" w:rsidRDefault="00DE7236" w:rsidP="00AB2737">
      <w:pPr>
        <w:spacing w:after="120" w:line="360" w:lineRule="auto"/>
        <w:jc w:val="center"/>
        <w:rPr>
          <w:rFonts w:ascii="Arial" w:eastAsia="Times New Roman" w:hAnsi="Arial" w:cs="Arial"/>
          <w:b/>
          <w:bCs/>
          <w:color w:val="000000" w:themeColor="text1"/>
          <w:sz w:val="24"/>
          <w:szCs w:val="24"/>
          <w:lang w:eastAsia="en-IN"/>
        </w:rPr>
      </w:pPr>
      <w:r w:rsidRPr="00AB2737">
        <w:rPr>
          <w:rFonts w:ascii="Arial" w:eastAsia="Times New Roman" w:hAnsi="Arial" w:cs="Arial"/>
          <w:b/>
          <w:bCs/>
          <w:noProof/>
          <w:color w:val="000000" w:themeColor="text1"/>
          <w:sz w:val="24"/>
          <w:szCs w:val="24"/>
          <w:lang w:eastAsia="en-IN"/>
        </w:rPr>
        <w:lastRenderedPageBreak/>
        <w:drawing>
          <wp:inline distT="0" distB="0" distL="0" distR="0" wp14:anchorId="79CBAFC8" wp14:editId="622BBA6D">
            <wp:extent cx="5264536" cy="3703301"/>
            <wp:effectExtent l="0" t="0" r="0" b="0"/>
            <wp:docPr id="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275666" cy="3711130"/>
                    </a:xfrm>
                    <a:prstGeom prst="rect">
                      <a:avLst/>
                    </a:prstGeom>
                    <a:noFill/>
                    <a:ln w="9525">
                      <a:noFill/>
                      <a:miter lim="800000"/>
                      <a:headEnd/>
                      <a:tailEnd/>
                    </a:ln>
                  </pic:spPr>
                </pic:pic>
              </a:graphicData>
            </a:graphic>
          </wp:inline>
        </w:drawing>
      </w:r>
    </w:p>
    <w:p w14:paraId="74130922" w14:textId="77777777" w:rsidR="00D935CB" w:rsidRPr="00AB2737" w:rsidRDefault="00D935CB" w:rsidP="00AB2737">
      <w:pPr>
        <w:pStyle w:val="Heading5"/>
        <w:rPr>
          <w:rFonts w:eastAsia="Times New Roman" w:cs="Arial"/>
          <w:szCs w:val="24"/>
          <w:lang w:eastAsia="en-IN"/>
        </w:rPr>
      </w:pPr>
      <w:bookmarkStart w:id="4" w:name="_Toc223800288"/>
      <w:r w:rsidRPr="00AB2737">
        <w:rPr>
          <w:rFonts w:eastAsia="Times New Roman" w:cs="Arial"/>
          <w:szCs w:val="24"/>
          <w:lang w:eastAsia="en-IN"/>
        </w:rPr>
        <w:t>Figure 2: Toyota managing its global leading position</w:t>
      </w:r>
      <w:bookmarkEnd w:id="4"/>
    </w:p>
    <w:p w14:paraId="1952467B" w14:textId="1A611D41" w:rsidR="00D935CB" w:rsidRPr="00AB2737" w:rsidRDefault="00D935CB" w:rsidP="00AB2737">
      <w:pPr>
        <w:spacing w:after="120" w:line="360" w:lineRule="auto"/>
        <w:jc w:val="center"/>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w:t>
      </w:r>
      <w:r w:rsidR="0064735E" w:rsidRPr="00AB2737">
        <w:rPr>
          <w:rFonts w:ascii="Arial" w:eastAsia="Times New Roman" w:hAnsi="Arial" w:cs="Arial"/>
          <w:color w:val="000000" w:themeColor="text1"/>
          <w:sz w:val="24"/>
          <w:szCs w:val="24"/>
          <w:lang w:eastAsia="en-IN"/>
        </w:rPr>
        <w:t>Source</w:t>
      </w:r>
      <w:r w:rsidRPr="00AB2737">
        <w:rPr>
          <w:rFonts w:ascii="Arial" w:eastAsia="Times New Roman" w:hAnsi="Arial" w:cs="Arial"/>
          <w:color w:val="000000" w:themeColor="text1"/>
          <w:sz w:val="24"/>
          <w:szCs w:val="24"/>
          <w:lang w:eastAsia="en-IN"/>
        </w:rPr>
        <w:t>: Reuters, 2025)</w:t>
      </w:r>
    </w:p>
    <w:p w14:paraId="04668A2B" w14:textId="62E05937"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Based on the above analysis, it can be identified that technological change can develop both opportunities and even threats for both of the chosen companies. For Nissan, pioneering innovation develops technological leadership y</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xml:space="preserve">so exposes the company to major competition and costs. </w:t>
      </w:r>
      <w:r w:rsidR="0064735E" w:rsidRPr="00AB2737">
        <w:rPr>
          <w:rFonts w:ascii="Arial" w:eastAsia="Times New Roman" w:hAnsi="Arial" w:cs="Arial"/>
          <w:color w:val="000000" w:themeColor="text1"/>
          <w:sz w:val="24"/>
          <w:szCs w:val="24"/>
          <w:lang w:eastAsia="en-IN"/>
        </w:rPr>
        <w:t>F</w:t>
      </w:r>
      <w:r w:rsidRPr="00AB2737">
        <w:rPr>
          <w:rFonts w:ascii="Arial" w:eastAsia="Times New Roman" w:hAnsi="Arial" w:cs="Arial"/>
          <w:color w:val="000000" w:themeColor="text1"/>
          <w:sz w:val="24"/>
          <w:szCs w:val="24"/>
          <w:lang w:eastAsia="en-IN"/>
        </w:rPr>
        <w:t>or Toyota, adopting a follower strategy ensured to reduce technological risks while refining and scaling their electrified technologies as per on changing demands</w:t>
      </w:r>
      <w:r w:rsidR="0064735E" w:rsidRPr="00AB2737">
        <w:rPr>
          <w:rFonts w:ascii="Arial" w:eastAsia="Times New Roman" w:hAnsi="Arial" w:cs="Arial"/>
          <w:color w:val="000000" w:themeColor="text1"/>
          <w:sz w:val="24"/>
          <w:szCs w:val="24"/>
          <w:lang w:eastAsia="en-IN"/>
        </w:rPr>
        <w:t xml:space="preserve"> (Reuters, 2025)</w:t>
      </w:r>
      <w:r w:rsidRPr="00AB2737">
        <w:rPr>
          <w:rFonts w:ascii="Arial" w:eastAsia="Times New Roman" w:hAnsi="Arial" w:cs="Arial"/>
          <w:color w:val="000000" w:themeColor="text1"/>
          <w:sz w:val="24"/>
          <w:szCs w:val="24"/>
          <w:lang w:eastAsia="en-IN"/>
        </w:rPr>
        <w:t>.</w:t>
      </w:r>
    </w:p>
    <w:p w14:paraId="6CCF50E9" w14:textId="33BABE49" w:rsidR="00D935CB" w:rsidRPr="00AB2737" w:rsidRDefault="00155BCA" w:rsidP="00AB2737">
      <w:pPr>
        <w:pStyle w:val="Heading2"/>
      </w:pPr>
      <w:bookmarkStart w:id="5" w:name="_Toc223947149"/>
      <w:r w:rsidRPr="00AB2737">
        <w:t xml:space="preserve">1.2 </w:t>
      </w:r>
      <w:r w:rsidR="00D935CB" w:rsidRPr="00AB2737">
        <w:t>Environmental and regulatory environment</w:t>
      </w:r>
      <w:bookmarkEnd w:id="5"/>
    </w:p>
    <w:p w14:paraId="685FEACF" w14:textId="77777777"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There is another major macro-environmental force that is impacting the automotive industry, which is environmental regulation. Governments across the globe are starting to implement major emission related standards and climate policies for the carbon reduction approach from transportations which is gradually increasing. These policies are focused on reducing the total carbon emissions through managing vehicle design and even CSR commitment (Fan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2023).</w:t>
      </w:r>
    </w:p>
    <w:p w14:paraId="42C00441" w14:textId="77777777" w:rsidR="00DE7236" w:rsidRPr="00AB2737" w:rsidRDefault="00DE7236" w:rsidP="00AB2737">
      <w:pPr>
        <w:spacing w:after="120" w:line="360" w:lineRule="auto"/>
        <w:jc w:val="center"/>
        <w:rPr>
          <w:rFonts w:ascii="Arial" w:eastAsia="Times New Roman" w:hAnsi="Arial" w:cs="Arial"/>
          <w:b/>
          <w:bCs/>
          <w:color w:val="000000" w:themeColor="text1"/>
          <w:sz w:val="24"/>
          <w:szCs w:val="24"/>
          <w:lang w:eastAsia="en-IN"/>
        </w:rPr>
      </w:pPr>
      <w:r w:rsidRPr="00AB2737">
        <w:rPr>
          <w:rFonts w:ascii="Arial" w:eastAsia="Times New Roman" w:hAnsi="Arial" w:cs="Arial"/>
          <w:b/>
          <w:bCs/>
          <w:noProof/>
          <w:color w:val="000000" w:themeColor="text1"/>
          <w:sz w:val="24"/>
          <w:szCs w:val="24"/>
          <w:lang w:eastAsia="en-IN"/>
        </w:rPr>
        <w:lastRenderedPageBreak/>
        <w:drawing>
          <wp:inline distT="0" distB="0" distL="0" distR="0" wp14:anchorId="69860D99" wp14:editId="35A4E1AD">
            <wp:extent cx="4772826" cy="2715257"/>
            <wp:effectExtent l="0" t="0" r="0" b="0"/>
            <wp:docPr id="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4788898" cy="2724400"/>
                    </a:xfrm>
                    <a:prstGeom prst="rect">
                      <a:avLst/>
                    </a:prstGeom>
                    <a:noFill/>
                    <a:ln w="9525">
                      <a:noFill/>
                      <a:miter lim="800000"/>
                      <a:headEnd/>
                      <a:tailEnd/>
                    </a:ln>
                  </pic:spPr>
                </pic:pic>
              </a:graphicData>
            </a:graphic>
          </wp:inline>
        </w:drawing>
      </w:r>
    </w:p>
    <w:p w14:paraId="5B701185" w14:textId="77777777" w:rsidR="00D935CB" w:rsidRPr="00AB2737" w:rsidRDefault="00D935CB" w:rsidP="00AB2737">
      <w:pPr>
        <w:pStyle w:val="Heading5"/>
        <w:rPr>
          <w:rFonts w:eastAsia="Times New Roman" w:cs="Arial"/>
          <w:szCs w:val="24"/>
          <w:lang w:eastAsia="en-IN"/>
        </w:rPr>
      </w:pPr>
      <w:bookmarkStart w:id="6" w:name="_Toc223800289"/>
      <w:r w:rsidRPr="00AB2737">
        <w:rPr>
          <w:rFonts w:eastAsia="Times New Roman" w:cs="Arial"/>
          <w:szCs w:val="24"/>
          <w:lang w:eastAsia="en-IN"/>
        </w:rPr>
        <w:t>Figure 3: Global transport CO2 emission overview</w:t>
      </w:r>
      <w:bookmarkEnd w:id="6"/>
    </w:p>
    <w:p w14:paraId="755D0856" w14:textId="41D7BAE5" w:rsidR="00D935CB" w:rsidRPr="00AB2737" w:rsidRDefault="00D935CB" w:rsidP="00AB2737">
      <w:pPr>
        <w:spacing w:after="120" w:line="360" w:lineRule="auto"/>
        <w:jc w:val="center"/>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w:t>
      </w:r>
      <w:r w:rsidR="0064735E" w:rsidRPr="00AB2737">
        <w:rPr>
          <w:rFonts w:ascii="Arial" w:eastAsia="Times New Roman" w:hAnsi="Arial" w:cs="Arial"/>
          <w:color w:val="000000" w:themeColor="text1"/>
          <w:sz w:val="24"/>
          <w:szCs w:val="24"/>
          <w:lang w:eastAsia="en-IN"/>
        </w:rPr>
        <w:t>Source</w:t>
      </w:r>
      <w:r w:rsidRPr="00AB2737">
        <w:rPr>
          <w:rFonts w:ascii="Arial" w:eastAsia="Times New Roman" w:hAnsi="Arial" w:cs="Arial"/>
          <w:color w:val="000000" w:themeColor="text1"/>
          <w:sz w:val="24"/>
          <w:szCs w:val="24"/>
          <w:lang w:eastAsia="en-IN"/>
        </w:rPr>
        <w:t xml:space="preserve">: </w:t>
      </w:r>
      <w:proofErr w:type="spellStart"/>
      <w:r w:rsidRPr="00AB2737">
        <w:rPr>
          <w:rFonts w:ascii="Arial" w:eastAsia="Times New Roman" w:hAnsi="Arial" w:cs="Arial"/>
          <w:color w:val="000000" w:themeColor="text1"/>
          <w:sz w:val="24"/>
          <w:szCs w:val="24"/>
          <w:lang w:eastAsia="en-IN"/>
        </w:rPr>
        <w:t>Axsen</w:t>
      </w:r>
      <w:proofErr w:type="spellEnd"/>
      <w:r w:rsidRPr="00AB2737">
        <w:rPr>
          <w:rFonts w:ascii="Arial" w:eastAsia="Times New Roman" w:hAnsi="Arial" w:cs="Arial"/>
          <w:color w:val="000000" w:themeColor="text1"/>
          <w:sz w:val="24"/>
          <w:szCs w:val="24"/>
          <w:lang w:eastAsia="en-IN"/>
        </w:rPr>
        <w:t xml:space="preserve">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2020)</w:t>
      </w:r>
    </w:p>
    <w:p w14:paraId="0D15B019" w14:textId="0D83ECA3"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In terms of Nissan, this global shift for low-emission transformation is providing a major opportunity for growth. The early investment from the company in EV is majorly supportive of the government policies focusing on zero-emission mobility. </w:t>
      </w:r>
      <w:r w:rsidR="0064735E" w:rsidRPr="00AB2737">
        <w:rPr>
          <w:rFonts w:ascii="Arial" w:eastAsia="Times New Roman" w:hAnsi="Arial" w:cs="Arial"/>
          <w:color w:val="000000" w:themeColor="text1"/>
          <w:sz w:val="24"/>
          <w:szCs w:val="24"/>
          <w:lang w:eastAsia="en-IN"/>
        </w:rPr>
        <w:t>As per Jaeger (2025),</w:t>
      </w:r>
      <w:r w:rsidRPr="00AB2737">
        <w:rPr>
          <w:rFonts w:ascii="Arial" w:eastAsia="Times New Roman" w:hAnsi="Arial" w:cs="Arial"/>
          <w:color w:val="000000" w:themeColor="text1"/>
          <w:sz w:val="24"/>
          <w:szCs w:val="24"/>
          <w:lang w:eastAsia="en-IN"/>
        </w:rPr>
        <w:t xml:space="preserve"> countries, like China, have shifted towards offering incentives and tax exemptions for enhancing the speed of EV adoption. These approaches allow companies like Nissan to enhance consumer demand for electric vehicles. Furthermore, the envir0onemtnal sustainability context has become a key factor for Nissan’s corporate strategy in business level. Through a particular focus on electric transportations and low-emission technologies, the company aims to contribute to global carbon-reduction goals while enhancing its market position in the rising EV sector. The success of various EV models, including Nissan Leaf and the electric crossover Ariya have shed light on the commitment to sustainable transportation approaches (</w:t>
      </w:r>
      <w:proofErr w:type="spellStart"/>
      <w:r w:rsidRPr="00AB2737">
        <w:rPr>
          <w:rFonts w:ascii="Arial" w:eastAsia="Times New Roman" w:hAnsi="Arial" w:cs="Arial"/>
          <w:color w:val="000000" w:themeColor="text1"/>
          <w:sz w:val="24"/>
          <w:szCs w:val="24"/>
          <w:lang w:eastAsia="en-IN"/>
        </w:rPr>
        <w:t>nissan</w:t>
      </w:r>
      <w:proofErr w:type="spellEnd"/>
      <w:r w:rsidRPr="00AB2737">
        <w:rPr>
          <w:rFonts w:ascii="Arial" w:eastAsia="Times New Roman" w:hAnsi="Arial" w:cs="Arial"/>
          <w:color w:val="000000" w:themeColor="text1"/>
          <w:sz w:val="24"/>
          <w:szCs w:val="24"/>
          <w:lang w:eastAsia="en-IN"/>
        </w:rPr>
        <w:t xml:space="preserve">-global, 2020). </w:t>
      </w:r>
      <w:r w:rsidR="0034524F" w:rsidRPr="00AB2737">
        <w:rPr>
          <w:rFonts w:ascii="Arial" w:eastAsia="Times New Roman" w:hAnsi="Arial" w:cs="Arial"/>
          <w:color w:val="000000" w:themeColor="text1"/>
          <w:sz w:val="24"/>
          <w:szCs w:val="24"/>
          <w:lang w:eastAsia="en-IN"/>
        </w:rPr>
        <w:t>This environmental regulation</w:t>
      </w:r>
      <w:r w:rsidRPr="00AB2737">
        <w:rPr>
          <w:rFonts w:ascii="Arial" w:eastAsia="Times New Roman" w:hAnsi="Arial" w:cs="Arial"/>
          <w:color w:val="000000" w:themeColor="text1"/>
          <w:sz w:val="24"/>
          <w:szCs w:val="24"/>
          <w:lang w:eastAsia="en-IN"/>
        </w:rPr>
        <w:t xml:space="preserve"> also develops potential issues. EV needs major investment in battery production, changing infrastructure and supply chains for materials, increasing complexity and costs of production. On the other hand, the potential environmental concerns for battery usage made the end-of-lifecycle a crucial stage for EV battery development (Phua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2024).</w:t>
      </w:r>
    </w:p>
    <w:p w14:paraId="14117571" w14:textId="77777777" w:rsidR="00DE7236" w:rsidRPr="00AB2737" w:rsidRDefault="00DE7236" w:rsidP="00AB2737">
      <w:pPr>
        <w:spacing w:after="120" w:line="360" w:lineRule="auto"/>
        <w:jc w:val="center"/>
        <w:rPr>
          <w:rFonts w:ascii="Arial" w:eastAsia="Times New Roman" w:hAnsi="Arial" w:cs="Arial"/>
          <w:b/>
          <w:bCs/>
          <w:color w:val="000000" w:themeColor="text1"/>
          <w:sz w:val="24"/>
          <w:szCs w:val="24"/>
          <w:lang w:eastAsia="en-IN"/>
        </w:rPr>
      </w:pPr>
      <w:r w:rsidRPr="00AB2737">
        <w:rPr>
          <w:rFonts w:ascii="Arial" w:eastAsia="Times New Roman" w:hAnsi="Arial" w:cs="Arial"/>
          <w:b/>
          <w:bCs/>
          <w:noProof/>
          <w:color w:val="000000" w:themeColor="text1"/>
          <w:sz w:val="24"/>
          <w:szCs w:val="24"/>
          <w:lang w:eastAsia="en-IN"/>
        </w:rPr>
        <w:lastRenderedPageBreak/>
        <w:drawing>
          <wp:inline distT="0" distB="0" distL="0" distR="0" wp14:anchorId="510E60E4" wp14:editId="136A63B8">
            <wp:extent cx="5609316" cy="2761615"/>
            <wp:effectExtent l="0" t="0" r="0" b="0"/>
            <wp:docPr id="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
                    <a:srcRect l="3412" r="9227"/>
                    <a:stretch/>
                  </pic:blipFill>
                  <pic:spPr bwMode="auto">
                    <a:xfrm>
                      <a:off x="0" y="0"/>
                      <a:ext cx="5614418" cy="2764127"/>
                    </a:xfrm>
                    <a:prstGeom prst="rect">
                      <a:avLst/>
                    </a:prstGeom>
                    <a:noFill/>
                    <a:ln>
                      <a:noFill/>
                    </a:ln>
                    <a:extLst>
                      <a:ext uri="{53640926-AAD7-44D8-BBD7-CCE9431645EC}">
                        <a14:shadowObscured xmlns:a14="http://schemas.microsoft.com/office/drawing/2010/main"/>
                      </a:ext>
                    </a:extLst>
                  </pic:spPr>
                </pic:pic>
              </a:graphicData>
            </a:graphic>
          </wp:inline>
        </w:drawing>
      </w:r>
    </w:p>
    <w:p w14:paraId="7CD33907" w14:textId="77777777" w:rsidR="00D935CB" w:rsidRPr="00AB2737" w:rsidRDefault="00D935CB" w:rsidP="00AB2737">
      <w:pPr>
        <w:pStyle w:val="Heading5"/>
        <w:rPr>
          <w:rFonts w:eastAsia="Times New Roman" w:cs="Arial"/>
          <w:szCs w:val="24"/>
          <w:lang w:eastAsia="en-IN"/>
        </w:rPr>
      </w:pPr>
      <w:bookmarkStart w:id="7" w:name="_Toc223800290"/>
      <w:r w:rsidRPr="00AB2737">
        <w:rPr>
          <w:rFonts w:eastAsia="Times New Roman" w:cs="Arial"/>
          <w:szCs w:val="24"/>
          <w:lang w:eastAsia="en-IN"/>
        </w:rPr>
        <w:t>Figure 4: EV battery lifecycle</w:t>
      </w:r>
      <w:bookmarkEnd w:id="7"/>
    </w:p>
    <w:p w14:paraId="4E3FBE99" w14:textId="0E7C77C3" w:rsidR="00D935CB" w:rsidRPr="00AB2737" w:rsidRDefault="00D935CB" w:rsidP="00AB2737">
      <w:pPr>
        <w:spacing w:after="120" w:line="360" w:lineRule="auto"/>
        <w:jc w:val="center"/>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w:t>
      </w:r>
      <w:r w:rsidR="0064735E" w:rsidRPr="00AB2737">
        <w:rPr>
          <w:rFonts w:ascii="Arial" w:eastAsia="Times New Roman" w:hAnsi="Arial" w:cs="Arial"/>
          <w:color w:val="000000" w:themeColor="text1"/>
          <w:sz w:val="24"/>
          <w:szCs w:val="24"/>
          <w:lang w:eastAsia="en-IN"/>
        </w:rPr>
        <w:t>Source</w:t>
      </w:r>
      <w:r w:rsidRPr="00AB2737">
        <w:rPr>
          <w:rFonts w:ascii="Arial" w:eastAsia="Times New Roman" w:hAnsi="Arial" w:cs="Arial"/>
          <w:color w:val="000000" w:themeColor="text1"/>
          <w:sz w:val="24"/>
          <w:szCs w:val="24"/>
          <w:lang w:eastAsia="en-IN"/>
        </w:rPr>
        <w:t xml:space="preserve">: </w:t>
      </w:r>
      <w:proofErr w:type="spellStart"/>
      <w:r w:rsidRPr="00AB2737">
        <w:rPr>
          <w:rFonts w:ascii="Arial" w:eastAsia="Times New Roman" w:hAnsi="Arial" w:cs="Arial"/>
          <w:color w:val="000000" w:themeColor="text1"/>
          <w:sz w:val="24"/>
          <w:szCs w:val="24"/>
          <w:lang w:eastAsia="en-IN"/>
        </w:rPr>
        <w:t>Phua</w:t>
      </w:r>
      <w:proofErr w:type="spellEnd"/>
      <w:r w:rsidRPr="00AB2737">
        <w:rPr>
          <w:rFonts w:ascii="Arial" w:eastAsia="Times New Roman" w:hAnsi="Arial" w:cs="Arial"/>
          <w:color w:val="000000" w:themeColor="text1"/>
          <w:sz w:val="24"/>
          <w:szCs w:val="24"/>
          <w:lang w:eastAsia="en-IN"/>
        </w:rPr>
        <w:t xml:space="preserve">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2024)</w:t>
      </w:r>
    </w:p>
    <w:p w14:paraId="08E42F4E" w14:textId="6CCC86CD"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For </w:t>
      </w:r>
      <w:r w:rsidR="001637AC" w:rsidRPr="00AB2737">
        <w:rPr>
          <w:rFonts w:ascii="Arial" w:eastAsia="Times New Roman" w:hAnsi="Arial" w:cs="Arial"/>
          <w:color w:val="000000" w:themeColor="text1"/>
          <w:sz w:val="24"/>
          <w:szCs w:val="24"/>
          <w:lang w:eastAsia="en-IN"/>
        </w:rPr>
        <w:t>Toyota,</w:t>
      </w:r>
      <w:r w:rsidRPr="00AB2737">
        <w:rPr>
          <w:rFonts w:ascii="Arial" w:eastAsia="Times New Roman" w:hAnsi="Arial" w:cs="Arial"/>
          <w:color w:val="000000" w:themeColor="text1"/>
          <w:sz w:val="24"/>
          <w:szCs w:val="24"/>
          <w:lang w:eastAsia="en-IN"/>
        </w:rPr>
        <w:t xml:space="preserve"> environmental regulations also play a major role in impacting their strategic decision-making. Regardless of rapidly shifting to full electric, the focus on a hybrid approach became a practical solution for the company for reducing emissions and maintaining affordability for a wider range of consumers. </w:t>
      </w:r>
      <w:r w:rsidR="00155BCA" w:rsidRPr="00AB2737">
        <w:rPr>
          <w:rFonts w:ascii="Arial" w:eastAsia="Times New Roman" w:hAnsi="Arial" w:cs="Arial"/>
          <w:color w:val="000000" w:themeColor="text1"/>
          <w:sz w:val="24"/>
          <w:szCs w:val="24"/>
          <w:lang w:eastAsia="en-IN"/>
        </w:rPr>
        <w:t xml:space="preserve">The study of </w:t>
      </w:r>
      <w:r w:rsidRPr="00AB2737">
        <w:rPr>
          <w:rFonts w:ascii="Arial" w:eastAsia="Times New Roman" w:hAnsi="Arial" w:cs="Arial"/>
          <w:color w:val="000000" w:themeColor="text1"/>
          <w:sz w:val="24"/>
          <w:szCs w:val="24"/>
          <w:lang w:eastAsia="en-IN"/>
        </w:rPr>
        <w:t xml:space="preserve">Bagheri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xml:space="preserve">. (2021) </w:t>
      </w:r>
      <w:r w:rsidR="00155BCA" w:rsidRPr="00AB2737">
        <w:rPr>
          <w:rFonts w:ascii="Arial" w:eastAsia="Times New Roman" w:hAnsi="Arial" w:cs="Arial"/>
          <w:color w:val="000000" w:themeColor="text1"/>
          <w:sz w:val="24"/>
          <w:szCs w:val="24"/>
          <w:lang w:eastAsia="en-IN"/>
        </w:rPr>
        <w:t>has</w:t>
      </w:r>
      <w:r w:rsidRPr="00AB2737">
        <w:rPr>
          <w:rFonts w:ascii="Arial" w:eastAsia="Times New Roman" w:hAnsi="Arial" w:cs="Arial"/>
          <w:color w:val="000000" w:themeColor="text1"/>
          <w:sz w:val="24"/>
          <w:szCs w:val="24"/>
          <w:lang w:eastAsia="en-IN"/>
        </w:rPr>
        <w:t xml:space="preserve"> develop</w:t>
      </w:r>
      <w:r w:rsidR="00155BCA" w:rsidRPr="00AB2737">
        <w:rPr>
          <w:rFonts w:ascii="Arial" w:eastAsia="Times New Roman" w:hAnsi="Arial" w:cs="Arial"/>
          <w:color w:val="000000" w:themeColor="text1"/>
          <w:sz w:val="24"/>
          <w:szCs w:val="24"/>
          <w:lang w:eastAsia="en-IN"/>
        </w:rPr>
        <w:t xml:space="preserve">ed </w:t>
      </w:r>
      <w:r w:rsidRPr="00AB2737">
        <w:rPr>
          <w:rFonts w:ascii="Arial" w:eastAsia="Times New Roman" w:hAnsi="Arial" w:cs="Arial"/>
          <w:color w:val="000000" w:themeColor="text1"/>
          <w:sz w:val="24"/>
          <w:szCs w:val="24"/>
          <w:lang w:eastAsia="en-IN"/>
        </w:rPr>
        <w:t>an understanding of how hybrid vehicles are collaborating combustion engines and electric motors for enhanced fuel management. For Toyota, this strategy allowed it to meet the global environmental standards while managing production volumes. Hybrid vehicles are nearly of 37% of Toyota’s complete sales as of 2024 (Shirouzu, 2024). Hybrid technology thus allowed Toyota to adapt to environmental regulations. Environmental approaches also encourage continuous technological development, especially due to the fact that governments are increasingly setting long-term targets for reducing petrol and diesel vehicles and encouraging electric investments.</w:t>
      </w:r>
      <w:r w:rsidR="00155BCA" w:rsidRPr="00AB2737">
        <w:rPr>
          <w:rFonts w:ascii="Arial" w:eastAsia="Times New Roman" w:hAnsi="Arial" w:cs="Arial"/>
          <w:color w:val="000000" w:themeColor="text1"/>
          <w:sz w:val="24"/>
          <w:szCs w:val="24"/>
          <w:lang w:eastAsia="en-IN"/>
        </w:rPr>
        <w:t xml:space="preserve"> Considering these</w:t>
      </w:r>
      <w:r w:rsidR="007641AC" w:rsidRPr="00AB2737">
        <w:rPr>
          <w:rFonts w:ascii="Arial" w:eastAsia="Times New Roman" w:hAnsi="Arial" w:cs="Arial"/>
          <w:color w:val="000000" w:themeColor="text1"/>
          <w:sz w:val="24"/>
          <w:szCs w:val="24"/>
          <w:lang w:eastAsia="en-IN"/>
        </w:rPr>
        <w:t>,</w:t>
      </w:r>
      <w:r w:rsidRPr="00AB2737">
        <w:rPr>
          <w:rFonts w:ascii="Arial" w:eastAsia="Times New Roman" w:hAnsi="Arial" w:cs="Arial"/>
          <w:color w:val="000000" w:themeColor="text1"/>
          <w:sz w:val="24"/>
          <w:szCs w:val="24"/>
          <w:lang w:eastAsia="en-IN"/>
        </w:rPr>
        <w:t xml:space="preserve"> it can be identified that environmental regulations have created both threats and opportunities for Nissan and Toyota in long-term. With strict emission policies developing pressure on automotive manufacturers, the shift to clean technologies is also increasing. These aspects are developing new market opportunities for automotive companies for the adaptation of sustainability needs.</w:t>
      </w:r>
    </w:p>
    <w:p w14:paraId="34F77DB5" w14:textId="0D98AE29" w:rsidR="00D935CB" w:rsidRPr="00AB2737" w:rsidRDefault="00D935CB" w:rsidP="00AB2737">
      <w:pPr>
        <w:pStyle w:val="Heading1"/>
        <w:rPr>
          <w:rFonts w:eastAsia="Times New Roman" w:cs="Arial"/>
          <w:sz w:val="24"/>
          <w:szCs w:val="24"/>
          <w:lang w:eastAsia="en-IN"/>
        </w:rPr>
      </w:pPr>
      <w:bookmarkStart w:id="8" w:name="_Toc223947150"/>
      <w:r w:rsidRPr="00AB2737">
        <w:rPr>
          <w:rFonts w:eastAsia="Times New Roman" w:cs="Arial"/>
          <w:sz w:val="24"/>
          <w:szCs w:val="24"/>
          <w:lang w:eastAsia="en-IN"/>
        </w:rPr>
        <w:lastRenderedPageBreak/>
        <w:t>Task 2: strategic responses and competitive strategies</w:t>
      </w:r>
      <w:r w:rsidR="00155BCA" w:rsidRPr="00AB2737">
        <w:rPr>
          <w:rFonts w:eastAsia="Times New Roman" w:cs="Arial"/>
          <w:sz w:val="24"/>
          <w:szCs w:val="24"/>
          <w:lang w:eastAsia="en-IN"/>
        </w:rPr>
        <w:t xml:space="preserve"> to sustain growth in light of the identified macro-environmental factors</w:t>
      </w:r>
      <w:bookmarkEnd w:id="8"/>
    </w:p>
    <w:p w14:paraId="159E4F57" w14:textId="77777777"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In relation to the macro-environmental factors identified previously in the above part, both Nissan Motor and Toyota Motor have implemented strategic marketing approaches to ensure growth and competitive advantage management. </w:t>
      </w:r>
    </w:p>
    <w:p w14:paraId="75567420" w14:textId="355E1F88" w:rsidR="00D935CB" w:rsidRPr="00AB2737" w:rsidRDefault="00155BCA" w:rsidP="00AB2737">
      <w:pPr>
        <w:pStyle w:val="Heading2"/>
      </w:pPr>
      <w:bookmarkStart w:id="9" w:name="_Toc223947151"/>
      <w:r w:rsidRPr="00AB2737">
        <w:t xml:space="preserve">2.1 </w:t>
      </w:r>
      <w:r w:rsidR="00D935CB" w:rsidRPr="00AB2737">
        <w:t>Strategic response</w:t>
      </w:r>
      <w:r w:rsidRPr="00AB2737">
        <w:t>s</w:t>
      </w:r>
      <w:r w:rsidR="00D935CB" w:rsidRPr="00AB2737">
        <w:t xml:space="preserve"> of Nissan</w:t>
      </w:r>
      <w:bookmarkEnd w:id="9"/>
    </w:p>
    <w:p w14:paraId="10B1E052" w14:textId="751F3189"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The strategic response to Nissan for technology change and environmental regulation is primarily based on innovation and product differentiation. Based on the Porter’s generic strategies framework, </w:t>
      </w:r>
      <w:r w:rsidR="00CF33E6" w:rsidRPr="00AB2737">
        <w:rPr>
          <w:rFonts w:ascii="Arial" w:eastAsia="Times New Roman" w:hAnsi="Arial" w:cs="Arial"/>
          <w:color w:val="000000" w:themeColor="text1"/>
          <w:sz w:val="24"/>
          <w:szCs w:val="24"/>
          <w:lang w:eastAsia="en-IN"/>
        </w:rPr>
        <w:t>differentiation happens</w:t>
      </w:r>
      <w:r w:rsidRPr="00AB2737">
        <w:rPr>
          <w:rFonts w:ascii="Arial" w:eastAsia="Times New Roman" w:hAnsi="Arial" w:cs="Arial"/>
          <w:color w:val="000000" w:themeColor="text1"/>
          <w:sz w:val="24"/>
          <w:szCs w:val="24"/>
          <w:lang w:eastAsia="en-IN"/>
        </w:rPr>
        <w:t xml:space="preserve"> when a company offers various unique products or technologies that differentiate them from competitors (Kabure and </w:t>
      </w:r>
      <w:proofErr w:type="spellStart"/>
      <w:r w:rsidRPr="00AB2737">
        <w:rPr>
          <w:rFonts w:ascii="Arial" w:eastAsia="Times New Roman" w:hAnsi="Arial" w:cs="Arial"/>
          <w:color w:val="000000" w:themeColor="text1"/>
          <w:sz w:val="24"/>
          <w:szCs w:val="24"/>
          <w:lang w:eastAsia="en-IN"/>
        </w:rPr>
        <w:t>Ragui</w:t>
      </w:r>
      <w:proofErr w:type="spellEnd"/>
      <w:r w:rsidRPr="00AB2737">
        <w:rPr>
          <w:rFonts w:ascii="Arial" w:eastAsia="Times New Roman" w:hAnsi="Arial" w:cs="Arial"/>
          <w:color w:val="000000" w:themeColor="text1"/>
          <w:sz w:val="24"/>
          <w:szCs w:val="24"/>
          <w:lang w:eastAsia="en-IN"/>
        </w:rPr>
        <w:t>, 2020). The early development of Nissan's electric vehicles of Nissan is shedding a clear analysis of this differentiation strategy in the automotive market. The Nissan LEAF launch, as identified, allowed them to become the market leader in sustainable mobility in the EV context. Gaining more than 1 million sales for global EV is highlighting the differentiation strategy for better market credibility development (</w:t>
      </w:r>
      <w:proofErr w:type="spellStart"/>
      <w:r w:rsidRPr="00AB2737">
        <w:rPr>
          <w:rFonts w:ascii="Arial" w:eastAsia="Times New Roman" w:hAnsi="Arial" w:cs="Arial"/>
          <w:color w:val="000000" w:themeColor="text1"/>
          <w:sz w:val="24"/>
          <w:szCs w:val="24"/>
          <w:lang w:eastAsia="en-IN"/>
        </w:rPr>
        <w:t>Nissannews</w:t>
      </w:r>
      <w:proofErr w:type="spellEnd"/>
      <w:r w:rsidRPr="00AB2737">
        <w:rPr>
          <w:rFonts w:ascii="Arial" w:eastAsia="Times New Roman" w:hAnsi="Arial" w:cs="Arial"/>
          <w:color w:val="000000" w:themeColor="text1"/>
          <w:sz w:val="24"/>
          <w:szCs w:val="24"/>
          <w:lang w:eastAsia="en-IN"/>
        </w:rPr>
        <w:t xml:space="preserve">, 2023). Nissan has continued their expansion of electric vehicle portfolio in relation to rising demand for low-emission vehicles, as identified through previously mentioned Nissan Ariya. The developmental approaches can be also identified through the continuous technological advancement, like the </w:t>
      </w:r>
      <w:proofErr w:type="spellStart"/>
      <w:r w:rsidRPr="00AB2737">
        <w:rPr>
          <w:rFonts w:ascii="Arial" w:eastAsia="Times New Roman" w:hAnsi="Arial" w:cs="Arial"/>
          <w:color w:val="000000" w:themeColor="text1"/>
          <w:sz w:val="24"/>
          <w:szCs w:val="24"/>
          <w:lang w:eastAsia="en-IN"/>
        </w:rPr>
        <w:t>ProPILOT</w:t>
      </w:r>
      <w:proofErr w:type="spellEnd"/>
      <w:r w:rsidRPr="00AB2737">
        <w:rPr>
          <w:rFonts w:ascii="Arial" w:eastAsia="Times New Roman" w:hAnsi="Arial" w:cs="Arial"/>
          <w:color w:val="000000" w:themeColor="text1"/>
          <w:sz w:val="24"/>
          <w:szCs w:val="24"/>
          <w:lang w:eastAsia="en-IN"/>
        </w:rPr>
        <w:t xml:space="preserve"> 2.0, which is their new and advanced technological integration (</w:t>
      </w:r>
      <w:proofErr w:type="spellStart"/>
      <w:r w:rsidRPr="00AB2737">
        <w:rPr>
          <w:rFonts w:ascii="Arial" w:eastAsia="Times New Roman" w:hAnsi="Arial" w:cs="Arial"/>
          <w:color w:val="000000" w:themeColor="text1"/>
          <w:sz w:val="24"/>
          <w:szCs w:val="24"/>
          <w:lang w:eastAsia="en-IN"/>
        </w:rPr>
        <w:t>nissan</w:t>
      </w:r>
      <w:proofErr w:type="spellEnd"/>
      <w:r w:rsidRPr="00AB2737">
        <w:rPr>
          <w:rFonts w:ascii="Arial" w:eastAsia="Times New Roman" w:hAnsi="Arial" w:cs="Arial"/>
          <w:color w:val="000000" w:themeColor="text1"/>
          <w:sz w:val="24"/>
          <w:szCs w:val="24"/>
          <w:lang w:eastAsia="en-IN"/>
        </w:rPr>
        <w:t>-global, 2026). Through these continuous improvements in EV technologies, Nissan aims to manage its position in the rapidly changing electric vehicle market.</w:t>
      </w:r>
      <w:r w:rsidR="009B0041" w:rsidRPr="00AB2737">
        <w:rPr>
          <w:rFonts w:ascii="Arial" w:eastAsia="Times New Roman" w:hAnsi="Arial" w:cs="Arial"/>
          <w:color w:val="000000" w:themeColor="text1"/>
          <w:sz w:val="24"/>
          <w:szCs w:val="24"/>
          <w:lang w:eastAsia="en-IN"/>
        </w:rPr>
        <w:t xml:space="preserve"> In addition, Nissan has enhanced its competitiveness in the long-term with strategic alliances and supply chain relationship especially in battery technology and charging systems. The company wants to speed up the process of EV adoption, as well as enhance accessibility of charging networks to customers, by collaborating with technology companies and energy suppliers</w:t>
      </w:r>
      <w:r w:rsidR="008B0304" w:rsidRPr="00AB2737">
        <w:rPr>
          <w:rFonts w:ascii="Arial" w:eastAsia="Times New Roman" w:hAnsi="Arial" w:cs="Arial"/>
          <w:color w:val="000000" w:themeColor="text1"/>
          <w:sz w:val="24"/>
          <w:szCs w:val="24"/>
          <w:lang w:eastAsia="en-IN"/>
        </w:rPr>
        <w:t xml:space="preserve"> (Kabure and </w:t>
      </w:r>
      <w:proofErr w:type="spellStart"/>
      <w:r w:rsidR="008B0304" w:rsidRPr="00AB2737">
        <w:rPr>
          <w:rFonts w:ascii="Arial" w:eastAsia="Times New Roman" w:hAnsi="Arial" w:cs="Arial"/>
          <w:color w:val="000000" w:themeColor="text1"/>
          <w:sz w:val="24"/>
          <w:szCs w:val="24"/>
          <w:lang w:eastAsia="en-IN"/>
        </w:rPr>
        <w:t>Ragui</w:t>
      </w:r>
      <w:proofErr w:type="spellEnd"/>
      <w:r w:rsidR="008B0304" w:rsidRPr="00AB2737">
        <w:rPr>
          <w:rFonts w:ascii="Arial" w:eastAsia="Times New Roman" w:hAnsi="Arial" w:cs="Arial"/>
          <w:color w:val="000000" w:themeColor="text1"/>
          <w:sz w:val="24"/>
          <w:szCs w:val="24"/>
          <w:lang w:eastAsia="en-IN"/>
        </w:rPr>
        <w:t>, 2020)</w:t>
      </w:r>
      <w:r w:rsidR="009B0041" w:rsidRPr="00AB2737">
        <w:rPr>
          <w:rFonts w:ascii="Arial" w:eastAsia="Times New Roman" w:hAnsi="Arial" w:cs="Arial"/>
          <w:color w:val="000000" w:themeColor="text1"/>
          <w:sz w:val="24"/>
          <w:szCs w:val="24"/>
          <w:lang w:eastAsia="en-IN"/>
        </w:rPr>
        <w:t>. These collaborations help Nissan achieve its greater sustainability vision and make it an early developer of the electric mobility.</w:t>
      </w:r>
    </w:p>
    <w:p w14:paraId="12F76476" w14:textId="2387944C"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In the Ansoff Growth Matrix perspectives, Nissa’s strategy is shedding light on product development and market development. Product development </w:t>
      </w:r>
      <w:r w:rsidR="00FB2C64" w:rsidRPr="00AB2737">
        <w:rPr>
          <w:rFonts w:ascii="Arial" w:eastAsia="Times New Roman" w:hAnsi="Arial" w:cs="Arial"/>
          <w:color w:val="000000" w:themeColor="text1"/>
          <w:sz w:val="24"/>
          <w:szCs w:val="24"/>
          <w:lang w:eastAsia="en-IN"/>
        </w:rPr>
        <w:t>includes</w:t>
      </w:r>
      <w:r w:rsidRPr="00AB2737">
        <w:rPr>
          <w:rFonts w:ascii="Arial" w:eastAsia="Times New Roman" w:hAnsi="Arial" w:cs="Arial"/>
          <w:color w:val="000000" w:themeColor="text1"/>
          <w:sz w:val="24"/>
          <w:szCs w:val="24"/>
          <w:lang w:eastAsia="en-IN"/>
        </w:rPr>
        <w:t xml:space="preserve"> introduction of new or enhanced products in existing markets, while market development is expanding into new geographical regions. The company’s approach </w:t>
      </w:r>
      <w:r w:rsidRPr="00AB2737">
        <w:rPr>
          <w:rFonts w:ascii="Arial" w:eastAsia="Times New Roman" w:hAnsi="Arial" w:cs="Arial"/>
          <w:color w:val="000000" w:themeColor="text1"/>
          <w:sz w:val="24"/>
          <w:szCs w:val="24"/>
          <w:lang w:eastAsia="en-IN"/>
        </w:rPr>
        <w:lastRenderedPageBreak/>
        <w:t>for EV product development can be identified in their continuous improvements in battery performances, vehicle designs, and autonomous driving technologies, especially under their Nissan Ambition 2030 goal (</w:t>
      </w:r>
      <w:proofErr w:type="spellStart"/>
      <w:r w:rsidRPr="00AB2737">
        <w:rPr>
          <w:rFonts w:ascii="Arial" w:eastAsia="Times New Roman" w:hAnsi="Arial" w:cs="Arial"/>
          <w:color w:val="000000" w:themeColor="text1"/>
          <w:sz w:val="24"/>
          <w:szCs w:val="24"/>
          <w:lang w:eastAsia="en-IN"/>
        </w:rPr>
        <w:t>nissan</w:t>
      </w:r>
      <w:proofErr w:type="spellEnd"/>
      <w:r w:rsidRPr="00AB2737">
        <w:rPr>
          <w:rFonts w:ascii="Arial" w:eastAsia="Times New Roman" w:hAnsi="Arial" w:cs="Arial"/>
          <w:color w:val="000000" w:themeColor="text1"/>
          <w:sz w:val="24"/>
          <w:szCs w:val="24"/>
          <w:lang w:eastAsia="en-IN"/>
        </w:rPr>
        <w:t xml:space="preserve">-global, 2023). On the other hand, the company has expanded its availability in various regions influencing Asia, Europe, and North America. This expansion increases their potential market reach while improving competitive advantage. Although Nissan’s pioneering has also developed various challenges for them. The higher research and development expenses due to early technology investment and </w:t>
      </w:r>
      <w:r w:rsidR="00FB2C64" w:rsidRPr="00AB2737">
        <w:rPr>
          <w:rFonts w:ascii="Arial" w:eastAsia="Times New Roman" w:hAnsi="Arial" w:cs="Arial"/>
          <w:color w:val="000000" w:themeColor="text1"/>
          <w:sz w:val="24"/>
          <w:szCs w:val="24"/>
          <w:lang w:eastAsia="en-IN"/>
        </w:rPr>
        <w:t>increasing competition</w:t>
      </w:r>
      <w:r w:rsidRPr="00AB2737">
        <w:rPr>
          <w:rFonts w:ascii="Arial" w:eastAsia="Times New Roman" w:hAnsi="Arial" w:cs="Arial"/>
          <w:color w:val="000000" w:themeColor="text1"/>
          <w:sz w:val="24"/>
          <w:szCs w:val="24"/>
          <w:lang w:eastAsia="en-IN"/>
        </w:rPr>
        <w:t xml:space="preserve"> are rapidly developing barriers for their electrification approaches.</w:t>
      </w:r>
    </w:p>
    <w:p w14:paraId="37D5BEF6" w14:textId="76EC6691" w:rsidR="00D935CB" w:rsidRPr="00AB2737" w:rsidRDefault="00155BCA" w:rsidP="00AB2737">
      <w:pPr>
        <w:pStyle w:val="Heading2"/>
      </w:pPr>
      <w:bookmarkStart w:id="10" w:name="_Toc223947152"/>
      <w:r w:rsidRPr="00AB2737">
        <w:t xml:space="preserve">2.2 </w:t>
      </w:r>
      <w:r w:rsidR="00D935CB" w:rsidRPr="00AB2737">
        <w:t>Strategic response</w:t>
      </w:r>
      <w:r w:rsidRPr="00AB2737">
        <w:t>s</w:t>
      </w:r>
      <w:r w:rsidR="00D935CB" w:rsidRPr="00AB2737">
        <w:t xml:space="preserve"> of Toyota</w:t>
      </w:r>
      <w:bookmarkEnd w:id="10"/>
      <w:r w:rsidR="00D935CB" w:rsidRPr="00AB2737">
        <w:t xml:space="preserve"> </w:t>
      </w:r>
    </w:p>
    <w:p w14:paraId="1E0BB0C5" w14:textId="6E081170" w:rsidR="00D935C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Toyota</w:t>
      </w:r>
      <w:r w:rsidR="00155BCA" w:rsidRPr="00AB2737">
        <w:rPr>
          <w:rFonts w:ascii="Arial" w:eastAsia="Times New Roman" w:hAnsi="Arial" w:cs="Arial"/>
          <w:color w:val="000000" w:themeColor="text1"/>
          <w:sz w:val="24"/>
          <w:szCs w:val="24"/>
          <w:lang w:eastAsia="en-IN"/>
        </w:rPr>
        <w:t>, on the other hand,</w:t>
      </w:r>
      <w:r w:rsidRPr="00AB2737">
        <w:rPr>
          <w:rFonts w:ascii="Arial" w:eastAsia="Times New Roman" w:hAnsi="Arial" w:cs="Arial"/>
          <w:color w:val="000000" w:themeColor="text1"/>
          <w:sz w:val="24"/>
          <w:szCs w:val="24"/>
          <w:lang w:eastAsia="en-IN"/>
        </w:rPr>
        <w:t xml:space="preserve"> has also adopted a different strategic approach, which sheds light on the context of a follower company. As identified previously, focusing on fully electronic vehicles, Toyota has focused on hybrid technology as a solution of </w:t>
      </w:r>
      <w:r w:rsidR="00FB2C64" w:rsidRPr="00AB2737">
        <w:rPr>
          <w:rFonts w:ascii="Arial" w:eastAsia="Times New Roman" w:hAnsi="Arial" w:cs="Arial"/>
          <w:color w:val="000000" w:themeColor="text1"/>
          <w:sz w:val="24"/>
          <w:szCs w:val="24"/>
          <w:lang w:eastAsia="en-IN"/>
        </w:rPr>
        <w:t>environmental issues</w:t>
      </w:r>
      <w:r w:rsidRPr="00AB2737">
        <w:rPr>
          <w:rFonts w:ascii="Arial" w:eastAsia="Times New Roman" w:hAnsi="Arial" w:cs="Arial"/>
          <w:color w:val="000000" w:themeColor="text1"/>
          <w:sz w:val="24"/>
          <w:szCs w:val="24"/>
          <w:lang w:eastAsia="en-IN"/>
        </w:rPr>
        <w:t xml:space="preserve">. In Porter’s generic strategies framework, Toyota’s focus can be considered as a collaborative approach of differentiation and cost leadership. The Toyota production system allows for producing large-scale vehicles while ensuring competitive pricing and efficiency (Toyota, 2026). This system is among the most crucial strategic development form the company for gaining a cost advantage in the competitive market. Furthermore, the hybrid technology is also providing a differentiation approach for the company by providing enhanced fuel efficiency and reduced emissions. As per Hamzah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(2022), consumers who aim for environmentally aligned vehicles yet have concerns for charging infrastructure or battery aspects are more likely to purchase hybrid vehicles. The Global sale performance, as identified previously, is also identifying and supporting these strategic approaches. The 2024’s performance, through selling over 10.8 million vehicles in 2024, the company has been able to manage their position as a leader in the automobile manufacturing (Reuters, 2025).</w:t>
      </w:r>
    </w:p>
    <w:p w14:paraId="3EB0A734" w14:textId="1B6A3CB4" w:rsidR="00FE31E8"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Furthermore, the Ansoff Growth matrix can also support understanding the strategic direction of Toyota. Most of the growth for this company can be contributed through market penetration, in which existing products are sold more extensively in the already existing markets (Clarissia, 2020). Hybrid vehicles like the Toyota Prius </w:t>
      </w:r>
      <w:r w:rsidR="00FB2C64" w:rsidRPr="00AB2737">
        <w:rPr>
          <w:rFonts w:ascii="Arial" w:eastAsia="Times New Roman" w:hAnsi="Arial" w:cs="Arial"/>
          <w:color w:val="000000" w:themeColor="text1"/>
          <w:sz w:val="24"/>
          <w:szCs w:val="24"/>
          <w:lang w:eastAsia="en-IN"/>
        </w:rPr>
        <w:t>are</w:t>
      </w:r>
      <w:r w:rsidRPr="00AB2737">
        <w:rPr>
          <w:rFonts w:ascii="Arial" w:eastAsia="Times New Roman" w:hAnsi="Arial" w:cs="Arial"/>
          <w:color w:val="000000" w:themeColor="text1"/>
          <w:sz w:val="24"/>
          <w:szCs w:val="24"/>
          <w:lang w:eastAsia="en-IN"/>
        </w:rPr>
        <w:t xml:space="preserve"> among the most adapted hybrids by Toyota which is supported through their approach of constantly improving and reducing the cost of technology (</w:t>
      </w:r>
      <w:proofErr w:type="spellStart"/>
      <w:r w:rsidRPr="00AB2737">
        <w:rPr>
          <w:rFonts w:ascii="Arial" w:eastAsia="Times New Roman" w:hAnsi="Arial" w:cs="Arial"/>
          <w:color w:val="000000" w:themeColor="text1"/>
          <w:sz w:val="24"/>
          <w:szCs w:val="24"/>
          <w:lang w:eastAsia="en-IN"/>
        </w:rPr>
        <w:t>Tajitsu</w:t>
      </w:r>
      <w:proofErr w:type="spellEnd"/>
      <w:r w:rsidRPr="00AB2737">
        <w:rPr>
          <w:rFonts w:ascii="Arial" w:eastAsia="Times New Roman" w:hAnsi="Arial" w:cs="Arial"/>
          <w:color w:val="000000" w:themeColor="text1"/>
          <w:sz w:val="24"/>
          <w:szCs w:val="24"/>
          <w:lang w:eastAsia="en-IN"/>
        </w:rPr>
        <w:t xml:space="preserve"> </w:t>
      </w:r>
      <w:r w:rsidR="002D339D" w:rsidRPr="00AB2737">
        <w:rPr>
          <w:rFonts w:ascii="Arial" w:eastAsia="Times New Roman" w:hAnsi="Arial" w:cs="Arial"/>
          <w:i/>
          <w:color w:val="000000" w:themeColor="text1"/>
          <w:sz w:val="24"/>
          <w:szCs w:val="24"/>
          <w:lang w:eastAsia="en-IN"/>
        </w:rPr>
        <w:t>et al</w:t>
      </w:r>
      <w:r w:rsidRPr="00AB2737">
        <w:rPr>
          <w:rFonts w:ascii="Arial" w:eastAsia="Times New Roman" w:hAnsi="Arial" w:cs="Arial"/>
          <w:color w:val="000000" w:themeColor="text1"/>
          <w:sz w:val="24"/>
          <w:szCs w:val="24"/>
          <w:lang w:eastAsia="en-IN"/>
        </w:rPr>
        <w:t xml:space="preserve">., </w:t>
      </w:r>
      <w:r w:rsidRPr="00AB2737">
        <w:rPr>
          <w:rFonts w:ascii="Arial" w:eastAsia="Times New Roman" w:hAnsi="Arial" w:cs="Arial"/>
          <w:color w:val="000000" w:themeColor="text1"/>
          <w:sz w:val="24"/>
          <w:szCs w:val="24"/>
          <w:lang w:eastAsia="en-IN"/>
        </w:rPr>
        <w:lastRenderedPageBreak/>
        <w:t>2019). This approach also supports product development, especially via increased investment in battery-electric vehicles. Based on company disclosures, it can also be identified that Toyota is also focusing on expanding its EV production majorly in the coming years due to rising electric mobility demands (</w:t>
      </w:r>
      <w:proofErr w:type="spellStart"/>
      <w:r w:rsidR="00187224" w:rsidRPr="00AB2737">
        <w:rPr>
          <w:rFonts w:ascii="Arial" w:eastAsia="Times New Roman" w:hAnsi="Arial" w:cs="Arial"/>
          <w:color w:val="000000" w:themeColor="text1"/>
          <w:sz w:val="24"/>
          <w:szCs w:val="24"/>
          <w:lang w:eastAsia="en-IN"/>
        </w:rPr>
        <w:t>T</w:t>
      </w:r>
      <w:r w:rsidRPr="00AB2737">
        <w:rPr>
          <w:rFonts w:ascii="Arial" w:eastAsia="Times New Roman" w:hAnsi="Arial" w:cs="Arial"/>
          <w:color w:val="000000" w:themeColor="text1"/>
          <w:sz w:val="24"/>
          <w:szCs w:val="24"/>
          <w:lang w:eastAsia="en-IN"/>
        </w:rPr>
        <w:t>oyotaeu</w:t>
      </w:r>
      <w:proofErr w:type="spellEnd"/>
      <w:r w:rsidRPr="00AB2737">
        <w:rPr>
          <w:rFonts w:ascii="Arial" w:eastAsia="Times New Roman" w:hAnsi="Arial" w:cs="Arial"/>
          <w:color w:val="000000" w:themeColor="text1"/>
          <w:sz w:val="24"/>
          <w:szCs w:val="24"/>
          <w:lang w:eastAsia="en-IN"/>
        </w:rPr>
        <w:t xml:space="preserve">, 2025). This aspect is highlighting how follower organisations can gradually adapt to new technologies after ensuring market condition is stable and technological risks are reduced. </w:t>
      </w:r>
    </w:p>
    <w:p w14:paraId="41894165" w14:textId="50EB215E" w:rsidR="00D935CB" w:rsidRPr="00AB2737" w:rsidRDefault="00FE31E8"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Besides hybrid technology, Toyota has also begun to intensify its long-term electric strategy due to the significant development of the world electric vehicle market. Despite the conservative stance that the company has taken at the beginning concerning full battery electric vehicles, the company has recently declared its large investment in battery innovation, electric platforms, and sustainable mobility solutions</w:t>
      </w:r>
      <w:r w:rsidR="00187224" w:rsidRPr="00AB2737">
        <w:rPr>
          <w:rFonts w:ascii="Arial" w:eastAsia="Times New Roman" w:hAnsi="Arial" w:cs="Arial"/>
          <w:color w:val="000000" w:themeColor="text1"/>
          <w:sz w:val="24"/>
          <w:szCs w:val="24"/>
          <w:lang w:eastAsia="en-IN"/>
        </w:rPr>
        <w:t xml:space="preserve"> (</w:t>
      </w:r>
      <w:proofErr w:type="spellStart"/>
      <w:r w:rsidR="00187224" w:rsidRPr="00AB2737">
        <w:rPr>
          <w:rFonts w:ascii="Arial" w:eastAsia="Times New Roman" w:hAnsi="Arial" w:cs="Arial"/>
          <w:color w:val="000000" w:themeColor="text1"/>
          <w:sz w:val="24"/>
          <w:szCs w:val="24"/>
          <w:lang w:eastAsia="en-IN"/>
        </w:rPr>
        <w:t>Tajitsu</w:t>
      </w:r>
      <w:proofErr w:type="spellEnd"/>
      <w:r w:rsidR="00187224" w:rsidRPr="00AB2737">
        <w:rPr>
          <w:rFonts w:ascii="Arial" w:eastAsia="Times New Roman" w:hAnsi="Arial" w:cs="Arial"/>
          <w:color w:val="000000" w:themeColor="text1"/>
          <w:sz w:val="24"/>
          <w:szCs w:val="24"/>
          <w:lang w:eastAsia="en-IN"/>
        </w:rPr>
        <w:t xml:space="preserve"> </w:t>
      </w:r>
      <w:r w:rsidR="00187224" w:rsidRPr="00AB2737">
        <w:rPr>
          <w:rFonts w:ascii="Arial" w:eastAsia="Times New Roman" w:hAnsi="Arial" w:cs="Arial"/>
          <w:i/>
          <w:color w:val="000000" w:themeColor="text1"/>
          <w:sz w:val="24"/>
          <w:szCs w:val="24"/>
          <w:lang w:eastAsia="en-IN"/>
        </w:rPr>
        <w:t>et al</w:t>
      </w:r>
      <w:r w:rsidR="00187224" w:rsidRPr="00AB2737">
        <w:rPr>
          <w:rFonts w:ascii="Arial" w:eastAsia="Times New Roman" w:hAnsi="Arial" w:cs="Arial"/>
          <w:color w:val="000000" w:themeColor="text1"/>
          <w:sz w:val="24"/>
          <w:szCs w:val="24"/>
          <w:lang w:eastAsia="en-IN"/>
        </w:rPr>
        <w:t>., 2019)</w:t>
      </w:r>
      <w:r w:rsidRPr="00AB2737">
        <w:rPr>
          <w:rFonts w:ascii="Arial" w:eastAsia="Times New Roman" w:hAnsi="Arial" w:cs="Arial"/>
          <w:color w:val="000000" w:themeColor="text1"/>
          <w:sz w:val="24"/>
          <w:szCs w:val="24"/>
          <w:lang w:eastAsia="en-IN"/>
        </w:rPr>
        <w:t>. One of the strategies of Toyota is the creation of solid-state battery technology, which will have the ability to offer a quicker charge time, enhanced energy density and extended driving varieties than the traditional lithium-ion batteries. The innovations would be able to transform the future competitiveness of the Toyota in the EV market. Moreover, in its corporate strategy, Toyota still insists on sustainability and carbon neutrality. The company has already declared permanent environmental objectives that will help the company to become carbon neutral in its manufacturing activities and in the life cycle of its products. Through integrating hybrid leadership, incremental electric vehicle growth, and robust operational effectiveness, Toyota is strategizing itself to be competitive in the dynamic world of automobile manufacturing besides reducing technological and financial risks of a fast-changing industry</w:t>
      </w:r>
      <w:r w:rsidR="005C46F0" w:rsidRPr="00AB2737">
        <w:rPr>
          <w:rFonts w:ascii="Arial" w:eastAsia="Times New Roman" w:hAnsi="Arial" w:cs="Arial"/>
          <w:color w:val="000000" w:themeColor="text1"/>
          <w:sz w:val="24"/>
          <w:szCs w:val="24"/>
          <w:lang w:eastAsia="en-IN"/>
        </w:rPr>
        <w:t xml:space="preserve"> (Hamzah </w:t>
      </w:r>
      <w:r w:rsidR="005C46F0" w:rsidRPr="00AB2737">
        <w:rPr>
          <w:rFonts w:ascii="Arial" w:eastAsia="Times New Roman" w:hAnsi="Arial" w:cs="Arial"/>
          <w:i/>
          <w:color w:val="000000" w:themeColor="text1"/>
          <w:sz w:val="24"/>
          <w:szCs w:val="24"/>
          <w:lang w:eastAsia="en-IN"/>
        </w:rPr>
        <w:t>et al</w:t>
      </w:r>
      <w:r w:rsidR="005C46F0" w:rsidRPr="00AB2737">
        <w:rPr>
          <w:rFonts w:ascii="Arial" w:eastAsia="Times New Roman" w:hAnsi="Arial" w:cs="Arial"/>
          <w:color w:val="000000" w:themeColor="text1"/>
          <w:sz w:val="24"/>
          <w:szCs w:val="24"/>
          <w:lang w:eastAsia="en-IN"/>
        </w:rPr>
        <w:t>., 2022)</w:t>
      </w:r>
      <w:r w:rsidRPr="00AB2737">
        <w:rPr>
          <w:rFonts w:ascii="Arial" w:eastAsia="Times New Roman" w:hAnsi="Arial" w:cs="Arial"/>
          <w:color w:val="000000" w:themeColor="text1"/>
          <w:sz w:val="24"/>
          <w:szCs w:val="24"/>
          <w:lang w:eastAsia="en-IN"/>
        </w:rPr>
        <w:t xml:space="preserve">. </w:t>
      </w:r>
      <w:r w:rsidR="00D935CB" w:rsidRPr="00AB2737">
        <w:rPr>
          <w:rFonts w:ascii="Arial" w:eastAsia="Times New Roman" w:hAnsi="Arial" w:cs="Arial"/>
          <w:color w:val="000000" w:themeColor="text1"/>
          <w:sz w:val="24"/>
          <w:szCs w:val="24"/>
          <w:lang w:eastAsia="en-IN"/>
        </w:rPr>
        <w:t>Thus, Toyota’s strategic response sheds light on stability, gradual adaptation of technology, and efficiency. Through utilising enhanced production capabilities and a solid brand reputation, it can ensure to maintain the competitive advantage in global changing automotive sector.</w:t>
      </w:r>
    </w:p>
    <w:p w14:paraId="499E92A3" w14:textId="77777777" w:rsidR="00D935CB" w:rsidRPr="00AB2737" w:rsidRDefault="00D935CB" w:rsidP="00AB2737">
      <w:pPr>
        <w:pStyle w:val="Heading1"/>
        <w:rPr>
          <w:rFonts w:eastAsia="Times New Roman" w:cs="Arial"/>
          <w:sz w:val="24"/>
          <w:szCs w:val="24"/>
          <w:lang w:eastAsia="en-IN"/>
        </w:rPr>
      </w:pPr>
      <w:bookmarkStart w:id="11" w:name="_Toc223947153"/>
      <w:r w:rsidRPr="00AB2737">
        <w:rPr>
          <w:rFonts w:eastAsia="Times New Roman" w:cs="Arial"/>
          <w:sz w:val="24"/>
          <w:szCs w:val="24"/>
          <w:lang w:eastAsia="en-IN"/>
        </w:rPr>
        <w:t>Conclusion</w:t>
      </w:r>
      <w:bookmarkEnd w:id="11"/>
    </w:p>
    <w:p w14:paraId="636C53F9" w14:textId="3353B8DA" w:rsidR="00127CAB" w:rsidRPr="00AB2737" w:rsidRDefault="00D935CB" w:rsidP="00AB2737">
      <w:pPr>
        <w:spacing w:after="120" w:line="360" w:lineRule="auto"/>
        <w:jc w:val="both"/>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t xml:space="preserve">The above analysis has </w:t>
      </w:r>
      <w:r w:rsidR="00155BCA" w:rsidRPr="00AB2737">
        <w:rPr>
          <w:rFonts w:ascii="Arial" w:eastAsia="Times New Roman" w:hAnsi="Arial" w:cs="Arial"/>
          <w:color w:val="000000" w:themeColor="text1"/>
          <w:sz w:val="24"/>
          <w:szCs w:val="24"/>
          <w:lang w:eastAsia="en-IN"/>
        </w:rPr>
        <w:t xml:space="preserve">indicated </w:t>
      </w:r>
      <w:r w:rsidRPr="00AB2737">
        <w:rPr>
          <w:rFonts w:ascii="Arial" w:eastAsia="Times New Roman" w:hAnsi="Arial" w:cs="Arial"/>
          <w:color w:val="000000" w:themeColor="text1"/>
          <w:sz w:val="24"/>
          <w:szCs w:val="24"/>
          <w:lang w:eastAsia="en-IN"/>
        </w:rPr>
        <w:t xml:space="preserve">the fact that macro-environmental actors like technological innovation and environmental regulations majorly influence strategic marketing decisions in the automotive industry. For Nissan Motor, these external pressures were addressed </w:t>
      </w:r>
      <w:r w:rsidR="00A6782D" w:rsidRPr="00AB2737">
        <w:rPr>
          <w:rFonts w:ascii="Arial" w:eastAsia="Times New Roman" w:hAnsi="Arial" w:cs="Arial"/>
          <w:color w:val="000000" w:themeColor="text1"/>
          <w:sz w:val="24"/>
          <w:szCs w:val="24"/>
          <w:lang w:eastAsia="en-IN"/>
        </w:rPr>
        <w:t>through</w:t>
      </w:r>
      <w:r w:rsidRPr="00AB2737">
        <w:rPr>
          <w:rFonts w:ascii="Arial" w:eastAsia="Times New Roman" w:hAnsi="Arial" w:cs="Arial"/>
          <w:color w:val="000000" w:themeColor="text1"/>
          <w:sz w:val="24"/>
          <w:szCs w:val="24"/>
          <w:lang w:eastAsia="en-IN"/>
        </w:rPr>
        <w:t xml:space="preserve"> early EV technology investment and becoming a </w:t>
      </w:r>
      <w:r w:rsidRPr="00AB2737">
        <w:rPr>
          <w:rFonts w:ascii="Arial" w:eastAsia="Times New Roman" w:hAnsi="Arial" w:cs="Arial"/>
          <w:color w:val="000000" w:themeColor="text1"/>
          <w:sz w:val="24"/>
          <w:szCs w:val="24"/>
          <w:lang w:eastAsia="en-IN"/>
        </w:rPr>
        <w:lastRenderedPageBreak/>
        <w:t>pioneer in sustainable vehicles. While Toyota adapted a follower strategy, emphasising hybrid technology and ensuring gradual adaptation to electrification. Both the companies have implemented various strategic responses based on capability analysis and their market positioning. The research is showing that the capability to adapt to macro-environmental marketing change is crucial for sustained growth and maintaining competitive advantage in the rapidly shifting automotive industry.</w:t>
      </w:r>
    </w:p>
    <w:p w14:paraId="4DDE72B7" w14:textId="77777777" w:rsidR="002D339D" w:rsidRPr="00AB2737" w:rsidRDefault="002D339D" w:rsidP="00AB2737">
      <w:pPr>
        <w:spacing w:line="360" w:lineRule="auto"/>
        <w:rPr>
          <w:rFonts w:ascii="Arial" w:eastAsia="Times New Roman" w:hAnsi="Arial" w:cs="Arial"/>
          <w:color w:val="000000" w:themeColor="text1"/>
          <w:sz w:val="24"/>
          <w:szCs w:val="24"/>
          <w:lang w:eastAsia="en-IN"/>
        </w:rPr>
      </w:pPr>
      <w:r w:rsidRPr="00AB2737">
        <w:rPr>
          <w:rFonts w:ascii="Arial" w:eastAsia="Times New Roman" w:hAnsi="Arial" w:cs="Arial"/>
          <w:color w:val="000000" w:themeColor="text1"/>
          <w:sz w:val="24"/>
          <w:szCs w:val="24"/>
          <w:lang w:eastAsia="en-IN"/>
        </w:rPr>
        <w:br w:type="page"/>
      </w:r>
    </w:p>
    <w:p w14:paraId="69E3A89A" w14:textId="77777777" w:rsidR="002D339D" w:rsidRPr="00AB2737" w:rsidRDefault="002D339D" w:rsidP="00AB2737">
      <w:pPr>
        <w:pStyle w:val="Heading1"/>
        <w:rPr>
          <w:rFonts w:eastAsia="Times New Roman" w:cs="Arial"/>
          <w:sz w:val="24"/>
          <w:szCs w:val="24"/>
          <w:lang w:eastAsia="en-IN"/>
        </w:rPr>
      </w:pPr>
      <w:bookmarkStart w:id="12" w:name="_Toc223947154"/>
      <w:r w:rsidRPr="00AB2737">
        <w:rPr>
          <w:rFonts w:eastAsia="Times New Roman" w:cs="Arial"/>
          <w:sz w:val="24"/>
          <w:szCs w:val="24"/>
          <w:lang w:eastAsia="en-IN"/>
        </w:rPr>
        <w:lastRenderedPageBreak/>
        <w:t>References</w:t>
      </w:r>
      <w:bookmarkEnd w:id="12"/>
    </w:p>
    <w:p w14:paraId="3B073599" w14:textId="77777777" w:rsidR="00AB2737" w:rsidRPr="00AB2737" w:rsidRDefault="00AB2737" w:rsidP="00AB2737">
      <w:pPr>
        <w:spacing w:line="360" w:lineRule="auto"/>
        <w:jc w:val="both"/>
        <w:rPr>
          <w:rFonts w:ascii="Arial" w:hAnsi="Arial" w:cs="Arial"/>
          <w:color w:val="222222"/>
          <w:sz w:val="24"/>
          <w:szCs w:val="24"/>
          <w:shd w:val="clear" w:color="auto" w:fill="FFFFFF"/>
        </w:rPr>
      </w:pPr>
      <w:proofErr w:type="spellStart"/>
      <w:r w:rsidRPr="00AB2737">
        <w:rPr>
          <w:rFonts w:ascii="Arial" w:hAnsi="Arial" w:cs="Arial"/>
          <w:color w:val="222222"/>
          <w:sz w:val="24"/>
          <w:szCs w:val="24"/>
          <w:shd w:val="clear" w:color="auto" w:fill="FFFFFF"/>
        </w:rPr>
        <w:t>Akinsooto</w:t>
      </w:r>
      <w:proofErr w:type="spellEnd"/>
      <w:r w:rsidRPr="00AB2737">
        <w:rPr>
          <w:rFonts w:ascii="Arial" w:hAnsi="Arial" w:cs="Arial"/>
          <w:color w:val="222222"/>
          <w:sz w:val="24"/>
          <w:szCs w:val="24"/>
          <w:shd w:val="clear" w:color="auto" w:fill="FFFFFF"/>
        </w:rPr>
        <w:t xml:space="preserve">, O., </w:t>
      </w:r>
      <w:proofErr w:type="spellStart"/>
      <w:r w:rsidRPr="00AB2737">
        <w:rPr>
          <w:rFonts w:ascii="Arial" w:hAnsi="Arial" w:cs="Arial"/>
          <w:color w:val="222222"/>
          <w:sz w:val="24"/>
          <w:szCs w:val="24"/>
          <w:shd w:val="clear" w:color="auto" w:fill="FFFFFF"/>
        </w:rPr>
        <w:t>Ogunnowo</w:t>
      </w:r>
      <w:proofErr w:type="spellEnd"/>
      <w:r w:rsidRPr="00AB2737">
        <w:rPr>
          <w:rFonts w:ascii="Arial" w:hAnsi="Arial" w:cs="Arial"/>
          <w:color w:val="222222"/>
          <w:sz w:val="24"/>
          <w:szCs w:val="24"/>
          <w:shd w:val="clear" w:color="auto" w:fill="FFFFFF"/>
        </w:rPr>
        <w:t xml:space="preserve">, E.O. and </w:t>
      </w:r>
      <w:proofErr w:type="spellStart"/>
      <w:r w:rsidRPr="00AB2737">
        <w:rPr>
          <w:rFonts w:ascii="Arial" w:hAnsi="Arial" w:cs="Arial"/>
          <w:color w:val="222222"/>
          <w:sz w:val="24"/>
          <w:szCs w:val="24"/>
          <w:shd w:val="clear" w:color="auto" w:fill="FFFFFF"/>
        </w:rPr>
        <w:t>Ezeanochie</w:t>
      </w:r>
      <w:proofErr w:type="spellEnd"/>
      <w:r w:rsidRPr="00AB2737">
        <w:rPr>
          <w:rFonts w:ascii="Arial" w:hAnsi="Arial" w:cs="Arial"/>
          <w:color w:val="222222"/>
          <w:sz w:val="24"/>
          <w:szCs w:val="24"/>
          <w:shd w:val="clear" w:color="auto" w:fill="FFFFFF"/>
        </w:rPr>
        <w:t>, C.C., (2025). The evolution of electric vehicles: A review of USA and global trends. </w:t>
      </w:r>
      <w:r w:rsidRPr="00AB2737">
        <w:rPr>
          <w:rFonts w:ascii="Arial" w:hAnsi="Arial" w:cs="Arial"/>
          <w:i/>
          <w:iCs/>
          <w:color w:val="222222"/>
          <w:sz w:val="24"/>
          <w:szCs w:val="24"/>
          <w:shd w:val="clear" w:color="auto" w:fill="FFFFFF"/>
        </w:rPr>
        <w:t>World Scientific News</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202</w:t>
      </w:r>
      <w:r w:rsidRPr="00AB2737">
        <w:rPr>
          <w:rFonts w:ascii="Arial" w:hAnsi="Arial" w:cs="Arial"/>
          <w:color w:val="222222"/>
          <w:sz w:val="24"/>
          <w:szCs w:val="24"/>
          <w:shd w:val="clear" w:color="auto" w:fill="FFFFFF"/>
        </w:rPr>
        <w:t>, pp.144-159.</w:t>
      </w:r>
      <w:r w:rsidRPr="00AB2737">
        <w:rPr>
          <w:rFonts w:ascii="Arial" w:hAnsi="Arial" w:cs="Arial"/>
          <w:sz w:val="24"/>
          <w:szCs w:val="24"/>
        </w:rPr>
        <w:t xml:space="preserve"> </w:t>
      </w:r>
      <w:hyperlink r:id="rId12" w:history="1">
        <w:r w:rsidRPr="00AB2737">
          <w:rPr>
            <w:rStyle w:val="Hyperlink"/>
            <w:rFonts w:ascii="Arial" w:hAnsi="Arial" w:cs="Arial"/>
            <w:sz w:val="24"/>
            <w:szCs w:val="24"/>
            <w:shd w:val="clear" w:color="auto" w:fill="FFFFFF"/>
          </w:rPr>
          <w:t>https://worldscientificnews.com/wp-content/uploads/2025/04/WSN-202-2025-144-159.pdf</w:t>
        </w:r>
      </w:hyperlink>
    </w:p>
    <w:p w14:paraId="1EA008F3"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Axsen</w:t>
      </w:r>
      <w:proofErr w:type="spellEnd"/>
      <w:r w:rsidRPr="00AB2737">
        <w:rPr>
          <w:rFonts w:ascii="Arial" w:hAnsi="Arial" w:cs="Arial"/>
          <w:sz w:val="24"/>
          <w:szCs w:val="24"/>
        </w:rPr>
        <w:t xml:space="preserve">, J., </w:t>
      </w:r>
      <w:proofErr w:type="spellStart"/>
      <w:r w:rsidRPr="00AB2737">
        <w:rPr>
          <w:rFonts w:ascii="Arial" w:hAnsi="Arial" w:cs="Arial"/>
          <w:sz w:val="24"/>
          <w:szCs w:val="24"/>
        </w:rPr>
        <w:t>Plötz</w:t>
      </w:r>
      <w:proofErr w:type="spellEnd"/>
      <w:r w:rsidRPr="00AB2737">
        <w:rPr>
          <w:rFonts w:ascii="Arial" w:hAnsi="Arial" w:cs="Arial"/>
          <w:sz w:val="24"/>
          <w:szCs w:val="24"/>
        </w:rPr>
        <w:t xml:space="preserve">, P. and </w:t>
      </w:r>
      <w:proofErr w:type="spellStart"/>
      <w:r w:rsidRPr="00AB2737">
        <w:rPr>
          <w:rFonts w:ascii="Arial" w:hAnsi="Arial" w:cs="Arial"/>
          <w:sz w:val="24"/>
          <w:szCs w:val="24"/>
        </w:rPr>
        <w:t>Wolinetz</w:t>
      </w:r>
      <w:proofErr w:type="spellEnd"/>
      <w:r w:rsidRPr="00AB2737">
        <w:rPr>
          <w:rFonts w:ascii="Arial" w:hAnsi="Arial" w:cs="Arial"/>
          <w:sz w:val="24"/>
          <w:szCs w:val="24"/>
        </w:rPr>
        <w:t xml:space="preserve">, M., (2020). Crafting strong, integrated policy mixes for deep CO2 mitigation in road transport. </w:t>
      </w:r>
      <w:r w:rsidRPr="00AB2737">
        <w:rPr>
          <w:rFonts w:ascii="Arial" w:hAnsi="Arial" w:cs="Arial"/>
          <w:i/>
          <w:iCs/>
          <w:sz w:val="24"/>
          <w:szCs w:val="24"/>
        </w:rPr>
        <w:t>Nature Climate Change, 10</w:t>
      </w:r>
      <w:r w:rsidRPr="00AB2737">
        <w:rPr>
          <w:rFonts w:ascii="Arial" w:hAnsi="Arial" w:cs="Arial"/>
          <w:sz w:val="24"/>
          <w:szCs w:val="24"/>
        </w:rPr>
        <w:t xml:space="preserve">(9), pp.809-818. </w:t>
      </w:r>
      <w:hyperlink r:id="rId13" w:history="1">
        <w:r w:rsidRPr="00AB2737">
          <w:rPr>
            <w:rStyle w:val="Hyperlink"/>
            <w:rFonts w:ascii="Arial" w:hAnsi="Arial" w:cs="Arial"/>
            <w:sz w:val="24"/>
            <w:szCs w:val="24"/>
          </w:rPr>
          <w:t>https://www.nature.com/articles/s41558-020-0877-y</w:t>
        </w:r>
      </w:hyperlink>
      <w:r w:rsidRPr="00AB2737">
        <w:rPr>
          <w:rFonts w:ascii="Arial" w:hAnsi="Arial" w:cs="Arial"/>
          <w:sz w:val="24"/>
          <w:szCs w:val="24"/>
        </w:rPr>
        <w:t xml:space="preserve"> </w:t>
      </w:r>
    </w:p>
    <w:p w14:paraId="7C8407FF"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t>Bagheri, S., Huang, Y., Walker, P.D., Zhou, J.L. and Surawski, N.C., (2021). Strategies for improving the emission performance of hybrid electric vehicles. </w:t>
      </w:r>
      <w:r w:rsidRPr="00AB2737">
        <w:rPr>
          <w:rFonts w:ascii="Arial" w:hAnsi="Arial" w:cs="Arial"/>
          <w:i/>
          <w:iCs/>
          <w:color w:val="222222"/>
          <w:sz w:val="24"/>
          <w:szCs w:val="24"/>
          <w:shd w:val="clear" w:color="auto" w:fill="FFFFFF"/>
        </w:rPr>
        <w:t>Science of the total environment</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771</w:t>
      </w:r>
      <w:r w:rsidRPr="00AB2737">
        <w:rPr>
          <w:rFonts w:ascii="Arial" w:hAnsi="Arial" w:cs="Arial"/>
          <w:color w:val="222222"/>
          <w:sz w:val="24"/>
          <w:szCs w:val="24"/>
          <w:shd w:val="clear" w:color="auto" w:fill="FFFFFF"/>
        </w:rPr>
        <w:t xml:space="preserve">, p.144901. </w:t>
      </w:r>
      <w:hyperlink r:id="rId14" w:history="1">
        <w:r w:rsidRPr="00AB2737">
          <w:rPr>
            <w:rStyle w:val="Hyperlink"/>
            <w:rFonts w:ascii="Arial" w:hAnsi="Arial" w:cs="Arial"/>
            <w:sz w:val="24"/>
            <w:szCs w:val="24"/>
            <w:shd w:val="clear" w:color="auto" w:fill="FFFFFF"/>
          </w:rPr>
          <w:t>https://opus.lib.uts.edu.au/bitstream/10453/145754/2/Binder1.pdf</w:t>
        </w:r>
      </w:hyperlink>
      <w:r w:rsidRPr="00AB2737">
        <w:rPr>
          <w:rFonts w:ascii="Arial" w:hAnsi="Arial" w:cs="Arial"/>
          <w:color w:val="222222"/>
          <w:sz w:val="24"/>
          <w:szCs w:val="24"/>
          <w:shd w:val="clear" w:color="auto" w:fill="FFFFFF"/>
        </w:rPr>
        <w:t xml:space="preserve"> </w:t>
      </w:r>
    </w:p>
    <w:p w14:paraId="7033CAE7"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t>Clarissia, S.M.S., (2020). A study on Ansoff Matrix Technique: As a growth strategy and an adaptive learning technique adopted in the leading brand of products. </w:t>
      </w:r>
      <w:r w:rsidRPr="00AB2737">
        <w:rPr>
          <w:rFonts w:ascii="Arial" w:hAnsi="Arial" w:cs="Arial"/>
          <w:i/>
          <w:iCs/>
          <w:color w:val="222222"/>
          <w:sz w:val="24"/>
          <w:szCs w:val="24"/>
          <w:shd w:val="clear" w:color="auto" w:fill="FFFFFF"/>
        </w:rPr>
        <w:t>BIMS Journal of Management</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18</w:t>
      </w:r>
      <w:r w:rsidRPr="00AB2737">
        <w:rPr>
          <w:rFonts w:ascii="Arial" w:hAnsi="Arial" w:cs="Arial"/>
          <w:color w:val="222222"/>
          <w:sz w:val="24"/>
          <w:szCs w:val="24"/>
          <w:shd w:val="clear" w:color="auto" w:fill="FFFFFF"/>
        </w:rPr>
        <w:t xml:space="preserve">. </w:t>
      </w:r>
      <w:hyperlink r:id="rId15" w:anchor="page=26" w:history="1">
        <w:r w:rsidRPr="00AB2737">
          <w:rPr>
            <w:rStyle w:val="Hyperlink"/>
            <w:rFonts w:ascii="Arial" w:hAnsi="Arial" w:cs="Arial"/>
            <w:sz w:val="24"/>
            <w:szCs w:val="24"/>
            <w:shd w:val="clear" w:color="auto" w:fill="FFFFFF"/>
          </w:rPr>
          <w:t>https://bimskol.org/pdf/E-copy-BIMS-Journal-Management-Kolkata-Vol5-Issue-1-July-2020.pdf#page=26</w:t>
        </w:r>
      </w:hyperlink>
      <w:r w:rsidRPr="00AB2737">
        <w:rPr>
          <w:rFonts w:ascii="Arial" w:hAnsi="Arial" w:cs="Arial"/>
          <w:color w:val="222222"/>
          <w:sz w:val="24"/>
          <w:szCs w:val="24"/>
          <w:shd w:val="clear" w:color="auto" w:fill="FFFFFF"/>
        </w:rPr>
        <w:t xml:space="preserve"> </w:t>
      </w:r>
    </w:p>
    <w:p w14:paraId="0DFBF722"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t>Dzienis, A.M. and McCaleb, A., (2025). Digital and green transitions and automotive industry reconfiguration: evidence from Japan and China. </w:t>
      </w:r>
      <w:r w:rsidRPr="00AB2737">
        <w:rPr>
          <w:rFonts w:ascii="Arial" w:hAnsi="Arial" w:cs="Arial"/>
          <w:i/>
          <w:iCs/>
          <w:color w:val="222222"/>
          <w:sz w:val="24"/>
          <w:szCs w:val="24"/>
          <w:shd w:val="clear" w:color="auto" w:fill="FFFFFF"/>
        </w:rPr>
        <w:t>Journal of Contemporary Asia</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55</w:t>
      </w:r>
      <w:r w:rsidRPr="00AB2737">
        <w:rPr>
          <w:rFonts w:ascii="Arial" w:hAnsi="Arial" w:cs="Arial"/>
          <w:color w:val="222222"/>
          <w:sz w:val="24"/>
          <w:szCs w:val="24"/>
          <w:shd w:val="clear" w:color="auto" w:fill="FFFFFF"/>
        </w:rPr>
        <w:t>(4), pp.618-644.</w:t>
      </w:r>
      <w:r w:rsidRPr="00AB2737">
        <w:rPr>
          <w:rFonts w:ascii="Arial" w:hAnsi="Arial" w:cs="Arial"/>
          <w:sz w:val="24"/>
          <w:szCs w:val="24"/>
        </w:rPr>
        <w:t xml:space="preserve"> </w:t>
      </w:r>
      <w:hyperlink r:id="rId16" w:history="1">
        <w:r w:rsidRPr="00AB2737">
          <w:rPr>
            <w:rStyle w:val="Hyperlink"/>
            <w:rFonts w:ascii="Arial" w:hAnsi="Arial" w:cs="Arial"/>
            <w:sz w:val="24"/>
            <w:szCs w:val="24"/>
            <w:shd w:val="clear" w:color="auto" w:fill="FFFFFF"/>
          </w:rPr>
          <w:t>https://www.tandfonline.com/doi/pdf/10.1080/00472336.2024.2384704</w:t>
        </w:r>
      </w:hyperlink>
    </w:p>
    <w:p w14:paraId="16448688"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t>Fan, J., Mehmood, S., Hussain, I., Nazir, S. and Basit, A., (2023). Transport infrastructure environmental performance: the role of stakeholders, technological integration, government policies and lean supply chain management. </w:t>
      </w:r>
      <w:r w:rsidRPr="00AB2737">
        <w:rPr>
          <w:rFonts w:ascii="Arial" w:hAnsi="Arial" w:cs="Arial"/>
          <w:i/>
          <w:iCs/>
          <w:color w:val="222222"/>
          <w:sz w:val="24"/>
          <w:szCs w:val="24"/>
          <w:shd w:val="clear" w:color="auto" w:fill="FFFFFF"/>
        </w:rPr>
        <w:t>Frontiers in Environmental Science</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11</w:t>
      </w:r>
      <w:r w:rsidRPr="00AB2737">
        <w:rPr>
          <w:rFonts w:ascii="Arial" w:hAnsi="Arial" w:cs="Arial"/>
          <w:color w:val="222222"/>
          <w:sz w:val="24"/>
          <w:szCs w:val="24"/>
          <w:shd w:val="clear" w:color="auto" w:fill="FFFFFF"/>
        </w:rPr>
        <w:t xml:space="preserve">, p.1322466. </w:t>
      </w:r>
      <w:hyperlink r:id="rId17" w:history="1">
        <w:r w:rsidRPr="00AB2737">
          <w:rPr>
            <w:rStyle w:val="Hyperlink"/>
            <w:rFonts w:ascii="Arial" w:hAnsi="Arial" w:cs="Arial"/>
            <w:sz w:val="24"/>
            <w:szCs w:val="24"/>
            <w:shd w:val="clear" w:color="auto" w:fill="FFFFFF"/>
          </w:rPr>
          <w:t>https://www.frontiersin.org/journals/environmental-science/articles/10.3389/fenvs.2023.1322466/pdf</w:t>
        </w:r>
      </w:hyperlink>
      <w:r w:rsidRPr="00AB2737">
        <w:rPr>
          <w:rFonts w:ascii="Arial" w:hAnsi="Arial" w:cs="Arial"/>
          <w:color w:val="222222"/>
          <w:sz w:val="24"/>
          <w:szCs w:val="24"/>
          <w:shd w:val="clear" w:color="auto" w:fill="FFFFFF"/>
        </w:rPr>
        <w:t xml:space="preserve"> </w:t>
      </w:r>
    </w:p>
    <w:p w14:paraId="5DE9C534"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t>Hamzah, M.I., Tanwir, N.S., Wahab, S.N. and Rashid, M.H.A., (2022). Consumer perceptions of hybrid electric vehicle adoption and the green automotive market: the Malaysian evidence. </w:t>
      </w:r>
      <w:r w:rsidRPr="00AB2737">
        <w:rPr>
          <w:rFonts w:ascii="Arial" w:hAnsi="Arial" w:cs="Arial"/>
          <w:i/>
          <w:iCs/>
          <w:color w:val="222222"/>
          <w:sz w:val="24"/>
          <w:szCs w:val="24"/>
          <w:shd w:val="clear" w:color="auto" w:fill="FFFFFF"/>
        </w:rPr>
        <w:t>Environment, Development and Sustainability</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24</w:t>
      </w:r>
      <w:r w:rsidRPr="00AB2737">
        <w:rPr>
          <w:rFonts w:ascii="Arial" w:hAnsi="Arial" w:cs="Arial"/>
          <w:color w:val="222222"/>
          <w:sz w:val="24"/>
          <w:szCs w:val="24"/>
          <w:shd w:val="clear" w:color="auto" w:fill="FFFFFF"/>
        </w:rPr>
        <w:t xml:space="preserve">(2), pp.1827-1851. </w:t>
      </w:r>
      <w:hyperlink r:id="rId18" w:history="1">
        <w:r w:rsidRPr="00AB2737">
          <w:rPr>
            <w:rStyle w:val="Hyperlink"/>
            <w:rFonts w:ascii="Arial" w:hAnsi="Arial" w:cs="Arial"/>
            <w:sz w:val="24"/>
            <w:szCs w:val="24"/>
            <w:shd w:val="clear" w:color="auto" w:fill="FFFFFF"/>
          </w:rPr>
          <w:t>https://www.researchgate.net/profile/Muhammad-Hamzah-7/publication/351609258_Consumer_perceptions_of_hybrid_electric_vehicle_adopti</w:t>
        </w:r>
        <w:r w:rsidRPr="00AB2737">
          <w:rPr>
            <w:rStyle w:val="Hyperlink"/>
            <w:rFonts w:ascii="Arial" w:hAnsi="Arial" w:cs="Arial"/>
            <w:sz w:val="24"/>
            <w:szCs w:val="24"/>
            <w:shd w:val="clear" w:color="auto" w:fill="FFFFFF"/>
          </w:rPr>
          <w:lastRenderedPageBreak/>
          <w:t>on_and_the_green_automotive_market_the_Malaysian_evidence/links/639047f511e9f00cda251db2/Consumer-perceptions-of-hybrid-electric-vehicle-adoption-and-the-green-automotive-market-the-Malaysian-evidence.pdf</w:t>
        </w:r>
      </w:hyperlink>
      <w:r w:rsidRPr="00AB2737">
        <w:rPr>
          <w:rFonts w:ascii="Arial" w:hAnsi="Arial" w:cs="Arial"/>
          <w:color w:val="222222"/>
          <w:sz w:val="24"/>
          <w:szCs w:val="24"/>
          <w:shd w:val="clear" w:color="auto" w:fill="FFFFFF"/>
        </w:rPr>
        <w:t xml:space="preserve"> </w:t>
      </w:r>
    </w:p>
    <w:p w14:paraId="6C3F45C3"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t>Hyun, J.H., (2025). The Role of Transnational Strategies in Advancing Quality Management: A Case Study of Toyota Motor Corporation. </w:t>
      </w:r>
      <w:r w:rsidRPr="00AB2737">
        <w:rPr>
          <w:rFonts w:ascii="Arial" w:hAnsi="Arial" w:cs="Arial"/>
          <w:i/>
          <w:iCs/>
          <w:color w:val="222222"/>
          <w:sz w:val="24"/>
          <w:szCs w:val="24"/>
          <w:shd w:val="clear" w:color="auto" w:fill="FFFFFF"/>
        </w:rPr>
        <w:t>Journal of Korean Society for Quality Management</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53</w:t>
      </w:r>
      <w:r w:rsidRPr="00AB2737">
        <w:rPr>
          <w:rFonts w:ascii="Arial" w:hAnsi="Arial" w:cs="Arial"/>
          <w:color w:val="222222"/>
          <w:sz w:val="24"/>
          <w:szCs w:val="24"/>
          <w:shd w:val="clear" w:color="auto" w:fill="FFFFFF"/>
        </w:rPr>
        <w:t>(1), pp.93-108.</w:t>
      </w:r>
      <w:r w:rsidRPr="00AB2737">
        <w:rPr>
          <w:rFonts w:ascii="Arial" w:hAnsi="Arial" w:cs="Arial"/>
          <w:sz w:val="24"/>
          <w:szCs w:val="24"/>
        </w:rPr>
        <w:t xml:space="preserve"> </w:t>
      </w:r>
      <w:hyperlink r:id="rId19" w:history="1">
        <w:r w:rsidRPr="00AB2737">
          <w:rPr>
            <w:rStyle w:val="Hyperlink"/>
            <w:rFonts w:ascii="Arial" w:hAnsi="Arial" w:cs="Arial"/>
            <w:sz w:val="24"/>
            <w:szCs w:val="24"/>
            <w:shd w:val="clear" w:color="auto" w:fill="FFFFFF"/>
          </w:rPr>
          <w:t>https://koreascience.kr/article/JAKO202517543203654.pdf</w:t>
        </w:r>
      </w:hyperlink>
    </w:p>
    <w:p w14:paraId="52643CEE" w14:textId="77777777" w:rsidR="00AB2737" w:rsidRPr="00AB2737" w:rsidRDefault="00AB2737" w:rsidP="00AB2737">
      <w:pPr>
        <w:spacing w:line="360" w:lineRule="auto"/>
        <w:jc w:val="both"/>
        <w:rPr>
          <w:rFonts w:ascii="Arial" w:hAnsi="Arial" w:cs="Arial"/>
          <w:sz w:val="24"/>
          <w:szCs w:val="24"/>
        </w:rPr>
      </w:pPr>
      <w:r w:rsidRPr="00AB2737">
        <w:rPr>
          <w:rFonts w:ascii="Arial" w:hAnsi="Arial" w:cs="Arial"/>
          <w:sz w:val="24"/>
          <w:szCs w:val="24"/>
        </w:rPr>
        <w:t xml:space="preserve">Jaeger, J., (2025). </w:t>
      </w:r>
      <w:r w:rsidRPr="00AB2737">
        <w:rPr>
          <w:rFonts w:ascii="Arial" w:hAnsi="Arial" w:cs="Arial"/>
          <w:i/>
          <w:iCs/>
          <w:sz w:val="24"/>
          <w:szCs w:val="24"/>
        </w:rPr>
        <w:t>These Countries Are Adopting Electric Vehicles the Fastest.</w:t>
      </w:r>
      <w:r w:rsidRPr="00AB2737">
        <w:rPr>
          <w:rFonts w:ascii="Arial" w:hAnsi="Arial" w:cs="Arial"/>
          <w:sz w:val="24"/>
          <w:szCs w:val="24"/>
        </w:rPr>
        <w:t xml:space="preserve"> Available at: </w:t>
      </w:r>
      <w:hyperlink r:id="rId20" w:history="1">
        <w:r w:rsidRPr="00AB2737">
          <w:rPr>
            <w:rStyle w:val="Hyperlink"/>
            <w:rFonts w:ascii="Arial" w:hAnsi="Arial" w:cs="Arial"/>
            <w:sz w:val="24"/>
            <w:szCs w:val="24"/>
          </w:rPr>
          <w:t>https://www.wri.org/insights/countries-adopting-electric-vehicles-fastest</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07.03.2026].</w:t>
      </w:r>
    </w:p>
    <w:p w14:paraId="6A82504C"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t xml:space="preserve">Kabure, L. and </w:t>
      </w:r>
      <w:proofErr w:type="spellStart"/>
      <w:r w:rsidRPr="00AB2737">
        <w:rPr>
          <w:rFonts w:ascii="Arial" w:hAnsi="Arial" w:cs="Arial"/>
          <w:color w:val="222222"/>
          <w:sz w:val="24"/>
          <w:szCs w:val="24"/>
          <w:shd w:val="clear" w:color="auto" w:fill="FFFFFF"/>
        </w:rPr>
        <w:t>Ragui</w:t>
      </w:r>
      <w:proofErr w:type="spellEnd"/>
      <w:r w:rsidRPr="00AB2737">
        <w:rPr>
          <w:rFonts w:ascii="Arial" w:hAnsi="Arial" w:cs="Arial"/>
          <w:color w:val="222222"/>
          <w:sz w:val="24"/>
          <w:szCs w:val="24"/>
          <w:shd w:val="clear" w:color="auto" w:fill="FFFFFF"/>
        </w:rPr>
        <w:t>, M., (2020). Porter’s Generic Strategies and Performance of Selected Automotive Firms in Nairobi City County, Kenya. </w:t>
      </w:r>
      <w:r w:rsidRPr="00AB2737">
        <w:rPr>
          <w:rFonts w:ascii="Arial" w:hAnsi="Arial" w:cs="Arial"/>
          <w:i/>
          <w:iCs/>
          <w:color w:val="222222"/>
          <w:sz w:val="24"/>
          <w:szCs w:val="24"/>
          <w:shd w:val="clear" w:color="auto" w:fill="FFFFFF"/>
        </w:rPr>
        <w:t>International Journal of Business Management, Entrepreneurship and Innovation</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2</w:t>
      </w:r>
      <w:r w:rsidRPr="00AB2737">
        <w:rPr>
          <w:rFonts w:ascii="Arial" w:hAnsi="Arial" w:cs="Arial"/>
          <w:color w:val="222222"/>
          <w:sz w:val="24"/>
          <w:szCs w:val="24"/>
          <w:shd w:val="clear" w:color="auto" w:fill="FFFFFF"/>
        </w:rPr>
        <w:t>(2), pp.49-63.</w:t>
      </w:r>
    </w:p>
    <w:p w14:paraId="244F6BA6"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nissan</w:t>
      </w:r>
      <w:proofErr w:type="spellEnd"/>
      <w:r w:rsidRPr="00AB2737">
        <w:rPr>
          <w:rFonts w:ascii="Arial" w:hAnsi="Arial" w:cs="Arial"/>
          <w:sz w:val="24"/>
          <w:szCs w:val="24"/>
        </w:rPr>
        <w:t xml:space="preserve">-global, (2020). </w:t>
      </w:r>
      <w:r w:rsidRPr="00AB2737">
        <w:rPr>
          <w:rFonts w:ascii="Arial" w:hAnsi="Arial" w:cs="Arial"/>
          <w:i/>
          <w:iCs/>
          <w:sz w:val="24"/>
          <w:szCs w:val="24"/>
        </w:rPr>
        <w:t>Behind Nissan's all-new EV crossover: Ariya</w:t>
      </w:r>
      <w:r w:rsidRPr="00AB2737">
        <w:rPr>
          <w:rFonts w:ascii="Arial" w:hAnsi="Arial" w:cs="Arial"/>
          <w:sz w:val="24"/>
          <w:szCs w:val="24"/>
        </w:rPr>
        <w:t xml:space="preserve">. Available at: </w:t>
      </w:r>
      <w:hyperlink r:id="rId21" w:history="1">
        <w:r w:rsidRPr="00AB2737">
          <w:rPr>
            <w:rStyle w:val="Hyperlink"/>
            <w:rFonts w:ascii="Arial" w:hAnsi="Arial" w:cs="Arial"/>
            <w:sz w:val="24"/>
            <w:szCs w:val="24"/>
          </w:rPr>
          <w:t>https://www.nissan-global.com/EN/STORIES/RELEASES/behind-ariya/</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01.03.2026].</w:t>
      </w:r>
    </w:p>
    <w:p w14:paraId="15E17255"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nissan</w:t>
      </w:r>
      <w:proofErr w:type="spellEnd"/>
      <w:r w:rsidRPr="00AB2737">
        <w:rPr>
          <w:rFonts w:ascii="Arial" w:hAnsi="Arial" w:cs="Arial"/>
          <w:sz w:val="24"/>
          <w:szCs w:val="24"/>
        </w:rPr>
        <w:t xml:space="preserve">-global, (2023). </w:t>
      </w:r>
      <w:r w:rsidRPr="00AB2737">
        <w:rPr>
          <w:rFonts w:ascii="Arial" w:hAnsi="Arial" w:cs="Arial"/>
          <w:i/>
          <w:iCs/>
          <w:sz w:val="24"/>
          <w:szCs w:val="24"/>
        </w:rPr>
        <w:t>Nissan Ambition 2030.</w:t>
      </w:r>
      <w:r w:rsidRPr="00AB2737">
        <w:rPr>
          <w:rFonts w:ascii="Arial" w:hAnsi="Arial" w:cs="Arial"/>
          <w:sz w:val="24"/>
          <w:szCs w:val="24"/>
        </w:rPr>
        <w:t xml:space="preserve"> Available at: </w:t>
      </w:r>
      <w:hyperlink r:id="rId22" w:history="1">
        <w:r w:rsidRPr="00AB2737">
          <w:rPr>
            <w:rStyle w:val="Hyperlink"/>
            <w:rFonts w:ascii="Arial" w:hAnsi="Arial" w:cs="Arial"/>
            <w:sz w:val="24"/>
            <w:szCs w:val="24"/>
          </w:rPr>
          <w:t>https://www.nissan-global.com/EN/COMPANY/PLAN/AMBITION2030/</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01.03.2026].</w:t>
      </w:r>
    </w:p>
    <w:p w14:paraId="04EBF51C"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nissan</w:t>
      </w:r>
      <w:proofErr w:type="spellEnd"/>
      <w:r w:rsidRPr="00AB2737">
        <w:rPr>
          <w:rFonts w:ascii="Arial" w:hAnsi="Arial" w:cs="Arial"/>
          <w:sz w:val="24"/>
          <w:szCs w:val="24"/>
        </w:rPr>
        <w:t xml:space="preserve">-global, (2026). </w:t>
      </w:r>
      <w:r w:rsidRPr="00AB2737">
        <w:rPr>
          <w:rFonts w:ascii="Arial" w:hAnsi="Arial" w:cs="Arial"/>
          <w:i/>
          <w:iCs/>
          <w:sz w:val="24"/>
          <w:szCs w:val="24"/>
        </w:rPr>
        <w:t>All-new Nissan Ariya electric crossover</w:t>
      </w:r>
      <w:r w:rsidRPr="00AB2737">
        <w:rPr>
          <w:rFonts w:ascii="Arial" w:hAnsi="Arial" w:cs="Arial"/>
          <w:sz w:val="24"/>
          <w:szCs w:val="24"/>
        </w:rPr>
        <w:t xml:space="preserve">. Available at: </w:t>
      </w:r>
      <w:hyperlink r:id="rId23" w:history="1">
        <w:r w:rsidRPr="00AB2737">
          <w:rPr>
            <w:rStyle w:val="Hyperlink"/>
            <w:rFonts w:ascii="Arial" w:hAnsi="Arial" w:cs="Arial"/>
            <w:sz w:val="24"/>
            <w:szCs w:val="24"/>
          </w:rPr>
          <w:t>https://www.nissan-global.com/EN/COMPANY/EVENTS/NISSAN_ARIYA/</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07.03.2026].</w:t>
      </w:r>
    </w:p>
    <w:p w14:paraId="6B26D88F"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Nissannews</w:t>
      </w:r>
      <w:proofErr w:type="spellEnd"/>
      <w:r w:rsidRPr="00AB2737">
        <w:rPr>
          <w:rFonts w:ascii="Arial" w:hAnsi="Arial" w:cs="Arial"/>
          <w:sz w:val="24"/>
          <w:szCs w:val="24"/>
        </w:rPr>
        <w:t xml:space="preserve">, (2023). </w:t>
      </w:r>
      <w:r w:rsidRPr="00AB2737">
        <w:rPr>
          <w:rFonts w:ascii="Arial" w:hAnsi="Arial" w:cs="Arial"/>
          <w:i/>
          <w:iCs/>
          <w:sz w:val="24"/>
          <w:szCs w:val="24"/>
        </w:rPr>
        <w:t>Nissan global EV sales surpass 1-million-unit milestone.</w:t>
      </w:r>
      <w:r w:rsidRPr="00AB2737">
        <w:rPr>
          <w:rFonts w:ascii="Arial" w:hAnsi="Arial" w:cs="Arial"/>
          <w:sz w:val="24"/>
          <w:szCs w:val="24"/>
        </w:rPr>
        <w:t xml:space="preserve"> Available at: </w:t>
      </w:r>
      <w:hyperlink r:id="rId24" w:history="1">
        <w:r w:rsidRPr="00AB2737">
          <w:rPr>
            <w:rStyle w:val="Hyperlink"/>
            <w:rFonts w:ascii="Arial" w:hAnsi="Arial" w:cs="Arial"/>
            <w:sz w:val="24"/>
            <w:szCs w:val="24"/>
          </w:rPr>
          <w:t>https://europe.nissannews.com/en-GB/releases/nissan-global-ev-sales-surpass-1-million-unit-milestone</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02.03.2026].</w:t>
      </w:r>
    </w:p>
    <w:p w14:paraId="4C4ED84A"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Nissannews</w:t>
      </w:r>
      <w:proofErr w:type="spellEnd"/>
      <w:r w:rsidRPr="00AB2737">
        <w:rPr>
          <w:rFonts w:ascii="Arial" w:hAnsi="Arial" w:cs="Arial"/>
          <w:sz w:val="24"/>
          <w:szCs w:val="24"/>
        </w:rPr>
        <w:t xml:space="preserve">, (2025). </w:t>
      </w:r>
      <w:r w:rsidRPr="00AB2737">
        <w:rPr>
          <w:rFonts w:ascii="Arial" w:hAnsi="Arial" w:cs="Arial"/>
          <w:i/>
          <w:iCs/>
          <w:sz w:val="24"/>
          <w:szCs w:val="24"/>
        </w:rPr>
        <w:t>Nissan reports financial results for fiscal year 2024.</w:t>
      </w:r>
      <w:r w:rsidRPr="00AB2737">
        <w:rPr>
          <w:rFonts w:ascii="Arial" w:hAnsi="Arial" w:cs="Arial"/>
          <w:sz w:val="24"/>
          <w:szCs w:val="24"/>
        </w:rPr>
        <w:t xml:space="preserve"> Available at: </w:t>
      </w:r>
      <w:hyperlink r:id="rId25" w:anchor=":~:text=Full%20year%20financial%20results,an%20operating%20margin%20of%200.6%25" w:history="1">
        <w:r w:rsidRPr="00AB2737">
          <w:rPr>
            <w:rStyle w:val="Hyperlink"/>
            <w:rFonts w:ascii="Arial" w:hAnsi="Arial" w:cs="Arial"/>
            <w:sz w:val="24"/>
            <w:szCs w:val="24"/>
          </w:rPr>
          <w:t>https://global.nissannews.com/en/releases/250513-01-e#:~:text=Full%20year%20financial%20results,an%20operating%20margin%20of%200.6%25</w:t>
        </w:r>
      </w:hyperlink>
      <w:r w:rsidRPr="00AB2737">
        <w:rPr>
          <w:rFonts w:ascii="Arial" w:hAnsi="Arial" w:cs="Arial"/>
          <w:sz w:val="24"/>
          <w:szCs w:val="24"/>
        </w:rPr>
        <w:t xml:space="preserve">. </w:t>
      </w:r>
      <w:r w:rsidRPr="00AB2737">
        <w:rPr>
          <w:rStyle w:val="Hyperlink"/>
          <w:rFonts w:ascii="Arial" w:hAnsi="Arial" w:cs="Arial"/>
          <w:color w:val="auto"/>
          <w:sz w:val="24"/>
          <w:szCs w:val="24"/>
          <w:u w:val="none"/>
        </w:rPr>
        <w:t>[Accessed on 03.03.2026].</w:t>
      </w:r>
    </w:p>
    <w:p w14:paraId="07CC6FEB" w14:textId="77777777" w:rsidR="00AB2737" w:rsidRPr="00AB2737" w:rsidRDefault="00AB2737" w:rsidP="00AB2737">
      <w:pPr>
        <w:spacing w:line="360" w:lineRule="auto"/>
        <w:jc w:val="both"/>
        <w:rPr>
          <w:rFonts w:ascii="Arial" w:hAnsi="Arial" w:cs="Arial"/>
          <w:color w:val="222222"/>
          <w:sz w:val="24"/>
          <w:szCs w:val="24"/>
          <w:shd w:val="clear" w:color="auto" w:fill="FFFFFF"/>
        </w:rPr>
      </w:pPr>
      <w:r w:rsidRPr="00AB2737">
        <w:rPr>
          <w:rFonts w:ascii="Arial" w:hAnsi="Arial" w:cs="Arial"/>
          <w:color w:val="222222"/>
          <w:sz w:val="24"/>
          <w:szCs w:val="24"/>
          <w:shd w:val="clear" w:color="auto" w:fill="FFFFFF"/>
        </w:rPr>
        <w:lastRenderedPageBreak/>
        <w:t>Oki, S. and Sato, Y., (2024). Nissan LEAF and e-POWER: Evolution of Motors and Inverters. </w:t>
      </w:r>
      <w:r w:rsidRPr="00AB2737">
        <w:rPr>
          <w:rFonts w:ascii="Arial" w:hAnsi="Arial" w:cs="Arial"/>
          <w:i/>
          <w:iCs/>
          <w:color w:val="222222"/>
          <w:sz w:val="24"/>
          <w:szCs w:val="24"/>
          <w:shd w:val="clear" w:color="auto" w:fill="FFFFFF"/>
        </w:rPr>
        <w:t>IEEJ Journal of Industry Applications</w:t>
      </w:r>
      <w:r w:rsidRPr="00AB2737">
        <w:rPr>
          <w:rFonts w:ascii="Arial" w:hAnsi="Arial" w:cs="Arial"/>
          <w:color w:val="222222"/>
          <w:sz w:val="24"/>
          <w:szCs w:val="24"/>
          <w:shd w:val="clear" w:color="auto" w:fill="FFFFFF"/>
        </w:rPr>
        <w:t>, </w:t>
      </w:r>
      <w:r w:rsidRPr="00AB2737">
        <w:rPr>
          <w:rFonts w:ascii="Arial" w:hAnsi="Arial" w:cs="Arial"/>
          <w:i/>
          <w:iCs/>
          <w:color w:val="222222"/>
          <w:sz w:val="24"/>
          <w:szCs w:val="24"/>
          <w:shd w:val="clear" w:color="auto" w:fill="FFFFFF"/>
        </w:rPr>
        <w:t>13</w:t>
      </w:r>
      <w:r w:rsidRPr="00AB2737">
        <w:rPr>
          <w:rFonts w:ascii="Arial" w:hAnsi="Arial" w:cs="Arial"/>
          <w:color w:val="222222"/>
          <w:sz w:val="24"/>
          <w:szCs w:val="24"/>
          <w:shd w:val="clear" w:color="auto" w:fill="FFFFFF"/>
        </w:rPr>
        <w:t>(1), pp.8-16.</w:t>
      </w:r>
      <w:r w:rsidRPr="00AB2737">
        <w:rPr>
          <w:rFonts w:ascii="Arial" w:hAnsi="Arial" w:cs="Arial"/>
          <w:sz w:val="24"/>
          <w:szCs w:val="24"/>
        </w:rPr>
        <w:t xml:space="preserve"> </w:t>
      </w:r>
      <w:hyperlink r:id="rId26" w:history="1">
        <w:r w:rsidRPr="00AB2737">
          <w:rPr>
            <w:rStyle w:val="Hyperlink"/>
            <w:rFonts w:ascii="Arial" w:hAnsi="Arial" w:cs="Arial"/>
            <w:sz w:val="24"/>
            <w:szCs w:val="24"/>
            <w:shd w:val="clear" w:color="auto" w:fill="FFFFFF"/>
          </w:rPr>
          <w:t>https://www.jstage.jst.go.jp/article/ieejjia/13/1/13_23006552/_pdf</w:t>
        </w:r>
      </w:hyperlink>
      <w:r w:rsidRPr="00AB2737">
        <w:rPr>
          <w:rStyle w:val="Hyperlink"/>
          <w:rFonts w:ascii="Arial" w:hAnsi="Arial" w:cs="Arial"/>
          <w:sz w:val="24"/>
          <w:szCs w:val="24"/>
          <w:shd w:val="clear" w:color="auto" w:fill="FFFFFF"/>
        </w:rPr>
        <w:t xml:space="preserve"> </w:t>
      </w:r>
    </w:p>
    <w:p w14:paraId="48EE4677" w14:textId="77777777" w:rsidR="00AB2737" w:rsidRPr="00AB2737" w:rsidRDefault="00AB2737" w:rsidP="00AB2737">
      <w:pPr>
        <w:spacing w:line="360" w:lineRule="auto"/>
        <w:jc w:val="both"/>
        <w:rPr>
          <w:rFonts w:ascii="Arial" w:hAnsi="Arial" w:cs="Arial"/>
          <w:sz w:val="24"/>
          <w:szCs w:val="24"/>
        </w:rPr>
      </w:pPr>
      <w:r w:rsidRPr="00AB2737">
        <w:rPr>
          <w:rFonts w:ascii="Arial" w:hAnsi="Arial" w:cs="Arial"/>
          <w:sz w:val="24"/>
          <w:szCs w:val="24"/>
        </w:rPr>
        <w:t xml:space="preserve">Phua </w:t>
      </w:r>
      <w:r w:rsidRPr="00AB2737">
        <w:rPr>
          <w:rFonts w:ascii="Arial" w:hAnsi="Arial" w:cs="Arial"/>
          <w:i/>
          <w:sz w:val="24"/>
          <w:szCs w:val="24"/>
        </w:rPr>
        <w:t>et al</w:t>
      </w:r>
      <w:r w:rsidRPr="00AB2737">
        <w:rPr>
          <w:rFonts w:ascii="Arial" w:hAnsi="Arial" w:cs="Arial"/>
          <w:sz w:val="24"/>
          <w:szCs w:val="24"/>
        </w:rPr>
        <w:t xml:space="preserve">., (2024). </w:t>
      </w:r>
      <w:r w:rsidRPr="00AB2737">
        <w:rPr>
          <w:rFonts w:ascii="Arial" w:hAnsi="Arial" w:cs="Arial"/>
          <w:i/>
          <w:iCs/>
          <w:sz w:val="24"/>
          <w:szCs w:val="24"/>
        </w:rPr>
        <w:t>Leading the Charge: EV Battery Supply Chains</w:t>
      </w:r>
      <w:r w:rsidRPr="00AB2737">
        <w:rPr>
          <w:rFonts w:ascii="Arial" w:hAnsi="Arial" w:cs="Arial"/>
          <w:sz w:val="24"/>
          <w:szCs w:val="24"/>
        </w:rPr>
        <w:t xml:space="preserve">. Available at: </w:t>
      </w:r>
      <w:hyperlink r:id="rId27" w:history="1">
        <w:r w:rsidRPr="00AB2737">
          <w:rPr>
            <w:rStyle w:val="Hyperlink"/>
            <w:rFonts w:ascii="Arial" w:hAnsi="Arial" w:cs="Arial"/>
            <w:sz w:val="24"/>
            <w:szCs w:val="24"/>
          </w:rPr>
          <w:t>https://www.lexology.com/library/detail.aspx?g=1931132b-8cbd-44fd-a30f-789eae41efd8</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07.03.2026].</w:t>
      </w:r>
    </w:p>
    <w:p w14:paraId="781210A1" w14:textId="3EF4F551" w:rsidR="00AB2737" w:rsidRPr="00AB2737" w:rsidRDefault="00AB2737" w:rsidP="00AB2737">
      <w:pPr>
        <w:spacing w:line="360" w:lineRule="auto"/>
        <w:jc w:val="both"/>
        <w:rPr>
          <w:rFonts w:ascii="Arial" w:hAnsi="Arial" w:cs="Arial"/>
          <w:sz w:val="24"/>
          <w:szCs w:val="24"/>
        </w:rPr>
      </w:pPr>
      <w:r w:rsidRPr="00AB2737">
        <w:rPr>
          <w:rFonts w:ascii="Arial" w:hAnsi="Arial" w:cs="Arial"/>
          <w:sz w:val="24"/>
          <w:szCs w:val="24"/>
        </w:rPr>
        <w:t xml:space="preserve">Reuters, (2025). </w:t>
      </w:r>
      <w:r w:rsidRPr="00AB2737">
        <w:rPr>
          <w:rFonts w:ascii="Arial" w:hAnsi="Arial" w:cs="Arial"/>
          <w:i/>
          <w:iCs/>
          <w:sz w:val="24"/>
          <w:szCs w:val="24"/>
        </w:rPr>
        <w:t>Toyota sells 10.8 million vehicles in 2024 to remain world's top-selling automaker.</w:t>
      </w:r>
      <w:r w:rsidRPr="00AB2737">
        <w:rPr>
          <w:rFonts w:ascii="Arial" w:hAnsi="Arial" w:cs="Arial"/>
          <w:sz w:val="24"/>
          <w:szCs w:val="24"/>
        </w:rPr>
        <w:t xml:space="preserve"> Available at: </w:t>
      </w:r>
      <w:hyperlink r:id="rId28" w:history="1">
        <w:r w:rsidRPr="00AB2737">
          <w:rPr>
            <w:rStyle w:val="Hyperlink"/>
            <w:rFonts w:ascii="Arial" w:hAnsi="Arial" w:cs="Arial"/>
            <w:sz w:val="24"/>
            <w:szCs w:val="24"/>
          </w:rPr>
          <w:t>https://www.reuters.com/business/autos-transportation/toyota-sells-108-million-vehicles-2024-remain-worlds-top-selling-automaker-2025-01-30/</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 xml:space="preserve">[Accessed on </w:t>
      </w:r>
      <w:r w:rsidR="00AB5594">
        <w:rPr>
          <w:rStyle w:val="Hyperlink"/>
          <w:rFonts w:ascii="Arial" w:hAnsi="Arial" w:cs="Arial"/>
          <w:color w:val="auto"/>
          <w:sz w:val="24"/>
          <w:szCs w:val="24"/>
          <w:u w:val="none"/>
        </w:rPr>
        <w:t>08</w:t>
      </w:r>
      <w:r w:rsidRPr="00AB2737">
        <w:rPr>
          <w:rStyle w:val="Hyperlink"/>
          <w:rFonts w:ascii="Arial" w:hAnsi="Arial" w:cs="Arial"/>
          <w:color w:val="auto"/>
          <w:sz w:val="24"/>
          <w:szCs w:val="24"/>
          <w:u w:val="none"/>
        </w:rPr>
        <w:t>.03.2026].</w:t>
      </w:r>
    </w:p>
    <w:p w14:paraId="6814E2AD" w14:textId="5E9E9AA0" w:rsidR="00AB2737" w:rsidRPr="00AB2737" w:rsidRDefault="00AB2737" w:rsidP="00AB2737">
      <w:pPr>
        <w:spacing w:line="360" w:lineRule="auto"/>
        <w:jc w:val="both"/>
        <w:rPr>
          <w:rFonts w:ascii="Arial" w:hAnsi="Arial" w:cs="Arial"/>
          <w:sz w:val="24"/>
          <w:szCs w:val="24"/>
        </w:rPr>
      </w:pPr>
      <w:r w:rsidRPr="00AB2737">
        <w:rPr>
          <w:rFonts w:ascii="Arial" w:hAnsi="Arial" w:cs="Arial"/>
          <w:sz w:val="24"/>
          <w:szCs w:val="24"/>
        </w:rPr>
        <w:t xml:space="preserve">Shirouzu, N., (2024). </w:t>
      </w:r>
      <w:r w:rsidRPr="00AB2737">
        <w:rPr>
          <w:rFonts w:ascii="Arial" w:hAnsi="Arial" w:cs="Arial"/>
          <w:i/>
          <w:iCs/>
          <w:sz w:val="24"/>
          <w:szCs w:val="24"/>
        </w:rPr>
        <w:t xml:space="preserve">Toyota bets big on hybrid-only models as EV demand slows. </w:t>
      </w:r>
      <w:r w:rsidRPr="00AB2737">
        <w:rPr>
          <w:rFonts w:ascii="Arial" w:hAnsi="Arial" w:cs="Arial"/>
          <w:sz w:val="24"/>
          <w:szCs w:val="24"/>
        </w:rPr>
        <w:t xml:space="preserve">Available at: </w:t>
      </w:r>
      <w:hyperlink r:id="rId29" w:history="1">
        <w:r w:rsidRPr="00AB2737">
          <w:rPr>
            <w:rStyle w:val="Hyperlink"/>
            <w:rFonts w:ascii="Arial" w:hAnsi="Arial" w:cs="Arial"/>
            <w:sz w:val="24"/>
            <w:szCs w:val="24"/>
          </w:rPr>
          <w:t>https://www.reuters.com/business/autos-transportation/toyota-bets-big-hybrid-only-models-ev-demand-slows-2024-08-15/</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 xml:space="preserve">[Accessed on </w:t>
      </w:r>
      <w:r w:rsidR="00AB5594">
        <w:rPr>
          <w:rStyle w:val="Hyperlink"/>
          <w:rFonts w:ascii="Arial" w:hAnsi="Arial" w:cs="Arial"/>
          <w:color w:val="auto"/>
          <w:sz w:val="24"/>
          <w:szCs w:val="24"/>
          <w:u w:val="none"/>
        </w:rPr>
        <w:t>10</w:t>
      </w:r>
      <w:r w:rsidRPr="00AB2737">
        <w:rPr>
          <w:rStyle w:val="Hyperlink"/>
          <w:rFonts w:ascii="Arial" w:hAnsi="Arial" w:cs="Arial"/>
          <w:color w:val="auto"/>
          <w:sz w:val="24"/>
          <w:szCs w:val="24"/>
          <w:u w:val="none"/>
        </w:rPr>
        <w:t>.03.2026].</w:t>
      </w:r>
    </w:p>
    <w:p w14:paraId="04490029"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Tajitsu</w:t>
      </w:r>
      <w:proofErr w:type="spellEnd"/>
      <w:r w:rsidRPr="00AB2737">
        <w:rPr>
          <w:rFonts w:ascii="Arial" w:hAnsi="Arial" w:cs="Arial"/>
          <w:sz w:val="24"/>
          <w:szCs w:val="24"/>
        </w:rPr>
        <w:t xml:space="preserve"> </w:t>
      </w:r>
      <w:r w:rsidRPr="00AB2737">
        <w:rPr>
          <w:rFonts w:ascii="Arial" w:hAnsi="Arial" w:cs="Arial"/>
          <w:i/>
          <w:sz w:val="24"/>
          <w:szCs w:val="24"/>
        </w:rPr>
        <w:t>et al</w:t>
      </w:r>
      <w:r w:rsidRPr="00AB2737">
        <w:rPr>
          <w:rFonts w:ascii="Arial" w:hAnsi="Arial" w:cs="Arial"/>
          <w:sz w:val="24"/>
          <w:szCs w:val="24"/>
        </w:rPr>
        <w:t xml:space="preserve">., (2019). </w:t>
      </w:r>
      <w:r w:rsidRPr="00AB2737">
        <w:rPr>
          <w:rFonts w:ascii="Arial" w:hAnsi="Arial" w:cs="Arial"/>
          <w:i/>
          <w:iCs/>
          <w:sz w:val="24"/>
          <w:szCs w:val="24"/>
        </w:rPr>
        <w:t>Exclusive: Toyota sees new business opportunity in leveraging hybrid tech.</w:t>
      </w:r>
      <w:r w:rsidRPr="00AB2737">
        <w:rPr>
          <w:rFonts w:ascii="Arial" w:hAnsi="Arial" w:cs="Arial"/>
          <w:sz w:val="24"/>
          <w:szCs w:val="24"/>
        </w:rPr>
        <w:t xml:space="preserve"> Available at: </w:t>
      </w:r>
      <w:hyperlink r:id="rId30" w:history="1">
        <w:r w:rsidRPr="00AB2737">
          <w:rPr>
            <w:rStyle w:val="Hyperlink"/>
            <w:rFonts w:ascii="Arial" w:hAnsi="Arial" w:cs="Arial"/>
            <w:sz w:val="24"/>
            <w:szCs w:val="24"/>
          </w:rPr>
          <w:t>https://www.reuters.com/article/world/exclusive-toyota-sees-new-business-opportunity-in-leveraging-hybrid-tech-idUSKCN1RO0ZM/</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05.03.2026].</w:t>
      </w:r>
    </w:p>
    <w:p w14:paraId="7F97DB4A" w14:textId="77777777" w:rsidR="00AB2737" w:rsidRPr="00AB2737" w:rsidRDefault="00AB2737" w:rsidP="00AB2737">
      <w:pPr>
        <w:spacing w:line="360" w:lineRule="auto"/>
        <w:jc w:val="both"/>
        <w:rPr>
          <w:rFonts w:ascii="Arial" w:hAnsi="Arial" w:cs="Arial"/>
          <w:sz w:val="24"/>
          <w:szCs w:val="24"/>
        </w:rPr>
      </w:pPr>
      <w:r w:rsidRPr="00AB2737">
        <w:rPr>
          <w:rFonts w:ascii="Arial" w:hAnsi="Arial" w:cs="Arial"/>
          <w:sz w:val="24"/>
          <w:szCs w:val="24"/>
        </w:rPr>
        <w:t xml:space="preserve">Toyota, (2025). </w:t>
      </w:r>
      <w:r w:rsidRPr="00AB2737">
        <w:rPr>
          <w:rFonts w:ascii="Arial" w:hAnsi="Arial" w:cs="Arial"/>
          <w:i/>
          <w:iCs/>
          <w:sz w:val="24"/>
          <w:szCs w:val="24"/>
        </w:rPr>
        <w:t>Toyota Motor North America Reports 2024 U.S. Sales Results.</w:t>
      </w:r>
      <w:r w:rsidRPr="00AB2737">
        <w:rPr>
          <w:rFonts w:ascii="Arial" w:hAnsi="Arial" w:cs="Arial"/>
          <w:sz w:val="24"/>
          <w:szCs w:val="24"/>
        </w:rPr>
        <w:t xml:space="preserve"> Available at: </w:t>
      </w:r>
      <w:hyperlink r:id="rId31" w:history="1">
        <w:r w:rsidRPr="00AB2737">
          <w:rPr>
            <w:rStyle w:val="Hyperlink"/>
            <w:rFonts w:ascii="Arial" w:hAnsi="Arial" w:cs="Arial"/>
            <w:sz w:val="24"/>
            <w:szCs w:val="24"/>
          </w:rPr>
          <w:t>https://pressroom.toyota.com/toyota-motor-north-america-reports-2024-u-s-sales-results/</w:t>
        </w:r>
      </w:hyperlink>
    </w:p>
    <w:p w14:paraId="7FC4A123" w14:textId="214265EC" w:rsidR="00AB2737" w:rsidRPr="00AB2737" w:rsidRDefault="00AB2737" w:rsidP="00AB2737">
      <w:pPr>
        <w:spacing w:line="360" w:lineRule="auto"/>
        <w:jc w:val="both"/>
        <w:rPr>
          <w:rFonts w:ascii="Arial" w:hAnsi="Arial" w:cs="Arial"/>
          <w:sz w:val="24"/>
          <w:szCs w:val="24"/>
        </w:rPr>
      </w:pPr>
      <w:r w:rsidRPr="00AB2737">
        <w:rPr>
          <w:rFonts w:ascii="Arial" w:hAnsi="Arial" w:cs="Arial"/>
          <w:sz w:val="24"/>
          <w:szCs w:val="24"/>
        </w:rPr>
        <w:t xml:space="preserve">Toyota, (2026). </w:t>
      </w:r>
      <w:r w:rsidRPr="00AB2737">
        <w:rPr>
          <w:rFonts w:ascii="Arial" w:hAnsi="Arial" w:cs="Arial"/>
          <w:i/>
          <w:iCs/>
          <w:sz w:val="24"/>
          <w:szCs w:val="24"/>
        </w:rPr>
        <w:t>Toyota Production System.</w:t>
      </w:r>
      <w:r w:rsidRPr="00AB2737">
        <w:rPr>
          <w:rFonts w:ascii="Arial" w:hAnsi="Arial" w:cs="Arial"/>
          <w:sz w:val="24"/>
          <w:szCs w:val="24"/>
        </w:rPr>
        <w:t xml:space="preserve"> Available at: </w:t>
      </w:r>
      <w:hyperlink r:id="rId32" w:history="1">
        <w:r w:rsidRPr="00AB2737">
          <w:rPr>
            <w:rStyle w:val="Hyperlink"/>
            <w:rFonts w:ascii="Arial" w:hAnsi="Arial" w:cs="Arial"/>
            <w:sz w:val="24"/>
            <w:szCs w:val="24"/>
          </w:rPr>
          <w:t>https://global.toyota/en/company/vision-and-philosophy/production-system/</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 xml:space="preserve">[Accessed on </w:t>
      </w:r>
      <w:r w:rsidR="00AB5594">
        <w:rPr>
          <w:rStyle w:val="Hyperlink"/>
          <w:rFonts w:ascii="Arial" w:hAnsi="Arial" w:cs="Arial"/>
          <w:color w:val="auto"/>
          <w:sz w:val="24"/>
          <w:szCs w:val="24"/>
          <w:u w:val="none"/>
        </w:rPr>
        <w:t>11</w:t>
      </w:r>
      <w:r w:rsidRPr="00AB2737">
        <w:rPr>
          <w:rStyle w:val="Hyperlink"/>
          <w:rFonts w:ascii="Arial" w:hAnsi="Arial" w:cs="Arial"/>
          <w:color w:val="auto"/>
          <w:sz w:val="24"/>
          <w:szCs w:val="24"/>
          <w:u w:val="none"/>
        </w:rPr>
        <w:t>.03.2026].</w:t>
      </w:r>
    </w:p>
    <w:p w14:paraId="3566B447" w14:textId="77777777" w:rsidR="00AB2737" w:rsidRPr="00AB2737" w:rsidRDefault="00AB2737" w:rsidP="00AB2737">
      <w:pPr>
        <w:spacing w:line="360" w:lineRule="auto"/>
        <w:jc w:val="both"/>
        <w:rPr>
          <w:rFonts w:ascii="Arial" w:hAnsi="Arial" w:cs="Arial"/>
          <w:sz w:val="24"/>
          <w:szCs w:val="24"/>
        </w:rPr>
      </w:pPr>
      <w:r w:rsidRPr="00AB2737">
        <w:rPr>
          <w:rFonts w:ascii="Arial" w:hAnsi="Arial" w:cs="Arial"/>
          <w:sz w:val="24"/>
          <w:szCs w:val="24"/>
        </w:rPr>
        <w:t xml:space="preserve">Toyota, F., (2023). </w:t>
      </w:r>
      <w:r w:rsidRPr="00AB2737">
        <w:rPr>
          <w:rFonts w:ascii="Arial" w:hAnsi="Arial" w:cs="Arial"/>
          <w:i/>
          <w:iCs/>
          <w:sz w:val="24"/>
          <w:szCs w:val="24"/>
        </w:rPr>
        <w:t>Toyota Hybrid Technology: Understanding the Benefits and Making the Switch.</w:t>
      </w:r>
      <w:r w:rsidRPr="00AB2737">
        <w:rPr>
          <w:rFonts w:ascii="Arial" w:hAnsi="Arial" w:cs="Arial"/>
          <w:sz w:val="24"/>
          <w:szCs w:val="24"/>
        </w:rPr>
        <w:t xml:space="preserve"> Available at: </w:t>
      </w:r>
      <w:hyperlink r:id="rId33" w:history="1">
        <w:r w:rsidRPr="00AB2737">
          <w:rPr>
            <w:rStyle w:val="Hyperlink"/>
            <w:rFonts w:ascii="Arial" w:hAnsi="Arial" w:cs="Arial"/>
            <w:sz w:val="24"/>
            <w:szCs w:val="24"/>
          </w:rPr>
          <w:t>https://www.florencetoyota.com/toyota-hybrid-technology-benefits-and-making-the-switch/</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07.03.2026].</w:t>
      </w:r>
    </w:p>
    <w:p w14:paraId="401EC54F" w14:textId="77777777" w:rsidR="00AB2737" w:rsidRPr="00AB2737" w:rsidRDefault="00AB2737" w:rsidP="00AB2737">
      <w:pPr>
        <w:spacing w:line="360" w:lineRule="auto"/>
        <w:jc w:val="both"/>
        <w:rPr>
          <w:rFonts w:ascii="Arial" w:hAnsi="Arial" w:cs="Arial"/>
          <w:sz w:val="24"/>
          <w:szCs w:val="24"/>
        </w:rPr>
      </w:pPr>
      <w:proofErr w:type="spellStart"/>
      <w:r w:rsidRPr="00AB2737">
        <w:rPr>
          <w:rFonts w:ascii="Arial" w:hAnsi="Arial" w:cs="Arial"/>
          <w:sz w:val="24"/>
          <w:szCs w:val="24"/>
        </w:rPr>
        <w:t>toyotaeu</w:t>
      </w:r>
      <w:proofErr w:type="spellEnd"/>
      <w:r w:rsidRPr="00AB2737">
        <w:rPr>
          <w:rFonts w:ascii="Arial" w:hAnsi="Arial" w:cs="Arial"/>
          <w:sz w:val="24"/>
          <w:szCs w:val="24"/>
        </w:rPr>
        <w:t xml:space="preserve">, (2025). </w:t>
      </w:r>
      <w:r w:rsidRPr="00AB2737">
        <w:rPr>
          <w:rFonts w:ascii="Arial" w:hAnsi="Arial" w:cs="Arial"/>
          <w:i/>
          <w:iCs/>
          <w:sz w:val="24"/>
          <w:szCs w:val="24"/>
        </w:rPr>
        <w:t>Toyota announces new battery electric vehicle to be produced in Europe.</w:t>
      </w:r>
      <w:r w:rsidRPr="00AB2737">
        <w:rPr>
          <w:rFonts w:ascii="Arial" w:hAnsi="Arial" w:cs="Arial"/>
          <w:sz w:val="24"/>
          <w:szCs w:val="24"/>
        </w:rPr>
        <w:t xml:space="preserve"> Available at: </w:t>
      </w:r>
      <w:hyperlink r:id="rId34" w:history="1">
        <w:r w:rsidRPr="00AB2737">
          <w:rPr>
            <w:rStyle w:val="Hyperlink"/>
            <w:rFonts w:ascii="Arial" w:hAnsi="Arial" w:cs="Arial"/>
            <w:sz w:val="24"/>
            <w:szCs w:val="24"/>
          </w:rPr>
          <w:t>https://newsroom.toyota.eu/toyota-announces-new-battery-electric-vehicle-to-be-produced-in-europe/</w:t>
        </w:r>
      </w:hyperlink>
      <w:r w:rsidRPr="00AB2737">
        <w:rPr>
          <w:rStyle w:val="Hyperlink"/>
          <w:rFonts w:ascii="Arial" w:hAnsi="Arial" w:cs="Arial"/>
          <w:sz w:val="24"/>
          <w:szCs w:val="24"/>
        </w:rPr>
        <w:t xml:space="preserve"> </w:t>
      </w:r>
      <w:r w:rsidRPr="00AB2737">
        <w:rPr>
          <w:rStyle w:val="Hyperlink"/>
          <w:rFonts w:ascii="Arial" w:hAnsi="Arial" w:cs="Arial"/>
          <w:color w:val="auto"/>
          <w:sz w:val="24"/>
          <w:szCs w:val="24"/>
          <w:u w:val="none"/>
        </w:rPr>
        <w:t>[Accessed on 02.03.2026].</w:t>
      </w:r>
    </w:p>
    <w:sectPr w:rsidR="00AB2737" w:rsidRPr="00AB2737" w:rsidSect="00A159D5">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EC555" w14:textId="77777777" w:rsidR="00892380" w:rsidRDefault="00892380" w:rsidP="00A159D5">
      <w:pPr>
        <w:spacing w:after="0" w:line="240" w:lineRule="auto"/>
      </w:pPr>
      <w:r>
        <w:separator/>
      </w:r>
    </w:p>
  </w:endnote>
  <w:endnote w:type="continuationSeparator" w:id="0">
    <w:p w14:paraId="7A36E36E" w14:textId="77777777" w:rsidR="00892380" w:rsidRDefault="00892380" w:rsidP="00A15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rPr>
      <w:id w:val="8691544"/>
      <w:docPartObj>
        <w:docPartGallery w:val="Page Numbers (Bottom of Page)"/>
        <w:docPartUnique/>
      </w:docPartObj>
    </w:sdtPr>
    <w:sdtEndPr/>
    <w:sdtContent>
      <w:p w14:paraId="3D085E64" w14:textId="77777777" w:rsidR="00A159D5" w:rsidRPr="00A159D5" w:rsidRDefault="00A159D5">
        <w:pPr>
          <w:pStyle w:val="Footer"/>
          <w:jc w:val="right"/>
          <w:rPr>
            <w:rFonts w:ascii="Arial" w:hAnsi="Arial" w:cs="Arial"/>
            <w:sz w:val="20"/>
          </w:rPr>
        </w:pPr>
        <w:r w:rsidRPr="00A159D5">
          <w:rPr>
            <w:rFonts w:ascii="Arial" w:hAnsi="Arial" w:cs="Arial"/>
            <w:sz w:val="20"/>
          </w:rPr>
          <w:fldChar w:fldCharType="begin"/>
        </w:r>
        <w:r w:rsidRPr="00A159D5">
          <w:rPr>
            <w:rFonts w:ascii="Arial" w:hAnsi="Arial" w:cs="Arial"/>
            <w:sz w:val="20"/>
          </w:rPr>
          <w:instrText xml:space="preserve"> PAGE   \* MERGEFORMAT </w:instrText>
        </w:r>
        <w:r w:rsidRPr="00A159D5">
          <w:rPr>
            <w:rFonts w:ascii="Arial" w:hAnsi="Arial" w:cs="Arial"/>
            <w:sz w:val="20"/>
          </w:rPr>
          <w:fldChar w:fldCharType="separate"/>
        </w:r>
        <w:r w:rsidR="00C00AB5">
          <w:rPr>
            <w:rFonts w:ascii="Arial" w:hAnsi="Arial" w:cs="Arial"/>
            <w:noProof/>
            <w:sz w:val="20"/>
          </w:rPr>
          <w:t>15</w:t>
        </w:r>
        <w:r w:rsidRPr="00A159D5">
          <w:rPr>
            <w:rFonts w:ascii="Arial" w:hAnsi="Arial" w:cs="Arial"/>
            <w:sz w:val="20"/>
          </w:rPr>
          <w:fldChar w:fldCharType="end"/>
        </w:r>
      </w:p>
    </w:sdtContent>
  </w:sdt>
  <w:p w14:paraId="0519F3EE" w14:textId="77777777" w:rsidR="00A159D5" w:rsidRDefault="00A15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C1CF6" w14:textId="77777777" w:rsidR="00892380" w:rsidRDefault="00892380" w:rsidP="00A159D5">
      <w:pPr>
        <w:spacing w:after="0" w:line="240" w:lineRule="auto"/>
      </w:pPr>
      <w:r>
        <w:separator/>
      </w:r>
    </w:p>
  </w:footnote>
  <w:footnote w:type="continuationSeparator" w:id="0">
    <w:p w14:paraId="100618C4" w14:textId="77777777" w:rsidR="00892380" w:rsidRDefault="00892380" w:rsidP="00A159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45748"/>
    <w:rsid w:val="000768E8"/>
    <w:rsid w:val="00086658"/>
    <w:rsid w:val="000A78BB"/>
    <w:rsid w:val="000C5F63"/>
    <w:rsid w:val="000D5CB7"/>
    <w:rsid w:val="0010706A"/>
    <w:rsid w:val="001241DE"/>
    <w:rsid w:val="00127CAB"/>
    <w:rsid w:val="00131293"/>
    <w:rsid w:val="00155BCA"/>
    <w:rsid w:val="001637AC"/>
    <w:rsid w:val="00177036"/>
    <w:rsid w:val="00187224"/>
    <w:rsid w:val="001D611D"/>
    <w:rsid w:val="00222877"/>
    <w:rsid w:val="0025564C"/>
    <w:rsid w:val="0027592B"/>
    <w:rsid w:val="002D17A6"/>
    <w:rsid w:val="002D339D"/>
    <w:rsid w:val="002D7C93"/>
    <w:rsid w:val="00327617"/>
    <w:rsid w:val="0034524F"/>
    <w:rsid w:val="003A5DEF"/>
    <w:rsid w:val="003C5A9B"/>
    <w:rsid w:val="003D3304"/>
    <w:rsid w:val="00411D63"/>
    <w:rsid w:val="00426985"/>
    <w:rsid w:val="004A00BC"/>
    <w:rsid w:val="00524E66"/>
    <w:rsid w:val="00566464"/>
    <w:rsid w:val="005902B1"/>
    <w:rsid w:val="005C0F89"/>
    <w:rsid w:val="005C1C6D"/>
    <w:rsid w:val="005C46F0"/>
    <w:rsid w:val="00625389"/>
    <w:rsid w:val="00644B59"/>
    <w:rsid w:val="0064735E"/>
    <w:rsid w:val="006A4494"/>
    <w:rsid w:val="006A46DE"/>
    <w:rsid w:val="006A7559"/>
    <w:rsid w:val="006F4462"/>
    <w:rsid w:val="00702E0C"/>
    <w:rsid w:val="00713513"/>
    <w:rsid w:val="00722334"/>
    <w:rsid w:val="007641AC"/>
    <w:rsid w:val="00765E6E"/>
    <w:rsid w:val="00776FD3"/>
    <w:rsid w:val="007E0D8B"/>
    <w:rsid w:val="007E7988"/>
    <w:rsid w:val="00840DD8"/>
    <w:rsid w:val="00892380"/>
    <w:rsid w:val="008A5DB0"/>
    <w:rsid w:val="008B0304"/>
    <w:rsid w:val="009258EA"/>
    <w:rsid w:val="009B0041"/>
    <w:rsid w:val="009D17DB"/>
    <w:rsid w:val="009D6CFC"/>
    <w:rsid w:val="009E6C01"/>
    <w:rsid w:val="00A159D5"/>
    <w:rsid w:val="00A333BE"/>
    <w:rsid w:val="00A3570E"/>
    <w:rsid w:val="00A45748"/>
    <w:rsid w:val="00A6782D"/>
    <w:rsid w:val="00A72BAA"/>
    <w:rsid w:val="00A977F7"/>
    <w:rsid w:val="00AB2737"/>
    <w:rsid w:val="00AB5594"/>
    <w:rsid w:val="00AE0970"/>
    <w:rsid w:val="00B02710"/>
    <w:rsid w:val="00B15205"/>
    <w:rsid w:val="00B37B62"/>
    <w:rsid w:val="00B604AC"/>
    <w:rsid w:val="00B64E20"/>
    <w:rsid w:val="00B711BB"/>
    <w:rsid w:val="00B72A94"/>
    <w:rsid w:val="00BA1573"/>
    <w:rsid w:val="00BE5B3E"/>
    <w:rsid w:val="00BF0F89"/>
    <w:rsid w:val="00C00AB5"/>
    <w:rsid w:val="00C16021"/>
    <w:rsid w:val="00C86160"/>
    <w:rsid w:val="00C97B1B"/>
    <w:rsid w:val="00CD55CB"/>
    <w:rsid w:val="00CD7C92"/>
    <w:rsid w:val="00CF33E6"/>
    <w:rsid w:val="00D555B4"/>
    <w:rsid w:val="00D63C05"/>
    <w:rsid w:val="00D935CB"/>
    <w:rsid w:val="00DB3D8E"/>
    <w:rsid w:val="00DB76D7"/>
    <w:rsid w:val="00DE7236"/>
    <w:rsid w:val="00E0023B"/>
    <w:rsid w:val="00E03BD0"/>
    <w:rsid w:val="00E1718D"/>
    <w:rsid w:val="00E22BAB"/>
    <w:rsid w:val="00EB5B16"/>
    <w:rsid w:val="00EC1647"/>
    <w:rsid w:val="00EC1C74"/>
    <w:rsid w:val="00EE5D21"/>
    <w:rsid w:val="00F170EE"/>
    <w:rsid w:val="00FB2C64"/>
    <w:rsid w:val="00FB50DB"/>
    <w:rsid w:val="00FE31E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3F038"/>
  <w15:docId w15:val="{C0909132-93E1-4C84-AB89-7E5673A79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513"/>
  </w:style>
  <w:style w:type="paragraph" w:styleId="Heading1">
    <w:name w:val="heading 1"/>
    <w:basedOn w:val="Normal"/>
    <w:next w:val="Normal"/>
    <w:link w:val="Heading1Char"/>
    <w:uiPriority w:val="9"/>
    <w:qFormat/>
    <w:rsid w:val="00EC1C74"/>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155BCA"/>
    <w:pPr>
      <w:spacing w:after="120" w:line="360" w:lineRule="auto"/>
      <w:jc w:val="both"/>
      <w:outlineLvl w:val="1"/>
    </w:pPr>
    <w:rPr>
      <w:rFonts w:ascii="Arial" w:eastAsia="Times New Roman" w:hAnsi="Arial" w:cs="Arial"/>
      <w:b/>
      <w:bCs/>
      <w:i/>
      <w:iCs/>
      <w:color w:val="000000" w:themeColor="text1"/>
      <w:sz w:val="24"/>
      <w:szCs w:val="24"/>
      <w:lang w:eastAsia="en-IN"/>
    </w:rPr>
  </w:style>
  <w:style w:type="paragraph" w:styleId="Heading3">
    <w:name w:val="heading 3"/>
    <w:basedOn w:val="Normal"/>
    <w:next w:val="Normal"/>
    <w:link w:val="Heading3Char"/>
    <w:uiPriority w:val="9"/>
    <w:unhideWhenUsed/>
    <w:qFormat/>
    <w:rsid w:val="00EC1C7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C1C7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C1C74"/>
    <w:pPr>
      <w:keepNext/>
      <w:keepLines/>
      <w:spacing w:before="200" w:after="0" w:line="360" w:lineRule="auto"/>
      <w:jc w:val="center"/>
      <w:outlineLvl w:val="4"/>
    </w:pPr>
    <w:rPr>
      <w:rFonts w:ascii="Arial" w:eastAsiaTheme="majorEastAsia" w:hAnsi="Arial"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5D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5DB0"/>
    <w:rPr>
      <w:rFonts w:ascii="Tahoma" w:hAnsi="Tahoma" w:cs="Tahoma"/>
      <w:sz w:val="16"/>
      <w:szCs w:val="16"/>
    </w:rPr>
  </w:style>
  <w:style w:type="character" w:customStyle="1" w:styleId="Heading1Char">
    <w:name w:val="Heading 1 Char"/>
    <w:basedOn w:val="DefaultParagraphFont"/>
    <w:link w:val="Heading1"/>
    <w:uiPriority w:val="9"/>
    <w:rsid w:val="00EC1C74"/>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155BCA"/>
    <w:rPr>
      <w:rFonts w:ascii="Arial" w:eastAsia="Times New Roman" w:hAnsi="Arial" w:cs="Arial"/>
      <w:b/>
      <w:bCs/>
      <w:i/>
      <w:iCs/>
      <w:color w:val="000000" w:themeColor="text1"/>
      <w:sz w:val="24"/>
      <w:szCs w:val="24"/>
      <w:lang w:eastAsia="en-IN"/>
    </w:rPr>
  </w:style>
  <w:style w:type="character" w:customStyle="1" w:styleId="Heading3Char">
    <w:name w:val="Heading 3 Char"/>
    <w:basedOn w:val="DefaultParagraphFont"/>
    <w:link w:val="Heading3"/>
    <w:uiPriority w:val="9"/>
    <w:rsid w:val="00EC1C7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C1C7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C1C74"/>
    <w:rPr>
      <w:rFonts w:ascii="Arial" w:eastAsiaTheme="majorEastAsia" w:hAnsi="Arial" w:cstheme="majorBidi"/>
      <w:b/>
      <w:color w:val="000000" w:themeColor="text1"/>
      <w:sz w:val="24"/>
    </w:rPr>
  </w:style>
  <w:style w:type="character" w:styleId="Hyperlink">
    <w:name w:val="Hyperlink"/>
    <w:basedOn w:val="DefaultParagraphFont"/>
    <w:uiPriority w:val="99"/>
    <w:unhideWhenUsed/>
    <w:rsid w:val="002D339D"/>
    <w:rPr>
      <w:color w:val="0000FF" w:themeColor="hyperlink"/>
      <w:u w:val="single"/>
    </w:rPr>
  </w:style>
  <w:style w:type="paragraph" w:styleId="Header">
    <w:name w:val="header"/>
    <w:basedOn w:val="Normal"/>
    <w:link w:val="HeaderChar"/>
    <w:uiPriority w:val="99"/>
    <w:semiHidden/>
    <w:unhideWhenUsed/>
    <w:rsid w:val="00A159D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159D5"/>
  </w:style>
  <w:style w:type="paragraph" w:styleId="Footer">
    <w:name w:val="footer"/>
    <w:basedOn w:val="Normal"/>
    <w:link w:val="FooterChar"/>
    <w:uiPriority w:val="99"/>
    <w:unhideWhenUsed/>
    <w:rsid w:val="00A159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9D5"/>
  </w:style>
  <w:style w:type="paragraph" w:styleId="TOCHeading">
    <w:name w:val="TOC Heading"/>
    <w:basedOn w:val="Heading1"/>
    <w:next w:val="Normal"/>
    <w:uiPriority w:val="39"/>
    <w:semiHidden/>
    <w:unhideWhenUsed/>
    <w:qFormat/>
    <w:rsid w:val="00A159D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A159D5"/>
    <w:pPr>
      <w:spacing w:after="100"/>
    </w:pPr>
  </w:style>
  <w:style w:type="paragraph" w:styleId="TableofFigures">
    <w:name w:val="table of figures"/>
    <w:basedOn w:val="Normal"/>
    <w:next w:val="Normal"/>
    <w:uiPriority w:val="99"/>
    <w:unhideWhenUsed/>
    <w:rsid w:val="00A159D5"/>
    <w:pPr>
      <w:spacing w:after="0"/>
    </w:pPr>
  </w:style>
  <w:style w:type="character" w:styleId="UnresolvedMention">
    <w:name w:val="Unresolved Mention"/>
    <w:basedOn w:val="DefaultParagraphFont"/>
    <w:uiPriority w:val="99"/>
    <w:semiHidden/>
    <w:unhideWhenUsed/>
    <w:rsid w:val="00A72BAA"/>
    <w:rPr>
      <w:color w:val="605E5C"/>
      <w:shd w:val="clear" w:color="auto" w:fill="E1DFDD"/>
    </w:rPr>
  </w:style>
  <w:style w:type="paragraph" w:styleId="TOC2">
    <w:name w:val="toc 2"/>
    <w:basedOn w:val="Normal"/>
    <w:next w:val="Normal"/>
    <w:autoRedefine/>
    <w:uiPriority w:val="39"/>
    <w:unhideWhenUsed/>
    <w:rsid w:val="00AB27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019686">
      <w:bodyDiv w:val="1"/>
      <w:marLeft w:val="0"/>
      <w:marRight w:val="0"/>
      <w:marTop w:val="0"/>
      <w:marBottom w:val="0"/>
      <w:divBdr>
        <w:top w:val="none" w:sz="0" w:space="0" w:color="auto"/>
        <w:left w:val="none" w:sz="0" w:space="0" w:color="auto"/>
        <w:bottom w:val="none" w:sz="0" w:space="0" w:color="auto"/>
        <w:right w:val="none" w:sz="0" w:space="0" w:color="auto"/>
      </w:divBdr>
      <w:divsChild>
        <w:div w:id="1110471906">
          <w:marLeft w:val="0"/>
          <w:marRight w:val="0"/>
          <w:marTop w:val="120"/>
          <w:marBottom w:val="120"/>
          <w:divBdr>
            <w:top w:val="none" w:sz="0" w:space="0" w:color="auto"/>
            <w:left w:val="none" w:sz="0" w:space="0" w:color="auto"/>
            <w:bottom w:val="none" w:sz="0" w:space="0" w:color="auto"/>
            <w:right w:val="none" w:sz="0" w:space="0" w:color="auto"/>
          </w:divBdr>
        </w:div>
        <w:div w:id="858160670">
          <w:marLeft w:val="0"/>
          <w:marRight w:val="0"/>
          <w:marTop w:val="120"/>
          <w:marBottom w:val="120"/>
          <w:divBdr>
            <w:top w:val="none" w:sz="0" w:space="0" w:color="auto"/>
            <w:left w:val="none" w:sz="0" w:space="0" w:color="auto"/>
            <w:bottom w:val="none" w:sz="0" w:space="0" w:color="auto"/>
            <w:right w:val="none" w:sz="0" w:space="0" w:color="auto"/>
          </w:divBdr>
        </w:div>
        <w:div w:id="29958777">
          <w:marLeft w:val="0"/>
          <w:marRight w:val="0"/>
          <w:marTop w:val="120"/>
          <w:marBottom w:val="120"/>
          <w:divBdr>
            <w:top w:val="none" w:sz="0" w:space="0" w:color="auto"/>
            <w:left w:val="none" w:sz="0" w:space="0" w:color="auto"/>
            <w:bottom w:val="none" w:sz="0" w:space="0" w:color="auto"/>
            <w:right w:val="none" w:sz="0" w:space="0" w:color="auto"/>
          </w:divBdr>
        </w:div>
        <w:div w:id="323827249">
          <w:marLeft w:val="0"/>
          <w:marRight w:val="0"/>
          <w:marTop w:val="120"/>
          <w:marBottom w:val="120"/>
          <w:divBdr>
            <w:top w:val="none" w:sz="0" w:space="0" w:color="auto"/>
            <w:left w:val="none" w:sz="0" w:space="0" w:color="auto"/>
            <w:bottom w:val="none" w:sz="0" w:space="0" w:color="auto"/>
            <w:right w:val="none" w:sz="0" w:space="0" w:color="auto"/>
          </w:divBdr>
        </w:div>
        <w:div w:id="218441885">
          <w:marLeft w:val="0"/>
          <w:marRight w:val="0"/>
          <w:marTop w:val="120"/>
          <w:marBottom w:val="120"/>
          <w:divBdr>
            <w:top w:val="none" w:sz="0" w:space="0" w:color="auto"/>
            <w:left w:val="none" w:sz="0" w:space="0" w:color="auto"/>
            <w:bottom w:val="none" w:sz="0" w:space="0" w:color="auto"/>
            <w:right w:val="none" w:sz="0" w:space="0" w:color="auto"/>
          </w:divBdr>
        </w:div>
        <w:div w:id="629435949">
          <w:marLeft w:val="0"/>
          <w:marRight w:val="0"/>
          <w:marTop w:val="120"/>
          <w:marBottom w:val="120"/>
          <w:divBdr>
            <w:top w:val="none" w:sz="0" w:space="0" w:color="auto"/>
            <w:left w:val="none" w:sz="0" w:space="0" w:color="auto"/>
            <w:bottom w:val="none" w:sz="0" w:space="0" w:color="auto"/>
            <w:right w:val="none" w:sz="0" w:space="0" w:color="auto"/>
          </w:divBdr>
        </w:div>
        <w:div w:id="1718050024">
          <w:marLeft w:val="0"/>
          <w:marRight w:val="0"/>
          <w:marTop w:val="120"/>
          <w:marBottom w:val="120"/>
          <w:divBdr>
            <w:top w:val="none" w:sz="0" w:space="0" w:color="auto"/>
            <w:left w:val="none" w:sz="0" w:space="0" w:color="auto"/>
            <w:bottom w:val="none" w:sz="0" w:space="0" w:color="auto"/>
            <w:right w:val="none" w:sz="0" w:space="0" w:color="auto"/>
          </w:divBdr>
        </w:div>
        <w:div w:id="1680617368">
          <w:marLeft w:val="0"/>
          <w:marRight w:val="0"/>
          <w:marTop w:val="120"/>
          <w:marBottom w:val="120"/>
          <w:divBdr>
            <w:top w:val="none" w:sz="0" w:space="0" w:color="auto"/>
            <w:left w:val="none" w:sz="0" w:space="0" w:color="auto"/>
            <w:bottom w:val="none" w:sz="0" w:space="0" w:color="auto"/>
            <w:right w:val="none" w:sz="0" w:space="0" w:color="auto"/>
          </w:divBdr>
        </w:div>
        <w:div w:id="1844397427">
          <w:marLeft w:val="0"/>
          <w:marRight w:val="0"/>
          <w:marTop w:val="120"/>
          <w:marBottom w:val="120"/>
          <w:divBdr>
            <w:top w:val="none" w:sz="0" w:space="0" w:color="auto"/>
            <w:left w:val="none" w:sz="0" w:space="0" w:color="auto"/>
            <w:bottom w:val="none" w:sz="0" w:space="0" w:color="auto"/>
            <w:right w:val="none" w:sz="0" w:space="0" w:color="auto"/>
          </w:divBdr>
        </w:div>
        <w:div w:id="2064794203">
          <w:marLeft w:val="0"/>
          <w:marRight w:val="0"/>
          <w:marTop w:val="120"/>
          <w:marBottom w:val="120"/>
          <w:divBdr>
            <w:top w:val="none" w:sz="0" w:space="0" w:color="auto"/>
            <w:left w:val="none" w:sz="0" w:space="0" w:color="auto"/>
            <w:bottom w:val="none" w:sz="0" w:space="0" w:color="auto"/>
            <w:right w:val="none" w:sz="0" w:space="0" w:color="auto"/>
          </w:divBdr>
        </w:div>
        <w:div w:id="1083642413">
          <w:marLeft w:val="0"/>
          <w:marRight w:val="0"/>
          <w:marTop w:val="120"/>
          <w:marBottom w:val="120"/>
          <w:divBdr>
            <w:top w:val="none" w:sz="0" w:space="0" w:color="auto"/>
            <w:left w:val="none" w:sz="0" w:space="0" w:color="auto"/>
            <w:bottom w:val="none" w:sz="0" w:space="0" w:color="auto"/>
            <w:right w:val="none" w:sz="0" w:space="0" w:color="auto"/>
          </w:divBdr>
        </w:div>
        <w:div w:id="1651590635">
          <w:marLeft w:val="0"/>
          <w:marRight w:val="0"/>
          <w:marTop w:val="120"/>
          <w:marBottom w:val="120"/>
          <w:divBdr>
            <w:top w:val="none" w:sz="0" w:space="0" w:color="auto"/>
            <w:left w:val="none" w:sz="0" w:space="0" w:color="auto"/>
            <w:bottom w:val="none" w:sz="0" w:space="0" w:color="auto"/>
            <w:right w:val="none" w:sz="0" w:space="0" w:color="auto"/>
          </w:divBdr>
        </w:div>
        <w:div w:id="1803304064">
          <w:marLeft w:val="0"/>
          <w:marRight w:val="0"/>
          <w:marTop w:val="120"/>
          <w:marBottom w:val="120"/>
          <w:divBdr>
            <w:top w:val="none" w:sz="0" w:space="0" w:color="auto"/>
            <w:left w:val="none" w:sz="0" w:space="0" w:color="auto"/>
            <w:bottom w:val="none" w:sz="0" w:space="0" w:color="auto"/>
            <w:right w:val="none" w:sz="0" w:space="0" w:color="auto"/>
          </w:divBdr>
        </w:div>
        <w:div w:id="436100818">
          <w:marLeft w:val="0"/>
          <w:marRight w:val="0"/>
          <w:marTop w:val="120"/>
          <w:marBottom w:val="120"/>
          <w:divBdr>
            <w:top w:val="none" w:sz="0" w:space="0" w:color="auto"/>
            <w:left w:val="none" w:sz="0" w:space="0" w:color="auto"/>
            <w:bottom w:val="none" w:sz="0" w:space="0" w:color="auto"/>
            <w:right w:val="none" w:sz="0" w:space="0" w:color="auto"/>
          </w:divBdr>
        </w:div>
        <w:div w:id="1144783523">
          <w:marLeft w:val="0"/>
          <w:marRight w:val="0"/>
          <w:marTop w:val="120"/>
          <w:marBottom w:val="120"/>
          <w:divBdr>
            <w:top w:val="none" w:sz="0" w:space="0" w:color="auto"/>
            <w:left w:val="none" w:sz="0" w:space="0" w:color="auto"/>
            <w:bottom w:val="none" w:sz="0" w:space="0" w:color="auto"/>
            <w:right w:val="none" w:sz="0" w:space="0" w:color="auto"/>
          </w:divBdr>
        </w:div>
        <w:div w:id="881288761">
          <w:marLeft w:val="0"/>
          <w:marRight w:val="0"/>
          <w:marTop w:val="120"/>
          <w:marBottom w:val="120"/>
          <w:divBdr>
            <w:top w:val="none" w:sz="0" w:space="0" w:color="auto"/>
            <w:left w:val="none" w:sz="0" w:space="0" w:color="auto"/>
            <w:bottom w:val="none" w:sz="0" w:space="0" w:color="auto"/>
            <w:right w:val="none" w:sz="0" w:space="0" w:color="auto"/>
          </w:divBdr>
        </w:div>
        <w:div w:id="838080744">
          <w:marLeft w:val="0"/>
          <w:marRight w:val="0"/>
          <w:marTop w:val="120"/>
          <w:marBottom w:val="120"/>
          <w:divBdr>
            <w:top w:val="none" w:sz="0" w:space="0" w:color="auto"/>
            <w:left w:val="none" w:sz="0" w:space="0" w:color="auto"/>
            <w:bottom w:val="none" w:sz="0" w:space="0" w:color="auto"/>
            <w:right w:val="none" w:sz="0" w:space="0" w:color="auto"/>
          </w:divBdr>
        </w:div>
        <w:div w:id="358167968">
          <w:marLeft w:val="0"/>
          <w:marRight w:val="0"/>
          <w:marTop w:val="120"/>
          <w:marBottom w:val="120"/>
          <w:divBdr>
            <w:top w:val="none" w:sz="0" w:space="0" w:color="auto"/>
            <w:left w:val="none" w:sz="0" w:space="0" w:color="auto"/>
            <w:bottom w:val="none" w:sz="0" w:space="0" w:color="auto"/>
            <w:right w:val="none" w:sz="0" w:space="0" w:color="auto"/>
          </w:divBdr>
        </w:div>
        <w:div w:id="1418670997">
          <w:marLeft w:val="0"/>
          <w:marRight w:val="0"/>
          <w:marTop w:val="120"/>
          <w:marBottom w:val="120"/>
          <w:divBdr>
            <w:top w:val="none" w:sz="0" w:space="0" w:color="auto"/>
            <w:left w:val="none" w:sz="0" w:space="0" w:color="auto"/>
            <w:bottom w:val="none" w:sz="0" w:space="0" w:color="auto"/>
            <w:right w:val="none" w:sz="0" w:space="0" w:color="auto"/>
          </w:divBdr>
        </w:div>
        <w:div w:id="37361164">
          <w:marLeft w:val="0"/>
          <w:marRight w:val="0"/>
          <w:marTop w:val="120"/>
          <w:marBottom w:val="120"/>
          <w:divBdr>
            <w:top w:val="none" w:sz="0" w:space="0" w:color="auto"/>
            <w:left w:val="none" w:sz="0" w:space="0" w:color="auto"/>
            <w:bottom w:val="none" w:sz="0" w:space="0" w:color="auto"/>
            <w:right w:val="none" w:sz="0" w:space="0" w:color="auto"/>
          </w:divBdr>
        </w:div>
        <w:div w:id="1412893982">
          <w:marLeft w:val="0"/>
          <w:marRight w:val="0"/>
          <w:marTop w:val="120"/>
          <w:marBottom w:val="120"/>
          <w:divBdr>
            <w:top w:val="none" w:sz="0" w:space="0" w:color="auto"/>
            <w:left w:val="none" w:sz="0" w:space="0" w:color="auto"/>
            <w:bottom w:val="none" w:sz="0" w:space="0" w:color="auto"/>
            <w:right w:val="none" w:sz="0" w:space="0" w:color="auto"/>
          </w:divBdr>
        </w:div>
        <w:div w:id="1227957480">
          <w:marLeft w:val="0"/>
          <w:marRight w:val="0"/>
          <w:marTop w:val="120"/>
          <w:marBottom w:val="120"/>
          <w:divBdr>
            <w:top w:val="none" w:sz="0" w:space="0" w:color="auto"/>
            <w:left w:val="none" w:sz="0" w:space="0" w:color="auto"/>
            <w:bottom w:val="none" w:sz="0" w:space="0" w:color="auto"/>
            <w:right w:val="none" w:sz="0" w:space="0" w:color="auto"/>
          </w:divBdr>
        </w:div>
        <w:div w:id="1530871565">
          <w:marLeft w:val="0"/>
          <w:marRight w:val="0"/>
          <w:marTop w:val="120"/>
          <w:marBottom w:val="120"/>
          <w:divBdr>
            <w:top w:val="none" w:sz="0" w:space="0" w:color="auto"/>
            <w:left w:val="none" w:sz="0" w:space="0" w:color="auto"/>
            <w:bottom w:val="none" w:sz="0" w:space="0" w:color="auto"/>
            <w:right w:val="none" w:sz="0" w:space="0" w:color="auto"/>
          </w:divBdr>
        </w:div>
        <w:div w:id="50350266">
          <w:marLeft w:val="0"/>
          <w:marRight w:val="0"/>
          <w:marTop w:val="120"/>
          <w:marBottom w:val="120"/>
          <w:divBdr>
            <w:top w:val="none" w:sz="0" w:space="0" w:color="auto"/>
            <w:left w:val="none" w:sz="0" w:space="0" w:color="auto"/>
            <w:bottom w:val="none" w:sz="0" w:space="0" w:color="auto"/>
            <w:right w:val="none" w:sz="0" w:space="0" w:color="auto"/>
          </w:divBdr>
        </w:div>
        <w:div w:id="483355833">
          <w:marLeft w:val="0"/>
          <w:marRight w:val="0"/>
          <w:marTop w:val="120"/>
          <w:marBottom w:val="120"/>
          <w:divBdr>
            <w:top w:val="none" w:sz="0" w:space="0" w:color="auto"/>
            <w:left w:val="none" w:sz="0" w:space="0" w:color="auto"/>
            <w:bottom w:val="none" w:sz="0" w:space="0" w:color="auto"/>
            <w:right w:val="none" w:sz="0" w:space="0" w:color="auto"/>
          </w:divBdr>
        </w:div>
        <w:div w:id="287401261">
          <w:marLeft w:val="0"/>
          <w:marRight w:val="0"/>
          <w:marTop w:val="120"/>
          <w:marBottom w:val="120"/>
          <w:divBdr>
            <w:top w:val="none" w:sz="0" w:space="0" w:color="auto"/>
            <w:left w:val="none" w:sz="0" w:space="0" w:color="auto"/>
            <w:bottom w:val="none" w:sz="0" w:space="0" w:color="auto"/>
            <w:right w:val="none" w:sz="0" w:space="0" w:color="auto"/>
          </w:divBdr>
        </w:div>
        <w:div w:id="271057909">
          <w:marLeft w:val="0"/>
          <w:marRight w:val="0"/>
          <w:marTop w:val="120"/>
          <w:marBottom w:val="120"/>
          <w:divBdr>
            <w:top w:val="none" w:sz="0" w:space="0" w:color="auto"/>
            <w:left w:val="none" w:sz="0" w:space="0" w:color="auto"/>
            <w:bottom w:val="none" w:sz="0" w:space="0" w:color="auto"/>
            <w:right w:val="none" w:sz="0" w:space="0" w:color="auto"/>
          </w:divBdr>
        </w:div>
        <w:div w:id="1398356899">
          <w:marLeft w:val="0"/>
          <w:marRight w:val="0"/>
          <w:marTop w:val="120"/>
          <w:marBottom w:val="120"/>
          <w:divBdr>
            <w:top w:val="none" w:sz="0" w:space="0" w:color="auto"/>
            <w:left w:val="none" w:sz="0" w:space="0" w:color="auto"/>
            <w:bottom w:val="none" w:sz="0" w:space="0" w:color="auto"/>
            <w:right w:val="none" w:sz="0" w:space="0" w:color="auto"/>
          </w:divBdr>
        </w:div>
        <w:div w:id="19354248">
          <w:marLeft w:val="0"/>
          <w:marRight w:val="0"/>
          <w:marTop w:val="120"/>
          <w:marBottom w:val="120"/>
          <w:divBdr>
            <w:top w:val="none" w:sz="0" w:space="0" w:color="auto"/>
            <w:left w:val="none" w:sz="0" w:space="0" w:color="auto"/>
            <w:bottom w:val="none" w:sz="0" w:space="0" w:color="auto"/>
            <w:right w:val="none" w:sz="0" w:space="0" w:color="auto"/>
          </w:divBdr>
        </w:div>
        <w:div w:id="1593664344">
          <w:marLeft w:val="0"/>
          <w:marRight w:val="0"/>
          <w:marTop w:val="120"/>
          <w:marBottom w:val="120"/>
          <w:divBdr>
            <w:top w:val="none" w:sz="0" w:space="0" w:color="auto"/>
            <w:left w:val="none" w:sz="0" w:space="0" w:color="auto"/>
            <w:bottom w:val="none" w:sz="0" w:space="0" w:color="auto"/>
            <w:right w:val="none" w:sz="0" w:space="0" w:color="auto"/>
          </w:divBdr>
        </w:div>
        <w:div w:id="1265462025">
          <w:marLeft w:val="0"/>
          <w:marRight w:val="0"/>
          <w:marTop w:val="120"/>
          <w:marBottom w:val="120"/>
          <w:divBdr>
            <w:top w:val="none" w:sz="0" w:space="0" w:color="auto"/>
            <w:left w:val="none" w:sz="0" w:space="0" w:color="auto"/>
            <w:bottom w:val="none" w:sz="0" w:space="0" w:color="auto"/>
            <w:right w:val="none" w:sz="0" w:space="0" w:color="auto"/>
          </w:divBdr>
        </w:div>
        <w:div w:id="1555041720">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nature.com/articles/s41558-020-0877-y" TargetMode="External"/><Relationship Id="rId18" Type="http://schemas.openxmlformats.org/officeDocument/2006/relationships/hyperlink" Target="https://www.researchgate.net/profile/Muhammad-Hamzah-7/publication/351609258_Consumer_perceptions_of_hybrid_electric_vehicle_adoption_and_the_green_automotive_market_the_Malaysian_evidence/links/639047f511e9f00cda251db2/Consumer-perceptions-of-hybrid-electric-vehicle-adoption-and-the-green-automotive-market-the-Malaysian-evidence.pdf" TargetMode="External"/><Relationship Id="rId26" Type="http://schemas.openxmlformats.org/officeDocument/2006/relationships/hyperlink" Target="https://www.jstage.jst.go.jp/article/ieejjia/13/1/13_23006552/_pdf" TargetMode="External"/><Relationship Id="rId21" Type="http://schemas.openxmlformats.org/officeDocument/2006/relationships/hyperlink" Target="https://www.nissan-global.com/EN/STORIES/RELEASES/behind-ariya/" TargetMode="External"/><Relationship Id="rId34" Type="http://schemas.openxmlformats.org/officeDocument/2006/relationships/hyperlink" Target="https://newsroom.toyota.eu/toyota-announces-new-battery-electric-vehicle-to-be-produced-in-europe/" TargetMode="External"/><Relationship Id="rId7" Type="http://schemas.openxmlformats.org/officeDocument/2006/relationships/image" Target="media/image1.png"/><Relationship Id="rId12" Type="http://schemas.openxmlformats.org/officeDocument/2006/relationships/hyperlink" Target="https://worldscientificnews.com/wp-content/uploads/2025/04/WSN-202-2025-144-159.pdf" TargetMode="External"/><Relationship Id="rId17" Type="http://schemas.openxmlformats.org/officeDocument/2006/relationships/hyperlink" Target="https://www.frontiersin.org/journals/environmental-science/articles/10.3389/fenvs.2023.1322466/pdf" TargetMode="External"/><Relationship Id="rId25" Type="http://schemas.openxmlformats.org/officeDocument/2006/relationships/hyperlink" Target="https://global.nissannews.com/en/releases/250513-01-e" TargetMode="External"/><Relationship Id="rId33" Type="http://schemas.openxmlformats.org/officeDocument/2006/relationships/hyperlink" Target="https://www.florencetoyota.com/toyota-hybrid-technology-benefits-and-making-the-switch/" TargetMode="External"/><Relationship Id="rId2" Type="http://schemas.openxmlformats.org/officeDocument/2006/relationships/styles" Target="styles.xml"/><Relationship Id="rId16" Type="http://schemas.openxmlformats.org/officeDocument/2006/relationships/hyperlink" Target="https://www.tandfonline.com/doi/pdf/10.1080/00472336.2024.2384704" TargetMode="External"/><Relationship Id="rId20" Type="http://schemas.openxmlformats.org/officeDocument/2006/relationships/hyperlink" Target="https://www.wri.org/insights/countries-adopting-electric-vehicles-fastest" TargetMode="External"/><Relationship Id="rId29" Type="http://schemas.openxmlformats.org/officeDocument/2006/relationships/hyperlink" Target="https://www.reuters.com/business/autos-transportation/toyota-bets-big-hybrid-only-models-ev-demand-slows-2024-08-1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urope.nissannews.com/en-GB/releases/nissan-global-ev-sales-surpass-1-million-unit-milestone" TargetMode="External"/><Relationship Id="rId32" Type="http://schemas.openxmlformats.org/officeDocument/2006/relationships/hyperlink" Target="https://global.toyota/en/company/vision-and-philosophy/production-system/"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imskol.org/pdf/E-copy-BIMS-Journal-Management-Kolkata-Vol5-Issue-1-July-2020.pdf" TargetMode="External"/><Relationship Id="rId23" Type="http://schemas.openxmlformats.org/officeDocument/2006/relationships/hyperlink" Target="https://www.nissan-global.com/EN/COMPANY/EVENTS/NISSAN_ARIYA/" TargetMode="External"/><Relationship Id="rId28" Type="http://schemas.openxmlformats.org/officeDocument/2006/relationships/hyperlink" Target="https://www.reuters.com/business/autos-transportation/toyota-sells-108-million-vehicles-2024-remain-worlds-top-selling-automaker-2025-01-30/"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koreascience.kr/article/JAKO202517543203654.pdf" TargetMode="External"/><Relationship Id="rId31" Type="http://schemas.openxmlformats.org/officeDocument/2006/relationships/hyperlink" Target="https://pressroom.toyota.com/toyota-motor-north-america-reports-2024-u-s-sales-resul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pus.lib.uts.edu.au/bitstream/10453/145754/2/Binder1.pdf" TargetMode="External"/><Relationship Id="rId22" Type="http://schemas.openxmlformats.org/officeDocument/2006/relationships/hyperlink" Target="https://www.nissan-global.com/EN/COMPANY/PLAN/AMBITION2030/" TargetMode="External"/><Relationship Id="rId27" Type="http://schemas.openxmlformats.org/officeDocument/2006/relationships/hyperlink" Target="https://www.lexology.com/library/detail.aspx?g=1931132b-8cbd-44fd-a30f-789eae41efd8" TargetMode="External"/><Relationship Id="rId30" Type="http://schemas.openxmlformats.org/officeDocument/2006/relationships/hyperlink" Target="https://www.reuters.com/article/world/exclusive-toyota-sees-new-business-opportunity-in-leveraging-hybrid-tech-idUSKCN1RO0ZM/"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B024EB-1613-4253-ADAD-AA7D59C71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16</Pages>
  <Words>4285</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Home Computer</cp:lastModifiedBy>
  <cp:revision>78</cp:revision>
  <dcterms:created xsi:type="dcterms:W3CDTF">2026-03-07T04:52:00Z</dcterms:created>
  <dcterms:modified xsi:type="dcterms:W3CDTF">2026-03-26T14:20:00Z</dcterms:modified>
</cp:coreProperties>
</file>