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7DBF" w:rsidRPr="00603A75" w:rsidRDefault="00347DBF" w:rsidP="00347DBF">
      <w:pPr>
        <w:jc w:val="center"/>
        <w:rPr>
          <w:rFonts w:cs="Arial"/>
          <w:b/>
          <w:sz w:val="24"/>
          <w:szCs w:val="24"/>
        </w:rPr>
      </w:pPr>
      <w:bookmarkStart w:id="0" w:name="_GoBack"/>
      <w:bookmarkEnd w:id="0"/>
      <w:r>
        <w:rPr>
          <w:rFonts w:cs="Arial"/>
          <w:b/>
          <w:sz w:val="24"/>
          <w:szCs w:val="24"/>
        </w:rPr>
        <w:t xml:space="preserve">HEA Fellowship Reference Form </w:t>
      </w:r>
    </w:p>
    <w:p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rsidTr="00347DBF">
        <w:tc>
          <w:tcPr>
            <w:tcW w:w="9242" w:type="dxa"/>
          </w:tcPr>
          <w:p w:rsidR="00347DBF" w:rsidRDefault="00347DBF" w:rsidP="00347DBF">
            <w:pPr>
              <w:rPr>
                <w:rFonts w:cs="Arial"/>
                <w:b/>
                <w:sz w:val="24"/>
                <w:szCs w:val="24"/>
              </w:rPr>
            </w:pPr>
            <w:r>
              <w:rPr>
                <w:rFonts w:cs="Arial"/>
                <w:b/>
                <w:sz w:val="24"/>
                <w:szCs w:val="24"/>
              </w:rPr>
              <w:t>Name of Referee:</w:t>
            </w:r>
            <w:r w:rsidR="007A61F2">
              <w:rPr>
                <w:rFonts w:cs="Arial"/>
                <w:b/>
                <w:sz w:val="24"/>
                <w:szCs w:val="24"/>
              </w:rPr>
              <w:t xml:space="preserve"> </w:t>
            </w:r>
            <w:r w:rsidR="007A61F2" w:rsidRPr="007A61F2">
              <w:rPr>
                <w:rFonts w:cs="Arial"/>
                <w:sz w:val="24"/>
                <w:szCs w:val="24"/>
              </w:rPr>
              <w:t>Ruth Groff</w:t>
            </w:r>
          </w:p>
          <w:p w:rsidR="00347DBF" w:rsidRDefault="00347DBF" w:rsidP="00347DBF">
            <w:pPr>
              <w:jc w:val="cente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Faculty/Centre/Department/School:</w:t>
            </w:r>
            <w:r w:rsidR="007A61F2">
              <w:rPr>
                <w:rFonts w:cs="Arial"/>
                <w:b/>
                <w:sz w:val="24"/>
                <w:szCs w:val="24"/>
              </w:rPr>
              <w:t xml:space="preserve"> </w:t>
            </w:r>
            <w:r w:rsidR="007A61F2" w:rsidRPr="007A61F2">
              <w:rPr>
                <w:rFonts w:cs="Arial"/>
                <w:sz w:val="24"/>
                <w:szCs w:val="24"/>
              </w:rPr>
              <w:t>Yr Athrofa – Social Justice and Inclusion</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Position:</w:t>
            </w:r>
            <w:r w:rsidR="007A61F2">
              <w:rPr>
                <w:rFonts w:cs="Arial"/>
                <w:b/>
                <w:sz w:val="24"/>
                <w:szCs w:val="24"/>
              </w:rPr>
              <w:t xml:space="preserve"> </w:t>
            </w:r>
            <w:r w:rsidR="007A61F2" w:rsidRPr="007A61F2">
              <w:rPr>
                <w:rFonts w:cs="Arial"/>
                <w:sz w:val="24"/>
                <w:szCs w:val="24"/>
              </w:rPr>
              <w:t>Counselling Lecturer</w:t>
            </w:r>
          </w:p>
          <w:p w:rsidR="00347DBF" w:rsidRDefault="00347DBF" w:rsidP="00347DBF">
            <w:pPr>
              <w:rPr>
                <w:rFonts w:cs="Arial"/>
                <w:b/>
                <w:sz w:val="24"/>
                <w:szCs w:val="24"/>
              </w:rPr>
            </w:pPr>
          </w:p>
        </w:tc>
      </w:tr>
      <w:tr w:rsidR="00347DBF" w:rsidTr="00347DBF">
        <w:tc>
          <w:tcPr>
            <w:tcW w:w="9242" w:type="dxa"/>
          </w:tcPr>
          <w:p w:rsidR="00347DBF" w:rsidRPr="007A61F2" w:rsidRDefault="00347DBF" w:rsidP="00347DBF">
            <w:pPr>
              <w:rPr>
                <w:rFonts w:cs="Arial"/>
                <w:sz w:val="24"/>
                <w:szCs w:val="24"/>
              </w:rPr>
            </w:pPr>
            <w:r>
              <w:rPr>
                <w:rFonts w:cs="Arial"/>
                <w:b/>
                <w:sz w:val="24"/>
                <w:szCs w:val="24"/>
              </w:rPr>
              <w:t>Role:</w:t>
            </w:r>
            <w:r w:rsidR="007A61F2">
              <w:rPr>
                <w:rFonts w:cs="Arial"/>
                <w:b/>
                <w:sz w:val="24"/>
                <w:szCs w:val="24"/>
              </w:rPr>
              <w:t xml:space="preserve"> </w:t>
            </w:r>
            <w:r w:rsidR="007A61F2" w:rsidRPr="007A61F2">
              <w:rPr>
                <w:rFonts w:cs="Arial"/>
                <w:sz w:val="24"/>
                <w:szCs w:val="24"/>
              </w:rPr>
              <w:t>PD BA Counselling/Psychology &amp; BSc Psychology and Counselling</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Length of Service at UWTSD:</w:t>
            </w:r>
            <w:r w:rsidR="007A61F2">
              <w:rPr>
                <w:rFonts w:cs="Arial"/>
                <w:b/>
                <w:sz w:val="24"/>
                <w:szCs w:val="24"/>
              </w:rPr>
              <w:t xml:space="preserve"> </w:t>
            </w:r>
            <w:r w:rsidR="007A61F2" w:rsidRPr="007A61F2">
              <w:rPr>
                <w:rFonts w:cs="Arial"/>
                <w:sz w:val="24"/>
                <w:szCs w:val="24"/>
              </w:rPr>
              <w:t>9 years 10 months</w:t>
            </w:r>
          </w:p>
          <w:p w:rsidR="00347DBF" w:rsidRDefault="00347DBF" w:rsidP="00347DBF">
            <w:pPr>
              <w:rPr>
                <w:rFonts w:cs="Arial"/>
                <w:b/>
                <w:sz w:val="24"/>
                <w:szCs w:val="24"/>
              </w:rPr>
            </w:pPr>
          </w:p>
        </w:tc>
      </w:tr>
      <w:tr w:rsidR="00347DBF" w:rsidTr="00347DBF">
        <w:tc>
          <w:tcPr>
            <w:tcW w:w="9242" w:type="dxa"/>
          </w:tcPr>
          <w:p w:rsidR="00347DBF" w:rsidRDefault="00347DBF" w:rsidP="007A61F2">
            <w:pPr>
              <w:rPr>
                <w:rFonts w:cs="Arial"/>
                <w:b/>
                <w:sz w:val="24"/>
                <w:szCs w:val="24"/>
              </w:rPr>
            </w:pPr>
            <w:r>
              <w:rPr>
                <w:rFonts w:cs="Arial"/>
                <w:b/>
                <w:sz w:val="24"/>
                <w:szCs w:val="24"/>
              </w:rPr>
              <w:t xml:space="preserve">Recognised by the HEA?        YES  </w:t>
            </w:r>
          </w:p>
        </w:tc>
      </w:tr>
      <w:tr w:rsidR="00347DBF" w:rsidTr="00347DBF">
        <w:tc>
          <w:tcPr>
            <w:tcW w:w="9242" w:type="dxa"/>
          </w:tcPr>
          <w:p w:rsidR="00347DBF" w:rsidRDefault="00347DBF" w:rsidP="00347DBF">
            <w:pPr>
              <w:rPr>
                <w:rFonts w:cs="Arial"/>
                <w:b/>
                <w:sz w:val="24"/>
                <w:szCs w:val="24"/>
              </w:rPr>
            </w:pPr>
            <w:r>
              <w:rPr>
                <w:rFonts w:cs="Arial"/>
                <w:b/>
                <w:sz w:val="24"/>
                <w:szCs w:val="24"/>
              </w:rPr>
              <w:t>Category of Recognition:</w:t>
            </w:r>
          </w:p>
          <w:p w:rsidR="00347DBF" w:rsidRPr="00347DBF" w:rsidRDefault="007A61F2" w:rsidP="00347DBF">
            <w:pPr>
              <w:rPr>
                <w:rFonts w:cs="Arial"/>
                <w:sz w:val="20"/>
                <w:szCs w:val="20"/>
              </w:rPr>
            </w:pPr>
            <w:r>
              <w:rPr>
                <w:rFonts w:cs="Arial"/>
                <w:sz w:val="20"/>
                <w:szCs w:val="20"/>
              </w:rPr>
              <w:t>FHEA</w:t>
            </w:r>
          </w:p>
          <w:p w:rsidR="00347DBF" w:rsidRDefault="00347DBF" w:rsidP="00347DBF">
            <w:pPr>
              <w:rPr>
                <w:rFonts w:cs="Arial"/>
                <w:b/>
                <w:sz w:val="24"/>
                <w:szCs w:val="24"/>
              </w:rPr>
            </w:pPr>
          </w:p>
        </w:tc>
      </w:tr>
    </w:tbl>
    <w:p w:rsidR="00347DBF" w:rsidRDefault="00347DBF" w:rsidP="00347DBF">
      <w:pPr>
        <w:jc w:val="center"/>
        <w:rPr>
          <w:rFonts w:cs="Arial"/>
          <w:b/>
          <w:sz w:val="24"/>
          <w:szCs w:val="24"/>
        </w:rPr>
      </w:pPr>
    </w:p>
    <w:p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rsidR="00347DBF" w:rsidRDefault="00347DBF" w:rsidP="00347DBF">
      <w:pPr>
        <w:rPr>
          <w:rFonts w:cs="Arial"/>
          <w:sz w:val="24"/>
          <w:szCs w:val="24"/>
        </w:rPr>
      </w:pPr>
    </w:p>
    <w:p w:rsidR="00347DBF" w:rsidRDefault="007A61F2" w:rsidP="00347DBF">
      <w:pPr>
        <w:rPr>
          <w:rFonts w:cs="Arial"/>
          <w:sz w:val="24"/>
          <w:szCs w:val="24"/>
        </w:rPr>
      </w:pPr>
      <w:r>
        <w:rPr>
          <w:rFonts w:cs="Arial"/>
          <w:b/>
          <w:sz w:val="24"/>
          <w:szCs w:val="24"/>
        </w:rPr>
        <w:t xml:space="preserve">Reference for </w:t>
      </w:r>
      <w:r w:rsidRPr="007A61F2">
        <w:rPr>
          <w:rFonts w:cs="Arial"/>
          <w:sz w:val="24"/>
          <w:szCs w:val="24"/>
        </w:rPr>
        <w:t>Jane Masters</w:t>
      </w:r>
    </w:p>
    <w:p w:rsidR="007A61F2" w:rsidRDefault="007A61F2"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rsidTr="005A58E0">
        <w:tc>
          <w:tcPr>
            <w:tcW w:w="9242" w:type="dxa"/>
          </w:tcPr>
          <w:p w:rsidR="00347DBF" w:rsidRDefault="00347DBF" w:rsidP="005A58E0">
            <w:pPr>
              <w:rPr>
                <w:rFonts w:cs="Arial"/>
                <w:sz w:val="24"/>
                <w:szCs w:val="24"/>
              </w:rPr>
            </w:pPr>
          </w:p>
          <w:p w:rsidR="00347DBF" w:rsidRPr="00860CBB" w:rsidRDefault="00860CBB" w:rsidP="005A58E0">
            <w:pPr>
              <w:rPr>
                <w:rFonts w:cs="Arial"/>
                <w:b/>
                <w:sz w:val="24"/>
                <w:szCs w:val="24"/>
              </w:rPr>
            </w:pPr>
            <w:r w:rsidRPr="00860CBB">
              <w:rPr>
                <w:rFonts w:cs="Arial"/>
                <w:b/>
                <w:sz w:val="24"/>
                <w:szCs w:val="24"/>
              </w:rPr>
              <w:t>Please insert your reference here:</w:t>
            </w:r>
          </w:p>
          <w:p w:rsidR="00347DBF" w:rsidRDefault="00347DBF" w:rsidP="005A58E0">
            <w:pPr>
              <w:rPr>
                <w:rFonts w:cs="Arial"/>
                <w:sz w:val="24"/>
                <w:szCs w:val="24"/>
              </w:rPr>
            </w:pPr>
          </w:p>
          <w:p w:rsidR="00347DBF" w:rsidRDefault="00347DBF" w:rsidP="005A58E0">
            <w:pPr>
              <w:rPr>
                <w:rFonts w:cs="Arial"/>
                <w:sz w:val="24"/>
                <w:szCs w:val="24"/>
              </w:rPr>
            </w:pPr>
          </w:p>
          <w:p w:rsidR="007A61F2" w:rsidRDefault="007A61F2" w:rsidP="007A61F2">
            <w:pPr>
              <w:jc w:val="both"/>
              <w:rPr>
                <w:rFonts w:cs="Arial"/>
                <w:b/>
                <w:sz w:val="20"/>
                <w:szCs w:val="20"/>
              </w:rPr>
            </w:pPr>
            <w:r>
              <w:rPr>
                <w:rFonts w:cs="Arial"/>
                <w:b/>
                <w:sz w:val="20"/>
                <w:szCs w:val="20"/>
              </w:rPr>
              <w:t>Jane Master</w:t>
            </w:r>
          </w:p>
          <w:p w:rsidR="007A61F2" w:rsidRDefault="007A61F2" w:rsidP="007A61F2">
            <w:pPr>
              <w:jc w:val="both"/>
              <w:rPr>
                <w:rFonts w:cs="Arial"/>
                <w:b/>
                <w:sz w:val="20"/>
                <w:szCs w:val="20"/>
              </w:rPr>
            </w:pPr>
          </w:p>
          <w:p w:rsidR="007A61F2" w:rsidRDefault="007A61F2" w:rsidP="007A61F2">
            <w:pPr>
              <w:jc w:val="both"/>
              <w:rPr>
                <w:rFonts w:asciiTheme="minorHAnsi" w:hAnsiTheme="minorHAnsi" w:cs="Arial"/>
                <w:sz w:val="24"/>
                <w:szCs w:val="24"/>
              </w:rPr>
            </w:pPr>
            <w:r>
              <w:rPr>
                <w:rFonts w:asciiTheme="minorHAnsi" w:hAnsiTheme="minorHAnsi" w:cs="Arial"/>
                <w:sz w:val="24"/>
                <w:szCs w:val="24"/>
              </w:rPr>
              <w:t xml:space="preserve">Jane is an essential and expertly qualified member of the Student Services Team, demonstrating respect for students and staff alike within her role as a Specialist Support Lecturer.   Jane works holistically with her students, encouraging and supporting them to find alternatives and supportive assistance that best suits their needs, whilst at the same time providing them with the latest examples and assistive technology (AT) support packages that reflects the currency within her field.  </w:t>
            </w:r>
          </w:p>
          <w:p w:rsidR="007A61F2" w:rsidRDefault="007A61F2" w:rsidP="007A61F2">
            <w:pPr>
              <w:jc w:val="both"/>
              <w:rPr>
                <w:rFonts w:asciiTheme="minorHAnsi" w:hAnsiTheme="minorHAnsi" w:cs="Arial"/>
                <w:sz w:val="24"/>
                <w:szCs w:val="24"/>
              </w:rPr>
            </w:pPr>
          </w:p>
          <w:p w:rsidR="007A61F2" w:rsidRDefault="007A61F2" w:rsidP="007A61F2">
            <w:pPr>
              <w:jc w:val="both"/>
              <w:rPr>
                <w:rFonts w:asciiTheme="minorHAnsi" w:hAnsiTheme="minorHAnsi" w:cs="Arial"/>
                <w:sz w:val="24"/>
                <w:szCs w:val="24"/>
              </w:rPr>
            </w:pPr>
            <w:r>
              <w:rPr>
                <w:rFonts w:asciiTheme="minorHAnsi" w:hAnsiTheme="minorHAnsi" w:cs="Arial"/>
                <w:sz w:val="24"/>
                <w:szCs w:val="24"/>
              </w:rPr>
              <w:lastRenderedPageBreak/>
              <w:t xml:space="preserve">Her expertise and understanding students who struggle with Specific Learning Difficulties SpLD such as dyslexia and dyspraxia are invaluable, along with an array of issues where students are in need of support. As noted within her application, Jane understands the various challenges and complexities of SpLD within the adult learner in Higher Education today. Her background allows her to help the learner in the processing of substantial and complex information as demonstrated throughout her application.  </w:t>
            </w:r>
          </w:p>
          <w:p w:rsidR="007A61F2" w:rsidRDefault="007A61F2" w:rsidP="007A61F2">
            <w:pPr>
              <w:jc w:val="both"/>
              <w:rPr>
                <w:rFonts w:asciiTheme="minorHAnsi" w:hAnsiTheme="minorHAnsi" w:cs="Arial"/>
                <w:sz w:val="24"/>
                <w:szCs w:val="24"/>
              </w:rPr>
            </w:pPr>
          </w:p>
          <w:p w:rsidR="007A61F2" w:rsidRDefault="007A61F2" w:rsidP="007A61F2">
            <w:pPr>
              <w:jc w:val="both"/>
              <w:rPr>
                <w:rFonts w:asciiTheme="minorHAnsi" w:hAnsiTheme="minorHAnsi" w:cs="Arial"/>
                <w:sz w:val="24"/>
                <w:szCs w:val="24"/>
              </w:rPr>
            </w:pPr>
            <w:r>
              <w:rPr>
                <w:rFonts w:asciiTheme="minorHAnsi" w:hAnsiTheme="minorHAnsi" w:cs="Arial"/>
                <w:sz w:val="24"/>
                <w:szCs w:val="24"/>
              </w:rPr>
              <w:t>Jane models a lovely calm reflective style within her work that enables the student to process the information.  She encourages the student to learn from their mistakes to develop strategies to improve.  She demonstrates a co-constructive process that allows the learner to grow in confidence, building autonomy and becoming a more independent learner, and identifying transferable skills for future employment.  “</w:t>
            </w:r>
            <w:r w:rsidRPr="00F45EB3">
              <w:rPr>
                <w:rFonts w:asciiTheme="minorHAnsi" w:hAnsiTheme="minorHAnsi" w:cs="Arial"/>
                <w:i/>
                <w:sz w:val="24"/>
                <w:szCs w:val="24"/>
              </w:rPr>
              <w:t>Working from a position of ability rather than disability”</w:t>
            </w:r>
            <w:r>
              <w:rPr>
                <w:rFonts w:asciiTheme="minorHAnsi" w:hAnsiTheme="minorHAnsi" w:cs="Arial"/>
                <w:i/>
                <w:sz w:val="24"/>
                <w:szCs w:val="24"/>
              </w:rPr>
              <w:t xml:space="preserve">.  </w:t>
            </w:r>
            <w:r>
              <w:rPr>
                <w:rFonts w:asciiTheme="minorHAnsi" w:hAnsiTheme="minorHAnsi" w:cs="Arial"/>
                <w:sz w:val="24"/>
                <w:szCs w:val="24"/>
              </w:rPr>
              <w:t xml:space="preserve">Her interactive relationship with the learner and the various subjects she is working with allows for creativity and imagination.  Just give Jane a whiteboard and let the magic unfold.  </w:t>
            </w:r>
          </w:p>
          <w:p w:rsidR="007A61F2" w:rsidRDefault="007A61F2" w:rsidP="007A61F2">
            <w:pPr>
              <w:jc w:val="both"/>
              <w:rPr>
                <w:rFonts w:asciiTheme="minorHAnsi" w:hAnsiTheme="minorHAnsi" w:cs="Arial"/>
                <w:sz w:val="24"/>
                <w:szCs w:val="24"/>
              </w:rPr>
            </w:pPr>
          </w:p>
          <w:p w:rsidR="007A61F2" w:rsidRDefault="007A61F2" w:rsidP="007A61F2">
            <w:pPr>
              <w:jc w:val="both"/>
              <w:rPr>
                <w:rFonts w:asciiTheme="minorHAnsi" w:hAnsiTheme="minorHAnsi" w:cs="Arial"/>
                <w:sz w:val="24"/>
                <w:szCs w:val="24"/>
              </w:rPr>
            </w:pPr>
            <w:r>
              <w:rPr>
                <w:rFonts w:asciiTheme="minorHAnsi" w:hAnsiTheme="minorHAnsi" w:cs="Arial"/>
                <w:sz w:val="24"/>
                <w:szCs w:val="24"/>
              </w:rPr>
              <w:t xml:space="preserve">It is clear within her application she meets the standards guided by UK Professional Standards Framework UKPSF and continues to develop further skills with continuing professional development (CPD) highlighted within the application.  Many of her current and on-going CPD opportunities will continue to enhance her work with students, colleagues and perhaps provide further knowledge for the wider university in understanding the complexities and needs of HE student today.  </w:t>
            </w:r>
          </w:p>
          <w:p w:rsidR="007A61F2" w:rsidRDefault="007A61F2" w:rsidP="007A61F2">
            <w:pPr>
              <w:jc w:val="both"/>
              <w:rPr>
                <w:rFonts w:asciiTheme="minorHAnsi" w:hAnsiTheme="minorHAnsi" w:cs="Arial"/>
                <w:sz w:val="24"/>
                <w:szCs w:val="24"/>
              </w:rPr>
            </w:pPr>
          </w:p>
          <w:p w:rsidR="007A61F2" w:rsidRDefault="007A61F2" w:rsidP="007A61F2">
            <w:pPr>
              <w:jc w:val="both"/>
              <w:rPr>
                <w:rFonts w:asciiTheme="minorHAnsi" w:hAnsiTheme="minorHAnsi" w:cs="Arial"/>
                <w:sz w:val="24"/>
                <w:szCs w:val="24"/>
              </w:rPr>
            </w:pPr>
            <w:r>
              <w:rPr>
                <w:rFonts w:asciiTheme="minorHAnsi" w:hAnsiTheme="minorHAnsi" w:cs="Arial"/>
                <w:sz w:val="24"/>
                <w:szCs w:val="24"/>
              </w:rPr>
              <w:t xml:space="preserve">Finally Jane’s care, compassion, and passion for her work is commendable and I am confident that Jane has demonstrated that she has achieved the criteria for a Fellow of the HEA and recommend her for a Fellowship.  </w:t>
            </w:r>
          </w:p>
          <w:p w:rsidR="007A61F2" w:rsidRDefault="007A61F2" w:rsidP="007A61F2">
            <w:pPr>
              <w:jc w:val="both"/>
              <w:rPr>
                <w:rFonts w:asciiTheme="minorHAnsi" w:hAnsiTheme="minorHAnsi" w:cs="Arial"/>
                <w:sz w:val="24"/>
                <w:szCs w:val="24"/>
              </w:rPr>
            </w:pPr>
          </w:p>
          <w:p w:rsidR="007A61F2" w:rsidRDefault="007A61F2" w:rsidP="007A61F2">
            <w:pPr>
              <w:jc w:val="both"/>
              <w:rPr>
                <w:rFonts w:asciiTheme="minorHAnsi" w:hAnsiTheme="minorHAnsi" w:cs="Arial"/>
                <w:sz w:val="24"/>
                <w:szCs w:val="24"/>
              </w:rPr>
            </w:pPr>
            <w:r>
              <w:rPr>
                <w:rFonts w:asciiTheme="minorHAnsi" w:hAnsiTheme="minorHAnsi" w:cs="Arial"/>
                <w:sz w:val="24"/>
                <w:szCs w:val="24"/>
              </w:rPr>
              <w:t>Kind regards,</w:t>
            </w:r>
          </w:p>
          <w:p w:rsidR="007A61F2" w:rsidRDefault="007A61F2" w:rsidP="007A61F2">
            <w:pPr>
              <w:jc w:val="both"/>
              <w:rPr>
                <w:rFonts w:asciiTheme="minorHAnsi" w:hAnsiTheme="minorHAnsi" w:cs="Arial"/>
                <w:sz w:val="24"/>
                <w:szCs w:val="24"/>
              </w:rPr>
            </w:pPr>
          </w:p>
          <w:p w:rsidR="007A61F2" w:rsidRDefault="007A61F2" w:rsidP="007A61F2">
            <w:pPr>
              <w:jc w:val="both"/>
              <w:rPr>
                <w:rFonts w:asciiTheme="minorHAnsi" w:hAnsiTheme="minorHAnsi" w:cs="Arial"/>
                <w:sz w:val="24"/>
                <w:szCs w:val="24"/>
              </w:rPr>
            </w:pPr>
            <w:r>
              <w:rPr>
                <w:noProof/>
              </w:rPr>
              <w:drawing>
                <wp:inline distT="0" distB="0" distL="0" distR="0" wp14:anchorId="0F6CE0CB" wp14:editId="5EF883DE">
                  <wp:extent cx="1466850" cy="31747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49215" cy="356939"/>
                          </a:xfrm>
                          <a:prstGeom prst="rect">
                            <a:avLst/>
                          </a:prstGeom>
                          <a:noFill/>
                          <a:ln>
                            <a:noFill/>
                          </a:ln>
                        </pic:spPr>
                      </pic:pic>
                    </a:graphicData>
                  </a:graphic>
                </wp:inline>
              </w:drawing>
            </w:r>
          </w:p>
          <w:p w:rsidR="007A61F2" w:rsidRDefault="007A61F2" w:rsidP="007A61F2">
            <w:pPr>
              <w:jc w:val="both"/>
              <w:rPr>
                <w:rFonts w:asciiTheme="minorHAnsi" w:hAnsiTheme="minorHAnsi" w:cs="Arial"/>
                <w:sz w:val="24"/>
                <w:szCs w:val="24"/>
              </w:rPr>
            </w:pPr>
          </w:p>
          <w:p w:rsidR="007A61F2" w:rsidRDefault="007A61F2" w:rsidP="007A61F2">
            <w:pPr>
              <w:jc w:val="both"/>
              <w:rPr>
                <w:rFonts w:asciiTheme="minorHAnsi" w:hAnsiTheme="minorHAnsi" w:cs="Arial"/>
                <w:sz w:val="24"/>
                <w:szCs w:val="24"/>
              </w:rPr>
            </w:pPr>
            <w:r>
              <w:rPr>
                <w:rFonts w:asciiTheme="minorHAnsi" w:hAnsiTheme="minorHAnsi" w:cs="Arial"/>
                <w:sz w:val="24"/>
                <w:szCs w:val="24"/>
              </w:rPr>
              <w:t>Ruth Groff MPS MA HEA Registered Accredited BACP</w:t>
            </w:r>
          </w:p>
          <w:p w:rsidR="007A61F2" w:rsidRPr="006C4A76" w:rsidRDefault="007A61F2" w:rsidP="007A61F2">
            <w:pPr>
              <w:jc w:val="both"/>
              <w:rPr>
                <w:rFonts w:asciiTheme="minorHAnsi" w:hAnsiTheme="minorHAnsi"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tc>
      </w:tr>
    </w:tbl>
    <w:p w:rsidR="0016710B" w:rsidRDefault="0016710B" w:rsidP="005821B5">
      <w:pPr>
        <w:jc w:val="both"/>
        <w:rPr>
          <w:sz w:val="24"/>
          <w:szCs w:val="24"/>
        </w:rPr>
      </w:pPr>
    </w:p>
    <w:p w:rsidR="00860CBB" w:rsidRDefault="00860CBB" w:rsidP="005821B5">
      <w:pPr>
        <w:jc w:val="both"/>
        <w:rPr>
          <w:sz w:val="24"/>
          <w:szCs w:val="24"/>
        </w:rPr>
      </w:pPr>
    </w:p>
    <w:p w:rsidR="00AB3A81" w:rsidRDefault="00AB3A81" w:rsidP="005821B5">
      <w:pPr>
        <w:jc w:val="both"/>
        <w:rPr>
          <w:sz w:val="24"/>
          <w:szCs w:val="24"/>
        </w:rPr>
      </w:pPr>
    </w:p>
    <w:p w:rsidR="00AB3A81" w:rsidRPr="00AB3A81" w:rsidRDefault="00AB3A81" w:rsidP="00AB3A81">
      <w:pPr>
        <w:jc w:val="center"/>
        <w:rPr>
          <w:rFonts w:cs="Arial"/>
          <w:b/>
          <w:sz w:val="24"/>
          <w:szCs w:val="24"/>
        </w:rPr>
      </w:pPr>
      <w:r w:rsidRPr="00AB3A81">
        <w:rPr>
          <w:rFonts w:cs="Arial"/>
          <w:b/>
          <w:sz w:val="24"/>
          <w:szCs w:val="24"/>
        </w:rPr>
        <w:t>THE UK PROFESSIONAL STANDARDS FRAMEWORK (HEA)</w:t>
      </w:r>
    </w:p>
    <w:p w:rsidR="00AB3A81" w:rsidRPr="00AB3A81" w:rsidRDefault="00AB3A81" w:rsidP="00AB3A81">
      <w:pPr>
        <w:jc w:val="center"/>
        <w:rPr>
          <w:rFonts w:cs="Arial"/>
          <w:b/>
          <w:sz w:val="24"/>
          <w:szCs w:val="24"/>
        </w:rPr>
      </w:pPr>
    </w:p>
    <w:p w:rsidR="00AB3A81" w:rsidRPr="00AB3A81" w:rsidRDefault="00AB3A81" w:rsidP="00AB3A81">
      <w:pPr>
        <w:jc w:val="center"/>
        <w:rPr>
          <w:rFonts w:cs="Arial"/>
          <w:b/>
          <w:sz w:val="24"/>
          <w:szCs w:val="24"/>
        </w:rPr>
      </w:pPr>
      <w:r w:rsidRPr="00AB3A81">
        <w:rPr>
          <w:rFonts w:cs="Arial"/>
          <w:b/>
          <w:sz w:val="24"/>
          <w:szCs w:val="24"/>
        </w:rPr>
        <w:t>Dimensions of the Framework</w:t>
      </w:r>
    </w:p>
    <w:p w:rsidR="00AB3A81" w:rsidRPr="00AB3A81" w:rsidRDefault="00AB3A81" w:rsidP="00AB3A81">
      <w:pPr>
        <w:jc w:val="both"/>
        <w:rPr>
          <w:rFonts w:cs="Arial"/>
          <w:sz w:val="24"/>
          <w:szCs w:val="24"/>
        </w:rPr>
      </w:pPr>
    </w:p>
    <w:p w:rsidR="00AB3A81" w:rsidRPr="00AB3A81" w:rsidRDefault="00AB3A81" w:rsidP="00AB3A81">
      <w:pPr>
        <w:jc w:val="both"/>
        <w:rPr>
          <w:rFonts w:cs="Arial"/>
          <w:sz w:val="24"/>
          <w:szCs w:val="24"/>
        </w:rPr>
      </w:pPr>
      <w:r w:rsidRPr="00AB3A81">
        <w:rPr>
          <w:rFonts w:cs="Arial"/>
          <w:noProof/>
          <w:sz w:val="24"/>
          <w:szCs w:val="24"/>
        </w:rPr>
        <mc:AlternateContent>
          <mc:Choice Requires="wps">
            <w:drawing>
              <wp:anchor distT="0" distB="0" distL="114300" distR="114300" simplePos="0" relativeHeight="251664384" behindDoc="0" locked="0" layoutInCell="1" allowOverlap="1" wp14:anchorId="1F74A2FF" wp14:editId="589DDF89">
                <wp:simplePos x="0" y="0"/>
                <wp:positionH relativeFrom="column">
                  <wp:posOffset>542925</wp:posOffset>
                </wp:positionH>
                <wp:positionV relativeFrom="paragraph">
                  <wp:posOffset>2794635</wp:posOffset>
                </wp:positionV>
                <wp:extent cx="485775" cy="542925"/>
                <wp:effectExtent l="47625" t="49530" r="47625" b="45720"/>
                <wp:wrapNone/>
                <wp:docPr id="11"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5775"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1CBD77B5" id="_x0000_t32" coordsize="21600,21600" o:spt="32" o:oned="t" path="m,l21600,21600e" filled="f">
                <v:path arrowok="t" fillok="f" o:connecttype="none"/>
                <o:lock v:ext="edit" shapetype="t"/>
              </v:shapetype>
              <v:shape id="AutoShape 7" o:spid="_x0000_s1026" type="#_x0000_t32" style="position:absolute;margin-left:42.75pt;margin-top:220.05pt;width:38.25pt;height:42.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">
                <v:stroke startarrow="block" endarrow="block"/>
              </v:shape>
            </w:pict>
          </mc:Fallback>
        </mc:AlternateContent>
      </w:r>
      <w:r w:rsidRPr="00AB3A81">
        <w:rPr>
          <w:rFonts w:cs="Arial"/>
          <w:noProof/>
          <w:sz w:val="24"/>
          <w:szCs w:val="24"/>
        </w:rPr>
        <mc:AlternateContent>
          <mc:Choice Requires="wps">
            <w:drawing>
              <wp:anchor distT="0" distB="0" distL="114300" distR="114300" simplePos="0" relativeHeight="251659264" behindDoc="0" locked="0" layoutInCell="1" allowOverlap="1" wp14:anchorId="3B956EE0" wp14:editId="6ECB54A0">
                <wp:simplePos x="0" y="0"/>
                <wp:positionH relativeFrom="column">
                  <wp:align>center</wp:align>
                </wp:positionH>
                <wp:positionV relativeFrom="paragraph">
                  <wp:posOffset>5080</wp:posOffset>
                </wp:positionV>
                <wp:extent cx="4846320" cy="2510790"/>
                <wp:effectExtent l="12700" t="8255" r="8255" b="508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rsidR="00AB3A81" w:rsidRPr="0018351D" w:rsidRDefault="00AB3A81" w:rsidP="00AB3A81">
                            <w:pPr>
                              <w:jc w:val="center"/>
                              <w:rPr>
                                <w:b/>
                              </w:rPr>
                            </w:pPr>
                            <w:r w:rsidRPr="0018351D">
                              <w:rPr>
                                <w:b/>
                              </w:rP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type w14:anchorId="3B956EE0" id="_x0000_t202" coordsize="21600,21600" o:spt="202" path="m,l,21600r21600,l21600,xe">
                <v:stroke joinstyle="miter"/>
                <v:path gradientshapeok="t" o:connecttype="rect"/>
              </v:shapetype>
              <v:shape id="Text Box 2" o:spid="_x0000_s1026" type="#_x0000_t202" style="position:absolute;left:0;text-align:left;margin-left:0;margin-top:.4pt;width:381.6pt;height:197.7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">
                <v:textbox style="mso-fit-shape-to-text:t">
                  <w:txbxContent>
                    <w:p w:rsidR="00AB3A81" w:rsidRPr="0018351D" w:rsidRDefault="00AB3A81" w:rsidP="00AB3A81">
                      <w:pPr>
                        <w:jc w:val="center"/>
                        <w:rPr>
                          <w:b/>
                        </w:rPr>
                      </w:pPr>
                      <w:r w:rsidRPr="0018351D">
                        <w:rPr>
                          <w:b/>
                        </w:rP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r w:rsidRPr="00AB3A81">
        <w:rPr>
          <w:rFonts w:cs="Arial"/>
          <w:noProof/>
          <w:sz w:val="24"/>
          <w:szCs w:val="24"/>
        </w:rPr>
        <mc:AlternateContent>
          <mc:Choice Requires="wps">
            <w:drawing>
              <wp:anchor distT="0" distB="0" distL="114300" distR="114300" simplePos="0" relativeHeight="251660288" behindDoc="0" locked="0" layoutInCell="1" allowOverlap="1" wp14:anchorId="097A6262" wp14:editId="371CFE6D">
                <wp:simplePos x="0" y="0"/>
                <wp:positionH relativeFrom="column">
                  <wp:align>center</wp:align>
                </wp:positionH>
                <wp:positionV relativeFrom="paragraph">
                  <wp:posOffset>0</wp:posOffset>
                </wp:positionV>
                <wp:extent cx="4846320" cy="2510790"/>
                <wp:effectExtent l="12700" t="7620" r="8255" b="571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rsidR="00AB3A81" w:rsidRDefault="00AB3A81" w:rsidP="00AB3A81">
                            <w: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097A6262" id="Text Box 3" o:spid="_x0000_s1027" type="#_x0000_t202" style="position:absolute;left:0;text-align:left;margin-left:0;margin-top:0;width:381.6pt;height:197.7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">
                <v:textbox style="mso-fit-shape-to-text:t">
                  <w:txbxContent>
                    <w:p w:rsidR="00AB3A81" w:rsidRDefault="00AB3A81" w:rsidP="00AB3A81">
                      <w: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3360" behindDoc="0" locked="0" layoutInCell="1" allowOverlap="1" wp14:anchorId="6E59779B" wp14:editId="794E779B">
                <wp:simplePos x="0" y="0"/>
                <wp:positionH relativeFrom="column">
                  <wp:posOffset>4581525</wp:posOffset>
                </wp:positionH>
                <wp:positionV relativeFrom="paragraph">
                  <wp:posOffset>70485</wp:posOffset>
                </wp:positionV>
                <wp:extent cx="457200" cy="542925"/>
                <wp:effectExtent l="47625" t="49530" r="47625" b="4572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68B8A265" id="AutoShape 6" o:spid="_x0000_s1026" type="#_x0000_t32" style="position:absolute;margin-left:360.75pt;margin-top:5.5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OY0OAIAAIM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">
                <v:stroke startarrow="block" endarrow="block"/>
              </v:shape>
            </w:pict>
          </mc:Fallback>
        </mc:AlternateContent>
      </w: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2336" behindDoc="0" locked="0" layoutInCell="1" allowOverlap="1" wp14:anchorId="524F70B7" wp14:editId="4CA3FC9D">
                <wp:simplePos x="0" y="0"/>
                <wp:positionH relativeFrom="column">
                  <wp:posOffset>3371850</wp:posOffset>
                </wp:positionH>
                <wp:positionV relativeFrom="paragraph">
                  <wp:posOffset>23495</wp:posOffset>
                </wp:positionV>
                <wp:extent cx="2943225" cy="3950970"/>
                <wp:effectExtent l="9525" t="11430" r="9525" b="9525"/>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950970"/>
                        </a:xfrm>
                        <a:prstGeom prst="rect">
                          <a:avLst/>
                        </a:prstGeom>
                        <a:solidFill>
                          <a:srgbClr val="FFFFFF"/>
                        </a:solidFill>
                        <a:ln w="9525">
                          <a:solidFill>
                            <a:srgbClr val="000000"/>
                          </a:solidFill>
                          <a:miter lim="800000"/>
                          <a:headEnd/>
                          <a:tailEnd/>
                        </a:ln>
                      </wps:spPr>
                      <wps:txbx>
                        <w:txbxContent>
                          <w:p w:rsidR="00AB3A81" w:rsidRPr="0018351D" w:rsidRDefault="00AB3A81" w:rsidP="00AB3A81">
                            <w:pPr>
                              <w:jc w:val="center"/>
                              <w:rPr>
                                <w:b/>
                              </w:rPr>
                            </w:pPr>
                            <w:r w:rsidRPr="0018351D">
                              <w:rPr>
                                <w:b/>
                              </w:rPr>
                              <w:t>Professional Values</w:t>
                            </w:r>
                          </w:p>
                          <w:p w:rsidR="00AB3A81" w:rsidRDefault="00AB3A81" w:rsidP="00AB3A81"/>
                          <w:p w:rsidR="00AB3A81" w:rsidRDefault="00AB3A81" w:rsidP="00AB3A81">
                            <w:pPr>
                              <w:ind w:left="720" w:hanging="720"/>
                            </w:pPr>
                            <w:r>
                              <w:t>V1</w:t>
                            </w:r>
                            <w:r>
                              <w:tab/>
                              <w:t>Respect individual learners and diverse learning communities</w:t>
                            </w:r>
                          </w:p>
                          <w:p w:rsidR="00AB3A81" w:rsidRDefault="00AB3A81" w:rsidP="00AB3A81"/>
                          <w:p w:rsidR="00AB3A81" w:rsidRDefault="00AB3A81" w:rsidP="00AB3A81">
                            <w:pPr>
                              <w:ind w:left="720" w:hanging="720"/>
                            </w:pPr>
                            <w:r>
                              <w:t>V2</w:t>
                            </w:r>
                            <w:r>
                              <w:tab/>
                              <w:t>Promote participation in higher education and equality of opportunity for learners</w:t>
                            </w:r>
                          </w:p>
                          <w:p w:rsidR="00AB3A81" w:rsidRDefault="00AB3A81" w:rsidP="00AB3A81"/>
                          <w:p w:rsidR="00AB3A81" w:rsidRDefault="00AB3A81" w:rsidP="00AB3A81">
                            <w:pPr>
                              <w:ind w:left="720" w:hanging="720"/>
                            </w:pPr>
                            <w:r>
                              <w:t>V3</w:t>
                            </w:r>
                            <w:r>
                              <w:tab/>
                              <w:t>Use evidence-informed approaches and the outcomes from research, scholarship and continuing professional development</w:t>
                            </w:r>
                          </w:p>
                          <w:p w:rsidR="00AB3A81" w:rsidRDefault="00AB3A81" w:rsidP="00AB3A81"/>
                          <w:p w:rsidR="00AB3A81" w:rsidRDefault="00AB3A81" w:rsidP="00AB3A81">
                            <w:pPr>
                              <w:ind w:left="720" w:hanging="720"/>
                            </w:pPr>
                            <w:r>
                              <w:t>V4</w:t>
                            </w:r>
                            <w:r>
                              <w:tab/>
                              <w:t>Acknowledge the wider context in which higher education operates recognising the implications for professional practice</w:t>
                            </w:r>
                          </w:p>
                          <w:p w:rsidR="00AB3A81" w:rsidRDefault="00AB3A81" w:rsidP="00AB3A8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524F70B7" id="Text Box 5" o:spid="_x0000_s1028" type="#_x0000_t202" style="position:absolute;left:0;text-align:left;margin-left:265.5pt;margin-top:1.85pt;width:231.75pt;height:3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">
                <v:textbox>
                  <w:txbxContent>
                    <w:p w:rsidR="00AB3A81" w:rsidRPr="0018351D" w:rsidRDefault="00AB3A81" w:rsidP="00AB3A81">
                      <w:pPr>
                        <w:jc w:val="center"/>
                        <w:rPr>
                          <w:b/>
                        </w:rPr>
                      </w:pPr>
                      <w:r w:rsidRPr="0018351D">
                        <w:rPr>
                          <w:b/>
                        </w:rPr>
                        <w:t>Professional Values</w:t>
                      </w:r>
                    </w:p>
                    <w:p w:rsidR="00AB3A81" w:rsidRDefault="00AB3A81" w:rsidP="00AB3A81"/>
                    <w:p w:rsidR="00AB3A81" w:rsidRDefault="00AB3A81" w:rsidP="00AB3A81">
                      <w:pPr>
                        <w:ind w:left="720" w:hanging="720"/>
                      </w:pPr>
                      <w:r>
                        <w:t>V1</w:t>
                      </w:r>
                      <w:r>
                        <w:tab/>
                        <w:t>Respect individual learners and diverse learning communities</w:t>
                      </w:r>
                    </w:p>
                    <w:p w:rsidR="00AB3A81" w:rsidRDefault="00AB3A81" w:rsidP="00AB3A81"/>
                    <w:p w:rsidR="00AB3A81" w:rsidRDefault="00AB3A81" w:rsidP="00AB3A81">
                      <w:pPr>
                        <w:ind w:left="720" w:hanging="720"/>
                      </w:pPr>
                      <w:r>
                        <w:t>V2</w:t>
                      </w:r>
                      <w:r>
                        <w:tab/>
                        <w:t>Promote participation in higher education and equality of opportunity for learners</w:t>
                      </w:r>
                    </w:p>
                    <w:p w:rsidR="00AB3A81" w:rsidRDefault="00AB3A81" w:rsidP="00AB3A81"/>
                    <w:p w:rsidR="00AB3A81" w:rsidRDefault="00AB3A81" w:rsidP="00AB3A81">
                      <w:pPr>
                        <w:ind w:left="720" w:hanging="720"/>
                      </w:pPr>
                      <w:r>
                        <w:t>V3</w:t>
                      </w:r>
                      <w:r>
                        <w:tab/>
                        <w:t>Use evidence-informed approaches and the outcomes from research, scholarship and continuing professional development</w:t>
                      </w:r>
                    </w:p>
                    <w:p w:rsidR="00AB3A81" w:rsidRDefault="00AB3A81" w:rsidP="00AB3A81"/>
                    <w:p w:rsidR="00AB3A81" w:rsidRDefault="00AB3A81" w:rsidP="00AB3A81">
                      <w:pPr>
                        <w:ind w:left="720" w:hanging="720"/>
                      </w:pPr>
                      <w:r>
                        <w:t>V4</w:t>
                      </w:r>
                      <w:r>
                        <w:tab/>
                        <w:t>Acknowledge the wider context in which higher education operates recognising the implications for professional practice</w:t>
                      </w:r>
                    </w:p>
                    <w:p w:rsidR="00AB3A81" w:rsidRDefault="00AB3A81" w:rsidP="00AB3A81"/>
                  </w:txbxContent>
                </v:textbox>
              </v:shape>
            </w:pict>
          </mc:Fallback>
        </mc:AlternateContent>
      </w:r>
      <w:r w:rsidRPr="00AB3A81">
        <w:rPr>
          <w:rFonts w:cs="Arial"/>
          <w:noProof/>
          <w:sz w:val="24"/>
          <w:szCs w:val="24"/>
        </w:rPr>
        <mc:AlternateContent>
          <mc:Choice Requires="wps">
            <w:drawing>
              <wp:anchor distT="0" distB="0" distL="114300" distR="114300" simplePos="0" relativeHeight="251661312" behindDoc="0" locked="0" layoutInCell="1" allowOverlap="1" wp14:anchorId="4A1EEE99" wp14:editId="1FB43C13">
                <wp:simplePos x="0" y="0"/>
                <wp:positionH relativeFrom="column">
                  <wp:posOffset>-266700</wp:posOffset>
                </wp:positionH>
                <wp:positionV relativeFrom="paragraph">
                  <wp:posOffset>9525</wp:posOffset>
                </wp:positionV>
                <wp:extent cx="2766060" cy="3956050"/>
                <wp:effectExtent l="9525" t="6985" r="5715" b="889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3956050"/>
                        </a:xfrm>
                        <a:prstGeom prst="rect">
                          <a:avLst/>
                        </a:prstGeom>
                        <a:solidFill>
                          <a:srgbClr val="FFFFFF"/>
                        </a:solidFill>
                        <a:ln w="9525">
                          <a:solidFill>
                            <a:srgbClr val="000000"/>
                          </a:solidFill>
                          <a:miter lim="800000"/>
                          <a:headEnd/>
                          <a:tailEnd/>
                        </a:ln>
                      </wps:spPr>
                      <wps:txbx>
                        <w:txbxContent>
                          <w:p w:rsidR="00AB3A81" w:rsidRPr="0018351D" w:rsidRDefault="00AB3A81" w:rsidP="00AB3A81">
                            <w:pPr>
                              <w:jc w:val="center"/>
                              <w:rPr>
                                <w:b/>
                              </w:rPr>
                            </w:pPr>
                            <w:r w:rsidRPr="0018351D">
                              <w:rPr>
                                <w:b/>
                              </w:rPr>
                              <w:t>Core Knowledge</w:t>
                            </w:r>
                          </w:p>
                          <w:p w:rsidR="00AB3A81" w:rsidRDefault="00AB3A81" w:rsidP="00AB3A81"/>
                          <w:p w:rsidR="00AB3A81" w:rsidRDefault="00AB3A81" w:rsidP="00AB3A81">
                            <w:pPr>
                              <w:ind w:left="720" w:hanging="720"/>
                            </w:pPr>
                            <w:r>
                              <w:t>K1</w:t>
                            </w:r>
                            <w:r>
                              <w:tab/>
                              <w:t>The subject material</w:t>
                            </w:r>
                          </w:p>
                          <w:p w:rsidR="00AB3A81" w:rsidRDefault="00AB3A81" w:rsidP="00AB3A81"/>
                          <w:p w:rsidR="00AB3A81" w:rsidRDefault="00AB3A81" w:rsidP="00AB3A81">
                            <w:pPr>
                              <w:ind w:left="720" w:hanging="720"/>
                            </w:pPr>
                            <w:r>
                              <w:t>K2</w:t>
                            </w:r>
                            <w:r>
                              <w:tab/>
                              <w:t>Appropriate methods for teaching and learning in the subject area and at the level of the programme</w:t>
                            </w:r>
                          </w:p>
                          <w:p w:rsidR="00AB3A81" w:rsidRDefault="00AB3A81" w:rsidP="00AB3A81"/>
                          <w:p w:rsidR="00AB3A81" w:rsidRDefault="00AB3A81" w:rsidP="00AB3A81">
                            <w:pPr>
                              <w:ind w:left="720" w:hanging="720"/>
                            </w:pPr>
                            <w:r>
                              <w:t>K3</w:t>
                            </w:r>
                            <w:r>
                              <w:tab/>
                              <w:t>How students learn, both generally and within their subject/discipline area(s)</w:t>
                            </w:r>
                          </w:p>
                          <w:p w:rsidR="00AB3A81" w:rsidRDefault="00AB3A81" w:rsidP="00AB3A81"/>
                          <w:p w:rsidR="00AB3A81" w:rsidRDefault="00AB3A81" w:rsidP="00AB3A81">
                            <w:pPr>
                              <w:ind w:left="720" w:hanging="720"/>
                            </w:pPr>
                            <w:r>
                              <w:t>K4</w:t>
                            </w:r>
                            <w:r>
                              <w:tab/>
                              <w:t>The use and value of appropriate learning technologies</w:t>
                            </w:r>
                          </w:p>
                          <w:p w:rsidR="00AB3A81" w:rsidRDefault="00AB3A81" w:rsidP="00AB3A81"/>
                          <w:p w:rsidR="00AB3A81" w:rsidRDefault="00AB3A81" w:rsidP="00AB3A81">
                            <w:pPr>
                              <w:ind w:left="720" w:hanging="720"/>
                            </w:pPr>
                            <w:r>
                              <w:t>K5</w:t>
                            </w:r>
                            <w:r>
                              <w:tab/>
                              <w:t>Methods for evaluating the effectiveness of teaching</w:t>
                            </w:r>
                          </w:p>
                          <w:p w:rsidR="00AB3A81" w:rsidRDefault="00AB3A81" w:rsidP="00AB3A81"/>
                          <w:p w:rsidR="00AB3A81" w:rsidRDefault="00AB3A81" w:rsidP="00AB3A81">
                            <w:pPr>
                              <w:ind w:left="720" w:hanging="720"/>
                            </w:pPr>
                            <w:r>
                              <w:t>K6</w:t>
                            </w:r>
                            <w:r>
                              <w:tab/>
                              <w:t>The implications of quality assurance and quality enhancement for academic and professional practice with a particular focus on teaching</w:t>
                            </w:r>
                          </w:p>
                          <w:p w:rsidR="00AB3A81" w:rsidRDefault="00AB3A81" w:rsidP="00AB3A81"/>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4A1EEE99" id="Text Box 4" o:spid="_x0000_s1029" type="#_x0000_t202" style="position:absolute;left:0;text-align:left;margin-left:-21pt;margin-top:.75pt;width:217.8pt;height:311.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">
                <v:textbox style="mso-fit-shape-to-text:t">
                  <w:txbxContent>
                    <w:p w:rsidR="00AB3A81" w:rsidRPr="0018351D" w:rsidRDefault="00AB3A81" w:rsidP="00AB3A81">
                      <w:pPr>
                        <w:jc w:val="center"/>
                        <w:rPr>
                          <w:b/>
                        </w:rPr>
                      </w:pPr>
                      <w:r w:rsidRPr="0018351D">
                        <w:rPr>
                          <w:b/>
                        </w:rPr>
                        <w:t>Core Knowledge</w:t>
                      </w:r>
                    </w:p>
                    <w:p w:rsidR="00AB3A81" w:rsidRDefault="00AB3A81" w:rsidP="00AB3A81"/>
                    <w:p w:rsidR="00AB3A81" w:rsidRDefault="00AB3A81" w:rsidP="00AB3A81">
                      <w:pPr>
                        <w:ind w:left="720" w:hanging="720"/>
                      </w:pPr>
                      <w:r>
                        <w:t>K1</w:t>
                      </w:r>
                      <w:r>
                        <w:tab/>
                        <w:t>The subject material</w:t>
                      </w:r>
                    </w:p>
                    <w:p w:rsidR="00AB3A81" w:rsidRDefault="00AB3A81" w:rsidP="00AB3A81"/>
                    <w:p w:rsidR="00AB3A81" w:rsidRDefault="00AB3A81" w:rsidP="00AB3A81">
                      <w:pPr>
                        <w:ind w:left="720" w:hanging="720"/>
                      </w:pPr>
                      <w:r>
                        <w:t>K2</w:t>
                      </w:r>
                      <w:r>
                        <w:tab/>
                        <w:t>Appropriate methods for teaching and learning in the subject area and at the level of the programme</w:t>
                      </w:r>
                    </w:p>
                    <w:p w:rsidR="00AB3A81" w:rsidRDefault="00AB3A81" w:rsidP="00AB3A81"/>
                    <w:p w:rsidR="00AB3A81" w:rsidRDefault="00AB3A81" w:rsidP="00AB3A81">
                      <w:pPr>
                        <w:ind w:left="720" w:hanging="720"/>
                      </w:pPr>
                      <w:r>
                        <w:t>K3</w:t>
                      </w:r>
                      <w:r>
                        <w:tab/>
                        <w:t>How students learn, both generally and within their subject/discipline area(s)</w:t>
                      </w:r>
                    </w:p>
                    <w:p w:rsidR="00AB3A81" w:rsidRDefault="00AB3A81" w:rsidP="00AB3A81"/>
                    <w:p w:rsidR="00AB3A81" w:rsidRDefault="00AB3A81" w:rsidP="00AB3A81">
                      <w:pPr>
                        <w:ind w:left="720" w:hanging="720"/>
                      </w:pPr>
                      <w:r>
                        <w:t>K4</w:t>
                      </w:r>
                      <w:r>
                        <w:tab/>
                        <w:t>The use and value of appropriate learning technologies</w:t>
                      </w:r>
                    </w:p>
                    <w:p w:rsidR="00AB3A81" w:rsidRDefault="00AB3A81" w:rsidP="00AB3A81"/>
                    <w:p w:rsidR="00AB3A81" w:rsidRDefault="00AB3A81" w:rsidP="00AB3A81">
                      <w:pPr>
                        <w:ind w:left="720" w:hanging="720"/>
                      </w:pPr>
                      <w:r>
                        <w:t>K5</w:t>
                      </w:r>
                      <w:r>
                        <w:tab/>
                        <w:t>Methods for evaluating the effectiveness of teaching</w:t>
                      </w:r>
                    </w:p>
                    <w:p w:rsidR="00AB3A81" w:rsidRDefault="00AB3A81" w:rsidP="00AB3A81"/>
                    <w:p w:rsidR="00AB3A81" w:rsidRDefault="00AB3A81" w:rsidP="00AB3A81">
                      <w:pPr>
                        <w:ind w:left="720" w:hanging="720"/>
                      </w:pPr>
                      <w:r>
                        <w:t>K6</w:t>
                      </w:r>
                      <w:r>
                        <w:tab/>
                        <w:t>The implications of quality assurance and quality enhancement for academic and professional practice with a particular focus on teaching</w:t>
                      </w:r>
                    </w:p>
                    <w:p w:rsidR="00AB3A81" w:rsidRDefault="00AB3A81" w:rsidP="00AB3A81"/>
                  </w:txbxContent>
                </v:textbox>
              </v:shape>
            </w:pict>
          </mc:Fallback>
        </mc:AlternateContent>
      </w: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5408" behindDoc="0" locked="0" layoutInCell="1" allowOverlap="1" wp14:anchorId="60716C3C" wp14:editId="7A5210A3">
                <wp:simplePos x="0" y="0"/>
                <wp:positionH relativeFrom="column">
                  <wp:posOffset>2619375</wp:posOffset>
                </wp:positionH>
                <wp:positionV relativeFrom="paragraph">
                  <wp:posOffset>10160</wp:posOffset>
                </wp:positionV>
                <wp:extent cx="561975" cy="0"/>
                <wp:effectExtent l="19050" t="59055" r="19050" b="55245"/>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48159AAE" id="AutoShape 8" o:spid="_x0000_s1026" type="#_x0000_t32" style="position:absolute;margin-left:206.25pt;margin-top:.8pt;width:44.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7ZNAIAAH4EAAAOAAAAZHJzL2Uyb0RvYy54bWysVMuO2yAU3VfqPyD2ie3UySR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">
                <v:stroke startarrow="block" endarrow="block"/>
              </v:shape>
            </w:pict>
          </mc:Fallback>
        </mc:AlternateContent>
      </w: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AB3A81" w:rsidRDefault="00AB3A81" w:rsidP="00AB3A81">
      <w:pPr>
        <w:jc w:val="both"/>
        <w:rPr>
          <w:rFonts w:cs="Arial"/>
          <w:b/>
          <w:sz w:val="24"/>
          <w:szCs w:val="24"/>
        </w:rPr>
      </w:pPr>
    </w:p>
    <w:p w:rsidR="00AB3A81" w:rsidRPr="002E0503" w:rsidRDefault="00AB3A81" w:rsidP="005821B5">
      <w:pPr>
        <w:jc w:val="both"/>
        <w:rPr>
          <w:sz w:val="24"/>
          <w:szCs w:val="24"/>
        </w:rPr>
      </w:pPr>
    </w:p>
    <w:sectPr w:rsidR="00AB3A81" w:rsidRPr="002E0503" w:rsidSect="00626888">
      <w:headerReference w:type="default" r:id="rId9"/>
      <w:footerReference w:type="default" r:id="rId10"/>
      <w:headerReference w:type="first" r:id="rId11"/>
      <w:footerReference w:type="first" r:id="rId12"/>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3F32" w:rsidRDefault="00F13F32" w:rsidP="005821B5">
      <w:r>
        <w:separator/>
      </w:r>
    </w:p>
  </w:endnote>
  <w:endnote w:type="continuationSeparator" w:id="0">
    <w:p w:rsidR="00F13F32" w:rsidRDefault="00F13F32"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8375753"/>
      <w:docPartObj>
        <w:docPartGallery w:val="Page Numbers (Bottom of Page)"/>
        <w:docPartUnique/>
      </w:docPartObj>
    </w:sdtPr>
    <w:sdtEndPr>
      <w:rPr>
        <w:noProof/>
      </w:rPr>
    </w:sdtEndPr>
    <w:sdtContent>
      <w:p w:rsidR="003E58AA" w:rsidRDefault="003E58AA">
        <w:pPr>
          <w:pStyle w:val="Footer"/>
          <w:jc w:val="center"/>
        </w:pPr>
        <w:r>
          <w:fldChar w:fldCharType="begin"/>
        </w:r>
        <w:r>
          <w:instrText xml:space="preserve"> PAGE   \* MERGEFORMAT </w:instrText>
        </w:r>
        <w:r>
          <w:fldChar w:fldCharType="separate"/>
        </w:r>
        <w:r w:rsidR="00A73828">
          <w:rPr>
            <w:noProof/>
          </w:rPr>
          <w:t>2</w:t>
        </w:r>
        <w:r>
          <w:rPr>
            <w:noProof/>
          </w:rPr>
          <w:fldChar w:fldCharType="end"/>
        </w:r>
      </w:p>
    </w:sdtContent>
  </w:sdt>
  <w:p w:rsidR="003E58AA" w:rsidRDefault="003E58A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6237095"/>
      <w:docPartObj>
        <w:docPartGallery w:val="Page Numbers (Bottom of Page)"/>
        <w:docPartUnique/>
      </w:docPartObj>
    </w:sdtPr>
    <w:sdtEndPr>
      <w:rPr>
        <w:noProof/>
      </w:rPr>
    </w:sdtEndPr>
    <w:sdtContent>
      <w:p w:rsidR="003E58AA" w:rsidRDefault="003E58AA" w:rsidP="003E58AA">
        <w:pPr>
          <w:pStyle w:val="Footer"/>
          <w:jc w:val="center"/>
        </w:pPr>
        <w:r>
          <w:fldChar w:fldCharType="begin"/>
        </w:r>
        <w:r>
          <w:instrText xml:space="preserve"> PAGE   \* MERGEFORMAT </w:instrText>
        </w:r>
        <w:r>
          <w:fldChar w:fldCharType="separate"/>
        </w:r>
        <w:r w:rsidR="00A73828">
          <w:rPr>
            <w:noProof/>
          </w:rPr>
          <w:t>1</w:t>
        </w:r>
        <w:r>
          <w:rPr>
            <w:noProof/>
          </w:rPr>
          <w:fldChar w:fldCharType="end"/>
        </w:r>
      </w:p>
    </w:sdtContent>
  </w:sdt>
  <w:p w:rsidR="003E58AA" w:rsidRDefault="003E58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3F32" w:rsidRDefault="00F13F32" w:rsidP="005821B5">
      <w:r>
        <w:separator/>
      </w:r>
    </w:p>
  </w:footnote>
  <w:footnote w:type="continuationSeparator" w:id="0">
    <w:p w:rsidR="00F13F32" w:rsidRDefault="00F13F32" w:rsidP="005821B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47DBF" w:rsidRPr="00AF5881" w:rsidRDefault="00AF5881" w:rsidP="00AF5881">
    <w:pPr>
      <w:pStyle w:val="Header"/>
    </w:pPr>
    <w:r>
      <w:rPr>
        <w:noProof/>
      </w:rPr>
      <w:drawing>
        <wp:inline distT="0" distB="0" distL="0" distR="0" wp14:anchorId="2AF8BD0B" wp14:editId="23792491">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21B5" w:rsidRDefault="00AF5881" w:rsidP="00AF5881">
    <w:pPr>
      <w:pStyle w:val="Header"/>
    </w:pPr>
    <w:r>
      <w:rPr>
        <w:noProof/>
      </w:rPr>
      <w:drawing>
        <wp:inline distT="0" distB="0" distL="0" distR="0" wp14:anchorId="4045BD61" wp14:editId="4E7F1AB0">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6746"/>
    <w:rsid w:val="00020299"/>
    <w:rsid w:val="000A5E6D"/>
    <w:rsid w:val="0016710B"/>
    <w:rsid w:val="001A112A"/>
    <w:rsid w:val="001E4E13"/>
    <w:rsid w:val="00257CD6"/>
    <w:rsid w:val="002E0503"/>
    <w:rsid w:val="00347DBF"/>
    <w:rsid w:val="00351DC2"/>
    <w:rsid w:val="00354EEF"/>
    <w:rsid w:val="003656F9"/>
    <w:rsid w:val="003E58AA"/>
    <w:rsid w:val="004B029F"/>
    <w:rsid w:val="005821B5"/>
    <w:rsid w:val="005F47AD"/>
    <w:rsid w:val="00626888"/>
    <w:rsid w:val="007A61F2"/>
    <w:rsid w:val="00830C14"/>
    <w:rsid w:val="00834C8E"/>
    <w:rsid w:val="00860CBB"/>
    <w:rsid w:val="00984625"/>
    <w:rsid w:val="00A73828"/>
    <w:rsid w:val="00AB3A81"/>
    <w:rsid w:val="00AF5881"/>
    <w:rsid w:val="00AF6925"/>
    <w:rsid w:val="00B06746"/>
    <w:rsid w:val="00B20686"/>
    <w:rsid w:val="00C21D21"/>
    <w:rsid w:val="00CF5FCD"/>
    <w:rsid w:val="00D45CF3"/>
    <w:rsid w:val="00D47B90"/>
    <w:rsid w:val="00E85780"/>
    <w:rsid w:val="00ED6353"/>
    <w:rsid w:val="00F13F32"/>
    <w:rsid w:val="00F21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85DC2-5913-4389-A1DA-AA170F3C3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475</Words>
  <Characters>2708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Jane Amner</cp:lastModifiedBy>
  <cp:revision>2</cp:revision>
  <dcterms:created xsi:type="dcterms:W3CDTF">2019-07-15T07:52:00Z</dcterms:created>
  <dcterms:modified xsi:type="dcterms:W3CDTF">2019-07-15T07:52:00Z</dcterms:modified>
</cp:coreProperties>
</file>