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header2.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B031A0" w:rsidR="00C77BF3" w:rsidRDefault="00471BB0" w14:paraId="2A8B26D3" w14:textId="6076D3C6">
      <w:pPr>
        <w:spacing w:after="158"/>
        <w:ind w:left="49"/>
        <w:jc w:val="center"/>
        <w:rPr>
          <w:rFonts w:ascii="Arial" w:hAnsi="Arial" w:cs="Arial"/>
          <w:color w:val="000000" w:themeColor="text1"/>
        </w:rPr>
      </w:pPr>
      <w:r w:rsidRPr="00B031A0">
        <w:rPr>
          <w:rFonts w:ascii="Arial" w:hAnsi="Arial" w:cs="Arial"/>
          <w:noProof/>
          <w:color w:val="000000" w:themeColor="text1"/>
        </w:rPr>
        <w:drawing>
          <wp:inline distT="0" distB="0" distL="0" distR="0" wp14:anchorId="49A72A25" wp14:editId="5DE6C003">
            <wp:extent cx="2541600" cy="1043940"/>
            <wp:effectExtent l="0" t="0" r="0" b="3810"/>
            <wp:docPr id="114148258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568940" cy="1055169"/>
                    </a:xfrm>
                    <a:prstGeom prst="rect">
                      <a:avLst/>
                    </a:prstGeom>
                    <a:ln/>
                  </pic:spPr>
                </pic:pic>
              </a:graphicData>
            </a:graphic>
          </wp:inline>
        </w:drawing>
      </w:r>
      <w:r w:rsidRPr="00B031A0" w:rsidR="00115699">
        <w:rPr>
          <w:rFonts w:ascii="Arial" w:hAnsi="Arial" w:cs="Arial"/>
          <w:color w:val="000000" w:themeColor="text1"/>
        </w:rPr>
        <w:t xml:space="preserve"> </w:t>
      </w:r>
    </w:p>
    <w:p w:rsidRPr="00B031A0" w:rsidR="00C77BF3" w:rsidRDefault="00115699" w14:paraId="375D3269" w14:textId="77777777">
      <w:pPr>
        <w:ind w:left="49"/>
        <w:jc w:val="center"/>
        <w:rPr>
          <w:rFonts w:ascii="Arial" w:hAnsi="Arial" w:cs="Arial"/>
          <w:color w:val="000000" w:themeColor="text1"/>
        </w:rPr>
      </w:pPr>
      <w:r w:rsidRPr="00B031A0">
        <w:rPr>
          <w:rFonts w:ascii="Arial" w:hAnsi="Arial" w:cs="Arial"/>
          <w:color w:val="000000" w:themeColor="text1"/>
        </w:rPr>
        <w:t xml:space="preserve"> </w:t>
      </w:r>
    </w:p>
    <w:p w:rsidRPr="00B031A0" w:rsidR="00C77BF3" w:rsidRDefault="00115699" w14:paraId="0D63C41C" w14:textId="600C4F47">
      <w:pPr>
        <w:spacing w:after="158"/>
        <w:ind w:left="49"/>
        <w:jc w:val="center"/>
        <w:rPr>
          <w:rFonts w:ascii="Arial" w:hAnsi="Arial" w:cs="Arial"/>
          <w:color w:val="000000" w:themeColor="text1"/>
        </w:rPr>
      </w:pPr>
      <w:r w:rsidRPr="00B031A0">
        <w:rPr>
          <w:rFonts w:ascii="Arial" w:hAnsi="Arial" w:cs="Arial"/>
          <w:color w:val="000000" w:themeColor="text1"/>
        </w:rPr>
        <w:t xml:space="preserve"> </w:t>
      </w:r>
    </w:p>
    <w:p w:rsidRPr="00B031A0" w:rsidR="00C77BF3" w:rsidRDefault="00115699" w14:paraId="4767111B" w14:textId="77777777">
      <w:pPr>
        <w:ind w:left="49"/>
        <w:jc w:val="center"/>
        <w:rPr>
          <w:rFonts w:ascii="Arial" w:hAnsi="Arial" w:cs="Arial"/>
          <w:color w:val="000000" w:themeColor="text1"/>
        </w:rPr>
      </w:pPr>
      <w:r w:rsidRPr="00B031A0">
        <w:rPr>
          <w:rFonts w:ascii="Arial" w:hAnsi="Arial" w:cs="Arial"/>
          <w:color w:val="000000" w:themeColor="text1"/>
        </w:rPr>
        <w:t xml:space="preserve"> </w:t>
      </w:r>
    </w:p>
    <w:p w:rsidRPr="00B031A0" w:rsidR="00C77BF3" w:rsidRDefault="00115699" w14:paraId="580815B8" w14:textId="77777777">
      <w:pPr>
        <w:spacing w:after="287"/>
        <w:ind w:left="49"/>
        <w:jc w:val="center"/>
        <w:rPr>
          <w:rFonts w:ascii="Arial" w:hAnsi="Arial" w:cs="Arial"/>
          <w:color w:val="000000" w:themeColor="text1"/>
        </w:rPr>
      </w:pPr>
      <w:r w:rsidRPr="00B031A0">
        <w:rPr>
          <w:rFonts w:ascii="Arial" w:hAnsi="Arial" w:cs="Arial"/>
          <w:color w:val="000000" w:themeColor="text1"/>
        </w:rPr>
        <w:t xml:space="preserve"> </w:t>
      </w:r>
    </w:p>
    <w:p w:rsidRPr="002324FE" w:rsidR="00C77BF3" w:rsidRDefault="00115699" w14:paraId="493616AD" w14:textId="459216D7">
      <w:pPr>
        <w:spacing w:after="157"/>
        <w:ind w:left="89"/>
        <w:jc w:val="center"/>
        <w:rPr>
          <w:rFonts w:ascii="Arial" w:hAnsi="Arial" w:cs="Arial"/>
          <w:color w:val="000000" w:themeColor="text1"/>
          <w:sz w:val="28"/>
          <w:szCs w:val="28"/>
        </w:rPr>
      </w:pPr>
      <w:r w:rsidRPr="002324FE">
        <w:rPr>
          <w:rFonts w:ascii="Arial" w:hAnsi="Arial" w:cs="Arial"/>
          <w:color w:val="000000" w:themeColor="text1"/>
          <w:sz w:val="28"/>
          <w:szCs w:val="28"/>
        </w:rPr>
        <w:t xml:space="preserve"> Impact of nurses’ hand hygiene compliance on </w:t>
      </w:r>
      <w:r w:rsidRPr="002324FE" w:rsidR="00B031A0">
        <w:rPr>
          <w:rFonts w:ascii="Arial" w:hAnsi="Arial" w:cs="Arial"/>
          <w:color w:val="000000" w:themeColor="text1"/>
          <w:sz w:val="28"/>
          <w:szCs w:val="28"/>
        </w:rPr>
        <w:t>healthcare-associated</w:t>
      </w:r>
      <w:r w:rsidRPr="002324FE">
        <w:rPr>
          <w:rFonts w:ascii="Arial" w:hAnsi="Arial" w:cs="Arial"/>
          <w:color w:val="000000" w:themeColor="text1"/>
          <w:sz w:val="28"/>
          <w:szCs w:val="28"/>
        </w:rPr>
        <w:t xml:space="preserve"> infections in UK hospitals: A systematic review</w:t>
      </w:r>
    </w:p>
    <w:p w:rsidRPr="00B031A0" w:rsidR="00C77BF3" w:rsidRDefault="00115699" w14:paraId="3B10B4BA" w14:textId="77777777">
      <w:pPr>
        <w:spacing w:after="42"/>
        <w:ind w:left="89"/>
        <w:jc w:val="center"/>
        <w:rPr>
          <w:rFonts w:ascii="Arial" w:hAnsi="Arial" w:cs="Arial"/>
          <w:color w:val="000000" w:themeColor="text1"/>
          <w:sz w:val="28"/>
          <w:szCs w:val="28"/>
        </w:rPr>
      </w:pPr>
      <w:r w:rsidRPr="00B031A0">
        <w:rPr>
          <w:rFonts w:ascii="Arial" w:hAnsi="Arial" w:cs="Arial"/>
          <w:color w:val="000000" w:themeColor="text1"/>
          <w:sz w:val="28"/>
          <w:szCs w:val="28"/>
        </w:rPr>
        <w:t xml:space="preserve"> </w:t>
      </w:r>
    </w:p>
    <w:p w:rsidRPr="00B031A0" w:rsidR="00C77BF3" w:rsidRDefault="00115699" w14:paraId="0AF22129" w14:textId="77777777">
      <w:pPr>
        <w:spacing w:after="157"/>
        <w:ind w:left="2367" w:right="2358"/>
        <w:jc w:val="center"/>
        <w:rPr>
          <w:rFonts w:ascii="Arial" w:hAnsi="Arial" w:cs="Arial"/>
          <w:color w:val="000000" w:themeColor="text1"/>
          <w:sz w:val="28"/>
          <w:szCs w:val="28"/>
        </w:rPr>
      </w:pPr>
      <w:r w:rsidRPr="00B031A0">
        <w:rPr>
          <w:rFonts w:ascii="Arial" w:hAnsi="Arial" w:cs="Arial"/>
          <w:color w:val="000000" w:themeColor="text1"/>
          <w:sz w:val="28"/>
          <w:szCs w:val="28"/>
        </w:rPr>
        <w:t xml:space="preserve">by </w:t>
      </w:r>
    </w:p>
    <w:p w:rsidRPr="00B031A0" w:rsidR="00C77BF3" w:rsidRDefault="00115699" w14:paraId="05EED05B" w14:textId="77777777">
      <w:pPr>
        <w:spacing w:after="158"/>
        <w:ind w:left="59"/>
        <w:jc w:val="center"/>
        <w:rPr>
          <w:rFonts w:ascii="Arial" w:hAnsi="Arial" w:cs="Arial"/>
          <w:color w:val="000000" w:themeColor="text1"/>
          <w:sz w:val="28"/>
          <w:szCs w:val="28"/>
        </w:rPr>
      </w:pPr>
      <w:r w:rsidRPr="00B031A0">
        <w:rPr>
          <w:rFonts w:ascii="Arial" w:hAnsi="Arial" w:cs="Arial"/>
          <w:color w:val="000000" w:themeColor="text1"/>
          <w:sz w:val="28"/>
          <w:szCs w:val="28"/>
        </w:rPr>
        <w:t xml:space="preserve"> </w:t>
      </w:r>
    </w:p>
    <w:p w:rsidRPr="00B031A0" w:rsidR="00C77BF3" w:rsidRDefault="00115699" w14:paraId="35BBD7D9" w14:textId="75947B62">
      <w:pPr>
        <w:spacing w:after="157"/>
        <w:ind w:left="2367" w:right="2359"/>
        <w:jc w:val="center"/>
        <w:rPr>
          <w:rFonts w:ascii="Arial" w:hAnsi="Arial" w:cs="Arial"/>
          <w:color w:val="000000" w:themeColor="text1"/>
          <w:sz w:val="28"/>
          <w:szCs w:val="28"/>
        </w:rPr>
      </w:pPr>
      <w:r w:rsidRPr="00B031A0">
        <w:rPr>
          <w:rFonts w:ascii="Arial" w:hAnsi="Arial" w:cs="Arial"/>
          <w:color w:val="000000" w:themeColor="text1"/>
          <w:sz w:val="28"/>
          <w:szCs w:val="28"/>
        </w:rPr>
        <w:t xml:space="preserve">Shruti Patel  </w:t>
      </w:r>
    </w:p>
    <w:p w:rsidRPr="00B031A0" w:rsidR="00C77BF3" w:rsidRDefault="00115699" w14:paraId="025480CB" w14:textId="77777777">
      <w:pPr>
        <w:spacing w:after="158"/>
        <w:ind w:left="59"/>
        <w:jc w:val="center"/>
        <w:rPr>
          <w:rFonts w:ascii="Arial" w:hAnsi="Arial" w:cs="Arial"/>
          <w:color w:val="000000" w:themeColor="text1"/>
          <w:sz w:val="28"/>
          <w:szCs w:val="28"/>
        </w:rPr>
      </w:pPr>
      <w:r w:rsidRPr="00B031A0">
        <w:rPr>
          <w:rFonts w:ascii="Arial" w:hAnsi="Arial" w:cs="Arial"/>
          <w:color w:val="000000" w:themeColor="text1"/>
          <w:sz w:val="28"/>
          <w:szCs w:val="28"/>
        </w:rPr>
        <w:t xml:space="preserve"> </w:t>
      </w:r>
    </w:p>
    <w:p w:rsidR="00C77BF3" w:rsidRDefault="00115699" w14:paraId="7EDDA0DE" w14:textId="2E9F277F">
      <w:pPr>
        <w:spacing w:after="156"/>
        <w:ind w:left="59"/>
        <w:jc w:val="center"/>
        <w:rPr>
          <w:rFonts w:ascii="Arial" w:hAnsi="Arial" w:cs="Arial"/>
          <w:color w:val="000000" w:themeColor="text1"/>
          <w:sz w:val="28"/>
          <w:szCs w:val="28"/>
        </w:rPr>
      </w:pPr>
      <w:r w:rsidRPr="00B031A0">
        <w:rPr>
          <w:rFonts w:ascii="Arial" w:hAnsi="Arial" w:cs="Arial"/>
          <w:color w:val="000000" w:themeColor="text1"/>
          <w:sz w:val="28"/>
          <w:szCs w:val="28"/>
        </w:rPr>
        <w:t xml:space="preserve">A Dissertation submitted in partial fulfilment of the requirements for the degree of </w:t>
      </w:r>
      <w:r w:rsidR="00B031A0">
        <w:rPr>
          <w:rFonts w:ascii="Arial" w:hAnsi="Arial" w:cs="Arial"/>
          <w:color w:val="000000" w:themeColor="text1"/>
          <w:sz w:val="28"/>
          <w:szCs w:val="28"/>
        </w:rPr>
        <w:t>Master</w:t>
      </w:r>
      <w:r w:rsidRPr="00B031A0">
        <w:rPr>
          <w:rFonts w:ascii="Arial" w:hAnsi="Arial" w:cs="Arial"/>
          <w:color w:val="000000" w:themeColor="text1"/>
          <w:sz w:val="28"/>
          <w:szCs w:val="28"/>
        </w:rPr>
        <w:t xml:space="preserve"> of Science in Public Health and Social Care in Practice</w:t>
      </w:r>
    </w:p>
    <w:p w:rsidRPr="00B031A0" w:rsidR="00B031A0" w:rsidP="00A325A8" w:rsidRDefault="00B031A0" w14:paraId="0A779082" w14:textId="77777777">
      <w:pPr>
        <w:spacing w:after="156"/>
        <w:rPr>
          <w:rFonts w:ascii="Arial" w:hAnsi="Arial" w:cs="Arial"/>
          <w:color w:val="000000" w:themeColor="text1"/>
          <w:sz w:val="28"/>
          <w:szCs w:val="28"/>
        </w:rPr>
      </w:pPr>
    </w:p>
    <w:p w:rsidRPr="00B031A0" w:rsidR="00C77BF3" w:rsidRDefault="00115699" w14:paraId="17715C8A" w14:textId="77777777">
      <w:pPr>
        <w:spacing w:after="169"/>
        <w:jc w:val="center"/>
        <w:rPr>
          <w:rFonts w:ascii="Arial" w:hAnsi="Arial" w:cs="Arial"/>
          <w:b/>
          <w:bCs/>
          <w:color w:val="000000" w:themeColor="text1"/>
          <w:sz w:val="28"/>
          <w:szCs w:val="28"/>
        </w:rPr>
      </w:pPr>
      <w:r w:rsidRPr="00B031A0">
        <w:rPr>
          <w:rFonts w:ascii="Arial" w:hAnsi="Arial" w:cs="Arial"/>
          <w:b/>
          <w:bCs/>
          <w:color w:val="000000" w:themeColor="text1"/>
          <w:sz w:val="28"/>
          <w:szCs w:val="28"/>
        </w:rPr>
        <w:t>The Institute of Inner-City Learning</w:t>
      </w:r>
    </w:p>
    <w:p w:rsidRPr="00B031A0" w:rsidR="00C77BF3" w:rsidRDefault="00115699" w14:paraId="72F7D64C" w14:textId="77777777">
      <w:pPr>
        <w:spacing w:after="169"/>
        <w:jc w:val="center"/>
        <w:rPr>
          <w:rFonts w:ascii="Arial" w:hAnsi="Arial" w:cs="Arial"/>
          <w:b/>
          <w:bCs/>
          <w:color w:val="000000" w:themeColor="text1"/>
          <w:sz w:val="28"/>
          <w:szCs w:val="28"/>
        </w:rPr>
      </w:pPr>
      <w:r w:rsidRPr="00B031A0">
        <w:rPr>
          <w:rFonts w:ascii="Arial" w:hAnsi="Arial" w:cs="Arial"/>
          <w:b/>
          <w:bCs/>
          <w:color w:val="000000" w:themeColor="text1"/>
          <w:sz w:val="28"/>
          <w:szCs w:val="28"/>
        </w:rPr>
        <w:t>University of Wales Trinity Saint David – London Campus</w:t>
      </w:r>
    </w:p>
    <w:p w:rsidR="00A325A8" w:rsidRDefault="00A325A8" w14:paraId="70A85977" w14:textId="77777777">
      <w:pPr>
        <w:spacing w:after="157"/>
        <w:ind w:left="2367" w:right="2357"/>
        <w:jc w:val="center"/>
        <w:rPr>
          <w:rFonts w:ascii="Arial" w:hAnsi="Arial" w:cs="Arial"/>
          <w:b/>
          <w:bCs/>
          <w:color w:val="000000" w:themeColor="text1"/>
          <w:sz w:val="28"/>
          <w:szCs w:val="28"/>
        </w:rPr>
      </w:pPr>
    </w:p>
    <w:p w:rsidR="00C77BF3" w:rsidRDefault="009642E3" w14:paraId="28E51C58" w14:textId="4A0D05E7">
      <w:pPr>
        <w:spacing w:after="157"/>
        <w:ind w:left="2367" w:right="2357"/>
        <w:jc w:val="center"/>
        <w:rPr>
          <w:rFonts w:ascii="Arial" w:hAnsi="Arial" w:cs="Arial"/>
          <w:b/>
          <w:bCs/>
          <w:color w:val="000000" w:themeColor="text1"/>
          <w:sz w:val="28"/>
          <w:szCs w:val="28"/>
        </w:rPr>
      </w:pPr>
      <w:r>
        <w:rPr>
          <w:rFonts w:ascii="Arial" w:hAnsi="Arial" w:cs="Arial"/>
          <w:b/>
          <w:bCs/>
          <w:color w:val="000000" w:themeColor="text1"/>
          <w:sz w:val="28"/>
          <w:szCs w:val="28"/>
        </w:rPr>
        <w:t>(September 2026)</w:t>
      </w:r>
    </w:p>
    <w:p w:rsidR="00810CDF" w:rsidRDefault="00810CDF" w14:paraId="3C4A2526" w14:textId="77777777">
      <w:pPr>
        <w:spacing w:after="157"/>
        <w:ind w:left="2367" w:right="2357"/>
        <w:jc w:val="center"/>
        <w:rPr>
          <w:rFonts w:ascii="Arial" w:hAnsi="Arial" w:cs="Arial"/>
          <w:b/>
          <w:bCs/>
          <w:color w:val="000000" w:themeColor="text1"/>
          <w:sz w:val="28"/>
          <w:szCs w:val="28"/>
        </w:rPr>
      </w:pPr>
    </w:p>
    <w:p w:rsidRPr="000B6FFC" w:rsidR="00810CDF" w:rsidP="000B6FFC" w:rsidRDefault="00810CDF" w14:paraId="66013CE0" w14:textId="0D109F96">
      <w:pPr>
        <w:spacing w:after="157"/>
        <w:ind w:right="2357"/>
        <w:jc w:val="left"/>
        <w:rPr>
          <w:rFonts w:ascii="Arial" w:hAnsi="Arial" w:cs="Arial"/>
          <w:b/>
          <w:bCs/>
          <w:color w:val="000000" w:themeColor="text1"/>
          <w:lang w:val="en-US"/>
        </w:rPr>
      </w:pPr>
      <w:r w:rsidRPr="00810CDF">
        <w:rPr>
          <w:rFonts w:ascii="Arial" w:hAnsi="Arial" w:cs="Arial"/>
          <w:b/>
          <w:bCs/>
          <w:color w:val="000000" w:themeColor="text1"/>
          <w:lang w:val="en-US"/>
        </w:rPr>
        <w:t>DECLARATION</w:t>
      </w:r>
    </w:p>
    <w:p w:rsidR="000B6FFC" w:rsidP="000B6FFC" w:rsidRDefault="000B6FFC" w14:paraId="57D7EE9C" w14:textId="77777777">
      <w:pPr>
        <w:spacing w:after="0"/>
        <w:rPr>
          <w:rFonts w:ascii="Arial" w:hAnsi="Arial" w:cs="Arial"/>
          <w:color w:val="000000" w:themeColor="text1"/>
          <w:lang w:val="en-US"/>
        </w:rPr>
      </w:pPr>
    </w:p>
    <w:p w:rsidRPr="00810CDF" w:rsidR="00810CDF" w:rsidP="000B6FFC" w:rsidRDefault="00810CDF" w14:paraId="58895AE1" w14:textId="51C6EF52">
      <w:pPr>
        <w:spacing w:after="0"/>
        <w:rPr>
          <w:rFonts w:ascii="Arial" w:hAnsi="Arial" w:cs="Arial"/>
          <w:color w:val="000000" w:themeColor="text1"/>
          <w:lang w:val="en-US"/>
        </w:rPr>
      </w:pPr>
      <w:r w:rsidRPr="00810CDF">
        <w:rPr>
          <w:rFonts w:ascii="Arial" w:hAnsi="Arial" w:cs="Arial"/>
          <w:color w:val="000000" w:themeColor="text1"/>
          <w:lang w:val="en-US"/>
        </w:rPr>
        <w:t xml:space="preserve">I, </w:t>
      </w:r>
      <w:r>
        <w:rPr>
          <w:rFonts w:ascii="Arial" w:hAnsi="Arial" w:cs="Arial"/>
          <w:color w:val="000000" w:themeColor="text1"/>
          <w:lang w:val="en-US"/>
        </w:rPr>
        <w:t>Shruti Patel</w:t>
      </w:r>
      <w:r w:rsidRPr="00810CDF">
        <w:rPr>
          <w:rFonts w:ascii="Arial" w:hAnsi="Arial" w:cs="Arial"/>
          <w:color w:val="000000" w:themeColor="text1"/>
          <w:lang w:val="en-US"/>
        </w:rPr>
        <w:t xml:space="preserve">, declare that this dissertation has been composed by </w:t>
      </w:r>
      <w:r>
        <w:rPr>
          <w:rFonts w:ascii="Arial" w:hAnsi="Arial" w:cs="Arial"/>
          <w:color w:val="000000" w:themeColor="text1"/>
          <w:lang w:val="en-US"/>
        </w:rPr>
        <w:t>me</w:t>
      </w:r>
      <w:r w:rsidRPr="00810CDF">
        <w:rPr>
          <w:rFonts w:ascii="Arial" w:hAnsi="Arial" w:cs="Arial"/>
          <w:color w:val="000000" w:themeColor="text1"/>
          <w:lang w:val="en-US"/>
        </w:rPr>
        <w:t>, that the work contained herein is entirely my own except where explicitly stated otherwise in the text, and that this work has not been submitted for any other degree or qualification, in whole or in part, except as specified.</w:t>
      </w:r>
    </w:p>
    <w:p w:rsidRPr="00810CDF" w:rsidR="00810CDF" w:rsidP="00810CDF" w:rsidRDefault="00810CDF" w14:paraId="28704D18" w14:textId="77777777">
      <w:pPr>
        <w:spacing w:after="157"/>
        <w:ind w:right="2357"/>
        <w:jc w:val="left"/>
        <w:rPr>
          <w:rFonts w:ascii="Arial" w:hAnsi="Arial" w:cs="Arial"/>
          <w:color w:val="000000" w:themeColor="text1"/>
          <w:lang w:val="en-US"/>
        </w:rPr>
      </w:pPr>
    </w:p>
    <w:p w:rsidRPr="00810CDF" w:rsidR="00810CDF" w:rsidP="00810CDF" w:rsidRDefault="00810CDF" w14:paraId="774A6603" w14:textId="77777777">
      <w:pPr>
        <w:spacing w:after="157"/>
        <w:ind w:right="2357"/>
        <w:jc w:val="left"/>
        <w:rPr>
          <w:rFonts w:ascii="Arial" w:hAnsi="Arial" w:cs="Arial"/>
          <w:color w:val="000000" w:themeColor="text1"/>
          <w:lang w:val="en-US"/>
        </w:rPr>
      </w:pPr>
    </w:p>
    <w:p w:rsidRPr="00810CDF" w:rsidR="00810CDF" w:rsidP="00810CDF" w:rsidRDefault="00810CDF" w14:paraId="7C386830" w14:textId="633B1B2C">
      <w:pPr>
        <w:spacing w:after="157"/>
        <w:ind w:right="2357"/>
        <w:jc w:val="left"/>
        <w:rPr>
          <w:rFonts w:ascii="Arial" w:hAnsi="Arial" w:cs="Arial"/>
          <w:color w:val="000000" w:themeColor="text1"/>
          <w:lang w:val="en-US"/>
        </w:rPr>
      </w:pPr>
      <w:r w:rsidRPr="46D72E1D">
        <w:rPr>
          <w:rFonts w:ascii="Arial" w:hAnsi="Arial" w:cs="Arial"/>
          <w:color w:val="000000" w:themeColor="text1"/>
          <w:lang w:val="en-US"/>
        </w:rPr>
        <w:t>Signed:</w:t>
      </w:r>
      <w:r w:rsidRPr="46D72E1D" w:rsidR="1B1AEF88">
        <w:rPr>
          <w:rFonts w:ascii="Arial" w:hAnsi="Arial" w:cs="Arial"/>
          <w:color w:val="000000" w:themeColor="text1"/>
          <w:lang w:val="en-US"/>
        </w:rPr>
        <w:t xml:space="preserve"> </w:t>
      </w:r>
      <w:r w:rsidRPr="46D72E1D" w:rsidR="1B1AEF88">
        <w:rPr>
          <w:rFonts w:ascii="Arial" w:hAnsi="Arial" w:cs="Arial"/>
          <w:color w:val="000000" w:themeColor="text1"/>
          <w:u w:val="single"/>
          <w:lang w:val="en-US"/>
        </w:rPr>
        <w:t>Shruti Patel</w:t>
      </w:r>
    </w:p>
    <w:p w:rsidRPr="00810CDF" w:rsidR="00810CDF" w:rsidP="00810CDF" w:rsidRDefault="00810CDF" w14:paraId="1B01F73F" w14:textId="77777777">
      <w:pPr>
        <w:spacing w:after="157"/>
        <w:ind w:right="2357"/>
        <w:jc w:val="left"/>
        <w:rPr>
          <w:rFonts w:ascii="Arial" w:hAnsi="Arial" w:cs="Arial"/>
          <w:color w:val="000000" w:themeColor="text1"/>
          <w:lang w:val="en-US"/>
        </w:rPr>
      </w:pPr>
    </w:p>
    <w:p w:rsidRPr="00810CDF" w:rsidR="00810CDF" w:rsidP="00810CDF" w:rsidRDefault="00810CDF" w14:paraId="3576DE77" w14:textId="2B0EF23A">
      <w:pPr>
        <w:spacing w:after="157"/>
        <w:ind w:right="2357"/>
        <w:jc w:val="left"/>
        <w:rPr>
          <w:rFonts w:ascii="Arial" w:hAnsi="Arial" w:cs="Arial"/>
          <w:color w:val="000000" w:themeColor="text1"/>
          <w:lang w:val="en-US"/>
        </w:rPr>
      </w:pPr>
      <w:r w:rsidRPr="46D72E1D">
        <w:rPr>
          <w:rFonts w:ascii="Arial" w:hAnsi="Arial" w:cs="Arial"/>
          <w:color w:val="000000" w:themeColor="text1"/>
          <w:lang w:val="en-US"/>
        </w:rPr>
        <w:t>Date:</w:t>
      </w:r>
      <w:r w:rsidRPr="46D72E1D" w:rsidR="6CB52D2D">
        <w:rPr>
          <w:rFonts w:ascii="Arial" w:hAnsi="Arial" w:cs="Arial"/>
          <w:color w:val="000000" w:themeColor="text1"/>
          <w:lang w:val="en-US"/>
        </w:rPr>
        <w:t xml:space="preserve"> </w:t>
      </w:r>
      <w:r w:rsidRPr="46D72E1D" w:rsidR="6CB52D2D">
        <w:rPr>
          <w:rFonts w:ascii="Arial" w:hAnsi="Arial" w:cs="Arial"/>
          <w:color w:val="000000" w:themeColor="text1"/>
          <w:u w:val="single"/>
          <w:lang w:val="en-US"/>
        </w:rPr>
        <w:t>22/09/2026</w:t>
      </w:r>
    </w:p>
    <w:p w:rsidRPr="00810CDF" w:rsidR="00810CDF" w:rsidP="00810CDF" w:rsidRDefault="00810CDF" w14:paraId="4D618F0A" w14:textId="77777777">
      <w:pPr>
        <w:spacing w:after="157"/>
        <w:ind w:right="2357"/>
        <w:jc w:val="left"/>
        <w:rPr>
          <w:rFonts w:ascii="Arial" w:hAnsi="Arial" w:cs="Arial"/>
          <w:color w:val="000000" w:themeColor="text1"/>
        </w:rPr>
      </w:pPr>
    </w:p>
    <w:p w:rsidR="00C77BF3" w:rsidRDefault="00C77BF3" w14:paraId="73D436E8" w14:textId="27EF7EA1">
      <w:pPr>
        <w:rPr>
          <w:rFonts w:ascii="Arial" w:hAnsi="Arial" w:cs="Arial"/>
          <w:b/>
          <w:bCs/>
          <w:color w:val="000000" w:themeColor="text1"/>
          <w:sz w:val="28"/>
          <w:szCs w:val="28"/>
        </w:rPr>
      </w:pPr>
    </w:p>
    <w:p w:rsidR="009642E3" w:rsidRDefault="009642E3" w14:paraId="168B3B8D" w14:textId="77777777">
      <w:pPr>
        <w:rPr>
          <w:rFonts w:ascii="Arial" w:hAnsi="Arial" w:cs="Arial"/>
          <w:b/>
          <w:bCs/>
          <w:color w:val="000000" w:themeColor="text1"/>
          <w:sz w:val="28"/>
          <w:szCs w:val="28"/>
        </w:rPr>
      </w:pPr>
    </w:p>
    <w:p w:rsidR="009642E3" w:rsidRDefault="009642E3" w14:paraId="0108E1D7" w14:textId="77777777">
      <w:pPr>
        <w:rPr>
          <w:rFonts w:ascii="Arial" w:hAnsi="Arial" w:cs="Arial"/>
          <w:b/>
          <w:bCs/>
          <w:color w:val="000000" w:themeColor="text1"/>
          <w:sz w:val="28"/>
          <w:szCs w:val="28"/>
        </w:rPr>
      </w:pPr>
    </w:p>
    <w:p w:rsidR="009642E3" w:rsidRDefault="009642E3" w14:paraId="5F97CE64" w14:textId="77777777">
      <w:pPr>
        <w:rPr>
          <w:rFonts w:ascii="Arial" w:hAnsi="Arial" w:cs="Arial"/>
          <w:b/>
          <w:bCs/>
          <w:color w:val="000000" w:themeColor="text1"/>
          <w:sz w:val="28"/>
          <w:szCs w:val="28"/>
        </w:rPr>
      </w:pPr>
    </w:p>
    <w:p w:rsidR="009642E3" w:rsidRDefault="009642E3" w14:paraId="6B48C7A0" w14:textId="77777777">
      <w:pPr>
        <w:rPr>
          <w:rFonts w:ascii="Arial" w:hAnsi="Arial" w:cs="Arial"/>
          <w:b/>
          <w:bCs/>
          <w:color w:val="000000" w:themeColor="text1"/>
          <w:sz w:val="28"/>
          <w:szCs w:val="28"/>
        </w:rPr>
      </w:pPr>
    </w:p>
    <w:p w:rsidR="009642E3" w:rsidRDefault="009642E3" w14:paraId="60D9858B" w14:textId="77777777">
      <w:pPr>
        <w:rPr>
          <w:rFonts w:ascii="Arial" w:hAnsi="Arial" w:cs="Arial"/>
          <w:b/>
          <w:bCs/>
          <w:color w:val="000000" w:themeColor="text1"/>
          <w:sz w:val="28"/>
          <w:szCs w:val="28"/>
        </w:rPr>
      </w:pPr>
    </w:p>
    <w:p w:rsidR="009642E3" w:rsidRDefault="009642E3" w14:paraId="57EFC0B1" w14:textId="77777777">
      <w:pPr>
        <w:rPr>
          <w:rFonts w:ascii="Arial" w:hAnsi="Arial" w:cs="Arial"/>
          <w:b/>
          <w:bCs/>
          <w:color w:val="000000" w:themeColor="text1"/>
          <w:sz w:val="28"/>
          <w:szCs w:val="28"/>
        </w:rPr>
      </w:pPr>
    </w:p>
    <w:p w:rsidR="009642E3" w:rsidRDefault="009642E3" w14:paraId="1D4D2EDD" w14:textId="77777777">
      <w:pPr>
        <w:rPr>
          <w:rFonts w:ascii="Arial" w:hAnsi="Arial" w:cs="Arial"/>
          <w:b/>
          <w:bCs/>
          <w:color w:val="000000" w:themeColor="text1"/>
          <w:sz w:val="28"/>
          <w:szCs w:val="28"/>
        </w:rPr>
      </w:pPr>
    </w:p>
    <w:p w:rsidR="009642E3" w:rsidRDefault="009642E3" w14:paraId="18E518AD" w14:textId="77777777">
      <w:pPr>
        <w:rPr>
          <w:rFonts w:ascii="Arial" w:hAnsi="Arial" w:cs="Arial"/>
          <w:b/>
          <w:bCs/>
          <w:color w:val="000000" w:themeColor="text1"/>
          <w:sz w:val="28"/>
          <w:szCs w:val="28"/>
        </w:rPr>
      </w:pPr>
    </w:p>
    <w:p w:rsidR="009642E3" w:rsidRDefault="009642E3" w14:paraId="4AAA17A0" w14:textId="77777777">
      <w:pPr>
        <w:rPr>
          <w:rFonts w:ascii="Arial" w:hAnsi="Arial" w:cs="Arial"/>
          <w:b/>
          <w:bCs/>
          <w:color w:val="000000" w:themeColor="text1"/>
          <w:sz w:val="28"/>
          <w:szCs w:val="28"/>
        </w:rPr>
      </w:pPr>
    </w:p>
    <w:p w:rsidR="009642E3" w:rsidRDefault="009642E3" w14:paraId="4B5A20AB" w14:textId="77777777">
      <w:pPr>
        <w:rPr>
          <w:rFonts w:ascii="Arial" w:hAnsi="Arial" w:cs="Arial"/>
          <w:b/>
          <w:bCs/>
          <w:color w:val="000000" w:themeColor="text1"/>
          <w:sz w:val="28"/>
          <w:szCs w:val="28"/>
        </w:rPr>
      </w:pPr>
    </w:p>
    <w:p w:rsidRPr="00B031A0" w:rsidR="009642E3" w:rsidRDefault="009642E3" w14:paraId="41F1FF20" w14:textId="77777777">
      <w:pPr>
        <w:rPr>
          <w:rFonts w:ascii="Arial" w:hAnsi="Arial" w:cs="Arial"/>
          <w:b/>
          <w:bCs/>
          <w:color w:val="000000" w:themeColor="text1"/>
          <w:sz w:val="28"/>
          <w:szCs w:val="28"/>
        </w:rPr>
      </w:pPr>
    </w:p>
    <w:p w:rsidRPr="00B031A0" w:rsidR="00C77BF3" w:rsidRDefault="00115699" w14:paraId="2F4B59CB" w14:textId="77777777">
      <w:pPr>
        <w:keepNext/>
        <w:keepLines/>
        <w:pBdr>
          <w:top w:val="none" w:color="000000" w:sz="0" w:space="0"/>
          <w:left w:val="none" w:color="000000" w:sz="0" w:space="0"/>
          <w:bottom w:val="none" w:color="000000" w:sz="0" w:space="0"/>
          <w:right w:val="none" w:color="000000" w:sz="0" w:space="0"/>
          <w:between w:val="none" w:color="000000" w:sz="0" w:space="0"/>
        </w:pBdr>
        <w:spacing w:before="240" w:after="0" w:line="259" w:lineRule="auto"/>
        <w:jc w:val="center"/>
        <w:rPr>
          <w:rFonts w:ascii="Arial" w:hAnsi="Arial" w:cs="Arial"/>
          <w:b/>
          <w:bCs/>
          <w:color w:val="000000" w:themeColor="text1"/>
          <w:sz w:val="28"/>
          <w:szCs w:val="28"/>
        </w:rPr>
      </w:pPr>
      <w:r w:rsidRPr="00B031A0">
        <w:rPr>
          <w:rFonts w:ascii="Arial" w:hAnsi="Arial" w:cs="Arial"/>
          <w:b/>
          <w:bCs/>
          <w:color w:val="000000" w:themeColor="text1"/>
          <w:sz w:val="28"/>
          <w:szCs w:val="28"/>
        </w:rPr>
        <w:t>Table of Contents</w:t>
      </w:r>
    </w:p>
    <w:sdt>
      <w:sdtPr>
        <w:rPr>
          <w:rFonts w:ascii="Arial" w:hAnsi="Arial" w:cs="Arial"/>
          <w:color w:val="000000" w:themeColor="text1"/>
        </w:rPr>
        <w:id w:val="982914602"/>
        <w:docPartObj>
          <w:docPartGallery w:val="Table of Contents"/>
          <w:docPartUnique/>
        </w:docPartObj>
      </w:sdtPr>
      <w:sdtContent>
        <w:p w:rsidR="005C78EC" w:rsidRDefault="00115699" w14:paraId="23A466EE" w14:textId="3FBFD51C">
          <w:pPr>
            <w:pStyle w:val="TOC1"/>
            <w:tabs>
              <w:tab w:val="right" w:leader="dot" w:pos="9016"/>
            </w:tabs>
            <w:rPr>
              <w:rFonts w:asciiTheme="minorHAnsi" w:hAnsiTheme="minorHAnsi" w:eastAsiaTheme="minorEastAsia" w:cstheme="minorBidi"/>
              <w:noProof/>
              <w:kern w:val="2"/>
              <w:lang w:val="en-US" w:eastAsia="en-US" w:bidi="gu-IN"/>
              <w14:ligatures w14:val="standardContextual"/>
            </w:rPr>
          </w:pPr>
          <w:r w:rsidRPr="00B031A0">
            <w:rPr>
              <w:rFonts w:ascii="Arial" w:hAnsi="Arial" w:cs="Arial"/>
              <w:color w:val="000000" w:themeColor="text1"/>
            </w:rPr>
            <w:fldChar w:fldCharType="begin"/>
          </w:r>
          <w:r w:rsidRPr="00B031A0">
            <w:rPr>
              <w:rFonts w:ascii="Arial" w:hAnsi="Arial" w:cs="Arial"/>
              <w:color w:val="000000" w:themeColor="text1"/>
            </w:rPr>
            <w:instrText xml:space="preserve"> TOC \h \u \z \t "Heading 1,1,Heading 2,2,Heading 3,3,"</w:instrText>
          </w:r>
          <w:r w:rsidRPr="00B031A0">
            <w:rPr>
              <w:rFonts w:ascii="Arial" w:hAnsi="Arial" w:cs="Arial"/>
              <w:color w:val="000000" w:themeColor="text1"/>
            </w:rPr>
            <w:fldChar w:fldCharType="separate"/>
          </w:r>
          <w:hyperlink w:history="1" w:anchor="_Toc240696145">
            <w:r w:rsidRPr="00AD4109" w:rsidR="005C78EC">
              <w:rPr>
                <w:rStyle w:val="Hyperlink"/>
                <w:noProof/>
              </w:rPr>
              <w:t>Chapter 1: Introduction</w:t>
            </w:r>
            <w:r w:rsidR="005C78EC">
              <w:rPr>
                <w:noProof/>
                <w:webHidden/>
              </w:rPr>
              <w:tab/>
            </w:r>
            <w:r w:rsidR="005C78EC">
              <w:rPr>
                <w:noProof/>
                <w:webHidden/>
              </w:rPr>
              <w:fldChar w:fldCharType="begin"/>
            </w:r>
            <w:r w:rsidR="005C78EC">
              <w:rPr>
                <w:noProof/>
                <w:webHidden/>
              </w:rPr>
              <w:instrText xml:space="preserve"> PAGEREF _Toc240696145 \h </w:instrText>
            </w:r>
            <w:r w:rsidR="005C78EC">
              <w:rPr>
                <w:noProof/>
                <w:webHidden/>
              </w:rPr>
            </w:r>
            <w:r w:rsidR="005C78EC">
              <w:rPr>
                <w:noProof/>
                <w:webHidden/>
              </w:rPr>
              <w:fldChar w:fldCharType="separate"/>
            </w:r>
            <w:r w:rsidR="009642E3">
              <w:rPr>
                <w:noProof/>
                <w:webHidden/>
              </w:rPr>
              <w:t>7</w:t>
            </w:r>
            <w:r w:rsidR="005C78EC">
              <w:rPr>
                <w:noProof/>
                <w:webHidden/>
              </w:rPr>
              <w:fldChar w:fldCharType="end"/>
            </w:r>
          </w:hyperlink>
        </w:p>
        <w:p w:rsidR="005C78EC" w:rsidRDefault="005C78EC" w14:paraId="750D81D0" w14:textId="11C053F0">
          <w:pPr>
            <w:pStyle w:val="TOC1"/>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46">
            <w:r w:rsidRPr="00AD4109">
              <w:rPr>
                <w:rStyle w:val="Hyperlink"/>
                <w:noProof/>
              </w:rPr>
              <w:t xml:space="preserve">1.1 </w:t>
            </w:r>
            <w:r w:rsidRPr="00AD4109">
              <w:rPr>
                <w:rStyle w:val="Hyperlink"/>
                <w:rFonts w:ascii="Tahoma" w:hAnsi="Tahoma" w:eastAsia="Tahoma" w:cs="Tahoma"/>
                <w:noProof/>
              </w:rPr>
              <w:t>﻿﻿﻿</w:t>
            </w:r>
            <w:r w:rsidRPr="00AD4109">
              <w:rPr>
                <w:rStyle w:val="Hyperlink"/>
                <w:noProof/>
              </w:rPr>
              <w:t>Introduction</w:t>
            </w:r>
            <w:r>
              <w:rPr>
                <w:noProof/>
                <w:webHidden/>
              </w:rPr>
              <w:tab/>
            </w:r>
            <w:r>
              <w:rPr>
                <w:noProof/>
                <w:webHidden/>
              </w:rPr>
              <w:fldChar w:fldCharType="begin"/>
            </w:r>
            <w:r>
              <w:rPr>
                <w:noProof/>
                <w:webHidden/>
              </w:rPr>
              <w:instrText xml:space="preserve"> PAGEREF _Toc240696146 \h </w:instrText>
            </w:r>
            <w:r>
              <w:rPr>
                <w:noProof/>
                <w:webHidden/>
              </w:rPr>
            </w:r>
            <w:r>
              <w:rPr>
                <w:noProof/>
                <w:webHidden/>
              </w:rPr>
              <w:fldChar w:fldCharType="separate"/>
            </w:r>
            <w:r w:rsidR="009642E3">
              <w:rPr>
                <w:noProof/>
                <w:webHidden/>
              </w:rPr>
              <w:t>7</w:t>
            </w:r>
            <w:r>
              <w:rPr>
                <w:noProof/>
                <w:webHidden/>
              </w:rPr>
              <w:fldChar w:fldCharType="end"/>
            </w:r>
          </w:hyperlink>
        </w:p>
        <w:p w:rsidR="005C78EC" w:rsidRDefault="005C78EC" w14:paraId="223A0219" w14:textId="0E558413">
          <w:pPr>
            <w:pStyle w:val="TOC1"/>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47">
            <w:r w:rsidRPr="00AD4109">
              <w:rPr>
                <w:rStyle w:val="Hyperlink"/>
                <w:noProof/>
              </w:rPr>
              <w:t>1.2 Background and Context</w:t>
            </w:r>
            <w:r>
              <w:rPr>
                <w:noProof/>
                <w:webHidden/>
              </w:rPr>
              <w:tab/>
            </w:r>
            <w:r>
              <w:rPr>
                <w:noProof/>
                <w:webHidden/>
              </w:rPr>
              <w:fldChar w:fldCharType="begin"/>
            </w:r>
            <w:r>
              <w:rPr>
                <w:noProof/>
                <w:webHidden/>
              </w:rPr>
              <w:instrText xml:space="preserve"> PAGEREF _Toc240696147 \h </w:instrText>
            </w:r>
            <w:r>
              <w:rPr>
                <w:noProof/>
                <w:webHidden/>
              </w:rPr>
            </w:r>
            <w:r>
              <w:rPr>
                <w:noProof/>
                <w:webHidden/>
              </w:rPr>
              <w:fldChar w:fldCharType="separate"/>
            </w:r>
            <w:r w:rsidR="009642E3">
              <w:rPr>
                <w:noProof/>
                <w:webHidden/>
              </w:rPr>
              <w:t>7</w:t>
            </w:r>
            <w:r>
              <w:rPr>
                <w:noProof/>
                <w:webHidden/>
              </w:rPr>
              <w:fldChar w:fldCharType="end"/>
            </w:r>
          </w:hyperlink>
        </w:p>
        <w:p w:rsidR="005C78EC" w:rsidRDefault="005C78EC" w14:paraId="266F4489" w14:textId="1C27F1AD">
          <w:pPr>
            <w:pStyle w:val="TOC1"/>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48">
            <w:r w:rsidRPr="00AD4109">
              <w:rPr>
                <w:rStyle w:val="Hyperlink"/>
                <w:noProof/>
              </w:rPr>
              <w:t>1.3 Statement of the Problem</w:t>
            </w:r>
            <w:r>
              <w:rPr>
                <w:noProof/>
                <w:webHidden/>
              </w:rPr>
              <w:tab/>
            </w:r>
            <w:r>
              <w:rPr>
                <w:noProof/>
                <w:webHidden/>
              </w:rPr>
              <w:fldChar w:fldCharType="begin"/>
            </w:r>
            <w:r>
              <w:rPr>
                <w:noProof/>
                <w:webHidden/>
              </w:rPr>
              <w:instrText xml:space="preserve"> PAGEREF _Toc240696148 \h </w:instrText>
            </w:r>
            <w:r>
              <w:rPr>
                <w:noProof/>
                <w:webHidden/>
              </w:rPr>
            </w:r>
            <w:r>
              <w:rPr>
                <w:noProof/>
                <w:webHidden/>
              </w:rPr>
              <w:fldChar w:fldCharType="separate"/>
            </w:r>
            <w:r w:rsidR="009642E3">
              <w:rPr>
                <w:noProof/>
                <w:webHidden/>
              </w:rPr>
              <w:t>8</w:t>
            </w:r>
            <w:r>
              <w:rPr>
                <w:noProof/>
                <w:webHidden/>
              </w:rPr>
              <w:fldChar w:fldCharType="end"/>
            </w:r>
          </w:hyperlink>
        </w:p>
        <w:p w:rsidR="005C78EC" w:rsidRDefault="005C78EC" w14:paraId="15A5123D" w14:textId="1A8F78D0">
          <w:pPr>
            <w:pStyle w:val="TOC1"/>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49">
            <w:r w:rsidRPr="00AD4109">
              <w:rPr>
                <w:rStyle w:val="Hyperlink"/>
                <w:noProof/>
              </w:rPr>
              <w:t>1.4 Research Rationale</w:t>
            </w:r>
            <w:r>
              <w:rPr>
                <w:noProof/>
                <w:webHidden/>
              </w:rPr>
              <w:tab/>
            </w:r>
            <w:r>
              <w:rPr>
                <w:noProof/>
                <w:webHidden/>
              </w:rPr>
              <w:fldChar w:fldCharType="begin"/>
            </w:r>
            <w:r>
              <w:rPr>
                <w:noProof/>
                <w:webHidden/>
              </w:rPr>
              <w:instrText xml:space="preserve"> PAGEREF _Toc240696149 \h </w:instrText>
            </w:r>
            <w:r>
              <w:rPr>
                <w:noProof/>
                <w:webHidden/>
              </w:rPr>
            </w:r>
            <w:r>
              <w:rPr>
                <w:noProof/>
                <w:webHidden/>
              </w:rPr>
              <w:fldChar w:fldCharType="separate"/>
            </w:r>
            <w:r w:rsidR="009642E3">
              <w:rPr>
                <w:noProof/>
                <w:webHidden/>
              </w:rPr>
              <w:t>8</w:t>
            </w:r>
            <w:r>
              <w:rPr>
                <w:noProof/>
                <w:webHidden/>
              </w:rPr>
              <w:fldChar w:fldCharType="end"/>
            </w:r>
          </w:hyperlink>
        </w:p>
        <w:p w:rsidR="005C78EC" w:rsidRDefault="005C78EC" w14:paraId="78B97929" w14:textId="4E8307B4">
          <w:pPr>
            <w:pStyle w:val="TOC1"/>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50">
            <w:r w:rsidRPr="00AD4109">
              <w:rPr>
                <w:rStyle w:val="Hyperlink"/>
                <w:noProof/>
              </w:rPr>
              <w:t>1.5 Research Questions</w:t>
            </w:r>
            <w:r>
              <w:rPr>
                <w:noProof/>
                <w:webHidden/>
              </w:rPr>
              <w:tab/>
            </w:r>
            <w:r>
              <w:rPr>
                <w:noProof/>
                <w:webHidden/>
              </w:rPr>
              <w:fldChar w:fldCharType="begin"/>
            </w:r>
            <w:r>
              <w:rPr>
                <w:noProof/>
                <w:webHidden/>
              </w:rPr>
              <w:instrText xml:space="preserve"> PAGEREF _Toc240696150 \h </w:instrText>
            </w:r>
            <w:r>
              <w:rPr>
                <w:noProof/>
                <w:webHidden/>
              </w:rPr>
            </w:r>
            <w:r>
              <w:rPr>
                <w:noProof/>
                <w:webHidden/>
              </w:rPr>
              <w:fldChar w:fldCharType="separate"/>
            </w:r>
            <w:r w:rsidR="009642E3">
              <w:rPr>
                <w:noProof/>
                <w:webHidden/>
              </w:rPr>
              <w:t>9</w:t>
            </w:r>
            <w:r>
              <w:rPr>
                <w:noProof/>
                <w:webHidden/>
              </w:rPr>
              <w:fldChar w:fldCharType="end"/>
            </w:r>
          </w:hyperlink>
        </w:p>
        <w:p w:rsidR="005C78EC" w:rsidRDefault="005C78EC" w14:paraId="7E6A1346" w14:textId="7F4C082D">
          <w:pPr>
            <w:pStyle w:val="TOC1"/>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51">
            <w:r w:rsidRPr="00AD4109">
              <w:rPr>
                <w:rStyle w:val="Hyperlink"/>
                <w:noProof/>
              </w:rPr>
              <w:t>1.6 Research Aim</w:t>
            </w:r>
            <w:r>
              <w:rPr>
                <w:noProof/>
                <w:webHidden/>
              </w:rPr>
              <w:tab/>
            </w:r>
            <w:r>
              <w:rPr>
                <w:noProof/>
                <w:webHidden/>
              </w:rPr>
              <w:fldChar w:fldCharType="begin"/>
            </w:r>
            <w:r>
              <w:rPr>
                <w:noProof/>
                <w:webHidden/>
              </w:rPr>
              <w:instrText xml:space="preserve"> PAGEREF _Toc240696151 \h </w:instrText>
            </w:r>
            <w:r>
              <w:rPr>
                <w:noProof/>
                <w:webHidden/>
              </w:rPr>
            </w:r>
            <w:r>
              <w:rPr>
                <w:noProof/>
                <w:webHidden/>
              </w:rPr>
              <w:fldChar w:fldCharType="separate"/>
            </w:r>
            <w:r w:rsidR="009642E3">
              <w:rPr>
                <w:noProof/>
                <w:webHidden/>
              </w:rPr>
              <w:t>9</w:t>
            </w:r>
            <w:r>
              <w:rPr>
                <w:noProof/>
                <w:webHidden/>
              </w:rPr>
              <w:fldChar w:fldCharType="end"/>
            </w:r>
          </w:hyperlink>
        </w:p>
        <w:p w:rsidR="005C78EC" w:rsidRDefault="005C78EC" w14:paraId="46726E86" w14:textId="6A1F77EF">
          <w:pPr>
            <w:pStyle w:val="TOC1"/>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52">
            <w:r w:rsidRPr="00AD4109">
              <w:rPr>
                <w:rStyle w:val="Hyperlink"/>
                <w:noProof/>
              </w:rPr>
              <w:t>1.7 Research Objectives</w:t>
            </w:r>
            <w:r>
              <w:rPr>
                <w:noProof/>
                <w:webHidden/>
              </w:rPr>
              <w:tab/>
            </w:r>
            <w:r>
              <w:rPr>
                <w:noProof/>
                <w:webHidden/>
              </w:rPr>
              <w:fldChar w:fldCharType="begin"/>
            </w:r>
            <w:r>
              <w:rPr>
                <w:noProof/>
                <w:webHidden/>
              </w:rPr>
              <w:instrText xml:space="preserve"> PAGEREF _Toc240696152 \h </w:instrText>
            </w:r>
            <w:r>
              <w:rPr>
                <w:noProof/>
                <w:webHidden/>
              </w:rPr>
            </w:r>
            <w:r>
              <w:rPr>
                <w:noProof/>
                <w:webHidden/>
              </w:rPr>
              <w:fldChar w:fldCharType="separate"/>
            </w:r>
            <w:r w:rsidR="009642E3">
              <w:rPr>
                <w:noProof/>
                <w:webHidden/>
              </w:rPr>
              <w:t>10</w:t>
            </w:r>
            <w:r>
              <w:rPr>
                <w:noProof/>
                <w:webHidden/>
              </w:rPr>
              <w:fldChar w:fldCharType="end"/>
            </w:r>
          </w:hyperlink>
        </w:p>
        <w:p w:rsidR="005C78EC" w:rsidRDefault="005C78EC" w14:paraId="2F06DB87" w14:textId="0DB90440">
          <w:pPr>
            <w:pStyle w:val="TOC1"/>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53">
            <w:r w:rsidRPr="00AD4109">
              <w:rPr>
                <w:rStyle w:val="Hyperlink"/>
                <w:noProof/>
              </w:rPr>
              <w:t>1.8 Research Significance</w:t>
            </w:r>
            <w:r>
              <w:rPr>
                <w:noProof/>
                <w:webHidden/>
              </w:rPr>
              <w:tab/>
            </w:r>
            <w:r>
              <w:rPr>
                <w:noProof/>
                <w:webHidden/>
              </w:rPr>
              <w:fldChar w:fldCharType="begin"/>
            </w:r>
            <w:r>
              <w:rPr>
                <w:noProof/>
                <w:webHidden/>
              </w:rPr>
              <w:instrText xml:space="preserve"> PAGEREF _Toc240696153 \h </w:instrText>
            </w:r>
            <w:r>
              <w:rPr>
                <w:noProof/>
                <w:webHidden/>
              </w:rPr>
            </w:r>
            <w:r>
              <w:rPr>
                <w:noProof/>
                <w:webHidden/>
              </w:rPr>
              <w:fldChar w:fldCharType="separate"/>
            </w:r>
            <w:r w:rsidR="009642E3">
              <w:rPr>
                <w:noProof/>
                <w:webHidden/>
              </w:rPr>
              <w:t>10</w:t>
            </w:r>
            <w:r>
              <w:rPr>
                <w:noProof/>
                <w:webHidden/>
              </w:rPr>
              <w:fldChar w:fldCharType="end"/>
            </w:r>
          </w:hyperlink>
        </w:p>
        <w:p w:rsidR="005C78EC" w:rsidRDefault="005C78EC" w14:paraId="3520A382" w14:textId="1AE31DD7">
          <w:pPr>
            <w:pStyle w:val="TOC1"/>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54">
            <w:r w:rsidRPr="00AD4109">
              <w:rPr>
                <w:rStyle w:val="Hyperlink"/>
                <w:noProof/>
              </w:rPr>
              <w:t>1.9 Summary</w:t>
            </w:r>
            <w:r>
              <w:rPr>
                <w:noProof/>
                <w:webHidden/>
              </w:rPr>
              <w:tab/>
            </w:r>
            <w:r>
              <w:rPr>
                <w:noProof/>
                <w:webHidden/>
              </w:rPr>
              <w:fldChar w:fldCharType="begin"/>
            </w:r>
            <w:r>
              <w:rPr>
                <w:noProof/>
                <w:webHidden/>
              </w:rPr>
              <w:instrText xml:space="preserve"> PAGEREF _Toc240696154 \h </w:instrText>
            </w:r>
            <w:r>
              <w:rPr>
                <w:noProof/>
                <w:webHidden/>
              </w:rPr>
            </w:r>
            <w:r>
              <w:rPr>
                <w:noProof/>
                <w:webHidden/>
              </w:rPr>
              <w:fldChar w:fldCharType="separate"/>
            </w:r>
            <w:r w:rsidR="009642E3">
              <w:rPr>
                <w:noProof/>
                <w:webHidden/>
              </w:rPr>
              <w:t>11</w:t>
            </w:r>
            <w:r>
              <w:rPr>
                <w:noProof/>
                <w:webHidden/>
              </w:rPr>
              <w:fldChar w:fldCharType="end"/>
            </w:r>
          </w:hyperlink>
        </w:p>
        <w:p w:rsidR="005C78EC" w:rsidRDefault="005C78EC" w14:paraId="402D876C" w14:textId="13C04AE5">
          <w:pPr>
            <w:pStyle w:val="TOC1"/>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55">
            <w:r w:rsidRPr="00AD4109">
              <w:rPr>
                <w:rStyle w:val="Hyperlink"/>
                <w:noProof/>
              </w:rPr>
              <w:t>Chapter 2: Literature review/theoretical framework</w:t>
            </w:r>
            <w:r>
              <w:rPr>
                <w:noProof/>
                <w:webHidden/>
              </w:rPr>
              <w:tab/>
            </w:r>
            <w:r>
              <w:rPr>
                <w:noProof/>
                <w:webHidden/>
              </w:rPr>
              <w:fldChar w:fldCharType="begin"/>
            </w:r>
            <w:r>
              <w:rPr>
                <w:noProof/>
                <w:webHidden/>
              </w:rPr>
              <w:instrText xml:space="preserve"> PAGEREF _Toc240696155 \h </w:instrText>
            </w:r>
            <w:r>
              <w:rPr>
                <w:noProof/>
                <w:webHidden/>
              </w:rPr>
            </w:r>
            <w:r>
              <w:rPr>
                <w:noProof/>
                <w:webHidden/>
              </w:rPr>
              <w:fldChar w:fldCharType="separate"/>
            </w:r>
            <w:r w:rsidR="009642E3">
              <w:rPr>
                <w:noProof/>
                <w:webHidden/>
              </w:rPr>
              <w:t>12</w:t>
            </w:r>
            <w:r>
              <w:rPr>
                <w:noProof/>
                <w:webHidden/>
              </w:rPr>
              <w:fldChar w:fldCharType="end"/>
            </w:r>
          </w:hyperlink>
        </w:p>
        <w:p w:rsidR="005C78EC" w:rsidRDefault="005C78EC" w14:paraId="2DB101DE" w14:textId="263DCAF9">
          <w:pPr>
            <w:pStyle w:val="TOC1"/>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56">
            <w:r w:rsidRPr="00AD4109">
              <w:rPr>
                <w:rStyle w:val="Hyperlink"/>
                <w:noProof/>
              </w:rPr>
              <w:t>2.1 Introduction</w:t>
            </w:r>
            <w:r>
              <w:rPr>
                <w:noProof/>
                <w:webHidden/>
              </w:rPr>
              <w:tab/>
            </w:r>
            <w:r>
              <w:rPr>
                <w:noProof/>
                <w:webHidden/>
              </w:rPr>
              <w:fldChar w:fldCharType="begin"/>
            </w:r>
            <w:r>
              <w:rPr>
                <w:noProof/>
                <w:webHidden/>
              </w:rPr>
              <w:instrText xml:space="preserve"> PAGEREF _Toc240696156 \h </w:instrText>
            </w:r>
            <w:r>
              <w:rPr>
                <w:noProof/>
                <w:webHidden/>
              </w:rPr>
            </w:r>
            <w:r>
              <w:rPr>
                <w:noProof/>
                <w:webHidden/>
              </w:rPr>
              <w:fldChar w:fldCharType="separate"/>
            </w:r>
            <w:r w:rsidR="009642E3">
              <w:rPr>
                <w:noProof/>
                <w:webHidden/>
              </w:rPr>
              <w:t>12</w:t>
            </w:r>
            <w:r>
              <w:rPr>
                <w:noProof/>
                <w:webHidden/>
              </w:rPr>
              <w:fldChar w:fldCharType="end"/>
            </w:r>
          </w:hyperlink>
        </w:p>
        <w:p w:rsidR="005C78EC" w:rsidRDefault="005C78EC" w14:paraId="7AA16DFF" w14:textId="476FC596">
          <w:pPr>
            <w:pStyle w:val="TOC1"/>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57">
            <w:r w:rsidRPr="00AD4109">
              <w:rPr>
                <w:rStyle w:val="Hyperlink"/>
                <w:noProof/>
              </w:rPr>
              <w:t>2.2 Literature Search Strategy</w:t>
            </w:r>
            <w:r>
              <w:rPr>
                <w:noProof/>
                <w:webHidden/>
              </w:rPr>
              <w:tab/>
            </w:r>
            <w:r>
              <w:rPr>
                <w:noProof/>
                <w:webHidden/>
              </w:rPr>
              <w:fldChar w:fldCharType="begin"/>
            </w:r>
            <w:r>
              <w:rPr>
                <w:noProof/>
                <w:webHidden/>
              </w:rPr>
              <w:instrText xml:space="preserve"> PAGEREF _Toc240696157 \h </w:instrText>
            </w:r>
            <w:r>
              <w:rPr>
                <w:noProof/>
                <w:webHidden/>
              </w:rPr>
            </w:r>
            <w:r>
              <w:rPr>
                <w:noProof/>
                <w:webHidden/>
              </w:rPr>
              <w:fldChar w:fldCharType="separate"/>
            </w:r>
            <w:r w:rsidR="009642E3">
              <w:rPr>
                <w:noProof/>
                <w:webHidden/>
              </w:rPr>
              <w:t>12</w:t>
            </w:r>
            <w:r>
              <w:rPr>
                <w:noProof/>
                <w:webHidden/>
              </w:rPr>
              <w:fldChar w:fldCharType="end"/>
            </w:r>
          </w:hyperlink>
        </w:p>
        <w:p w:rsidR="005C78EC" w:rsidRDefault="005C78EC" w14:paraId="1E05D35D" w14:textId="4AC22940">
          <w:pPr>
            <w:pStyle w:val="TOC1"/>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58">
            <w:r w:rsidRPr="00AD4109">
              <w:rPr>
                <w:rStyle w:val="Hyperlink"/>
                <w:noProof/>
              </w:rPr>
              <w:t>2.3 Literature Review</w:t>
            </w:r>
            <w:r>
              <w:rPr>
                <w:noProof/>
                <w:webHidden/>
              </w:rPr>
              <w:tab/>
            </w:r>
            <w:r>
              <w:rPr>
                <w:noProof/>
                <w:webHidden/>
              </w:rPr>
              <w:fldChar w:fldCharType="begin"/>
            </w:r>
            <w:r>
              <w:rPr>
                <w:noProof/>
                <w:webHidden/>
              </w:rPr>
              <w:instrText xml:space="preserve"> PAGEREF _Toc240696158 \h </w:instrText>
            </w:r>
            <w:r>
              <w:rPr>
                <w:noProof/>
                <w:webHidden/>
              </w:rPr>
            </w:r>
            <w:r>
              <w:rPr>
                <w:noProof/>
                <w:webHidden/>
              </w:rPr>
              <w:fldChar w:fldCharType="separate"/>
            </w:r>
            <w:r w:rsidR="009642E3">
              <w:rPr>
                <w:noProof/>
                <w:webHidden/>
              </w:rPr>
              <w:t>13</w:t>
            </w:r>
            <w:r>
              <w:rPr>
                <w:noProof/>
                <w:webHidden/>
              </w:rPr>
              <w:fldChar w:fldCharType="end"/>
            </w:r>
          </w:hyperlink>
        </w:p>
        <w:p w:rsidR="005C78EC" w:rsidRDefault="005C78EC" w14:paraId="608A56D9" w14:textId="68F69F0D">
          <w:pPr>
            <w:pStyle w:val="TOC2"/>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59">
            <w:r w:rsidRPr="00AD4109">
              <w:rPr>
                <w:rStyle w:val="Hyperlink"/>
                <w:noProof/>
              </w:rPr>
              <w:t>2.3.1 Most common healthcare-associated infections in UK hospitals</w:t>
            </w:r>
            <w:r>
              <w:rPr>
                <w:noProof/>
                <w:webHidden/>
              </w:rPr>
              <w:tab/>
            </w:r>
            <w:r>
              <w:rPr>
                <w:noProof/>
                <w:webHidden/>
              </w:rPr>
              <w:fldChar w:fldCharType="begin"/>
            </w:r>
            <w:r>
              <w:rPr>
                <w:noProof/>
                <w:webHidden/>
              </w:rPr>
              <w:instrText xml:space="preserve"> PAGEREF _Toc240696159 \h </w:instrText>
            </w:r>
            <w:r>
              <w:rPr>
                <w:noProof/>
                <w:webHidden/>
              </w:rPr>
            </w:r>
            <w:r>
              <w:rPr>
                <w:noProof/>
                <w:webHidden/>
              </w:rPr>
              <w:fldChar w:fldCharType="separate"/>
            </w:r>
            <w:r w:rsidR="009642E3">
              <w:rPr>
                <w:noProof/>
                <w:webHidden/>
              </w:rPr>
              <w:t>13</w:t>
            </w:r>
            <w:r>
              <w:rPr>
                <w:noProof/>
                <w:webHidden/>
              </w:rPr>
              <w:fldChar w:fldCharType="end"/>
            </w:r>
          </w:hyperlink>
        </w:p>
        <w:p w:rsidR="005C78EC" w:rsidRDefault="005C78EC" w14:paraId="3632A849" w14:textId="42CA16B7">
          <w:pPr>
            <w:pStyle w:val="TOC2"/>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60">
            <w:r w:rsidRPr="00AD4109">
              <w:rPr>
                <w:rStyle w:val="Hyperlink"/>
                <w:noProof/>
              </w:rPr>
              <w:t>2.3.2 Factors influencing hand hygiene compliance among healthcare workers</w:t>
            </w:r>
            <w:r>
              <w:rPr>
                <w:noProof/>
                <w:webHidden/>
              </w:rPr>
              <w:tab/>
            </w:r>
            <w:r>
              <w:rPr>
                <w:noProof/>
                <w:webHidden/>
              </w:rPr>
              <w:fldChar w:fldCharType="begin"/>
            </w:r>
            <w:r>
              <w:rPr>
                <w:noProof/>
                <w:webHidden/>
              </w:rPr>
              <w:instrText xml:space="preserve"> PAGEREF _Toc240696160 \h </w:instrText>
            </w:r>
            <w:r>
              <w:rPr>
                <w:noProof/>
                <w:webHidden/>
              </w:rPr>
            </w:r>
            <w:r>
              <w:rPr>
                <w:noProof/>
                <w:webHidden/>
              </w:rPr>
              <w:fldChar w:fldCharType="separate"/>
            </w:r>
            <w:r w:rsidR="009642E3">
              <w:rPr>
                <w:noProof/>
                <w:webHidden/>
              </w:rPr>
              <w:t>15</w:t>
            </w:r>
            <w:r>
              <w:rPr>
                <w:noProof/>
                <w:webHidden/>
              </w:rPr>
              <w:fldChar w:fldCharType="end"/>
            </w:r>
          </w:hyperlink>
        </w:p>
        <w:p w:rsidR="005C78EC" w:rsidRDefault="005C78EC" w14:paraId="506ED01C" w14:textId="7D478F24">
          <w:pPr>
            <w:pStyle w:val="TOC2"/>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61">
            <w:r w:rsidRPr="00AD4109">
              <w:rPr>
                <w:rStyle w:val="Hyperlink"/>
                <w:noProof/>
              </w:rPr>
              <w:t>2.3.3 Effectiveness of hand hygiene interventions in reducing infection rates</w:t>
            </w:r>
            <w:r>
              <w:rPr>
                <w:noProof/>
                <w:webHidden/>
              </w:rPr>
              <w:tab/>
            </w:r>
            <w:r>
              <w:rPr>
                <w:noProof/>
                <w:webHidden/>
              </w:rPr>
              <w:fldChar w:fldCharType="begin"/>
            </w:r>
            <w:r>
              <w:rPr>
                <w:noProof/>
                <w:webHidden/>
              </w:rPr>
              <w:instrText xml:space="preserve"> PAGEREF _Toc240696161 \h </w:instrText>
            </w:r>
            <w:r>
              <w:rPr>
                <w:noProof/>
                <w:webHidden/>
              </w:rPr>
            </w:r>
            <w:r>
              <w:rPr>
                <w:noProof/>
                <w:webHidden/>
              </w:rPr>
              <w:fldChar w:fldCharType="separate"/>
            </w:r>
            <w:r w:rsidR="009642E3">
              <w:rPr>
                <w:noProof/>
                <w:webHidden/>
              </w:rPr>
              <w:t>19</w:t>
            </w:r>
            <w:r>
              <w:rPr>
                <w:noProof/>
                <w:webHidden/>
              </w:rPr>
              <w:fldChar w:fldCharType="end"/>
            </w:r>
          </w:hyperlink>
        </w:p>
        <w:p w:rsidR="005C78EC" w:rsidRDefault="005C78EC" w14:paraId="4632A8F9" w14:textId="1049DF87">
          <w:pPr>
            <w:pStyle w:val="TOC1"/>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62">
            <w:r w:rsidRPr="00AD4109">
              <w:rPr>
                <w:rStyle w:val="Hyperlink"/>
                <w:noProof/>
              </w:rPr>
              <w:t>2.4 Gaps in Literature</w:t>
            </w:r>
            <w:r>
              <w:rPr>
                <w:noProof/>
                <w:webHidden/>
              </w:rPr>
              <w:tab/>
            </w:r>
            <w:r>
              <w:rPr>
                <w:noProof/>
                <w:webHidden/>
              </w:rPr>
              <w:fldChar w:fldCharType="begin"/>
            </w:r>
            <w:r>
              <w:rPr>
                <w:noProof/>
                <w:webHidden/>
              </w:rPr>
              <w:instrText xml:space="preserve"> PAGEREF _Toc240696162 \h </w:instrText>
            </w:r>
            <w:r>
              <w:rPr>
                <w:noProof/>
                <w:webHidden/>
              </w:rPr>
            </w:r>
            <w:r>
              <w:rPr>
                <w:noProof/>
                <w:webHidden/>
              </w:rPr>
              <w:fldChar w:fldCharType="separate"/>
            </w:r>
            <w:r w:rsidR="009642E3">
              <w:rPr>
                <w:noProof/>
                <w:webHidden/>
              </w:rPr>
              <w:t>22</w:t>
            </w:r>
            <w:r>
              <w:rPr>
                <w:noProof/>
                <w:webHidden/>
              </w:rPr>
              <w:fldChar w:fldCharType="end"/>
            </w:r>
          </w:hyperlink>
        </w:p>
        <w:p w:rsidR="005C78EC" w:rsidRDefault="005C78EC" w14:paraId="20893A64" w14:textId="0EC364D8">
          <w:pPr>
            <w:pStyle w:val="TOC1"/>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63">
            <w:r w:rsidRPr="00AD4109">
              <w:rPr>
                <w:rStyle w:val="Hyperlink"/>
                <w:noProof/>
              </w:rPr>
              <w:t>2.5 Theoretical Framework</w:t>
            </w:r>
            <w:r>
              <w:rPr>
                <w:noProof/>
                <w:webHidden/>
              </w:rPr>
              <w:tab/>
            </w:r>
            <w:r>
              <w:rPr>
                <w:noProof/>
                <w:webHidden/>
              </w:rPr>
              <w:fldChar w:fldCharType="begin"/>
            </w:r>
            <w:r>
              <w:rPr>
                <w:noProof/>
                <w:webHidden/>
              </w:rPr>
              <w:instrText xml:space="preserve"> PAGEREF _Toc240696163 \h </w:instrText>
            </w:r>
            <w:r>
              <w:rPr>
                <w:noProof/>
                <w:webHidden/>
              </w:rPr>
            </w:r>
            <w:r>
              <w:rPr>
                <w:noProof/>
                <w:webHidden/>
              </w:rPr>
              <w:fldChar w:fldCharType="separate"/>
            </w:r>
            <w:r w:rsidR="009642E3">
              <w:rPr>
                <w:noProof/>
                <w:webHidden/>
              </w:rPr>
              <w:t>24</w:t>
            </w:r>
            <w:r>
              <w:rPr>
                <w:noProof/>
                <w:webHidden/>
              </w:rPr>
              <w:fldChar w:fldCharType="end"/>
            </w:r>
          </w:hyperlink>
        </w:p>
        <w:p w:rsidR="005C78EC" w:rsidRDefault="005C78EC" w14:paraId="4B91D150" w14:textId="209B77D8">
          <w:pPr>
            <w:pStyle w:val="TOC2"/>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64">
            <w:r w:rsidRPr="00AD4109">
              <w:rPr>
                <w:rStyle w:val="Hyperlink"/>
                <w:noProof/>
              </w:rPr>
              <w:t>2.5.1 Health Belief Model (HBM)</w:t>
            </w:r>
            <w:r>
              <w:rPr>
                <w:noProof/>
                <w:webHidden/>
              </w:rPr>
              <w:tab/>
            </w:r>
            <w:r>
              <w:rPr>
                <w:noProof/>
                <w:webHidden/>
              </w:rPr>
              <w:fldChar w:fldCharType="begin"/>
            </w:r>
            <w:r>
              <w:rPr>
                <w:noProof/>
                <w:webHidden/>
              </w:rPr>
              <w:instrText xml:space="preserve"> PAGEREF _Toc240696164 \h </w:instrText>
            </w:r>
            <w:r>
              <w:rPr>
                <w:noProof/>
                <w:webHidden/>
              </w:rPr>
            </w:r>
            <w:r>
              <w:rPr>
                <w:noProof/>
                <w:webHidden/>
              </w:rPr>
              <w:fldChar w:fldCharType="separate"/>
            </w:r>
            <w:r w:rsidR="009642E3">
              <w:rPr>
                <w:noProof/>
                <w:webHidden/>
              </w:rPr>
              <w:t>24</w:t>
            </w:r>
            <w:r>
              <w:rPr>
                <w:noProof/>
                <w:webHidden/>
              </w:rPr>
              <w:fldChar w:fldCharType="end"/>
            </w:r>
          </w:hyperlink>
        </w:p>
        <w:p w:rsidR="005C78EC" w:rsidRDefault="005C78EC" w14:paraId="3417D2BD" w14:textId="59460071">
          <w:pPr>
            <w:pStyle w:val="TOC2"/>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65">
            <w:r w:rsidRPr="00AD4109">
              <w:rPr>
                <w:rStyle w:val="Hyperlink"/>
                <w:noProof/>
              </w:rPr>
              <w:t>2.5.2 Theory of Planned Behaviour (TPB)</w:t>
            </w:r>
            <w:r>
              <w:rPr>
                <w:noProof/>
                <w:webHidden/>
              </w:rPr>
              <w:tab/>
            </w:r>
            <w:r>
              <w:rPr>
                <w:noProof/>
                <w:webHidden/>
              </w:rPr>
              <w:fldChar w:fldCharType="begin"/>
            </w:r>
            <w:r>
              <w:rPr>
                <w:noProof/>
                <w:webHidden/>
              </w:rPr>
              <w:instrText xml:space="preserve"> PAGEREF _Toc240696165 \h </w:instrText>
            </w:r>
            <w:r>
              <w:rPr>
                <w:noProof/>
                <w:webHidden/>
              </w:rPr>
            </w:r>
            <w:r>
              <w:rPr>
                <w:noProof/>
                <w:webHidden/>
              </w:rPr>
              <w:fldChar w:fldCharType="separate"/>
            </w:r>
            <w:r w:rsidR="009642E3">
              <w:rPr>
                <w:noProof/>
                <w:webHidden/>
              </w:rPr>
              <w:t>26</w:t>
            </w:r>
            <w:r>
              <w:rPr>
                <w:noProof/>
                <w:webHidden/>
              </w:rPr>
              <w:fldChar w:fldCharType="end"/>
            </w:r>
          </w:hyperlink>
        </w:p>
        <w:p w:rsidR="005C78EC" w:rsidRDefault="005C78EC" w14:paraId="10FC6CFD" w14:textId="279DD961">
          <w:pPr>
            <w:pStyle w:val="TOC2"/>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66">
            <w:r w:rsidRPr="00AD4109">
              <w:rPr>
                <w:rStyle w:val="Hyperlink"/>
                <w:noProof/>
              </w:rPr>
              <w:t>2.5.3 Systems Engineering Initiative for Patient Safety (SEIPS) Model</w:t>
            </w:r>
            <w:r>
              <w:rPr>
                <w:noProof/>
                <w:webHidden/>
              </w:rPr>
              <w:tab/>
            </w:r>
            <w:r>
              <w:rPr>
                <w:noProof/>
                <w:webHidden/>
              </w:rPr>
              <w:fldChar w:fldCharType="begin"/>
            </w:r>
            <w:r>
              <w:rPr>
                <w:noProof/>
                <w:webHidden/>
              </w:rPr>
              <w:instrText xml:space="preserve"> PAGEREF _Toc240696166 \h </w:instrText>
            </w:r>
            <w:r>
              <w:rPr>
                <w:noProof/>
                <w:webHidden/>
              </w:rPr>
            </w:r>
            <w:r>
              <w:rPr>
                <w:noProof/>
                <w:webHidden/>
              </w:rPr>
              <w:fldChar w:fldCharType="separate"/>
            </w:r>
            <w:r w:rsidR="009642E3">
              <w:rPr>
                <w:noProof/>
                <w:webHidden/>
              </w:rPr>
              <w:t>27</w:t>
            </w:r>
            <w:r>
              <w:rPr>
                <w:noProof/>
                <w:webHidden/>
              </w:rPr>
              <w:fldChar w:fldCharType="end"/>
            </w:r>
          </w:hyperlink>
        </w:p>
        <w:p w:rsidR="005C78EC" w:rsidRDefault="005C78EC" w14:paraId="3EEDCE99" w14:textId="0E69397F">
          <w:pPr>
            <w:pStyle w:val="TOC1"/>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67">
            <w:r w:rsidRPr="00AD4109">
              <w:rPr>
                <w:rStyle w:val="Hyperlink"/>
                <w:noProof/>
              </w:rPr>
              <w:t>2.6 Summary</w:t>
            </w:r>
            <w:r>
              <w:rPr>
                <w:noProof/>
                <w:webHidden/>
              </w:rPr>
              <w:tab/>
            </w:r>
            <w:r>
              <w:rPr>
                <w:noProof/>
                <w:webHidden/>
              </w:rPr>
              <w:fldChar w:fldCharType="begin"/>
            </w:r>
            <w:r>
              <w:rPr>
                <w:noProof/>
                <w:webHidden/>
              </w:rPr>
              <w:instrText xml:space="preserve"> PAGEREF _Toc240696167 \h </w:instrText>
            </w:r>
            <w:r>
              <w:rPr>
                <w:noProof/>
                <w:webHidden/>
              </w:rPr>
            </w:r>
            <w:r>
              <w:rPr>
                <w:noProof/>
                <w:webHidden/>
              </w:rPr>
              <w:fldChar w:fldCharType="separate"/>
            </w:r>
            <w:r w:rsidR="009642E3">
              <w:rPr>
                <w:noProof/>
                <w:webHidden/>
              </w:rPr>
              <w:t>28</w:t>
            </w:r>
            <w:r>
              <w:rPr>
                <w:noProof/>
                <w:webHidden/>
              </w:rPr>
              <w:fldChar w:fldCharType="end"/>
            </w:r>
          </w:hyperlink>
        </w:p>
        <w:p w:rsidR="005C78EC" w:rsidRDefault="005C78EC" w14:paraId="441B8F42" w14:textId="30A499C7">
          <w:pPr>
            <w:pStyle w:val="TOC1"/>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68">
            <w:r w:rsidRPr="00AD4109">
              <w:rPr>
                <w:rStyle w:val="Hyperlink"/>
                <w:noProof/>
              </w:rPr>
              <w:t>Chapter 3: Methods And Methodology</w:t>
            </w:r>
            <w:r>
              <w:rPr>
                <w:noProof/>
                <w:webHidden/>
              </w:rPr>
              <w:tab/>
            </w:r>
            <w:r>
              <w:rPr>
                <w:noProof/>
                <w:webHidden/>
              </w:rPr>
              <w:fldChar w:fldCharType="begin"/>
            </w:r>
            <w:r>
              <w:rPr>
                <w:noProof/>
                <w:webHidden/>
              </w:rPr>
              <w:instrText xml:space="preserve"> PAGEREF _Toc240696168 \h </w:instrText>
            </w:r>
            <w:r>
              <w:rPr>
                <w:noProof/>
                <w:webHidden/>
              </w:rPr>
            </w:r>
            <w:r>
              <w:rPr>
                <w:noProof/>
                <w:webHidden/>
              </w:rPr>
              <w:fldChar w:fldCharType="separate"/>
            </w:r>
            <w:r w:rsidR="009642E3">
              <w:rPr>
                <w:noProof/>
                <w:webHidden/>
              </w:rPr>
              <w:t>29</w:t>
            </w:r>
            <w:r>
              <w:rPr>
                <w:noProof/>
                <w:webHidden/>
              </w:rPr>
              <w:fldChar w:fldCharType="end"/>
            </w:r>
          </w:hyperlink>
        </w:p>
        <w:p w:rsidR="005C78EC" w:rsidRDefault="005C78EC" w14:paraId="7053C259" w14:textId="2D487BA5">
          <w:pPr>
            <w:pStyle w:val="TOC1"/>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69">
            <w:r w:rsidRPr="00AD4109">
              <w:rPr>
                <w:rStyle w:val="Hyperlink"/>
                <w:noProof/>
              </w:rPr>
              <w:t>3.1 Introduction</w:t>
            </w:r>
            <w:r>
              <w:rPr>
                <w:noProof/>
                <w:webHidden/>
              </w:rPr>
              <w:tab/>
            </w:r>
            <w:r>
              <w:rPr>
                <w:noProof/>
                <w:webHidden/>
              </w:rPr>
              <w:fldChar w:fldCharType="begin"/>
            </w:r>
            <w:r>
              <w:rPr>
                <w:noProof/>
                <w:webHidden/>
              </w:rPr>
              <w:instrText xml:space="preserve"> PAGEREF _Toc240696169 \h </w:instrText>
            </w:r>
            <w:r>
              <w:rPr>
                <w:noProof/>
                <w:webHidden/>
              </w:rPr>
            </w:r>
            <w:r>
              <w:rPr>
                <w:noProof/>
                <w:webHidden/>
              </w:rPr>
              <w:fldChar w:fldCharType="separate"/>
            </w:r>
            <w:r w:rsidR="009642E3">
              <w:rPr>
                <w:noProof/>
                <w:webHidden/>
              </w:rPr>
              <w:t>29</w:t>
            </w:r>
            <w:r>
              <w:rPr>
                <w:noProof/>
                <w:webHidden/>
              </w:rPr>
              <w:fldChar w:fldCharType="end"/>
            </w:r>
          </w:hyperlink>
        </w:p>
        <w:p w:rsidR="005C78EC" w:rsidRDefault="005C78EC" w14:paraId="5853B556" w14:textId="5EAEA31B">
          <w:pPr>
            <w:pStyle w:val="TOC1"/>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70">
            <w:r w:rsidRPr="00AD4109">
              <w:rPr>
                <w:rStyle w:val="Hyperlink"/>
                <w:noProof/>
              </w:rPr>
              <w:t>3.2 Research Philosophy</w:t>
            </w:r>
            <w:r>
              <w:rPr>
                <w:noProof/>
                <w:webHidden/>
              </w:rPr>
              <w:tab/>
            </w:r>
            <w:r>
              <w:rPr>
                <w:noProof/>
                <w:webHidden/>
              </w:rPr>
              <w:fldChar w:fldCharType="begin"/>
            </w:r>
            <w:r>
              <w:rPr>
                <w:noProof/>
                <w:webHidden/>
              </w:rPr>
              <w:instrText xml:space="preserve"> PAGEREF _Toc240696170 \h </w:instrText>
            </w:r>
            <w:r>
              <w:rPr>
                <w:noProof/>
                <w:webHidden/>
              </w:rPr>
            </w:r>
            <w:r>
              <w:rPr>
                <w:noProof/>
                <w:webHidden/>
              </w:rPr>
              <w:fldChar w:fldCharType="separate"/>
            </w:r>
            <w:r w:rsidR="009642E3">
              <w:rPr>
                <w:noProof/>
                <w:webHidden/>
              </w:rPr>
              <w:t>29</w:t>
            </w:r>
            <w:r>
              <w:rPr>
                <w:noProof/>
                <w:webHidden/>
              </w:rPr>
              <w:fldChar w:fldCharType="end"/>
            </w:r>
          </w:hyperlink>
        </w:p>
        <w:p w:rsidR="005C78EC" w:rsidRDefault="005C78EC" w14:paraId="1E607864" w14:textId="57EC393F">
          <w:pPr>
            <w:pStyle w:val="TOC1"/>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71">
            <w:r w:rsidRPr="00AD4109">
              <w:rPr>
                <w:rStyle w:val="Hyperlink"/>
                <w:noProof/>
              </w:rPr>
              <w:t>3.3 Ethical Considerations</w:t>
            </w:r>
            <w:r>
              <w:rPr>
                <w:noProof/>
                <w:webHidden/>
              </w:rPr>
              <w:tab/>
            </w:r>
            <w:r>
              <w:rPr>
                <w:noProof/>
                <w:webHidden/>
              </w:rPr>
              <w:fldChar w:fldCharType="begin"/>
            </w:r>
            <w:r>
              <w:rPr>
                <w:noProof/>
                <w:webHidden/>
              </w:rPr>
              <w:instrText xml:space="preserve"> PAGEREF _Toc240696171 \h </w:instrText>
            </w:r>
            <w:r>
              <w:rPr>
                <w:noProof/>
                <w:webHidden/>
              </w:rPr>
            </w:r>
            <w:r>
              <w:rPr>
                <w:noProof/>
                <w:webHidden/>
              </w:rPr>
              <w:fldChar w:fldCharType="separate"/>
            </w:r>
            <w:r w:rsidR="009642E3">
              <w:rPr>
                <w:noProof/>
                <w:webHidden/>
              </w:rPr>
              <w:t>29</w:t>
            </w:r>
            <w:r>
              <w:rPr>
                <w:noProof/>
                <w:webHidden/>
              </w:rPr>
              <w:fldChar w:fldCharType="end"/>
            </w:r>
          </w:hyperlink>
        </w:p>
        <w:p w:rsidR="005C78EC" w:rsidRDefault="005C78EC" w14:paraId="75F74720" w14:textId="3994342C">
          <w:pPr>
            <w:pStyle w:val="TOC1"/>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72">
            <w:r w:rsidRPr="00AD4109">
              <w:rPr>
                <w:rStyle w:val="Hyperlink"/>
                <w:noProof/>
              </w:rPr>
              <w:t>3.4 Research Approach</w:t>
            </w:r>
            <w:r>
              <w:rPr>
                <w:noProof/>
                <w:webHidden/>
              </w:rPr>
              <w:tab/>
            </w:r>
            <w:r>
              <w:rPr>
                <w:noProof/>
                <w:webHidden/>
              </w:rPr>
              <w:fldChar w:fldCharType="begin"/>
            </w:r>
            <w:r>
              <w:rPr>
                <w:noProof/>
                <w:webHidden/>
              </w:rPr>
              <w:instrText xml:space="preserve"> PAGEREF _Toc240696172 \h </w:instrText>
            </w:r>
            <w:r>
              <w:rPr>
                <w:noProof/>
                <w:webHidden/>
              </w:rPr>
            </w:r>
            <w:r>
              <w:rPr>
                <w:noProof/>
                <w:webHidden/>
              </w:rPr>
              <w:fldChar w:fldCharType="separate"/>
            </w:r>
            <w:r w:rsidR="009642E3">
              <w:rPr>
                <w:noProof/>
                <w:webHidden/>
              </w:rPr>
              <w:t>30</w:t>
            </w:r>
            <w:r>
              <w:rPr>
                <w:noProof/>
                <w:webHidden/>
              </w:rPr>
              <w:fldChar w:fldCharType="end"/>
            </w:r>
          </w:hyperlink>
        </w:p>
        <w:p w:rsidR="005C78EC" w:rsidRDefault="005C78EC" w14:paraId="2A709CAC" w14:textId="3C033C85">
          <w:pPr>
            <w:pStyle w:val="TOC1"/>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73">
            <w:r w:rsidRPr="00AD4109">
              <w:rPr>
                <w:rStyle w:val="Hyperlink"/>
                <w:noProof/>
              </w:rPr>
              <w:t>3.5 Research Strategy</w:t>
            </w:r>
            <w:r>
              <w:rPr>
                <w:noProof/>
                <w:webHidden/>
              </w:rPr>
              <w:tab/>
            </w:r>
            <w:r>
              <w:rPr>
                <w:noProof/>
                <w:webHidden/>
              </w:rPr>
              <w:fldChar w:fldCharType="begin"/>
            </w:r>
            <w:r>
              <w:rPr>
                <w:noProof/>
                <w:webHidden/>
              </w:rPr>
              <w:instrText xml:space="preserve"> PAGEREF _Toc240696173 \h </w:instrText>
            </w:r>
            <w:r>
              <w:rPr>
                <w:noProof/>
                <w:webHidden/>
              </w:rPr>
            </w:r>
            <w:r>
              <w:rPr>
                <w:noProof/>
                <w:webHidden/>
              </w:rPr>
              <w:fldChar w:fldCharType="separate"/>
            </w:r>
            <w:r w:rsidR="009642E3">
              <w:rPr>
                <w:noProof/>
                <w:webHidden/>
              </w:rPr>
              <w:t>30</w:t>
            </w:r>
            <w:r>
              <w:rPr>
                <w:noProof/>
                <w:webHidden/>
              </w:rPr>
              <w:fldChar w:fldCharType="end"/>
            </w:r>
          </w:hyperlink>
        </w:p>
        <w:p w:rsidR="005C78EC" w:rsidRDefault="005C78EC" w14:paraId="3D374AAD" w14:textId="18BE1D00">
          <w:pPr>
            <w:pStyle w:val="TOC1"/>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74">
            <w:r w:rsidRPr="00AD4109">
              <w:rPr>
                <w:rStyle w:val="Hyperlink"/>
                <w:noProof/>
              </w:rPr>
              <w:t>3.6 Study Design</w:t>
            </w:r>
            <w:r>
              <w:rPr>
                <w:noProof/>
                <w:webHidden/>
              </w:rPr>
              <w:tab/>
            </w:r>
            <w:r>
              <w:rPr>
                <w:noProof/>
                <w:webHidden/>
              </w:rPr>
              <w:fldChar w:fldCharType="begin"/>
            </w:r>
            <w:r>
              <w:rPr>
                <w:noProof/>
                <w:webHidden/>
              </w:rPr>
              <w:instrText xml:space="preserve"> PAGEREF _Toc240696174 \h </w:instrText>
            </w:r>
            <w:r>
              <w:rPr>
                <w:noProof/>
                <w:webHidden/>
              </w:rPr>
            </w:r>
            <w:r>
              <w:rPr>
                <w:noProof/>
                <w:webHidden/>
              </w:rPr>
              <w:fldChar w:fldCharType="separate"/>
            </w:r>
            <w:r w:rsidR="009642E3">
              <w:rPr>
                <w:noProof/>
                <w:webHidden/>
              </w:rPr>
              <w:t>31</w:t>
            </w:r>
            <w:r>
              <w:rPr>
                <w:noProof/>
                <w:webHidden/>
              </w:rPr>
              <w:fldChar w:fldCharType="end"/>
            </w:r>
          </w:hyperlink>
        </w:p>
        <w:p w:rsidR="005C78EC" w:rsidRDefault="005C78EC" w14:paraId="0D38A0AC" w14:textId="3EAB1298">
          <w:pPr>
            <w:pStyle w:val="TOC1"/>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75">
            <w:r w:rsidRPr="00AD4109">
              <w:rPr>
                <w:rStyle w:val="Hyperlink"/>
                <w:noProof/>
              </w:rPr>
              <w:t>3.7 Method of Data Collection</w:t>
            </w:r>
            <w:r>
              <w:rPr>
                <w:noProof/>
                <w:webHidden/>
              </w:rPr>
              <w:tab/>
            </w:r>
            <w:r>
              <w:rPr>
                <w:noProof/>
                <w:webHidden/>
              </w:rPr>
              <w:fldChar w:fldCharType="begin"/>
            </w:r>
            <w:r>
              <w:rPr>
                <w:noProof/>
                <w:webHidden/>
              </w:rPr>
              <w:instrText xml:space="preserve"> PAGEREF _Toc240696175 \h </w:instrText>
            </w:r>
            <w:r>
              <w:rPr>
                <w:noProof/>
                <w:webHidden/>
              </w:rPr>
            </w:r>
            <w:r>
              <w:rPr>
                <w:noProof/>
                <w:webHidden/>
              </w:rPr>
              <w:fldChar w:fldCharType="separate"/>
            </w:r>
            <w:r w:rsidR="009642E3">
              <w:rPr>
                <w:noProof/>
                <w:webHidden/>
              </w:rPr>
              <w:t>31</w:t>
            </w:r>
            <w:r>
              <w:rPr>
                <w:noProof/>
                <w:webHidden/>
              </w:rPr>
              <w:fldChar w:fldCharType="end"/>
            </w:r>
          </w:hyperlink>
        </w:p>
        <w:p w:rsidR="005C78EC" w:rsidRDefault="005C78EC" w14:paraId="5078A772" w14:textId="2EC9B866">
          <w:pPr>
            <w:pStyle w:val="TOC2"/>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76">
            <w:r w:rsidRPr="00AD4109">
              <w:rPr>
                <w:rStyle w:val="Hyperlink"/>
                <w:noProof/>
              </w:rPr>
              <w:t>3.7.1 Search Strategy</w:t>
            </w:r>
            <w:r>
              <w:rPr>
                <w:noProof/>
                <w:webHidden/>
              </w:rPr>
              <w:tab/>
            </w:r>
            <w:r>
              <w:rPr>
                <w:noProof/>
                <w:webHidden/>
              </w:rPr>
              <w:fldChar w:fldCharType="begin"/>
            </w:r>
            <w:r>
              <w:rPr>
                <w:noProof/>
                <w:webHidden/>
              </w:rPr>
              <w:instrText xml:space="preserve"> PAGEREF _Toc240696176 \h </w:instrText>
            </w:r>
            <w:r>
              <w:rPr>
                <w:noProof/>
                <w:webHidden/>
              </w:rPr>
            </w:r>
            <w:r>
              <w:rPr>
                <w:noProof/>
                <w:webHidden/>
              </w:rPr>
              <w:fldChar w:fldCharType="separate"/>
            </w:r>
            <w:r w:rsidR="009642E3">
              <w:rPr>
                <w:noProof/>
                <w:webHidden/>
              </w:rPr>
              <w:t>31</w:t>
            </w:r>
            <w:r>
              <w:rPr>
                <w:noProof/>
                <w:webHidden/>
              </w:rPr>
              <w:fldChar w:fldCharType="end"/>
            </w:r>
          </w:hyperlink>
        </w:p>
        <w:p w:rsidR="005C78EC" w:rsidRDefault="005C78EC" w14:paraId="3FBCACC3" w14:textId="11E3BDEB">
          <w:pPr>
            <w:pStyle w:val="TOC1"/>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77">
            <w:r w:rsidRPr="00AD4109">
              <w:rPr>
                <w:rStyle w:val="Hyperlink"/>
                <w:noProof/>
              </w:rPr>
              <w:t>3.8 Framing the Research Question (PICO)</w:t>
            </w:r>
            <w:r>
              <w:rPr>
                <w:noProof/>
                <w:webHidden/>
              </w:rPr>
              <w:tab/>
            </w:r>
            <w:r>
              <w:rPr>
                <w:noProof/>
                <w:webHidden/>
              </w:rPr>
              <w:fldChar w:fldCharType="begin"/>
            </w:r>
            <w:r>
              <w:rPr>
                <w:noProof/>
                <w:webHidden/>
              </w:rPr>
              <w:instrText xml:space="preserve"> PAGEREF _Toc240696177 \h </w:instrText>
            </w:r>
            <w:r>
              <w:rPr>
                <w:noProof/>
                <w:webHidden/>
              </w:rPr>
            </w:r>
            <w:r>
              <w:rPr>
                <w:noProof/>
                <w:webHidden/>
              </w:rPr>
              <w:fldChar w:fldCharType="separate"/>
            </w:r>
            <w:r w:rsidR="009642E3">
              <w:rPr>
                <w:noProof/>
                <w:webHidden/>
              </w:rPr>
              <w:t>32</w:t>
            </w:r>
            <w:r>
              <w:rPr>
                <w:noProof/>
                <w:webHidden/>
              </w:rPr>
              <w:fldChar w:fldCharType="end"/>
            </w:r>
          </w:hyperlink>
        </w:p>
        <w:p w:rsidR="005C78EC" w:rsidRDefault="005C78EC" w14:paraId="443C8157" w14:textId="4C951BE1">
          <w:pPr>
            <w:pStyle w:val="TOC1"/>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78">
            <w:r w:rsidRPr="00AD4109">
              <w:rPr>
                <w:rStyle w:val="Hyperlink"/>
                <w:noProof/>
              </w:rPr>
              <w:t>3.9 Database Research Procedure</w:t>
            </w:r>
            <w:r>
              <w:rPr>
                <w:noProof/>
                <w:webHidden/>
              </w:rPr>
              <w:tab/>
            </w:r>
            <w:r>
              <w:rPr>
                <w:noProof/>
                <w:webHidden/>
              </w:rPr>
              <w:fldChar w:fldCharType="begin"/>
            </w:r>
            <w:r>
              <w:rPr>
                <w:noProof/>
                <w:webHidden/>
              </w:rPr>
              <w:instrText xml:space="preserve"> PAGEREF _Toc240696178 \h </w:instrText>
            </w:r>
            <w:r>
              <w:rPr>
                <w:noProof/>
                <w:webHidden/>
              </w:rPr>
            </w:r>
            <w:r>
              <w:rPr>
                <w:noProof/>
                <w:webHidden/>
              </w:rPr>
              <w:fldChar w:fldCharType="separate"/>
            </w:r>
            <w:r w:rsidR="009642E3">
              <w:rPr>
                <w:noProof/>
                <w:webHidden/>
              </w:rPr>
              <w:t>33</w:t>
            </w:r>
            <w:r>
              <w:rPr>
                <w:noProof/>
                <w:webHidden/>
              </w:rPr>
              <w:fldChar w:fldCharType="end"/>
            </w:r>
          </w:hyperlink>
        </w:p>
        <w:p w:rsidR="005C78EC" w:rsidRDefault="005C78EC" w14:paraId="603AD1E7" w14:textId="3FEB1B8F">
          <w:pPr>
            <w:pStyle w:val="TOC1"/>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79">
            <w:r w:rsidRPr="00AD4109">
              <w:rPr>
                <w:rStyle w:val="Hyperlink"/>
                <w:noProof/>
              </w:rPr>
              <w:t>3.10 Hand Search</w:t>
            </w:r>
            <w:r>
              <w:rPr>
                <w:noProof/>
                <w:webHidden/>
              </w:rPr>
              <w:tab/>
            </w:r>
            <w:r>
              <w:rPr>
                <w:noProof/>
                <w:webHidden/>
              </w:rPr>
              <w:fldChar w:fldCharType="begin"/>
            </w:r>
            <w:r>
              <w:rPr>
                <w:noProof/>
                <w:webHidden/>
              </w:rPr>
              <w:instrText xml:space="preserve"> PAGEREF _Toc240696179 \h </w:instrText>
            </w:r>
            <w:r>
              <w:rPr>
                <w:noProof/>
                <w:webHidden/>
              </w:rPr>
            </w:r>
            <w:r>
              <w:rPr>
                <w:noProof/>
                <w:webHidden/>
              </w:rPr>
              <w:fldChar w:fldCharType="separate"/>
            </w:r>
            <w:r w:rsidR="009642E3">
              <w:rPr>
                <w:noProof/>
                <w:webHidden/>
              </w:rPr>
              <w:t>33</w:t>
            </w:r>
            <w:r>
              <w:rPr>
                <w:noProof/>
                <w:webHidden/>
              </w:rPr>
              <w:fldChar w:fldCharType="end"/>
            </w:r>
          </w:hyperlink>
        </w:p>
        <w:p w:rsidR="005C78EC" w:rsidRDefault="005C78EC" w14:paraId="4B9368F4" w14:textId="73572492">
          <w:pPr>
            <w:pStyle w:val="TOC1"/>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80">
            <w:r w:rsidRPr="00AD4109">
              <w:rPr>
                <w:rStyle w:val="Hyperlink"/>
                <w:noProof/>
              </w:rPr>
              <w:t>3.11 Grey Literature</w:t>
            </w:r>
            <w:r>
              <w:rPr>
                <w:noProof/>
                <w:webHidden/>
              </w:rPr>
              <w:tab/>
            </w:r>
            <w:r>
              <w:rPr>
                <w:noProof/>
                <w:webHidden/>
              </w:rPr>
              <w:fldChar w:fldCharType="begin"/>
            </w:r>
            <w:r>
              <w:rPr>
                <w:noProof/>
                <w:webHidden/>
              </w:rPr>
              <w:instrText xml:space="preserve"> PAGEREF _Toc240696180 \h </w:instrText>
            </w:r>
            <w:r>
              <w:rPr>
                <w:noProof/>
                <w:webHidden/>
              </w:rPr>
            </w:r>
            <w:r>
              <w:rPr>
                <w:noProof/>
                <w:webHidden/>
              </w:rPr>
              <w:fldChar w:fldCharType="separate"/>
            </w:r>
            <w:r w:rsidR="009642E3">
              <w:rPr>
                <w:noProof/>
                <w:webHidden/>
              </w:rPr>
              <w:t>34</w:t>
            </w:r>
            <w:r>
              <w:rPr>
                <w:noProof/>
                <w:webHidden/>
              </w:rPr>
              <w:fldChar w:fldCharType="end"/>
            </w:r>
          </w:hyperlink>
        </w:p>
        <w:p w:rsidR="005C78EC" w:rsidRDefault="005C78EC" w14:paraId="712E30E7" w14:textId="6474E549">
          <w:pPr>
            <w:pStyle w:val="TOC1"/>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81">
            <w:r w:rsidRPr="00AD4109">
              <w:rPr>
                <w:rStyle w:val="Hyperlink"/>
                <w:noProof/>
              </w:rPr>
              <w:t>3.12 Inclusion and Exclusion</w:t>
            </w:r>
            <w:r>
              <w:rPr>
                <w:noProof/>
                <w:webHidden/>
              </w:rPr>
              <w:tab/>
            </w:r>
            <w:r>
              <w:rPr>
                <w:noProof/>
                <w:webHidden/>
              </w:rPr>
              <w:fldChar w:fldCharType="begin"/>
            </w:r>
            <w:r>
              <w:rPr>
                <w:noProof/>
                <w:webHidden/>
              </w:rPr>
              <w:instrText xml:space="preserve"> PAGEREF _Toc240696181 \h </w:instrText>
            </w:r>
            <w:r>
              <w:rPr>
                <w:noProof/>
                <w:webHidden/>
              </w:rPr>
            </w:r>
            <w:r>
              <w:rPr>
                <w:noProof/>
                <w:webHidden/>
              </w:rPr>
              <w:fldChar w:fldCharType="separate"/>
            </w:r>
            <w:r w:rsidR="009642E3">
              <w:rPr>
                <w:noProof/>
                <w:webHidden/>
              </w:rPr>
              <w:t>34</w:t>
            </w:r>
            <w:r>
              <w:rPr>
                <w:noProof/>
                <w:webHidden/>
              </w:rPr>
              <w:fldChar w:fldCharType="end"/>
            </w:r>
          </w:hyperlink>
        </w:p>
        <w:p w:rsidR="005C78EC" w:rsidRDefault="005C78EC" w14:paraId="14170D13" w14:textId="075C5301">
          <w:pPr>
            <w:pStyle w:val="TOC1"/>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82">
            <w:r w:rsidRPr="00AD4109">
              <w:rPr>
                <w:rStyle w:val="Hyperlink"/>
                <w:noProof/>
              </w:rPr>
              <w:t>3.13 Study Selection</w:t>
            </w:r>
            <w:r>
              <w:rPr>
                <w:noProof/>
                <w:webHidden/>
              </w:rPr>
              <w:tab/>
            </w:r>
            <w:r>
              <w:rPr>
                <w:noProof/>
                <w:webHidden/>
              </w:rPr>
              <w:fldChar w:fldCharType="begin"/>
            </w:r>
            <w:r>
              <w:rPr>
                <w:noProof/>
                <w:webHidden/>
              </w:rPr>
              <w:instrText xml:space="preserve"> PAGEREF _Toc240696182 \h </w:instrText>
            </w:r>
            <w:r>
              <w:rPr>
                <w:noProof/>
                <w:webHidden/>
              </w:rPr>
            </w:r>
            <w:r>
              <w:rPr>
                <w:noProof/>
                <w:webHidden/>
              </w:rPr>
              <w:fldChar w:fldCharType="separate"/>
            </w:r>
            <w:r w:rsidR="009642E3">
              <w:rPr>
                <w:noProof/>
                <w:webHidden/>
              </w:rPr>
              <w:t>36</w:t>
            </w:r>
            <w:r>
              <w:rPr>
                <w:noProof/>
                <w:webHidden/>
              </w:rPr>
              <w:fldChar w:fldCharType="end"/>
            </w:r>
          </w:hyperlink>
        </w:p>
        <w:p w:rsidR="005C78EC" w:rsidRDefault="005C78EC" w14:paraId="535D4ED1" w14:textId="361F7AC7">
          <w:pPr>
            <w:pStyle w:val="TOC1"/>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83">
            <w:r w:rsidRPr="00AD4109">
              <w:rPr>
                <w:rStyle w:val="Hyperlink"/>
                <w:noProof/>
              </w:rPr>
              <w:t>PRISMA chart</w:t>
            </w:r>
            <w:r>
              <w:rPr>
                <w:noProof/>
                <w:webHidden/>
              </w:rPr>
              <w:tab/>
            </w:r>
            <w:r>
              <w:rPr>
                <w:noProof/>
                <w:webHidden/>
              </w:rPr>
              <w:fldChar w:fldCharType="begin"/>
            </w:r>
            <w:r>
              <w:rPr>
                <w:noProof/>
                <w:webHidden/>
              </w:rPr>
              <w:instrText xml:space="preserve"> PAGEREF _Toc240696183 \h </w:instrText>
            </w:r>
            <w:r>
              <w:rPr>
                <w:noProof/>
                <w:webHidden/>
              </w:rPr>
            </w:r>
            <w:r>
              <w:rPr>
                <w:noProof/>
                <w:webHidden/>
              </w:rPr>
              <w:fldChar w:fldCharType="separate"/>
            </w:r>
            <w:r w:rsidR="009642E3">
              <w:rPr>
                <w:noProof/>
                <w:webHidden/>
              </w:rPr>
              <w:t>36</w:t>
            </w:r>
            <w:r>
              <w:rPr>
                <w:noProof/>
                <w:webHidden/>
              </w:rPr>
              <w:fldChar w:fldCharType="end"/>
            </w:r>
          </w:hyperlink>
        </w:p>
        <w:p w:rsidR="005C78EC" w:rsidRDefault="005C78EC" w14:paraId="3DA59B9E" w14:textId="0E314F11">
          <w:pPr>
            <w:pStyle w:val="TOC1"/>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84">
            <w:r w:rsidRPr="00AD4109">
              <w:rPr>
                <w:rStyle w:val="Hyperlink"/>
                <w:noProof/>
                <w:lang w:val="en-US"/>
              </w:rPr>
              <w:t>3.14 Quality Assessment</w:t>
            </w:r>
            <w:r>
              <w:rPr>
                <w:noProof/>
                <w:webHidden/>
              </w:rPr>
              <w:tab/>
            </w:r>
            <w:r>
              <w:rPr>
                <w:noProof/>
                <w:webHidden/>
              </w:rPr>
              <w:fldChar w:fldCharType="begin"/>
            </w:r>
            <w:r>
              <w:rPr>
                <w:noProof/>
                <w:webHidden/>
              </w:rPr>
              <w:instrText xml:space="preserve"> PAGEREF _Toc240696184 \h </w:instrText>
            </w:r>
            <w:r>
              <w:rPr>
                <w:noProof/>
                <w:webHidden/>
              </w:rPr>
            </w:r>
            <w:r>
              <w:rPr>
                <w:noProof/>
                <w:webHidden/>
              </w:rPr>
              <w:fldChar w:fldCharType="separate"/>
            </w:r>
            <w:r w:rsidR="009642E3">
              <w:rPr>
                <w:noProof/>
                <w:webHidden/>
              </w:rPr>
              <w:t>37</w:t>
            </w:r>
            <w:r>
              <w:rPr>
                <w:noProof/>
                <w:webHidden/>
              </w:rPr>
              <w:fldChar w:fldCharType="end"/>
            </w:r>
          </w:hyperlink>
        </w:p>
        <w:p w:rsidR="005C78EC" w:rsidRDefault="005C78EC" w14:paraId="154FC143" w14:textId="2EC65158">
          <w:pPr>
            <w:pStyle w:val="TOC1"/>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85">
            <w:r w:rsidRPr="00AD4109">
              <w:rPr>
                <w:rStyle w:val="Hyperlink"/>
                <w:noProof/>
                <w:lang w:val="en-US"/>
              </w:rPr>
              <w:t>3.15 Data Extraction</w:t>
            </w:r>
            <w:r>
              <w:rPr>
                <w:noProof/>
                <w:webHidden/>
              </w:rPr>
              <w:tab/>
            </w:r>
            <w:r>
              <w:rPr>
                <w:noProof/>
                <w:webHidden/>
              </w:rPr>
              <w:fldChar w:fldCharType="begin"/>
            </w:r>
            <w:r>
              <w:rPr>
                <w:noProof/>
                <w:webHidden/>
              </w:rPr>
              <w:instrText xml:space="preserve"> PAGEREF _Toc240696185 \h </w:instrText>
            </w:r>
            <w:r>
              <w:rPr>
                <w:noProof/>
                <w:webHidden/>
              </w:rPr>
            </w:r>
            <w:r>
              <w:rPr>
                <w:noProof/>
                <w:webHidden/>
              </w:rPr>
              <w:fldChar w:fldCharType="separate"/>
            </w:r>
            <w:r w:rsidR="009642E3">
              <w:rPr>
                <w:noProof/>
                <w:webHidden/>
              </w:rPr>
              <w:t>39</w:t>
            </w:r>
            <w:r>
              <w:rPr>
                <w:noProof/>
                <w:webHidden/>
              </w:rPr>
              <w:fldChar w:fldCharType="end"/>
            </w:r>
          </w:hyperlink>
        </w:p>
        <w:p w:rsidR="005C78EC" w:rsidRDefault="005C78EC" w14:paraId="2FB5D80B" w14:textId="604F1957">
          <w:pPr>
            <w:pStyle w:val="TOC1"/>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86">
            <w:r w:rsidRPr="00AD4109">
              <w:rPr>
                <w:rStyle w:val="Hyperlink"/>
                <w:noProof/>
              </w:rPr>
              <w:t>3.16 Summary</w:t>
            </w:r>
            <w:r>
              <w:rPr>
                <w:noProof/>
                <w:webHidden/>
              </w:rPr>
              <w:tab/>
            </w:r>
            <w:r>
              <w:rPr>
                <w:noProof/>
                <w:webHidden/>
              </w:rPr>
              <w:fldChar w:fldCharType="begin"/>
            </w:r>
            <w:r>
              <w:rPr>
                <w:noProof/>
                <w:webHidden/>
              </w:rPr>
              <w:instrText xml:space="preserve"> PAGEREF _Toc240696186 \h </w:instrText>
            </w:r>
            <w:r>
              <w:rPr>
                <w:noProof/>
                <w:webHidden/>
              </w:rPr>
            </w:r>
            <w:r>
              <w:rPr>
                <w:noProof/>
                <w:webHidden/>
              </w:rPr>
              <w:fldChar w:fldCharType="separate"/>
            </w:r>
            <w:r w:rsidR="009642E3">
              <w:rPr>
                <w:noProof/>
                <w:webHidden/>
              </w:rPr>
              <w:t>43</w:t>
            </w:r>
            <w:r>
              <w:rPr>
                <w:noProof/>
                <w:webHidden/>
              </w:rPr>
              <w:fldChar w:fldCharType="end"/>
            </w:r>
          </w:hyperlink>
        </w:p>
        <w:p w:rsidR="005C78EC" w:rsidRDefault="005C78EC" w14:paraId="6E2DFA61" w14:textId="7764EC76">
          <w:pPr>
            <w:pStyle w:val="TOC1"/>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87">
            <w:r w:rsidRPr="00AD4109">
              <w:rPr>
                <w:rStyle w:val="Hyperlink"/>
                <w:noProof/>
                <w:lang w:val="en-US"/>
              </w:rPr>
              <w:t>Chapter 4: Results</w:t>
            </w:r>
            <w:r>
              <w:rPr>
                <w:noProof/>
                <w:webHidden/>
              </w:rPr>
              <w:tab/>
            </w:r>
            <w:r>
              <w:rPr>
                <w:noProof/>
                <w:webHidden/>
              </w:rPr>
              <w:fldChar w:fldCharType="begin"/>
            </w:r>
            <w:r>
              <w:rPr>
                <w:noProof/>
                <w:webHidden/>
              </w:rPr>
              <w:instrText xml:space="preserve"> PAGEREF _Toc240696187 \h </w:instrText>
            </w:r>
            <w:r>
              <w:rPr>
                <w:noProof/>
                <w:webHidden/>
              </w:rPr>
            </w:r>
            <w:r>
              <w:rPr>
                <w:noProof/>
                <w:webHidden/>
              </w:rPr>
              <w:fldChar w:fldCharType="separate"/>
            </w:r>
            <w:r w:rsidR="009642E3">
              <w:rPr>
                <w:noProof/>
                <w:webHidden/>
              </w:rPr>
              <w:t>44</w:t>
            </w:r>
            <w:r>
              <w:rPr>
                <w:noProof/>
                <w:webHidden/>
              </w:rPr>
              <w:fldChar w:fldCharType="end"/>
            </w:r>
          </w:hyperlink>
        </w:p>
        <w:p w:rsidR="005C78EC" w:rsidRDefault="005C78EC" w14:paraId="74EB5A04" w14:textId="54E54319">
          <w:pPr>
            <w:pStyle w:val="TOC1"/>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88">
            <w:r w:rsidRPr="00AD4109">
              <w:rPr>
                <w:rStyle w:val="Hyperlink"/>
                <w:noProof/>
                <w:lang w:val="en-US"/>
              </w:rPr>
              <w:t>4.1 Introduction</w:t>
            </w:r>
            <w:r>
              <w:rPr>
                <w:noProof/>
                <w:webHidden/>
              </w:rPr>
              <w:tab/>
            </w:r>
            <w:r>
              <w:rPr>
                <w:noProof/>
                <w:webHidden/>
              </w:rPr>
              <w:fldChar w:fldCharType="begin"/>
            </w:r>
            <w:r>
              <w:rPr>
                <w:noProof/>
                <w:webHidden/>
              </w:rPr>
              <w:instrText xml:space="preserve"> PAGEREF _Toc240696188 \h </w:instrText>
            </w:r>
            <w:r>
              <w:rPr>
                <w:noProof/>
                <w:webHidden/>
              </w:rPr>
            </w:r>
            <w:r>
              <w:rPr>
                <w:noProof/>
                <w:webHidden/>
              </w:rPr>
              <w:fldChar w:fldCharType="separate"/>
            </w:r>
            <w:r w:rsidR="009642E3">
              <w:rPr>
                <w:noProof/>
                <w:webHidden/>
              </w:rPr>
              <w:t>44</w:t>
            </w:r>
            <w:r>
              <w:rPr>
                <w:noProof/>
                <w:webHidden/>
              </w:rPr>
              <w:fldChar w:fldCharType="end"/>
            </w:r>
          </w:hyperlink>
        </w:p>
        <w:p w:rsidR="005C78EC" w:rsidRDefault="005C78EC" w14:paraId="03E9322F" w14:textId="51AF9AD5">
          <w:pPr>
            <w:pStyle w:val="TOC1"/>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89">
            <w:r w:rsidRPr="00AD4109">
              <w:rPr>
                <w:rStyle w:val="Hyperlink"/>
                <w:noProof/>
                <w:lang w:val="en-US"/>
              </w:rPr>
              <w:t>4.2 PRISMA Flow of Study Selection</w:t>
            </w:r>
            <w:r>
              <w:rPr>
                <w:noProof/>
                <w:webHidden/>
              </w:rPr>
              <w:tab/>
            </w:r>
            <w:r>
              <w:rPr>
                <w:noProof/>
                <w:webHidden/>
              </w:rPr>
              <w:fldChar w:fldCharType="begin"/>
            </w:r>
            <w:r>
              <w:rPr>
                <w:noProof/>
                <w:webHidden/>
              </w:rPr>
              <w:instrText xml:space="preserve"> PAGEREF _Toc240696189 \h </w:instrText>
            </w:r>
            <w:r>
              <w:rPr>
                <w:noProof/>
                <w:webHidden/>
              </w:rPr>
            </w:r>
            <w:r>
              <w:rPr>
                <w:noProof/>
                <w:webHidden/>
              </w:rPr>
              <w:fldChar w:fldCharType="separate"/>
            </w:r>
            <w:r w:rsidR="009642E3">
              <w:rPr>
                <w:noProof/>
                <w:webHidden/>
              </w:rPr>
              <w:t>44</w:t>
            </w:r>
            <w:r>
              <w:rPr>
                <w:noProof/>
                <w:webHidden/>
              </w:rPr>
              <w:fldChar w:fldCharType="end"/>
            </w:r>
          </w:hyperlink>
        </w:p>
        <w:p w:rsidR="005C78EC" w:rsidRDefault="005C78EC" w14:paraId="2436E9C0" w14:textId="4DD52941">
          <w:pPr>
            <w:pStyle w:val="TOC1"/>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90">
            <w:r w:rsidRPr="00AD4109">
              <w:rPr>
                <w:rStyle w:val="Hyperlink"/>
                <w:noProof/>
                <w:lang w:val="en-US"/>
              </w:rPr>
              <w:t>4.3 Thematic Analysis</w:t>
            </w:r>
            <w:r>
              <w:rPr>
                <w:noProof/>
                <w:webHidden/>
              </w:rPr>
              <w:tab/>
            </w:r>
            <w:r>
              <w:rPr>
                <w:noProof/>
                <w:webHidden/>
              </w:rPr>
              <w:fldChar w:fldCharType="begin"/>
            </w:r>
            <w:r>
              <w:rPr>
                <w:noProof/>
                <w:webHidden/>
              </w:rPr>
              <w:instrText xml:space="preserve"> PAGEREF _Toc240696190 \h </w:instrText>
            </w:r>
            <w:r>
              <w:rPr>
                <w:noProof/>
                <w:webHidden/>
              </w:rPr>
            </w:r>
            <w:r>
              <w:rPr>
                <w:noProof/>
                <w:webHidden/>
              </w:rPr>
              <w:fldChar w:fldCharType="separate"/>
            </w:r>
            <w:r w:rsidR="009642E3">
              <w:rPr>
                <w:noProof/>
                <w:webHidden/>
              </w:rPr>
              <w:t>44</w:t>
            </w:r>
            <w:r>
              <w:rPr>
                <w:noProof/>
                <w:webHidden/>
              </w:rPr>
              <w:fldChar w:fldCharType="end"/>
            </w:r>
          </w:hyperlink>
        </w:p>
        <w:p w:rsidR="005C78EC" w:rsidRDefault="005C78EC" w14:paraId="69B238D3" w14:textId="627E5BDC">
          <w:pPr>
            <w:pStyle w:val="TOC2"/>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91">
            <w:r w:rsidRPr="00AD4109">
              <w:rPr>
                <w:rStyle w:val="Hyperlink"/>
                <w:noProof/>
                <w:lang w:val="en-US"/>
              </w:rPr>
              <w:t>Theme 1: Factors Influencing Hand Hygiene Compliance</w:t>
            </w:r>
            <w:r>
              <w:rPr>
                <w:noProof/>
                <w:webHidden/>
              </w:rPr>
              <w:tab/>
            </w:r>
            <w:r>
              <w:rPr>
                <w:noProof/>
                <w:webHidden/>
              </w:rPr>
              <w:fldChar w:fldCharType="begin"/>
            </w:r>
            <w:r>
              <w:rPr>
                <w:noProof/>
                <w:webHidden/>
              </w:rPr>
              <w:instrText xml:space="preserve"> PAGEREF _Toc240696191 \h </w:instrText>
            </w:r>
            <w:r>
              <w:rPr>
                <w:noProof/>
                <w:webHidden/>
              </w:rPr>
            </w:r>
            <w:r>
              <w:rPr>
                <w:noProof/>
                <w:webHidden/>
              </w:rPr>
              <w:fldChar w:fldCharType="separate"/>
            </w:r>
            <w:r w:rsidR="009642E3">
              <w:rPr>
                <w:noProof/>
                <w:webHidden/>
              </w:rPr>
              <w:t>45</w:t>
            </w:r>
            <w:r>
              <w:rPr>
                <w:noProof/>
                <w:webHidden/>
              </w:rPr>
              <w:fldChar w:fldCharType="end"/>
            </w:r>
          </w:hyperlink>
        </w:p>
        <w:p w:rsidR="005C78EC" w:rsidRDefault="005C78EC" w14:paraId="753ADAD4" w14:textId="4BF1623C">
          <w:pPr>
            <w:pStyle w:val="TOC2"/>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92">
            <w:r w:rsidRPr="00AD4109">
              <w:rPr>
                <w:rStyle w:val="Hyperlink"/>
                <w:noProof/>
                <w:lang w:val="en-US"/>
              </w:rPr>
              <w:t>Theme 2: Barriers and Facilitators to Hand Hygiene Compliance</w:t>
            </w:r>
            <w:r>
              <w:rPr>
                <w:noProof/>
                <w:webHidden/>
              </w:rPr>
              <w:tab/>
            </w:r>
            <w:r>
              <w:rPr>
                <w:noProof/>
                <w:webHidden/>
              </w:rPr>
              <w:fldChar w:fldCharType="begin"/>
            </w:r>
            <w:r>
              <w:rPr>
                <w:noProof/>
                <w:webHidden/>
              </w:rPr>
              <w:instrText xml:space="preserve"> PAGEREF _Toc240696192 \h </w:instrText>
            </w:r>
            <w:r>
              <w:rPr>
                <w:noProof/>
                <w:webHidden/>
              </w:rPr>
            </w:r>
            <w:r>
              <w:rPr>
                <w:noProof/>
                <w:webHidden/>
              </w:rPr>
              <w:fldChar w:fldCharType="separate"/>
            </w:r>
            <w:r w:rsidR="009642E3">
              <w:rPr>
                <w:noProof/>
                <w:webHidden/>
              </w:rPr>
              <w:t>46</w:t>
            </w:r>
            <w:r>
              <w:rPr>
                <w:noProof/>
                <w:webHidden/>
              </w:rPr>
              <w:fldChar w:fldCharType="end"/>
            </w:r>
          </w:hyperlink>
        </w:p>
        <w:p w:rsidR="005C78EC" w:rsidRDefault="005C78EC" w14:paraId="6DE9F199" w14:textId="24850463">
          <w:pPr>
            <w:pStyle w:val="TOC2"/>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93">
            <w:r w:rsidRPr="00AD4109">
              <w:rPr>
                <w:rStyle w:val="Hyperlink"/>
                <w:noProof/>
                <w:lang w:val="en-US"/>
              </w:rPr>
              <w:t>Theme 3: Effectiveness of Hand Hygiene Interventions and Monitoring</w:t>
            </w:r>
            <w:r>
              <w:rPr>
                <w:noProof/>
                <w:webHidden/>
              </w:rPr>
              <w:tab/>
            </w:r>
            <w:r>
              <w:rPr>
                <w:noProof/>
                <w:webHidden/>
              </w:rPr>
              <w:fldChar w:fldCharType="begin"/>
            </w:r>
            <w:r>
              <w:rPr>
                <w:noProof/>
                <w:webHidden/>
              </w:rPr>
              <w:instrText xml:space="preserve"> PAGEREF _Toc240696193 \h </w:instrText>
            </w:r>
            <w:r>
              <w:rPr>
                <w:noProof/>
                <w:webHidden/>
              </w:rPr>
            </w:r>
            <w:r>
              <w:rPr>
                <w:noProof/>
                <w:webHidden/>
              </w:rPr>
              <w:fldChar w:fldCharType="separate"/>
            </w:r>
            <w:r w:rsidR="009642E3">
              <w:rPr>
                <w:noProof/>
                <w:webHidden/>
              </w:rPr>
              <w:t>47</w:t>
            </w:r>
            <w:r>
              <w:rPr>
                <w:noProof/>
                <w:webHidden/>
              </w:rPr>
              <w:fldChar w:fldCharType="end"/>
            </w:r>
          </w:hyperlink>
        </w:p>
        <w:p w:rsidR="005C78EC" w:rsidRDefault="005C78EC" w14:paraId="42E65AB7" w14:textId="6B33F78B">
          <w:pPr>
            <w:pStyle w:val="TOC2"/>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94">
            <w:r w:rsidRPr="00AD4109">
              <w:rPr>
                <w:rStyle w:val="Hyperlink"/>
                <w:noProof/>
                <w:lang w:val="en-US"/>
              </w:rPr>
              <w:t>Theme 4: Hand Hygiene, HCAI Prevention and Patient Safety</w:t>
            </w:r>
            <w:r>
              <w:rPr>
                <w:noProof/>
                <w:webHidden/>
              </w:rPr>
              <w:tab/>
            </w:r>
            <w:r>
              <w:rPr>
                <w:noProof/>
                <w:webHidden/>
              </w:rPr>
              <w:fldChar w:fldCharType="begin"/>
            </w:r>
            <w:r>
              <w:rPr>
                <w:noProof/>
                <w:webHidden/>
              </w:rPr>
              <w:instrText xml:space="preserve"> PAGEREF _Toc240696194 \h </w:instrText>
            </w:r>
            <w:r>
              <w:rPr>
                <w:noProof/>
                <w:webHidden/>
              </w:rPr>
            </w:r>
            <w:r>
              <w:rPr>
                <w:noProof/>
                <w:webHidden/>
              </w:rPr>
              <w:fldChar w:fldCharType="separate"/>
            </w:r>
            <w:r w:rsidR="009642E3">
              <w:rPr>
                <w:noProof/>
                <w:webHidden/>
              </w:rPr>
              <w:t>48</w:t>
            </w:r>
            <w:r>
              <w:rPr>
                <w:noProof/>
                <w:webHidden/>
              </w:rPr>
              <w:fldChar w:fldCharType="end"/>
            </w:r>
          </w:hyperlink>
        </w:p>
        <w:p w:rsidR="005C78EC" w:rsidRDefault="005C78EC" w14:paraId="1A32FA1F" w14:textId="4A18058E">
          <w:pPr>
            <w:pStyle w:val="TOC1"/>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95">
            <w:r w:rsidRPr="00AD4109">
              <w:rPr>
                <w:rStyle w:val="Hyperlink"/>
                <w:noProof/>
                <w:lang w:val="en-US"/>
              </w:rPr>
              <w:t>4.4 Homogeneity and Heterogeneity Between Studies</w:t>
            </w:r>
            <w:r>
              <w:rPr>
                <w:noProof/>
                <w:webHidden/>
              </w:rPr>
              <w:tab/>
            </w:r>
            <w:r>
              <w:rPr>
                <w:noProof/>
                <w:webHidden/>
              </w:rPr>
              <w:fldChar w:fldCharType="begin"/>
            </w:r>
            <w:r>
              <w:rPr>
                <w:noProof/>
                <w:webHidden/>
              </w:rPr>
              <w:instrText xml:space="preserve"> PAGEREF _Toc240696195 \h </w:instrText>
            </w:r>
            <w:r>
              <w:rPr>
                <w:noProof/>
                <w:webHidden/>
              </w:rPr>
            </w:r>
            <w:r>
              <w:rPr>
                <w:noProof/>
                <w:webHidden/>
              </w:rPr>
              <w:fldChar w:fldCharType="separate"/>
            </w:r>
            <w:r w:rsidR="009642E3">
              <w:rPr>
                <w:noProof/>
                <w:webHidden/>
              </w:rPr>
              <w:t>49</w:t>
            </w:r>
            <w:r>
              <w:rPr>
                <w:noProof/>
                <w:webHidden/>
              </w:rPr>
              <w:fldChar w:fldCharType="end"/>
            </w:r>
          </w:hyperlink>
        </w:p>
        <w:p w:rsidR="005C78EC" w:rsidRDefault="005C78EC" w14:paraId="30B2305C" w14:textId="2C186436">
          <w:pPr>
            <w:pStyle w:val="TOC1"/>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96">
            <w:r w:rsidRPr="00AD4109">
              <w:rPr>
                <w:rStyle w:val="Hyperlink"/>
                <w:noProof/>
                <w:lang w:val="en-US"/>
              </w:rPr>
              <w:t>4.5 Summary</w:t>
            </w:r>
            <w:r>
              <w:rPr>
                <w:noProof/>
                <w:webHidden/>
              </w:rPr>
              <w:tab/>
            </w:r>
            <w:r>
              <w:rPr>
                <w:noProof/>
                <w:webHidden/>
              </w:rPr>
              <w:fldChar w:fldCharType="begin"/>
            </w:r>
            <w:r>
              <w:rPr>
                <w:noProof/>
                <w:webHidden/>
              </w:rPr>
              <w:instrText xml:space="preserve"> PAGEREF _Toc240696196 \h </w:instrText>
            </w:r>
            <w:r>
              <w:rPr>
                <w:noProof/>
                <w:webHidden/>
              </w:rPr>
            </w:r>
            <w:r>
              <w:rPr>
                <w:noProof/>
                <w:webHidden/>
              </w:rPr>
              <w:fldChar w:fldCharType="separate"/>
            </w:r>
            <w:r w:rsidR="009642E3">
              <w:rPr>
                <w:noProof/>
                <w:webHidden/>
              </w:rPr>
              <w:t>50</w:t>
            </w:r>
            <w:r>
              <w:rPr>
                <w:noProof/>
                <w:webHidden/>
              </w:rPr>
              <w:fldChar w:fldCharType="end"/>
            </w:r>
          </w:hyperlink>
        </w:p>
        <w:p w:rsidR="005C78EC" w:rsidRDefault="005C78EC" w14:paraId="3EF5FCA2" w14:textId="4586C435">
          <w:pPr>
            <w:pStyle w:val="TOC1"/>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97">
            <w:r w:rsidRPr="00AD4109">
              <w:rPr>
                <w:rStyle w:val="Hyperlink"/>
                <w:noProof/>
                <w:lang w:val="en-US"/>
              </w:rPr>
              <w:t>Chapter 5: Discussion</w:t>
            </w:r>
            <w:r>
              <w:rPr>
                <w:noProof/>
                <w:webHidden/>
              </w:rPr>
              <w:tab/>
            </w:r>
            <w:r>
              <w:rPr>
                <w:noProof/>
                <w:webHidden/>
              </w:rPr>
              <w:fldChar w:fldCharType="begin"/>
            </w:r>
            <w:r>
              <w:rPr>
                <w:noProof/>
                <w:webHidden/>
              </w:rPr>
              <w:instrText xml:space="preserve"> PAGEREF _Toc240696197 \h </w:instrText>
            </w:r>
            <w:r>
              <w:rPr>
                <w:noProof/>
                <w:webHidden/>
              </w:rPr>
            </w:r>
            <w:r>
              <w:rPr>
                <w:noProof/>
                <w:webHidden/>
              </w:rPr>
              <w:fldChar w:fldCharType="separate"/>
            </w:r>
            <w:r w:rsidR="009642E3">
              <w:rPr>
                <w:noProof/>
                <w:webHidden/>
              </w:rPr>
              <w:t>51</w:t>
            </w:r>
            <w:r>
              <w:rPr>
                <w:noProof/>
                <w:webHidden/>
              </w:rPr>
              <w:fldChar w:fldCharType="end"/>
            </w:r>
          </w:hyperlink>
        </w:p>
        <w:p w:rsidR="005C78EC" w:rsidRDefault="005C78EC" w14:paraId="7DE9AA11" w14:textId="5B57D577">
          <w:pPr>
            <w:pStyle w:val="TOC1"/>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98">
            <w:r w:rsidRPr="00AD4109">
              <w:rPr>
                <w:rStyle w:val="Hyperlink"/>
                <w:noProof/>
                <w:lang w:val="en-US"/>
              </w:rPr>
              <w:t>5.1 Introduction</w:t>
            </w:r>
            <w:r>
              <w:rPr>
                <w:noProof/>
                <w:webHidden/>
              </w:rPr>
              <w:tab/>
            </w:r>
            <w:r>
              <w:rPr>
                <w:noProof/>
                <w:webHidden/>
              </w:rPr>
              <w:fldChar w:fldCharType="begin"/>
            </w:r>
            <w:r>
              <w:rPr>
                <w:noProof/>
                <w:webHidden/>
              </w:rPr>
              <w:instrText xml:space="preserve"> PAGEREF _Toc240696198 \h </w:instrText>
            </w:r>
            <w:r>
              <w:rPr>
                <w:noProof/>
                <w:webHidden/>
              </w:rPr>
            </w:r>
            <w:r>
              <w:rPr>
                <w:noProof/>
                <w:webHidden/>
              </w:rPr>
              <w:fldChar w:fldCharType="separate"/>
            </w:r>
            <w:r w:rsidR="009642E3">
              <w:rPr>
                <w:noProof/>
                <w:webHidden/>
              </w:rPr>
              <w:t>51</w:t>
            </w:r>
            <w:r>
              <w:rPr>
                <w:noProof/>
                <w:webHidden/>
              </w:rPr>
              <w:fldChar w:fldCharType="end"/>
            </w:r>
          </w:hyperlink>
        </w:p>
        <w:p w:rsidR="005C78EC" w:rsidRDefault="005C78EC" w14:paraId="082E3881" w14:textId="7F0FEC94">
          <w:pPr>
            <w:pStyle w:val="TOC1"/>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199">
            <w:r w:rsidRPr="00AD4109">
              <w:rPr>
                <w:rStyle w:val="Hyperlink"/>
                <w:noProof/>
                <w:lang w:val="en-US"/>
              </w:rPr>
              <w:t>5.2 Discussion of Result</w:t>
            </w:r>
            <w:r>
              <w:rPr>
                <w:noProof/>
                <w:webHidden/>
              </w:rPr>
              <w:tab/>
            </w:r>
            <w:r>
              <w:rPr>
                <w:noProof/>
                <w:webHidden/>
              </w:rPr>
              <w:fldChar w:fldCharType="begin"/>
            </w:r>
            <w:r>
              <w:rPr>
                <w:noProof/>
                <w:webHidden/>
              </w:rPr>
              <w:instrText xml:space="preserve"> PAGEREF _Toc240696199 \h </w:instrText>
            </w:r>
            <w:r>
              <w:rPr>
                <w:noProof/>
                <w:webHidden/>
              </w:rPr>
            </w:r>
            <w:r>
              <w:rPr>
                <w:noProof/>
                <w:webHidden/>
              </w:rPr>
              <w:fldChar w:fldCharType="separate"/>
            </w:r>
            <w:r w:rsidR="009642E3">
              <w:rPr>
                <w:noProof/>
                <w:webHidden/>
              </w:rPr>
              <w:t>51</w:t>
            </w:r>
            <w:r>
              <w:rPr>
                <w:noProof/>
                <w:webHidden/>
              </w:rPr>
              <w:fldChar w:fldCharType="end"/>
            </w:r>
          </w:hyperlink>
        </w:p>
        <w:p w:rsidR="005C78EC" w:rsidRDefault="005C78EC" w14:paraId="703A56BF" w14:textId="466117EA">
          <w:pPr>
            <w:pStyle w:val="TOC1"/>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200">
            <w:r w:rsidRPr="00AD4109">
              <w:rPr>
                <w:rStyle w:val="Hyperlink"/>
                <w:noProof/>
                <w:lang w:val="en-US"/>
              </w:rPr>
              <w:t>5.3 Implications and Future Research Needs</w:t>
            </w:r>
            <w:r>
              <w:rPr>
                <w:noProof/>
                <w:webHidden/>
              </w:rPr>
              <w:tab/>
            </w:r>
            <w:r>
              <w:rPr>
                <w:noProof/>
                <w:webHidden/>
              </w:rPr>
              <w:fldChar w:fldCharType="begin"/>
            </w:r>
            <w:r>
              <w:rPr>
                <w:noProof/>
                <w:webHidden/>
              </w:rPr>
              <w:instrText xml:space="preserve"> PAGEREF _Toc240696200 \h </w:instrText>
            </w:r>
            <w:r>
              <w:rPr>
                <w:noProof/>
                <w:webHidden/>
              </w:rPr>
            </w:r>
            <w:r>
              <w:rPr>
                <w:noProof/>
                <w:webHidden/>
              </w:rPr>
              <w:fldChar w:fldCharType="separate"/>
            </w:r>
            <w:r w:rsidR="009642E3">
              <w:rPr>
                <w:noProof/>
                <w:webHidden/>
              </w:rPr>
              <w:t>55</w:t>
            </w:r>
            <w:r>
              <w:rPr>
                <w:noProof/>
                <w:webHidden/>
              </w:rPr>
              <w:fldChar w:fldCharType="end"/>
            </w:r>
          </w:hyperlink>
        </w:p>
        <w:p w:rsidR="005C78EC" w:rsidRDefault="005C78EC" w14:paraId="091ECBD6" w14:textId="32C67926">
          <w:pPr>
            <w:pStyle w:val="TOC1"/>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201">
            <w:r w:rsidRPr="00AD4109">
              <w:rPr>
                <w:rStyle w:val="Hyperlink"/>
                <w:noProof/>
                <w:lang w:val="en-US"/>
              </w:rPr>
              <w:t>5.4 Strength of study</w:t>
            </w:r>
            <w:r>
              <w:rPr>
                <w:noProof/>
                <w:webHidden/>
              </w:rPr>
              <w:tab/>
            </w:r>
            <w:r>
              <w:rPr>
                <w:noProof/>
                <w:webHidden/>
              </w:rPr>
              <w:fldChar w:fldCharType="begin"/>
            </w:r>
            <w:r>
              <w:rPr>
                <w:noProof/>
                <w:webHidden/>
              </w:rPr>
              <w:instrText xml:space="preserve"> PAGEREF _Toc240696201 \h </w:instrText>
            </w:r>
            <w:r>
              <w:rPr>
                <w:noProof/>
                <w:webHidden/>
              </w:rPr>
            </w:r>
            <w:r>
              <w:rPr>
                <w:noProof/>
                <w:webHidden/>
              </w:rPr>
              <w:fldChar w:fldCharType="separate"/>
            </w:r>
            <w:r w:rsidR="009642E3">
              <w:rPr>
                <w:noProof/>
                <w:webHidden/>
              </w:rPr>
              <w:t>56</w:t>
            </w:r>
            <w:r>
              <w:rPr>
                <w:noProof/>
                <w:webHidden/>
              </w:rPr>
              <w:fldChar w:fldCharType="end"/>
            </w:r>
          </w:hyperlink>
        </w:p>
        <w:p w:rsidR="005C78EC" w:rsidRDefault="005C78EC" w14:paraId="7D7E7A53" w14:textId="5E0CE758">
          <w:pPr>
            <w:pStyle w:val="TOC1"/>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202">
            <w:r w:rsidRPr="00AD4109">
              <w:rPr>
                <w:rStyle w:val="Hyperlink"/>
                <w:noProof/>
                <w:lang w:val="en-US"/>
              </w:rPr>
              <w:t>5.5 Limitations or Bias of research</w:t>
            </w:r>
            <w:r>
              <w:rPr>
                <w:noProof/>
                <w:webHidden/>
              </w:rPr>
              <w:tab/>
            </w:r>
            <w:r>
              <w:rPr>
                <w:noProof/>
                <w:webHidden/>
              </w:rPr>
              <w:fldChar w:fldCharType="begin"/>
            </w:r>
            <w:r>
              <w:rPr>
                <w:noProof/>
                <w:webHidden/>
              </w:rPr>
              <w:instrText xml:space="preserve"> PAGEREF _Toc240696202 \h </w:instrText>
            </w:r>
            <w:r>
              <w:rPr>
                <w:noProof/>
                <w:webHidden/>
              </w:rPr>
            </w:r>
            <w:r>
              <w:rPr>
                <w:noProof/>
                <w:webHidden/>
              </w:rPr>
              <w:fldChar w:fldCharType="separate"/>
            </w:r>
            <w:r w:rsidR="009642E3">
              <w:rPr>
                <w:noProof/>
                <w:webHidden/>
              </w:rPr>
              <w:t>56</w:t>
            </w:r>
            <w:r>
              <w:rPr>
                <w:noProof/>
                <w:webHidden/>
              </w:rPr>
              <w:fldChar w:fldCharType="end"/>
            </w:r>
          </w:hyperlink>
        </w:p>
        <w:p w:rsidR="005C78EC" w:rsidRDefault="005C78EC" w14:paraId="7827BB15" w14:textId="0B301485">
          <w:pPr>
            <w:pStyle w:val="TOC1"/>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203">
            <w:r w:rsidRPr="00AD4109">
              <w:rPr>
                <w:rStyle w:val="Hyperlink"/>
                <w:noProof/>
                <w:lang w:val="en-US"/>
              </w:rPr>
              <w:t>5.6 Conclusion</w:t>
            </w:r>
            <w:r>
              <w:rPr>
                <w:noProof/>
                <w:webHidden/>
              </w:rPr>
              <w:tab/>
            </w:r>
            <w:r>
              <w:rPr>
                <w:noProof/>
                <w:webHidden/>
              </w:rPr>
              <w:fldChar w:fldCharType="begin"/>
            </w:r>
            <w:r>
              <w:rPr>
                <w:noProof/>
                <w:webHidden/>
              </w:rPr>
              <w:instrText xml:space="preserve"> PAGEREF _Toc240696203 \h </w:instrText>
            </w:r>
            <w:r>
              <w:rPr>
                <w:noProof/>
                <w:webHidden/>
              </w:rPr>
            </w:r>
            <w:r>
              <w:rPr>
                <w:noProof/>
                <w:webHidden/>
              </w:rPr>
              <w:fldChar w:fldCharType="separate"/>
            </w:r>
            <w:r w:rsidR="009642E3">
              <w:rPr>
                <w:noProof/>
                <w:webHidden/>
              </w:rPr>
              <w:t>56</w:t>
            </w:r>
            <w:r>
              <w:rPr>
                <w:noProof/>
                <w:webHidden/>
              </w:rPr>
              <w:fldChar w:fldCharType="end"/>
            </w:r>
          </w:hyperlink>
        </w:p>
        <w:p w:rsidR="005C78EC" w:rsidRDefault="005C78EC" w14:paraId="27411B6D" w14:textId="038BD61C">
          <w:pPr>
            <w:pStyle w:val="TOC1"/>
            <w:tabs>
              <w:tab w:val="right" w:leader="dot" w:pos="9016"/>
            </w:tabs>
            <w:rPr>
              <w:rFonts w:asciiTheme="minorHAnsi" w:hAnsiTheme="minorHAnsi" w:eastAsiaTheme="minorEastAsia" w:cstheme="minorBidi"/>
              <w:noProof/>
              <w:kern w:val="2"/>
              <w:lang w:val="en-US" w:eastAsia="en-US" w:bidi="gu-IN"/>
              <w14:ligatures w14:val="standardContextual"/>
            </w:rPr>
          </w:pPr>
          <w:hyperlink w:history="1" w:anchor="_Toc240696204">
            <w:r w:rsidRPr="00AD4109">
              <w:rPr>
                <w:rStyle w:val="Hyperlink"/>
                <w:noProof/>
              </w:rPr>
              <w:t>References</w:t>
            </w:r>
            <w:r>
              <w:rPr>
                <w:noProof/>
                <w:webHidden/>
              </w:rPr>
              <w:tab/>
            </w:r>
            <w:r>
              <w:rPr>
                <w:noProof/>
                <w:webHidden/>
              </w:rPr>
              <w:fldChar w:fldCharType="begin"/>
            </w:r>
            <w:r>
              <w:rPr>
                <w:noProof/>
                <w:webHidden/>
              </w:rPr>
              <w:instrText xml:space="preserve"> PAGEREF _Toc240696204 \h </w:instrText>
            </w:r>
            <w:r>
              <w:rPr>
                <w:noProof/>
                <w:webHidden/>
              </w:rPr>
            </w:r>
            <w:r>
              <w:rPr>
                <w:noProof/>
                <w:webHidden/>
              </w:rPr>
              <w:fldChar w:fldCharType="separate"/>
            </w:r>
            <w:r w:rsidR="009642E3">
              <w:rPr>
                <w:noProof/>
                <w:webHidden/>
              </w:rPr>
              <w:t>59</w:t>
            </w:r>
            <w:r>
              <w:rPr>
                <w:noProof/>
                <w:webHidden/>
              </w:rPr>
              <w:fldChar w:fldCharType="end"/>
            </w:r>
          </w:hyperlink>
        </w:p>
        <w:p w:rsidRPr="00B031A0" w:rsidR="00C77BF3" w:rsidRDefault="00115699" w14:paraId="59E2BDC5" w14:textId="07C5F5C0">
          <w:pPr>
            <w:rPr>
              <w:rFonts w:ascii="Arial" w:hAnsi="Arial" w:cs="Arial"/>
              <w:color w:val="000000" w:themeColor="text1"/>
            </w:rPr>
          </w:pPr>
          <w:r w:rsidRPr="00B031A0">
            <w:rPr>
              <w:rFonts w:ascii="Arial" w:hAnsi="Arial" w:cs="Arial"/>
              <w:color w:val="000000" w:themeColor="text1"/>
            </w:rPr>
            <w:fldChar w:fldCharType="end"/>
          </w:r>
        </w:p>
      </w:sdtContent>
      <w:sdtEndPr>
        <w:rPr>
          <w:rFonts w:ascii="Arial" w:hAnsi="Arial" w:cs="Arial"/>
          <w:color w:val="000000" w:themeColor="text1" w:themeTint="FF" w:themeShade="FF"/>
        </w:rPr>
      </w:sdtEndPr>
    </w:sdt>
    <w:p w:rsidR="00C77BF3" w:rsidRDefault="00C77BF3" w14:paraId="6A972121" w14:textId="77777777">
      <w:pPr>
        <w:rPr>
          <w:rFonts w:ascii="Arial" w:hAnsi="Arial" w:cs="Arial"/>
          <w:color w:val="000000" w:themeColor="text1"/>
        </w:rPr>
      </w:pPr>
    </w:p>
    <w:p w:rsidR="00BC6769" w:rsidRDefault="00BC6769" w14:paraId="13E40EB8" w14:textId="77777777">
      <w:pPr>
        <w:rPr>
          <w:rFonts w:ascii="Arial" w:hAnsi="Arial" w:cs="Arial"/>
          <w:color w:val="000000" w:themeColor="text1"/>
        </w:rPr>
      </w:pPr>
    </w:p>
    <w:p w:rsidR="002324FE" w:rsidRDefault="002324FE" w14:paraId="1C27D451" w14:textId="77777777">
      <w:pPr>
        <w:rPr>
          <w:rFonts w:ascii="Arial" w:hAnsi="Arial" w:cs="Arial"/>
          <w:color w:val="000000" w:themeColor="text1"/>
        </w:rPr>
      </w:pPr>
    </w:p>
    <w:p w:rsidR="002324FE" w:rsidRDefault="002324FE" w14:paraId="589AAF29" w14:textId="77777777">
      <w:pPr>
        <w:rPr>
          <w:rFonts w:ascii="Arial" w:hAnsi="Arial" w:cs="Arial"/>
          <w:color w:val="000000" w:themeColor="text1"/>
        </w:rPr>
      </w:pPr>
    </w:p>
    <w:p w:rsidR="002324FE" w:rsidRDefault="002324FE" w14:paraId="17A07406" w14:textId="77777777">
      <w:pPr>
        <w:rPr>
          <w:rFonts w:ascii="Arial" w:hAnsi="Arial" w:cs="Arial"/>
          <w:color w:val="000000" w:themeColor="text1"/>
        </w:rPr>
      </w:pPr>
    </w:p>
    <w:p w:rsidR="002324FE" w:rsidRDefault="002324FE" w14:paraId="05570615" w14:textId="77777777">
      <w:pPr>
        <w:rPr>
          <w:rFonts w:ascii="Arial" w:hAnsi="Arial" w:cs="Arial"/>
          <w:color w:val="000000" w:themeColor="text1"/>
        </w:rPr>
      </w:pPr>
    </w:p>
    <w:p w:rsidR="002324FE" w:rsidRDefault="002324FE" w14:paraId="3520B019" w14:textId="77777777">
      <w:pPr>
        <w:rPr>
          <w:rFonts w:ascii="Arial" w:hAnsi="Arial" w:cs="Arial"/>
          <w:color w:val="000000" w:themeColor="text1"/>
        </w:rPr>
      </w:pPr>
    </w:p>
    <w:p w:rsidR="002324FE" w:rsidRDefault="002324FE" w14:paraId="0F16DAC6" w14:textId="77777777">
      <w:pPr>
        <w:rPr>
          <w:rFonts w:ascii="Arial" w:hAnsi="Arial" w:cs="Arial"/>
          <w:color w:val="000000" w:themeColor="text1"/>
        </w:rPr>
      </w:pPr>
    </w:p>
    <w:p w:rsidR="002324FE" w:rsidRDefault="002324FE" w14:paraId="203C22F1" w14:textId="77777777">
      <w:pPr>
        <w:rPr>
          <w:rFonts w:ascii="Arial" w:hAnsi="Arial" w:cs="Arial"/>
          <w:color w:val="000000" w:themeColor="text1"/>
        </w:rPr>
      </w:pPr>
    </w:p>
    <w:p w:rsidR="002324FE" w:rsidRDefault="002324FE" w14:paraId="4D42FBAA" w14:textId="77777777">
      <w:pPr>
        <w:rPr>
          <w:rFonts w:ascii="Arial" w:hAnsi="Arial" w:cs="Arial"/>
          <w:color w:val="000000" w:themeColor="text1"/>
        </w:rPr>
      </w:pPr>
    </w:p>
    <w:p w:rsidR="002324FE" w:rsidRDefault="002324FE" w14:paraId="088D4D2C" w14:textId="77777777">
      <w:pPr>
        <w:rPr>
          <w:rFonts w:ascii="Arial" w:hAnsi="Arial" w:cs="Arial"/>
          <w:color w:val="000000" w:themeColor="text1"/>
        </w:rPr>
      </w:pPr>
    </w:p>
    <w:p w:rsidR="002324FE" w:rsidRDefault="002324FE" w14:paraId="4D1B115D" w14:textId="77777777">
      <w:pPr>
        <w:rPr>
          <w:rFonts w:ascii="Arial" w:hAnsi="Arial" w:cs="Arial"/>
          <w:color w:val="000000" w:themeColor="text1"/>
        </w:rPr>
      </w:pPr>
    </w:p>
    <w:p w:rsidR="002324FE" w:rsidRDefault="002324FE" w14:paraId="212FF90F" w14:textId="77777777">
      <w:pPr>
        <w:rPr>
          <w:rFonts w:ascii="Arial" w:hAnsi="Arial" w:cs="Arial"/>
          <w:color w:val="000000" w:themeColor="text1"/>
        </w:rPr>
      </w:pPr>
    </w:p>
    <w:p w:rsidR="002324FE" w:rsidRDefault="002324FE" w14:paraId="6BDB14CC" w14:textId="77777777">
      <w:pPr>
        <w:rPr>
          <w:rFonts w:ascii="Arial" w:hAnsi="Arial" w:cs="Arial"/>
          <w:color w:val="000000" w:themeColor="text1"/>
        </w:rPr>
      </w:pPr>
    </w:p>
    <w:p w:rsidR="002324FE" w:rsidRDefault="002324FE" w14:paraId="474BF03F" w14:textId="77777777">
      <w:pPr>
        <w:rPr>
          <w:rFonts w:ascii="Arial" w:hAnsi="Arial" w:cs="Arial"/>
          <w:color w:val="000000" w:themeColor="text1"/>
        </w:rPr>
      </w:pPr>
    </w:p>
    <w:p w:rsidR="002324FE" w:rsidRDefault="002324FE" w14:paraId="59C57D7E" w14:textId="77777777">
      <w:pPr>
        <w:rPr>
          <w:rFonts w:ascii="Arial" w:hAnsi="Arial" w:cs="Arial"/>
          <w:color w:val="000000" w:themeColor="text1"/>
        </w:rPr>
      </w:pPr>
    </w:p>
    <w:p w:rsidR="002324FE" w:rsidRDefault="002324FE" w14:paraId="3C575812" w14:textId="77777777">
      <w:pPr>
        <w:rPr>
          <w:rFonts w:ascii="Arial" w:hAnsi="Arial" w:cs="Arial"/>
          <w:color w:val="000000" w:themeColor="text1"/>
        </w:rPr>
      </w:pPr>
    </w:p>
    <w:p w:rsidRPr="0023299E" w:rsidR="00BC6769" w:rsidP="0023299E" w:rsidRDefault="00BC6769" w14:paraId="62413EEC" w14:textId="20DA55FB">
      <w:pPr>
        <w:jc w:val="center"/>
        <w:rPr>
          <w:rFonts w:ascii="Arial" w:hAnsi="Arial" w:cs="Arial"/>
          <w:b/>
          <w:bCs/>
          <w:color w:val="000000" w:themeColor="text1"/>
        </w:rPr>
      </w:pPr>
      <w:r w:rsidRPr="0023299E">
        <w:rPr>
          <w:rFonts w:ascii="Arial" w:hAnsi="Arial" w:cs="Arial"/>
          <w:b/>
          <w:bCs/>
          <w:color w:val="000000" w:themeColor="text1"/>
        </w:rPr>
        <w:t>ABSTRACT</w:t>
      </w:r>
    </w:p>
    <w:p w:rsidRPr="00BC6769" w:rsidR="00BC6769" w:rsidP="00BC6769" w:rsidRDefault="00BC6769" w14:paraId="0C79E4BC" w14:textId="6EA3BFF8">
      <w:pPr>
        <w:rPr>
          <w:rFonts w:ascii="Arial" w:hAnsi="Arial" w:cs="Arial"/>
          <w:color w:val="000000" w:themeColor="text1"/>
          <w:lang w:val="en-US"/>
        </w:rPr>
      </w:pPr>
      <w:r w:rsidRPr="00BC6769">
        <w:rPr>
          <w:rFonts w:ascii="Arial" w:hAnsi="Arial" w:cs="Arial"/>
          <w:color w:val="000000" w:themeColor="text1"/>
          <w:lang w:val="en-US"/>
        </w:rPr>
        <w:t xml:space="preserve">Healthcare-associated infections (HCAIs) remain an </w:t>
      </w:r>
      <w:r w:rsidRPr="00BC6769" w:rsidR="0023299E">
        <w:rPr>
          <w:rFonts w:ascii="Arial" w:hAnsi="Arial" w:cs="Arial"/>
          <w:color w:val="000000" w:themeColor="text1"/>
          <w:lang w:val="en-US"/>
        </w:rPr>
        <w:t>important</w:t>
      </w:r>
      <w:r w:rsidRPr="00BC6769">
        <w:rPr>
          <w:rFonts w:ascii="Arial" w:hAnsi="Arial" w:cs="Arial"/>
          <w:color w:val="000000" w:themeColor="text1"/>
          <w:lang w:val="en-US"/>
        </w:rPr>
        <w:t xml:space="preserve"> concern in UK hospitals, and effective hand hygiene is a key component of infection prevention. This systematic review examined how hand hygiene compliance among healthcare workers influences HCAI prevention in UK hospitals. The objectives were to identify important HCAIs, examine factors influencing hand hygiene compliance, evaluate the effectiveness of hand hygiene interventions, and develop recommendations for improving compliance among nurses.</w:t>
      </w:r>
    </w:p>
    <w:p w:rsidRPr="00BC6769" w:rsidR="00BC6769" w:rsidP="00BC6769" w:rsidRDefault="00BC6769" w14:paraId="3B48C6BB" w14:textId="61C15F08">
      <w:pPr>
        <w:rPr>
          <w:rFonts w:ascii="Arial" w:hAnsi="Arial" w:cs="Arial"/>
          <w:color w:val="000000" w:themeColor="text1"/>
          <w:lang w:val="en-US"/>
        </w:rPr>
      </w:pPr>
      <w:r w:rsidRPr="00BC6769">
        <w:rPr>
          <w:rFonts w:ascii="Arial" w:hAnsi="Arial" w:cs="Arial"/>
          <w:color w:val="000000" w:themeColor="text1"/>
          <w:lang w:val="en-US"/>
        </w:rPr>
        <w:t xml:space="preserve">A systematic review design was used. </w:t>
      </w:r>
      <w:r w:rsidR="0023299E">
        <w:rPr>
          <w:rFonts w:ascii="Arial" w:hAnsi="Arial" w:cs="Arial"/>
          <w:color w:val="000000" w:themeColor="text1"/>
          <w:lang w:val="en-US"/>
        </w:rPr>
        <w:t>A search</w:t>
      </w:r>
      <w:r w:rsidRPr="00BC6769" w:rsidR="0023299E">
        <w:rPr>
          <w:rFonts w:ascii="Arial" w:hAnsi="Arial" w:cs="Arial"/>
          <w:color w:val="000000" w:themeColor="text1"/>
          <w:lang w:val="en-US"/>
        </w:rPr>
        <w:t xml:space="preserve"> was</w:t>
      </w:r>
      <w:r w:rsidRPr="00BC6769">
        <w:rPr>
          <w:rFonts w:ascii="Arial" w:hAnsi="Arial" w:cs="Arial"/>
          <w:color w:val="000000" w:themeColor="text1"/>
          <w:lang w:val="en-US"/>
        </w:rPr>
        <w:t xml:space="preserve"> conducted in PubMed, Scopus and Google Scholar for peer-reviewed primary studies published between 2016 and 2026. Studies were selected using predefined inclusion and exclusion criteria, and the screening process was documented using PRISMA. Twelve studies were included and critically appraised using appropriate quality-assessment approaches. The findings were synthesised thematically. Four themes were identified: factors influencing compliance; barriers and facilitators; effectiveness of interventions and monitoring; and implications for HCAI prevention and patient safety.</w:t>
      </w:r>
    </w:p>
    <w:p w:rsidRPr="00BC6769" w:rsidR="00BC6769" w:rsidP="00BC6769" w:rsidRDefault="00BC6769" w14:paraId="71FCC3E1" w14:textId="77777777">
      <w:pPr>
        <w:rPr>
          <w:rFonts w:ascii="Arial" w:hAnsi="Arial" w:cs="Arial"/>
          <w:color w:val="000000" w:themeColor="text1"/>
          <w:lang w:val="en-US"/>
        </w:rPr>
      </w:pPr>
      <w:r w:rsidRPr="00BC6769">
        <w:rPr>
          <w:rFonts w:ascii="Arial" w:hAnsi="Arial" w:cs="Arial"/>
          <w:color w:val="000000" w:themeColor="text1"/>
          <w:lang w:val="en-US"/>
        </w:rPr>
        <w:t>The findings showed that workload, time pressure, clinical emergencies, accessibility, staff wellbeing and organisational factors influenced compliance. Education, behavioural interventions, monitoring, feedback, reminders and staff engagement generally improved hand hygiene compliance. However, most studies measured compliance rather than directly measuring HCAI outcomes. The review concludes that hand hygiene compliance is an essential component of HCAI prevention, but the exact causal effect on infection incidence remains uncertain. Future UK research should use larger multi-centre studies, longer follow-up and objective compliance measures linked directly with HCAI surveillance.</w:t>
      </w:r>
    </w:p>
    <w:p w:rsidRPr="00BC6769" w:rsidR="00BC6769" w:rsidRDefault="00BC6769" w14:paraId="60323BBF" w14:textId="77777777">
      <w:pPr>
        <w:rPr>
          <w:rFonts w:ascii="Arial" w:hAnsi="Arial" w:cs="Arial"/>
          <w:color w:val="000000" w:themeColor="text1"/>
          <w:lang w:val="en-US"/>
        </w:rPr>
      </w:pPr>
    </w:p>
    <w:p w:rsidRPr="00B031A0" w:rsidR="00C77BF3" w:rsidRDefault="00115699" w14:paraId="42DEE4C7" w14:textId="77777777">
      <w:pPr>
        <w:rPr>
          <w:rFonts w:ascii="Arial" w:hAnsi="Arial" w:cs="Arial"/>
          <w:b/>
          <w:bCs/>
          <w:color w:val="000000" w:themeColor="text1"/>
        </w:rPr>
      </w:pPr>
      <w:r w:rsidRPr="00B031A0">
        <w:rPr>
          <w:rFonts w:ascii="Arial" w:hAnsi="Arial" w:cs="Arial"/>
          <w:color w:val="000000" w:themeColor="text1"/>
        </w:rPr>
        <w:br w:type="page"/>
      </w:r>
    </w:p>
    <w:p w:rsidRPr="00B031A0" w:rsidR="00C77BF3" w:rsidP="00B031A0" w:rsidRDefault="00115699" w14:paraId="7BFB6E72" w14:textId="77777777">
      <w:pPr>
        <w:pStyle w:val="Heading1"/>
        <w:rPr>
          <w:color w:val="000000" w:themeColor="text1"/>
        </w:rPr>
      </w:pPr>
      <w:bookmarkStart w:name="_Toc240696145" w:id="0"/>
      <w:r w:rsidRPr="00B031A0">
        <w:rPr>
          <w:color w:val="000000" w:themeColor="text1"/>
        </w:rPr>
        <w:t>Chapter 1: Introduction</w:t>
      </w:r>
      <w:bookmarkEnd w:id="0"/>
      <w:r w:rsidRPr="00B031A0">
        <w:rPr>
          <w:color w:val="000000" w:themeColor="text1"/>
        </w:rPr>
        <w:t xml:space="preserve"> </w:t>
      </w:r>
    </w:p>
    <w:p w:rsidRPr="00B031A0" w:rsidR="00C77BF3" w:rsidP="007F5072" w:rsidRDefault="00115699" w14:paraId="77C9088B" w14:textId="2C2B27BF">
      <w:pPr>
        <w:pStyle w:val="Heading1"/>
        <w:jc w:val="both"/>
      </w:pPr>
      <w:bookmarkStart w:name="_Toc240696146" w:id="1"/>
      <w:r w:rsidRPr="00B031A0">
        <w:t>1</w:t>
      </w:r>
      <w:r w:rsidRPr="007F5072">
        <w:rPr>
          <w:rStyle w:val="Heading1Char"/>
        </w:rPr>
        <w:t>.</w:t>
      </w:r>
      <w:r w:rsidRPr="00B031A0">
        <w:t xml:space="preserve">1 </w:t>
      </w:r>
      <w:r w:rsidRPr="00B031A0">
        <w:rPr>
          <w:rFonts w:ascii="Tahoma" w:hAnsi="Tahoma" w:eastAsia="Tahoma" w:cs="Tahoma"/>
        </w:rPr>
        <w:t>﻿﻿﻿</w:t>
      </w:r>
      <w:r w:rsidRPr="00B031A0">
        <w:t>Introduction</w:t>
      </w:r>
      <w:bookmarkEnd w:id="1"/>
      <w:r w:rsidRPr="00B031A0">
        <w:t xml:space="preserve"> </w:t>
      </w:r>
    </w:p>
    <w:p w:rsidRPr="00B031A0" w:rsidR="00C77BF3" w:rsidRDefault="00115699" w14:paraId="7659A385" w14:textId="1F6F8250">
      <w:pPr>
        <w:rPr>
          <w:rFonts w:ascii="Arial" w:hAnsi="Arial" w:cs="Arial"/>
          <w:color w:val="000000" w:themeColor="text1"/>
        </w:rPr>
      </w:pPr>
      <w:r w:rsidRPr="00B031A0">
        <w:rPr>
          <w:rFonts w:ascii="Arial" w:hAnsi="Arial" w:cs="Arial"/>
          <w:color w:val="000000" w:themeColor="text1"/>
        </w:rPr>
        <w:t xml:space="preserve">Healthcare-associated infections (HAIs) continue to be a major problem in the UK, particularly in relation to patient safety within a hospital setting (Stewart </w:t>
      </w:r>
      <w:r w:rsidRPr="00B031A0" w:rsidR="00776C49">
        <w:rPr>
          <w:rFonts w:ascii="Arial" w:hAnsi="Arial" w:cs="Arial"/>
          <w:color w:val="000000" w:themeColor="text1"/>
        </w:rPr>
        <w:t>et al</w:t>
      </w:r>
      <w:r w:rsidRPr="00B031A0">
        <w:rPr>
          <w:rFonts w:ascii="Arial" w:hAnsi="Arial" w:cs="Arial"/>
          <w:color w:val="000000" w:themeColor="text1"/>
        </w:rPr>
        <w:t>., 2021). This chapter focuses on hand hygiene compliance, one key to the prevention of Healthcare-associated infections (HAIs), among nurses. This section provides background information on the problem of infections, the research problem, the rationale, the aim, the objectives, and the research questions</w:t>
      </w:r>
      <w:r w:rsidR="00B031A0">
        <w:rPr>
          <w:rFonts w:ascii="Arial" w:hAnsi="Arial" w:cs="Arial"/>
          <w:color w:val="000000" w:themeColor="text1"/>
        </w:rPr>
        <w:t xml:space="preserve"> </w:t>
      </w:r>
      <w:r w:rsidRPr="00B031A0">
        <w:rPr>
          <w:rFonts w:ascii="Arial" w:hAnsi="Arial" w:cs="Arial"/>
          <w:color w:val="000000" w:themeColor="text1"/>
        </w:rPr>
        <w:t xml:space="preserve">(Harb </w:t>
      </w:r>
      <w:r w:rsidRPr="00B031A0" w:rsidR="00776C49">
        <w:rPr>
          <w:rFonts w:ascii="Arial" w:hAnsi="Arial" w:cs="Arial"/>
          <w:color w:val="000000" w:themeColor="text1"/>
        </w:rPr>
        <w:t>et al</w:t>
      </w:r>
      <w:r w:rsidRPr="00B031A0">
        <w:rPr>
          <w:rFonts w:ascii="Arial" w:hAnsi="Arial" w:cs="Arial"/>
          <w:color w:val="000000" w:themeColor="text1"/>
        </w:rPr>
        <w:t>.</w:t>
      </w:r>
      <w:r w:rsidR="00B031A0">
        <w:rPr>
          <w:rFonts w:ascii="Arial" w:hAnsi="Arial" w:cs="Arial"/>
          <w:color w:val="000000" w:themeColor="text1"/>
        </w:rPr>
        <w:t>,</w:t>
      </w:r>
      <w:r w:rsidRPr="00B031A0">
        <w:rPr>
          <w:rFonts w:ascii="Arial" w:hAnsi="Arial" w:cs="Arial"/>
          <w:color w:val="000000" w:themeColor="text1"/>
        </w:rPr>
        <w:t xml:space="preserve"> 2025). The chapter ends by exploring the significance of this systematic review in the context of the evidence that is identified on hand hygiene practices and their impact on reducing rates of infection in a healthcare environment in the UK.</w:t>
      </w:r>
    </w:p>
    <w:p w:rsidRPr="00B031A0" w:rsidR="00C77BF3" w:rsidP="007F5072" w:rsidRDefault="00115699" w14:paraId="67E31C3A" w14:textId="77777777">
      <w:pPr>
        <w:pStyle w:val="Heading1"/>
        <w:jc w:val="both"/>
      </w:pPr>
      <w:bookmarkStart w:name="_Toc240696147" w:id="2"/>
      <w:r w:rsidRPr="00B031A0">
        <w:t>1.2 Background and Context</w:t>
      </w:r>
      <w:bookmarkEnd w:id="2"/>
      <w:r w:rsidRPr="00B031A0">
        <w:t> </w:t>
      </w:r>
    </w:p>
    <w:p w:rsidRPr="00B031A0" w:rsidR="00C77BF3" w:rsidRDefault="00115699" w14:paraId="0EBEC11A" w14:textId="22A385C1">
      <w:pPr>
        <w:rPr>
          <w:rFonts w:ascii="Arial" w:hAnsi="Arial" w:cs="Arial"/>
          <w:color w:val="000000" w:themeColor="text1"/>
        </w:rPr>
      </w:pPr>
      <w:r w:rsidRPr="00B031A0">
        <w:rPr>
          <w:rFonts w:ascii="Arial" w:hAnsi="Arial" w:cs="Arial"/>
          <w:color w:val="000000" w:themeColor="text1"/>
        </w:rPr>
        <w:t xml:space="preserve">Healthcare-associated infections (HAIs) remain a significant problem in the safe care of patients in UK hospitals (Stewart </w:t>
      </w:r>
      <w:r w:rsidRPr="00B031A0" w:rsidR="00776C49">
        <w:rPr>
          <w:rFonts w:ascii="Arial" w:hAnsi="Arial" w:cs="Arial"/>
          <w:color w:val="000000" w:themeColor="text1"/>
        </w:rPr>
        <w:t>et al</w:t>
      </w:r>
      <w:r w:rsidRPr="00B031A0">
        <w:rPr>
          <w:rFonts w:ascii="Arial" w:hAnsi="Arial" w:cs="Arial"/>
          <w:color w:val="000000" w:themeColor="text1"/>
        </w:rPr>
        <w:t>., 2021). The UK Health Security Agency's (202</w:t>
      </w:r>
      <w:r w:rsidR="009222DD">
        <w:rPr>
          <w:rFonts w:ascii="Arial" w:hAnsi="Arial" w:cs="Arial"/>
          <w:color w:val="000000" w:themeColor="text1"/>
        </w:rPr>
        <w:t>5</w:t>
      </w:r>
      <w:r w:rsidRPr="00B031A0">
        <w:rPr>
          <w:rFonts w:ascii="Arial" w:hAnsi="Arial" w:cs="Arial"/>
          <w:color w:val="000000" w:themeColor="text1"/>
        </w:rPr>
        <w:t xml:space="preserve">) Point Prevalence Survey 2023 indicates a prevalence of 7.6% of </w:t>
      </w:r>
      <w:r w:rsidRPr="00B031A0" w:rsidR="00D40ADB">
        <w:rPr>
          <w:rFonts w:ascii="Arial" w:hAnsi="Arial" w:cs="Arial"/>
          <w:color w:val="000000" w:themeColor="text1"/>
        </w:rPr>
        <w:t>healthcare</w:t>
      </w:r>
      <w:r w:rsidRPr="00B031A0">
        <w:rPr>
          <w:rFonts w:ascii="Arial" w:hAnsi="Arial" w:cs="Arial"/>
          <w:color w:val="000000" w:themeColor="text1"/>
        </w:rPr>
        <w:t xml:space="preserve">-associated infections (HAIs)among all hospital inpatients in England, compared to 6.6% in 2016. A total of thousands of preventable cases </w:t>
      </w:r>
      <w:r w:rsidRPr="00B031A0" w:rsidR="0023299E">
        <w:rPr>
          <w:rFonts w:ascii="Arial" w:hAnsi="Arial" w:cs="Arial"/>
          <w:color w:val="000000" w:themeColor="text1"/>
        </w:rPr>
        <w:t>is</w:t>
      </w:r>
      <w:r w:rsidRPr="00B031A0">
        <w:rPr>
          <w:rFonts w:ascii="Arial" w:hAnsi="Arial" w:cs="Arial"/>
          <w:color w:val="000000" w:themeColor="text1"/>
        </w:rPr>
        <w:t xml:space="preserve"> added to hospital </w:t>
      </w:r>
      <w:r w:rsidR="00B031A0">
        <w:rPr>
          <w:rFonts w:ascii="Arial" w:hAnsi="Arial" w:cs="Arial"/>
          <w:color w:val="000000" w:themeColor="text1"/>
        </w:rPr>
        <w:t>services</w:t>
      </w:r>
      <w:r w:rsidRPr="00B031A0">
        <w:rPr>
          <w:rFonts w:ascii="Arial" w:hAnsi="Arial" w:cs="Arial"/>
          <w:color w:val="000000" w:themeColor="text1"/>
        </w:rPr>
        <w:t xml:space="preserve"> each year, leading to longer hospital stays, higher mortality, greater antimicrobial resistance, and </w:t>
      </w:r>
      <w:r w:rsidR="00B031A0">
        <w:rPr>
          <w:rFonts w:ascii="Arial" w:hAnsi="Arial" w:cs="Arial"/>
          <w:color w:val="000000" w:themeColor="text1"/>
        </w:rPr>
        <w:t>high</w:t>
      </w:r>
      <w:r w:rsidRPr="00B031A0">
        <w:rPr>
          <w:rFonts w:ascii="Arial" w:hAnsi="Arial" w:cs="Arial"/>
          <w:color w:val="000000" w:themeColor="text1"/>
        </w:rPr>
        <w:t xml:space="preserve"> costs to the NHS (UKHSA, 2023).</w:t>
      </w:r>
    </w:p>
    <w:p w:rsidRPr="00B031A0" w:rsidR="00C77BF3" w:rsidRDefault="00115699" w14:paraId="4702C8BA" w14:textId="1957C72F">
      <w:pPr>
        <w:rPr>
          <w:rFonts w:ascii="Arial" w:hAnsi="Arial" w:cs="Arial"/>
          <w:color w:val="000000" w:themeColor="text1"/>
        </w:rPr>
      </w:pPr>
      <w:r w:rsidRPr="00B031A0">
        <w:rPr>
          <w:rFonts w:ascii="Arial" w:hAnsi="Arial" w:cs="Arial"/>
          <w:color w:val="000000" w:themeColor="text1"/>
        </w:rPr>
        <w:t>Nurses, who are the largest group of healthcare professionals with frequent patient contact, have a pivotal role in preventing infection</w:t>
      </w:r>
      <w:r w:rsidR="00B031A0">
        <w:rPr>
          <w:rFonts w:ascii="Arial" w:hAnsi="Arial" w:cs="Arial"/>
          <w:color w:val="000000" w:themeColor="text1"/>
        </w:rPr>
        <w:t>,</w:t>
      </w:r>
      <w:r w:rsidRPr="00B031A0">
        <w:rPr>
          <w:rFonts w:ascii="Arial" w:hAnsi="Arial" w:cs="Arial"/>
          <w:color w:val="000000" w:themeColor="text1"/>
        </w:rPr>
        <w:t xml:space="preserve"> as per the ideas mentioned by Arshad </w:t>
      </w:r>
      <w:r w:rsidRPr="00B031A0" w:rsidR="00776C49">
        <w:rPr>
          <w:rFonts w:ascii="Arial" w:hAnsi="Arial" w:cs="Arial"/>
          <w:color w:val="000000" w:themeColor="text1"/>
        </w:rPr>
        <w:t>et al</w:t>
      </w:r>
      <w:r w:rsidRPr="00B031A0">
        <w:rPr>
          <w:rFonts w:ascii="Arial" w:hAnsi="Arial" w:cs="Arial"/>
          <w:color w:val="000000" w:themeColor="text1"/>
        </w:rPr>
        <w:t xml:space="preserve">. (2026). Hand hygiene (HH) is the most important and easily implemented intervention that can decrease </w:t>
      </w:r>
      <w:r w:rsidR="00B031A0">
        <w:rPr>
          <w:rFonts w:ascii="Arial" w:hAnsi="Arial" w:cs="Arial"/>
          <w:color w:val="000000" w:themeColor="text1"/>
        </w:rPr>
        <w:t>Healthcare-Associated</w:t>
      </w:r>
      <w:r w:rsidRPr="00B031A0">
        <w:rPr>
          <w:rFonts w:ascii="Arial" w:hAnsi="Arial" w:cs="Arial"/>
          <w:color w:val="000000" w:themeColor="text1"/>
        </w:rPr>
        <w:t xml:space="preserve"> Infections (HAIs). However, uptake is often far short of the desired level of 100% compliance as set by WHO (UKHSA, 2023). Average levels of compliance with </w:t>
      </w:r>
      <w:r w:rsidR="007C25F7">
        <w:rPr>
          <w:rFonts w:ascii="Arial" w:hAnsi="Arial" w:cs="Arial"/>
          <w:color w:val="000000" w:themeColor="text1"/>
        </w:rPr>
        <w:t>hand hygiene</w:t>
      </w:r>
      <w:r w:rsidRPr="00B031A0">
        <w:rPr>
          <w:rFonts w:ascii="Arial" w:hAnsi="Arial" w:cs="Arial"/>
          <w:color w:val="000000" w:themeColor="text1"/>
        </w:rPr>
        <w:t xml:space="preserve"> (HH) among health care workers are often between 40 and 60%, and nurses tend to have slightly higher compliance than physicians, but there are still significant gaps (Bredin </w:t>
      </w:r>
      <w:r w:rsidRPr="00B031A0" w:rsidR="00776C49">
        <w:rPr>
          <w:rFonts w:ascii="Arial" w:hAnsi="Arial" w:cs="Arial"/>
          <w:color w:val="000000" w:themeColor="text1"/>
        </w:rPr>
        <w:t>et al</w:t>
      </w:r>
      <w:r w:rsidRPr="00B031A0">
        <w:rPr>
          <w:rFonts w:ascii="Arial" w:hAnsi="Arial" w:cs="Arial"/>
          <w:color w:val="000000" w:themeColor="text1"/>
        </w:rPr>
        <w:t>., 2022).</w:t>
      </w:r>
    </w:p>
    <w:p w:rsidRPr="00B031A0" w:rsidR="00C77BF3" w:rsidRDefault="00115699" w14:paraId="50DB6FF2" w14:textId="7E84BB82">
      <w:pPr>
        <w:rPr>
          <w:rFonts w:ascii="Arial" w:hAnsi="Arial" w:cs="Arial"/>
          <w:color w:val="000000" w:themeColor="text1"/>
        </w:rPr>
      </w:pPr>
      <w:r w:rsidRPr="00B031A0">
        <w:rPr>
          <w:rFonts w:ascii="Arial" w:hAnsi="Arial" w:cs="Arial"/>
          <w:color w:val="000000" w:themeColor="text1"/>
        </w:rPr>
        <w:t xml:space="preserve">A systematic review by Mouajou </w:t>
      </w:r>
      <w:r w:rsidRPr="00B031A0" w:rsidR="00776C49">
        <w:rPr>
          <w:rFonts w:ascii="Arial" w:hAnsi="Arial" w:cs="Arial"/>
          <w:color w:val="000000" w:themeColor="text1"/>
        </w:rPr>
        <w:t>et al</w:t>
      </w:r>
      <w:r w:rsidRPr="00B031A0">
        <w:rPr>
          <w:rFonts w:ascii="Arial" w:hAnsi="Arial" w:cs="Arial"/>
          <w:color w:val="000000" w:themeColor="text1"/>
        </w:rPr>
        <w:t xml:space="preserve">. (2022) reviewed the relationship between HH compliance and </w:t>
      </w:r>
      <w:r w:rsidR="007C25F7">
        <w:rPr>
          <w:rFonts w:ascii="Arial" w:hAnsi="Arial" w:cs="Arial"/>
          <w:color w:val="000000" w:themeColor="text1"/>
        </w:rPr>
        <w:t>healthcare-associated infection</w:t>
      </w:r>
      <w:r w:rsidRPr="00B031A0">
        <w:rPr>
          <w:rFonts w:ascii="Arial" w:hAnsi="Arial" w:cs="Arial"/>
          <w:color w:val="000000" w:themeColor="text1"/>
        </w:rPr>
        <w:t xml:space="preserve"> incidence and showed that good compliance always relates to a decrease in infection rates in healthcare settings. In turn, Bredin </w:t>
      </w:r>
      <w:r w:rsidRPr="00B031A0" w:rsidR="00776C49">
        <w:rPr>
          <w:rFonts w:ascii="Arial" w:hAnsi="Arial" w:cs="Arial"/>
          <w:color w:val="000000" w:themeColor="text1"/>
        </w:rPr>
        <w:t>et al</w:t>
      </w:r>
      <w:r w:rsidRPr="00B031A0">
        <w:rPr>
          <w:rFonts w:ascii="Arial" w:hAnsi="Arial" w:cs="Arial"/>
          <w:color w:val="000000" w:themeColor="text1"/>
        </w:rPr>
        <w:t>. (2022) pooled the results of direct observation data and reported that the compliance rates were still 52 for nurses and 45 for physicians.</w:t>
      </w:r>
    </w:p>
    <w:p w:rsidRPr="00B031A0" w:rsidR="00C77BF3" w:rsidRDefault="00115699" w14:paraId="0D6271BB" w14:textId="68543C9D">
      <w:pPr>
        <w:rPr>
          <w:rFonts w:ascii="Arial" w:hAnsi="Arial" w:cs="Arial"/>
          <w:color w:val="000000" w:themeColor="text1"/>
        </w:rPr>
      </w:pPr>
      <w:r w:rsidRPr="00B031A0">
        <w:rPr>
          <w:rFonts w:ascii="Arial" w:hAnsi="Arial" w:cs="Arial"/>
          <w:color w:val="000000" w:themeColor="text1"/>
        </w:rPr>
        <w:t xml:space="preserve">The COVID-19 pandemic </w:t>
      </w:r>
      <w:r w:rsidRPr="00B031A0" w:rsidR="0023299E">
        <w:rPr>
          <w:rFonts w:ascii="Arial" w:hAnsi="Arial" w:cs="Arial"/>
          <w:color w:val="000000" w:themeColor="text1"/>
        </w:rPr>
        <w:t>had</w:t>
      </w:r>
      <w:r w:rsidRPr="00B031A0">
        <w:rPr>
          <w:rFonts w:ascii="Arial" w:hAnsi="Arial" w:cs="Arial"/>
          <w:color w:val="000000" w:themeColor="text1"/>
        </w:rPr>
        <w:t xml:space="preserve"> compounded problems, such as the difficulty of sustaining the initial improvements in Hand hygiene (HH) practices (Ali, Mekonen and Tesfahun, 2023), as well as excess workload, lack of resources, and issues with </w:t>
      </w:r>
      <w:r w:rsidRPr="00B031A0" w:rsidR="00B031A0">
        <w:rPr>
          <w:rFonts w:ascii="Arial" w:hAnsi="Arial" w:cs="Arial"/>
          <w:color w:val="000000" w:themeColor="text1"/>
        </w:rPr>
        <w:t>organisation</w:t>
      </w:r>
      <w:r w:rsidRPr="00B031A0">
        <w:rPr>
          <w:rFonts w:ascii="Arial" w:hAnsi="Arial" w:cs="Arial"/>
          <w:color w:val="000000" w:themeColor="text1"/>
        </w:rPr>
        <w:t xml:space="preserve">. There are some disparities between policy and practice in the UK, for example, policy guidelines in intensive care units, despite the unit being a high-risk setting with national guidelines from </w:t>
      </w:r>
      <w:r w:rsidRPr="00B031A0" w:rsidR="00B031A0">
        <w:rPr>
          <w:rFonts w:ascii="Arial" w:hAnsi="Arial" w:cs="Arial"/>
          <w:color w:val="000000" w:themeColor="text1"/>
        </w:rPr>
        <w:t xml:space="preserve">the </w:t>
      </w:r>
      <w:r w:rsidRPr="00B031A0">
        <w:rPr>
          <w:rFonts w:ascii="Arial" w:hAnsi="Arial" w:cs="Arial"/>
          <w:color w:val="000000" w:themeColor="text1"/>
        </w:rPr>
        <w:t xml:space="preserve">National Institute for Health and Care Excellence (NICE) and </w:t>
      </w:r>
      <w:r w:rsidRPr="00B031A0" w:rsidR="00B031A0">
        <w:rPr>
          <w:rFonts w:ascii="Arial" w:hAnsi="Arial" w:cs="Arial"/>
          <w:color w:val="000000" w:themeColor="text1"/>
        </w:rPr>
        <w:t xml:space="preserve">the </w:t>
      </w:r>
      <w:r w:rsidRPr="00B031A0">
        <w:rPr>
          <w:rFonts w:ascii="Arial" w:hAnsi="Arial" w:cs="Arial"/>
          <w:color w:val="000000" w:themeColor="text1"/>
        </w:rPr>
        <w:t xml:space="preserve">National Health Service (NHS) England (Mouajou </w:t>
      </w:r>
      <w:r w:rsidRPr="00B031A0" w:rsidR="00776C49">
        <w:rPr>
          <w:rFonts w:ascii="Arial" w:hAnsi="Arial" w:cs="Arial"/>
          <w:color w:val="000000" w:themeColor="text1"/>
        </w:rPr>
        <w:t>et al</w:t>
      </w:r>
      <w:r w:rsidRPr="00B031A0">
        <w:rPr>
          <w:rFonts w:ascii="Arial" w:hAnsi="Arial" w:cs="Arial"/>
          <w:color w:val="000000" w:themeColor="text1"/>
        </w:rPr>
        <w:t>., 2022).</w:t>
      </w:r>
    </w:p>
    <w:p w:rsidRPr="00B031A0" w:rsidR="00C77BF3" w:rsidRDefault="00115699" w14:paraId="14B1CC1B" w14:textId="02A6350C">
      <w:pPr>
        <w:rPr>
          <w:rFonts w:ascii="Arial" w:hAnsi="Arial" w:cs="Arial"/>
          <w:color w:val="000000" w:themeColor="text1"/>
        </w:rPr>
      </w:pPr>
      <w:r w:rsidRPr="00B031A0">
        <w:rPr>
          <w:rFonts w:ascii="Arial" w:hAnsi="Arial" w:cs="Arial"/>
          <w:color w:val="000000" w:themeColor="text1"/>
        </w:rPr>
        <w:t xml:space="preserve">This systematic review is thus opportune. It draws together relevant evidence from the UK and uses it to develop an understanding of the links between nurses' HH compliance and </w:t>
      </w:r>
      <w:r w:rsidRPr="00B031A0" w:rsidR="00B031A0">
        <w:rPr>
          <w:rFonts w:ascii="Arial" w:hAnsi="Arial" w:cs="Arial"/>
          <w:color w:val="000000" w:themeColor="text1"/>
        </w:rPr>
        <w:t>healthcare-associated infection</w:t>
      </w:r>
      <w:r w:rsidRPr="00B031A0">
        <w:rPr>
          <w:rFonts w:ascii="Arial" w:hAnsi="Arial" w:cs="Arial"/>
          <w:color w:val="000000" w:themeColor="text1"/>
        </w:rPr>
        <w:t xml:space="preserve"> rates, the barriers and facilitators, and how to address these issues</w:t>
      </w:r>
      <w:r w:rsidR="0023299E">
        <w:rPr>
          <w:rFonts w:ascii="Arial" w:hAnsi="Arial" w:cs="Arial"/>
          <w:color w:val="000000" w:themeColor="text1"/>
        </w:rPr>
        <w:t xml:space="preserve"> </w:t>
      </w:r>
      <w:r w:rsidRPr="00B031A0">
        <w:rPr>
          <w:rFonts w:ascii="Arial" w:hAnsi="Arial" w:cs="Arial"/>
          <w:color w:val="000000" w:themeColor="text1"/>
        </w:rPr>
        <w:t xml:space="preserve">(Bredin </w:t>
      </w:r>
      <w:r w:rsidRPr="00B031A0" w:rsidR="00776C49">
        <w:rPr>
          <w:rFonts w:ascii="Arial" w:hAnsi="Arial" w:cs="Arial"/>
          <w:color w:val="000000" w:themeColor="text1"/>
        </w:rPr>
        <w:t>et al</w:t>
      </w:r>
      <w:r w:rsidRPr="00B031A0">
        <w:rPr>
          <w:rFonts w:ascii="Arial" w:hAnsi="Arial" w:cs="Arial"/>
          <w:color w:val="000000" w:themeColor="text1"/>
        </w:rPr>
        <w:t>., 2022). The primary goal of the study is to shed light on these concerns, fostering improved patient safety, healthcare cost savings, and infection mitigation strategies for hospitals in the United Kingdom.</w:t>
      </w:r>
    </w:p>
    <w:p w:rsidRPr="00B031A0" w:rsidR="00C77BF3" w:rsidP="007F5072" w:rsidRDefault="00115699" w14:paraId="03EFF1FE" w14:textId="77777777">
      <w:pPr>
        <w:pStyle w:val="Heading1"/>
        <w:jc w:val="both"/>
      </w:pPr>
      <w:bookmarkStart w:name="_Toc240696148" w:id="3"/>
      <w:r w:rsidRPr="00B031A0">
        <w:t>1.3 Statement of the Problem</w:t>
      </w:r>
      <w:bookmarkEnd w:id="3"/>
      <w:r w:rsidRPr="00B031A0">
        <w:t xml:space="preserve"> </w:t>
      </w:r>
    </w:p>
    <w:p w:rsidRPr="00B031A0" w:rsidR="00C77BF3" w:rsidRDefault="00115699" w14:paraId="27234A02" w14:textId="0FFAC2A7">
      <w:pPr>
        <w:rPr>
          <w:rFonts w:ascii="Arial" w:hAnsi="Arial" w:cs="Arial"/>
          <w:color w:val="000000" w:themeColor="text1"/>
        </w:rPr>
      </w:pPr>
      <w:r w:rsidRPr="00B031A0">
        <w:rPr>
          <w:rFonts w:ascii="Arial" w:hAnsi="Arial" w:cs="Arial"/>
          <w:color w:val="000000" w:themeColor="text1"/>
        </w:rPr>
        <w:t xml:space="preserve">Despite the guidelines being in place to reduce the prevalence of healthcare-associated infections (HAIs), these remain a concern in hospitals in the UK, with 7.6% of all inpatients in the UK stating </w:t>
      </w:r>
      <w:r w:rsidRPr="00B031A0" w:rsidR="004553F0">
        <w:rPr>
          <w:rFonts w:ascii="Arial" w:hAnsi="Arial" w:cs="Arial"/>
          <w:color w:val="000000" w:themeColor="text1"/>
        </w:rPr>
        <w:t>a</w:t>
      </w:r>
      <w:r w:rsidRPr="00B031A0">
        <w:rPr>
          <w:rFonts w:ascii="Arial" w:hAnsi="Arial" w:cs="Arial"/>
          <w:color w:val="000000" w:themeColor="text1"/>
        </w:rPr>
        <w:t xml:space="preserve"> Healthcare-associated infections (HAIs) (UK Health Security Agency, 202</w:t>
      </w:r>
      <w:r w:rsidR="009222DD">
        <w:rPr>
          <w:rFonts w:ascii="Arial" w:hAnsi="Arial" w:cs="Arial"/>
          <w:color w:val="000000" w:themeColor="text1"/>
        </w:rPr>
        <w:t>5</w:t>
      </w:r>
      <w:r w:rsidRPr="00B031A0">
        <w:rPr>
          <w:rFonts w:ascii="Arial" w:hAnsi="Arial" w:cs="Arial"/>
          <w:color w:val="000000" w:themeColor="text1"/>
        </w:rPr>
        <w:t xml:space="preserve">). Hand hygiene (HH) compliance by nurses is one of the most critical aspects of infection prevention and control (IPC), and the degree of compliance is often below the “100%” target, typically between 40% and 60% (Bredin </w:t>
      </w:r>
      <w:r w:rsidRPr="00B031A0" w:rsidR="00776C49">
        <w:rPr>
          <w:rFonts w:ascii="Arial" w:hAnsi="Arial" w:cs="Arial"/>
          <w:color w:val="000000" w:themeColor="text1"/>
        </w:rPr>
        <w:t>et al</w:t>
      </w:r>
      <w:r w:rsidRPr="00B031A0">
        <w:rPr>
          <w:rFonts w:ascii="Arial" w:hAnsi="Arial" w:cs="Arial"/>
          <w:color w:val="000000" w:themeColor="text1"/>
        </w:rPr>
        <w:t>., 2022). This gap gives rise to high morbidity rates among patients, longer hospital stays, and high NHS costs. Similarly, issues around workload, limited resources, and, crucially, issues of compliance show that it is important to systematically look at how hand hygiene activity by nurses might relate to rates of Healthcare-associated infections (HAIs)</w:t>
      </w:r>
      <w:r w:rsidR="004553F0">
        <w:rPr>
          <w:rFonts w:ascii="Arial" w:hAnsi="Arial" w:cs="Arial"/>
          <w:color w:val="000000" w:themeColor="text1"/>
        </w:rPr>
        <w:t xml:space="preserve"> </w:t>
      </w:r>
      <w:r w:rsidRPr="00B031A0">
        <w:rPr>
          <w:rFonts w:ascii="Arial" w:hAnsi="Arial" w:cs="Arial"/>
          <w:color w:val="000000" w:themeColor="text1"/>
        </w:rPr>
        <w:t xml:space="preserve">across the UK (Bajunaid </w:t>
      </w:r>
      <w:r w:rsidRPr="00B031A0" w:rsidR="00776C49">
        <w:rPr>
          <w:rFonts w:ascii="Arial" w:hAnsi="Arial" w:cs="Arial"/>
          <w:color w:val="000000" w:themeColor="text1"/>
        </w:rPr>
        <w:t>et al</w:t>
      </w:r>
      <w:r w:rsidRPr="00B031A0">
        <w:rPr>
          <w:rFonts w:ascii="Arial" w:hAnsi="Arial" w:cs="Arial"/>
          <w:color w:val="000000" w:themeColor="text1"/>
        </w:rPr>
        <w:t>., 2024).</w:t>
      </w:r>
    </w:p>
    <w:p w:rsidRPr="00B031A0" w:rsidR="00C77BF3" w:rsidP="007F5072" w:rsidRDefault="00115699" w14:paraId="0FDAF310" w14:textId="77777777">
      <w:pPr>
        <w:pStyle w:val="Heading1"/>
        <w:jc w:val="both"/>
      </w:pPr>
      <w:bookmarkStart w:name="_Toc240696149" w:id="4"/>
      <w:r w:rsidRPr="00B031A0">
        <w:t>1.4 Research Rationale</w:t>
      </w:r>
      <w:bookmarkEnd w:id="4"/>
      <w:r w:rsidRPr="00B031A0">
        <w:t xml:space="preserve"> </w:t>
      </w:r>
    </w:p>
    <w:p w:rsidRPr="00B031A0" w:rsidR="00C77BF3" w:rsidRDefault="00115699" w14:paraId="5DAB7976" w14:textId="056F3B14">
      <w:pPr>
        <w:rPr>
          <w:rFonts w:ascii="Arial" w:hAnsi="Arial" w:cs="Arial"/>
          <w:color w:val="000000" w:themeColor="text1"/>
        </w:rPr>
      </w:pPr>
      <w:r w:rsidRPr="00B031A0">
        <w:rPr>
          <w:rFonts w:ascii="Arial" w:hAnsi="Arial" w:cs="Arial"/>
          <w:color w:val="000000" w:themeColor="text1"/>
        </w:rPr>
        <w:t>Healthcare-associated infections (HAIs) are a major, and preventable, burden in the UK healthcare system. Healthcare-associated infections (HAIs)currently account for 7.6% of hospital inpatients in England and can cause death, long hospital stays, acquisition of antimicrobial resistance, and a high NHS cost (UK Health Security Agency, 202</w:t>
      </w:r>
      <w:r w:rsidR="00AF1219">
        <w:rPr>
          <w:rFonts w:ascii="Arial" w:hAnsi="Arial" w:cs="Arial"/>
          <w:color w:val="000000" w:themeColor="text1"/>
        </w:rPr>
        <w:t>5</w:t>
      </w:r>
      <w:r w:rsidRPr="00B031A0">
        <w:rPr>
          <w:rFonts w:ascii="Arial" w:hAnsi="Arial" w:cs="Arial"/>
          <w:color w:val="000000" w:themeColor="text1"/>
        </w:rPr>
        <w:t xml:space="preserve">). Nurses' work is important in infection prevention, and their numbers are higher than in any single profession that works with patients. </w:t>
      </w:r>
      <w:r w:rsidR="007C25F7">
        <w:rPr>
          <w:rFonts w:ascii="Arial" w:hAnsi="Arial" w:cs="Arial"/>
          <w:color w:val="000000" w:themeColor="text1"/>
        </w:rPr>
        <w:t>Among</w:t>
      </w:r>
      <w:r w:rsidRPr="00B031A0">
        <w:rPr>
          <w:rFonts w:ascii="Arial" w:hAnsi="Arial" w:cs="Arial"/>
          <w:color w:val="000000" w:themeColor="text1"/>
        </w:rPr>
        <w:t xml:space="preserve"> them, rates of hand hygiene compliance are suboptimal (40-60%) (Bredin </w:t>
      </w:r>
      <w:r w:rsidRPr="00B031A0" w:rsidR="00776C49">
        <w:rPr>
          <w:rFonts w:ascii="Arial" w:hAnsi="Arial" w:cs="Arial"/>
          <w:color w:val="000000" w:themeColor="text1"/>
        </w:rPr>
        <w:t>et al</w:t>
      </w:r>
      <w:r w:rsidRPr="00B031A0">
        <w:rPr>
          <w:rFonts w:ascii="Arial" w:hAnsi="Arial" w:cs="Arial"/>
          <w:color w:val="000000" w:themeColor="text1"/>
        </w:rPr>
        <w:t xml:space="preserve">., 2022; Mouajou </w:t>
      </w:r>
      <w:r w:rsidRPr="00B031A0" w:rsidR="00776C49">
        <w:rPr>
          <w:rFonts w:ascii="Arial" w:hAnsi="Arial" w:cs="Arial"/>
          <w:color w:val="000000" w:themeColor="text1"/>
        </w:rPr>
        <w:t>et al</w:t>
      </w:r>
      <w:r w:rsidRPr="00B031A0">
        <w:rPr>
          <w:rFonts w:ascii="Arial" w:hAnsi="Arial" w:cs="Arial"/>
          <w:color w:val="000000" w:themeColor="text1"/>
        </w:rPr>
        <w:t>., 2022).</w:t>
      </w:r>
    </w:p>
    <w:p w:rsidRPr="00B031A0" w:rsidR="00C77BF3" w:rsidRDefault="004553F0" w14:paraId="165F9D1B" w14:textId="0F16058B">
      <w:pPr>
        <w:rPr>
          <w:rFonts w:ascii="Arial" w:hAnsi="Arial" w:cs="Arial"/>
          <w:color w:val="000000" w:themeColor="text1"/>
        </w:rPr>
      </w:pPr>
      <w:r w:rsidRPr="00B031A0">
        <w:rPr>
          <w:rFonts w:ascii="Arial" w:hAnsi="Arial" w:cs="Arial"/>
          <w:color w:val="000000" w:themeColor="text1"/>
        </w:rPr>
        <w:t>So,</w:t>
      </w:r>
      <w:r w:rsidRPr="00B031A0" w:rsidR="00115699">
        <w:rPr>
          <w:rFonts w:ascii="Arial" w:hAnsi="Arial" w:cs="Arial"/>
          <w:color w:val="000000" w:themeColor="text1"/>
        </w:rPr>
        <w:t xml:space="preserve"> it is worth recalling that there is still a gap between policy and practice at the national level and, hence, the need for this systematic review. Despite the strong World Health Organisation</w:t>
      </w:r>
      <w:r>
        <w:rPr>
          <w:rFonts w:ascii="Arial" w:hAnsi="Arial" w:cs="Arial"/>
          <w:color w:val="000000" w:themeColor="text1"/>
        </w:rPr>
        <w:t xml:space="preserve"> </w:t>
      </w:r>
      <w:r w:rsidRPr="00B031A0" w:rsidR="00115699">
        <w:rPr>
          <w:rFonts w:ascii="Arial" w:hAnsi="Arial" w:cs="Arial"/>
          <w:color w:val="000000" w:themeColor="text1"/>
        </w:rPr>
        <w:t>(WHO) and National Institute for Health and Care Excellence (NICE) principles on the importance of hand hygiene, compliance remains low, especially on high-risk wards such as ICUs (UK Health Security Agency, 202</w:t>
      </w:r>
      <w:r w:rsidR="00AF1219">
        <w:rPr>
          <w:rFonts w:ascii="Arial" w:hAnsi="Arial" w:cs="Arial"/>
          <w:color w:val="000000" w:themeColor="text1"/>
        </w:rPr>
        <w:t>5</w:t>
      </w:r>
      <w:r w:rsidRPr="00B031A0" w:rsidR="00115699">
        <w:rPr>
          <w:rFonts w:ascii="Arial" w:hAnsi="Arial" w:cs="Arial"/>
          <w:color w:val="000000" w:themeColor="text1"/>
        </w:rPr>
        <w:t xml:space="preserve">). In the short term, the COVID-19 pandemic </w:t>
      </w:r>
      <w:r w:rsidRPr="00B031A0" w:rsidR="00B031A0">
        <w:rPr>
          <w:rFonts w:ascii="Arial" w:hAnsi="Arial" w:cs="Arial"/>
          <w:color w:val="000000" w:themeColor="text1"/>
        </w:rPr>
        <w:t>increased</w:t>
      </w:r>
      <w:r w:rsidRPr="00B031A0" w:rsidR="00115699">
        <w:rPr>
          <w:rFonts w:ascii="Arial" w:hAnsi="Arial" w:cs="Arial"/>
          <w:color w:val="000000" w:themeColor="text1"/>
        </w:rPr>
        <w:t xml:space="preserve"> compliance; however, compliance levels were not maintained with the increase in workload, lack of input, and people's fatigue (Ali, Mekonen and Tesfahun, 2023).</w:t>
      </w:r>
    </w:p>
    <w:p w:rsidRPr="00B031A0" w:rsidR="00C77BF3" w:rsidRDefault="00115699" w14:paraId="6D1AC43C" w14:textId="4653AF65">
      <w:pPr>
        <w:rPr>
          <w:rFonts w:ascii="Arial" w:hAnsi="Arial" w:cs="Arial"/>
          <w:color w:val="000000" w:themeColor="text1"/>
        </w:rPr>
      </w:pPr>
      <w:r w:rsidRPr="00B031A0">
        <w:rPr>
          <w:rFonts w:ascii="Arial" w:hAnsi="Arial" w:cs="Arial"/>
          <w:color w:val="000000" w:themeColor="text1"/>
        </w:rPr>
        <w:t xml:space="preserve">This study is opportune given its narrow scope of just UK hospitals, where there is limited evidence </w:t>
      </w:r>
      <w:r w:rsidRPr="00B031A0" w:rsidR="00B031A0">
        <w:rPr>
          <w:rFonts w:ascii="Arial" w:hAnsi="Arial" w:cs="Arial"/>
          <w:color w:val="000000" w:themeColor="text1"/>
        </w:rPr>
        <w:t>synthesising</w:t>
      </w:r>
      <w:r w:rsidRPr="00B031A0">
        <w:rPr>
          <w:rFonts w:ascii="Arial" w:hAnsi="Arial" w:cs="Arial"/>
          <w:color w:val="000000" w:themeColor="text1"/>
        </w:rPr>
        <w:t xml:space="preserve"> the direct link between nurse hand hygiene compliance and rates of </w:t>
      </w:r>
      <w:r w:rsidRPr="00B031A0" w:rsidR="004553F0">
        <w:rPr>
          <w:rFonts w:ascii="Arial" w:hAnsi="Arial" w:cs="Arial"/>
          <w:color w:val="000000" w:themeColor="text1"/>
        </w:rPr>
        <w:t>healthcare</w:t>
      </w:r>
      <w:r w:rsidRPr="00B031A0">
        <w:rPr>
          <w:rFonts w:ascii="Arial" w:hAnsi="Arial" w:cs="Arial"/>
          <w:color w:val="000000" w:themeColor="text1"/>
        </w:rPr>
        <w:t xml:space="preserve">-associated infections (HAIs) (Besnier </w:t>
      </w:r>
      <w:r w:rsidRPr="00B031A0" w:rsidR="00776C49">
        <w:rPr>
          <w:rFonts w:ascii="Arial" w:hAnsi="Arial" w:cs="Arial"/>
          <w:color w:val="000000" w:themeColor="text1"/>
        </w:rPr>
        <w:t>et al</w:t>
      </w:r>
      <w:r w:rsidRPr="00B031A0">
        <w:rPr>
          <w:rFonts w:ascii="Arial" w:hAnsi="Arial" w:cs="Arial"/>
          <w:color w:val="000000" w:themeColor="text1"/>
        </w:rPr>
        <w:t xml:space="preserve">., 2026). This review will try to </w:t>
      </w:r>
      <w:r w:rsidRPr="00B031A0" w:rsidR="00B031A0">
        <w:rPr>
          <w:rFonts w:ascii="Arial" w:hAnsi="Arial" w:cs="Arial"/>
          <w:color w:val="000000" w:themeColor="text1"/>
        </w:rPr>
        <w:t>summarise</w:t>
      </w:r>
      <w:r w:rsidRPr="00B031A0">
        <w:rPr>
          <w:rFonts w:ascii="Arial" w:hAnsi="Arial" w:cs="Arial"/>
          <w:color w:val="000000" w:themeColor="text1"/>
        </w:rPr>
        <w:t xml:space="preserve"> some of the main inhibitors and enablers to compliance and evaluate the effectiveness of main interventions to support compliance while providing insight into the available literature. This evidence is used to help develop strategies and interventions to enhance patient safety, save in health care expenditure, and enable National Health Service (NHS) work on antimicrobial resistance (Ali </w:t>
      </w:r>
      <w:r w:rsidRPr="00B031A0" w:rsidR="00776C49">
        <w:rPr>
          <w:rFonts w:ascii="Arial" w:hAnsi="Arial" w:cs="Arial"/>
          <w:color w:val="000000" w:themeColor="text1"/>
        </w:rPr>
        <w:t>et al</w:t>
      </w:r>
      <w:r w:rsidRPr="00B031A0">
        <w:rPr>
          <w:rFonts w:ascii="Arial" w:hAnsi="Arial" w:cs="Arial"/>
          <w:color w:val="000000" w:themeColor="text1"/>
        </w:rPr>
        <w:t xml:space="preserve">., 2023). </w:t>
      </w:r>
    </w:p>
    <w:p w:rsidRPr="00B031A0" w:rsidR="00C77BF3" w:rsidP="007F5072" w:rsidRDefault="00115699" w14:paraId="36E7312D" w14:textId="77777777">
      <w:pPr>
        <w:pStyle w:val="Heading1"/>
        <w:jc w:val="both"/>
      </w:pPr>
      <w:bookmarkStart w:name="_Toc240696150" w:id="5"/>
      <w:r w:rsidRPr="00B031A0">
        <w:t>1.5 Research Questions</w:t>
      </w:r>
      <w:bookmarkEnd w:id="5"/>
    </w:p>
    <w:p w:rsidRPr="00B031A0" w:rsidR="00C77BF3" w:rsidRDefault="00115699" w14:paraId="5E565D18" w14:textId="77777777">
      <w:pPr>
        <w:rPr>
          <w:rFonts w:ascii="Arial" w:hAnsi="Arial" w:cs="Arial"/>
          <w:color w:val="000000" w:themeColor="text1"/>
        </w:rPr>
      </w:pPr>
      <w:r w:rsidRPr="00B031A0">
        <w:rPr>
          <w:rFonts w:ascii="Arial" w:hAnsi="Arial" w:cs="Arial"/>
          <w:color w:val="000000" w:themeColor="text1"/>
        </w:rPr>
        <w:t>How does hand hygiene compliance among healthcare workers influence the incidence of healthcare-associated infections in UK Hospitals?</w:t>
      </w:r>
    </w:p>
    <w:p w:rsidRPr="00B031A0" w:rsidR="00C77BF3" w:rsidP="007F5072" w:rsidRDefault="00115699" w14:paraId="323E4214" w14:textId="77777777">
      <w:pPr>
        <w:pStyle w:val="Heading1"/>
        <w:jc w:val="both"/>
      </w:pPr>
      <w:bookmarkStart w:name="_Toc240696151" w:id="6"/>
      <w:r w:rsidRPr="00B031A0">
        <w:t>1.6 Research Aim</w:t>
      </w:r>
      <w:bookmarkEnd w:id="6"/>
    </w:p>
    <w:p w:rsidRPr="00B031A0" w:rsidR="00C77BF3" w:rsidRDefault="00115699" w14:paraId="1979C35F" w14:textId="137C924E">
      <w:pPr>
        <w:rPr>
          <w:rFonts w:ascii="Arial" w:hAnsi="Arial" w:cs="Arial"/>
          <w:color w:val="000000" w:themeColor="text1"/>
        </w:rPr>
      </w:pPr>
      <w:r w:rsidRPr="00B031A0">
        <w:rPr>
          <w:rFonts w:ascii="Arial" w:hAnsi="Arial" w:cs="Arial"/>
          <w:color w:val="000000" w:themeColor="text1"/>
        </w:rPr>
        <w:t>This systematic review seeks to explore the existing evidence on the influence of nurses' hand hygiene compliance on reducing Healthcare-associated infections (HAIs)</w:t>
      </w:r>
      <w:r w:rsidR="004553F0">
        <w:rPr>
          <w:rFonts w:ascii="Arial" w:hAnsi="Arial" w:cs="Arial"/>
          <w:color w:val="000000" w:themeColor="text1"/>
        </w:rPr>
        <w:t xml:space="preserve"> </w:t>
      </w:r>
      <w:r w:rsidRPr="00B031A0">
        <w:rPr>
          <w:rFonts w:ascii="Arial" w:hAnsi="Arial" w:cs="Arial"/>
          <w:color w:val="000000" w:themeColor="text1"/>
        </w:rPr>
        <w:t xml:space="preserve">within UK hospitals, to define the key barriers to compliance, and to </w:t>
      </w:r>
      <w:r w:rsidR="007F5072">
        <w:rPr>
          <w:rFonts w:ascii="Arial" w:hAnsi="Arial" w:cs="Arial"/>
          <w:color w:val="000000" w:themeColor="text1"/>
        </w:rPr>
        <w:t>analyse</w:t>
      </w:r>
      <w:r w:rsidRPr="00B031A0">
        <w:rPr>
          <w:rFonts w:ascii="Arial" w:hAnsi="Arial" w:cs="Arial"/>
          <w:color w:val="000000" w:themeColor="text1"/>
        </w:rPr>
        <w:t xml:space="preserve"> the effectiveness of compliance interventions.</w:t>
      </w:r>
    </w:p>
    <w:p w:rsidRPr="00B031A0" w:rsidR="00C77BF3" w:rsidP="007F5072" w:rsidRDefault="00115699" w14:paraId="6F48DFA3" w14:textId="77777777">
      <w:pPr>
        <w:pStyle w:val="Heading1"/>
        <w:jc w:val="both"/>
      </w:pPr>
      <w:bookmarkStart w:name="_Toc240696152" w:id="7"/>
      <w:r w:rsidRPr="00B031A0">
        <w:t>1.7 Research Objectives</w:t>
      </w:r>
      <w:bookmarkEnd w:id="7"/>
      <w:r w:rsidRPr="00B031A0">
        <w:t xml:space="preserve"> </w:t>
      </w:r>
    </w:p>
    <w:p w:rsidRPr="00B031A0" w:rsidR="00C77BF3" w:rsidP="007F5072" w:rsidRDefault="00115699" w14:paraId="59B85F08" w14:textId="77777777">
      <w:pPr>
        <w:numPr>
          <w:ilvl w:val="0"/>
          <w:numId w:val="1"/>
        </w:numPr>
        <w:spacing w:after="0"/>
        <w:rPr>
          <w:rFonts w:ascii="Arial" w:hAnsi="Arial" w:cs="Arial"/>
          <w:color w:val="000000" w:themeColor="text1"/>
        </w:rPr>
      </w:pPr>
      <w:r w:rsidRPr="00B031A0">
        <w:rPr>
          <w:rFonts w:ascii="Arial" w:hAnsi="Arial" w:cs="Arial"/>
          <w:color w:val="000000" w:themeColor="text1"/>
        </w:rPr>
        <w:t>To identify the most common healthcare-associated infections in UK hospitals.</w:t>
      </w:r>
    </w:p>
    <w:p w:rsidRPr="00B031A0" w:rsidR="00C77BF3" w:rsidP="007F5072" w:rsidRDefault="00115699" w14:paraId="1122A8A0" w14:textId="77777777">
      <w:pPr>
        <w:numPr>
          <w:ilvl w:val="0"/>
          <w:numId w:val="1"/>
        </w:numPr>
        <w:spacing w:after="0"/>
        <w:rPr>
          <w:rFonts w:ascii="Arial" w:hAnsi="Arial" w:cs="Arial"/>
          <w:color w:val="000000" w:themeColor="text1"/>
        </w:rPr>
      </w:pPr>
      <w:r w:rsidRPr="00B031A0">
        <w:rPr>
          <w:rFonts w:ascii="Arial" w:hAnsi="Arial" w:cs="Arial"/>
          <w:color w:val="000000" w:themeColor="text1"/>
        </w:rPr>
        <w:t>To examine factors influencing hand hygiene compliance among healthcare workers.</w:t>
      </w:r>
    </w:p>
    <w:p w:rsidRPr="00B031A0" w:rsidR="00C77BF3" w:rsidP="007F5072" w:rsidRDefault="00115699" w14:paraId="79ABB91F" w14:textId="77777777">
      <w:pPr>
        <w:numPr>
          <w:ilvl w:val="0"/>
          <w:numId w:val="1"/>
        </w:numPr>
        <w:rPr>
          <w:rFonts w:ascii="Arial" w:hAnsi="Arial" w:cs="Arial"/>
          <w:color w:val="000000" w:themeColor="text1"/>
        </w:rPr>
      </w:pPr>
      <w:r w:rsidRPr="00B031A0">
        <w:rPr>
          <w:rFonts w:ascii="Arial" w:hAnsi="Arial" w:cs="Arial"/>
          <w:color w:val="000000" w:themeColor="text1"/>
        </w:rPr>
        <w:t>To evaluate the effectiveness of hand hygiene interventions in reducing infection rates.</w:t>
      </w:r>
    </w:p>
    <w:p w:rsidRPr="00B031A0" w:rsidR="00C77BF3" w:rsidP="007F5072" w:rsidRDefault="00115699" w14:paraId="4BE9C08A" w14:textId="77777777">
      <w:pPr>
        <w:numPr>
          <w:ilvl w:val="0"/>
          <w:numId w:val="1"/>
        </w:numPr>
        <w:rPr>
          <w:rFonts w:ascii="Arial" w:hAnsi="Arial" w:cs="Arial"/>
          <w:color w:val="000000" w:themeColor="text1"/>
        </w:rPr>
      </w:pPr>
      <w:r w:rsidRPr="00B031A0">
        <w:rPr>
          <w:rFonts w:ascii="Arial" w:hAnsi="Arial" w:cs="Arial"/>
          <w:color w:val="000000" w:themeColor="text1"/>
        </w:rPr>
        <w:t xml:space="preserve">To suggest recommendations for enhancing hand hygiene observance of nurses in UK hospitals. </w:t>
      </w:r>
    </w:p>
    <w:p w:rsidRPr="00B031A0" w:rsidR="00C77BF3" w:rsidP="007F5072" w:rsidRDefault="00115699" w14:paraId="618C45B9" w14:textId="77777777">
      <w:pPr>
        <w:pStyle w:val="Heading1"/>
        <w:jc w:val="both"/>
      </w:pPr>
      <w:bookmarkStart w:name="_Toc240696153" w:id="8"/>
      <w:r w:rsidRPr="00B031A0">
        <w:t>1.8 Research Significance</w:t>
      </w:r>
      <w:bookmarkEnd w:id="8"/>
    </w:p>
    <w:p w:rsidRPr="00B031A0" w:rsidR="00C77BF3" w:rsidRDefault="00115699" w14:paraId="5D5BB102" w14:textId="4FD72538">
      <w:pPr>
        <w:rPr>
          <w:rFonts w:ascii="Arial" w:hAnsi="Arial" w:cs="Arial"/>
          <w:color w:val="000000" w:themeColor="text1"/>
        </w:rPr>
      </w:pPr>
      <w:r w:rsidRPr="00B031A0">
        <w:rPr>
          <w:rFonts w:ascii="Arial" w:hAnsi="Arial" w:cs="Arial"/>
          <w:color w:val="000000" w:themeColor="text1"/>
        </w:rPr>
        <w:t xml:space="preserve">The findings of this systematic review are of potential great importance for patient safety, clinical practice, health services policy, and economic sustainability in the United Kingdom's National Health </w:t>
      </w:r>
      <w:r w:rsidRPr="00B031A0" w:rsidR="00B031A0">
        <w:rPr>
          <w:rFonts w:ascii="Arial" w:hAnsi="Arial" w:cs="Arial"/>
          <w:color w:val="000000" w:themeColor="text1"/>
        </w:rPr>
        <w:t>Service</w:t>
      </w:r>
      <w:r w:rsidRPr="00B031A0">
        <w:rPr>
          <w:rFonts w:ascii="Arial" w:hAnsi="Arial" w:cs="Arial"/>
          <w:color w:val="000000" w:themeColor="text1"/>
        </w:rPr>
        <w:t xml:space="preserve"> (NHS) (Ali </w:t>
      </w:r>
      <w:r w:rsidRPr="00B031A0" w:rsidR="00776C49">
        <w:rPr>
          <w:rFonts w:ascii="Arial" w:hAnsi="Arial" w:cs="Arial"/>
          <w:color w:val="000000" w:themeColor="text1"/>
        </w:rPr>
        <w:t>et al</w:t>
      </w:r>
      <w:r w:rsidRPr="00B031A0">
        <w:rPr>
          <w:rFonts w:ascii="Arial" w:hAnsi="Arial" w:cs="Arial"/>
          <w:color w:val="000000" w:themeColor="text1"/>
        </w:rPr>
        <w:t>., 2023). The study focuses on a pressing issue of preventable harm in healthcare facilities: healthcare-associated infections (HAIs) and how compliance with hand hygiene among nurses influences these infections. In England, hospital inpatients have been estimated to have a 7.6% prevalence of Healthcare-associated infections (HAIs) (UK Health Security Agency, 202</w:t>
      </w:r>
      <w:r w:rsidR="00AF1219">
        <w:rPr>
          <w:rFonts w:ascii="Arial" w:hAnsi="Arial" w:cs="Arial"/>
          <w:color w:val="000000" w:themeColor="text1"/>
        </w:rPr>
        <w:t>5</w:t>
      </w:r>
      <w:r w:rsidRPr="00B031A0">
        <w:rPr>
          <w:rFonts w:ascii="Arial" w:hAnsi="Arial" w:cs="Arial"/>
          <w:color w:val="000000" w:themeColor="text1"/>
        </w:rPr>
        <w:t>), and an improvement in hand hygiene practice could significantly decrease the morbidity, mortality, and length of inpatient stay.</w:t>
      </w:r>
    </w:p>
    <w:p w:rsidRPr="00B031A0" w:rsidR="00C77BF3" w:rsidRDefault="00115699" w14:paraId="21A27BA9" w14:textId="355B42B8">
      <w:pPr>
        <w:rPr>
          <w:rFonts w:ascii="Arial" w:hAnsi="Arial" w:cs="Arial"/>
          <w:color w:val="000000" w:themeColor="text1"/>
        </w:rPr>
      </w:pPr>
      <w:r w:rsidRPr="00B031A0">
        <w:rPr>
          <w:rFonts w:ascii="Arial" w:hAnsi="Arial" w:cs="Arial"/>
          <w:color w:val="000000" w:themeColor="text1"/>
        </w:rPr>
        <w:t xml:space="preserve">This review has valuable findings for nursing practice. Nurses are the number one healthcare workers with the most continuous contact with patients (UKHSA, 2023). As evidence of hand hygiene compliance improves, so </w:t>
      </w:r>
      <w:r w:rsidR="007F5072">
        <w:rPr>
          <w:rFonts w:ascii="Arial" w:hAnsi="Arial" w:cs="Arial"/>
          <w:color w:val="000000" w:themeColor="text1"/>
        </w:rPr>
        <w:t>does</w:t>
      </w:r>
      <w:r w:rsidRPr="00B031A0">
        <w:rPr>
          <w:rFonts w:ascii="Arial" w:hAnsi="Arial" w:cs="Arial"/>
          <w:color w:val="000000" w:themeColor="text1"/>
        </w:rPr>
        <w:t xml:space="preserve"> nurses' ability to provide targeted strategies to overcome common challenges like time pressures and resource constraints (Bredin </w:t>
      </w:r>
      <w:r w:rsidRPr="00B031A0" w:rsidR="00776C49">
        <w:rPr>
          <w:rFonts w:ascii="Arial" w:hAnsi="Arial" w:cs="Arial"/>
          <w:color w:val="000000" w:themeColor="text1"/>
        </w:rPr>
        <w:t>et al</w:t>
      </w:r>
      <w:r w:rsidRPr="00B031A0">
        <w:rPr>
          <w:rFonts w:ascii="Arial" w:hAnsi="Arial" w:cs="Arial"/>
          <w:color w:val="000000" w:themeColor="text1"/>
        </w:rPr>
        <w:t xml:space="preserve">., 2022). Better compliance can help develop a more secure clinical environment and boost the quality of care (Religioni </w:t>
      </w:r>
      <w:r w:rsidRPr="00B031A0" w:rsidR="00776C49">
        <w:rPr>
          <w:rFonts w:ascii="Arial" w:hAnsi="Arial" w:cs="Arial"/>
          <w:color w:val="000000" w:themeColor="text1"/>
        </w:rPr>
        <w:t>et al</w:t>
      </w:r>
      <w:r w:rsidRPr="00B031A0">
        <w:rPr>
          <w:rFonts w:ascii="Arial" w:hAnsi="Arial" w:cs="Arial"/>
          <w:color w:val="000000" w:themeColor="text1"/>
        </w:rPr>
        <w:t>., 2025).</w:t>
      </w:r>
    </w:p>
    <w:p w:rsidRPr="00B031A0" w:rsidR="00C77BF3" w:rsidRDefault="00115699" w14:paraId="716EC561" w14:textId="5C6CAF21">
      <w:pPr>
        <w:rPr>
          <w:rFonts w:ascii="Arial" w:hAnsi="Arial" w:cs="Arial"/>
          <w:color w:val="000000" w:themeColor="text1"/>
        </w:rPr>
      </w:pPr>
      <w:r w:rsidRPr="00B031A0">
        <w:rPr>
          <w:rFonts w:ascii="Arial" w:hAnsi="Arial" w:cs="Arial"/>
          <w:color w:val="000000" w:themeColor="text1"/>
        </w:rPr>
        <w:t xml:space="preserve">This study has a wider impact on healthcare as it adds to the knowledge base of infection prevention and control. Although systematic review literature has consistently demonstrated an association between hand hygiene and decreased rates of Healthcare-associated infections (HAIs) (Mouajou </w:t>
      </w:r>
      <w:r w:rsidRPr="00B031A0" w:rsidR="00776C49">
        <w:rPr>
          <w:rFonts w:ascii="Arial" w:hAnsi="Arial" w:cs="Arial"/>
          <w:color w:val="000000" w:themeColor="text1"/>
        </w:rPr>
        <w:t>et al</w:t>
      </w:r>
      <w:r w:rsidRPr="00B031A0">
        <w:rPr>
          <w:rFonts w:ascii="Arial" w:hAnsi="Arial" w:cs="Arial"/>
          <w:color w:val="000000" w:themeColor="text1"/>
        </w:rPr>
        <w:t>., 2022), the UK-specific systematic reviews on the topic relating to nursing practice are still limited.</w:t>
      </w:r>
    </w:p>
    <w:p w:rsidRPr="00B031A0" w:rsidR="00C77BF3" w:rsidRDefault="00115699" w14:paraId="419702EA" w14:textId="2CBA21CB">
      <w:pPr>
        <w:rPr>
          <w:rFonts w:ascii="Arial" w:hAnsi="Arial" w:cs="Arial"/>
          <w:color w:val="000000" w:themeColor="text1"/>
        </w:rPr>
      </w:pPr>
      <w:r w:rsidRPr="00B031A0">
        <w:rPr>
          <w:rFonts w:ascii="Arial" w:hAnsi="Arial" w:cs="Arial"/>
          <w:color w:val="000000" w:themeColor="text1"/>
        </w:rPr>
        <w:t>This issue has economic ramifications. Extended admissions, extra treatments, and managing antimicrobial resistance all bring a significant economic burden to the National Health Service (NHS) and are a source of Healthcare-associated infections (HAIs)</w:t>
      </w:r>
      <w:r w:rsidR="004553F0">
        <w:rPr>
          <w:rFonts w:ascii="Arial" w:hAnsi="Arial" w:cs="Arial"/>
          <w:color w:val="000000" w:themeColor="text1"/>
        </w:rPr>
        <w:t xml:space="preserve"> </w:t>
      </w:r>
      <w:r w:rsidR="005328C8">
        <w:rPr>
          <w:rFonts w:ascii="Arial" w:hAnsi="Arial" w:cs="Arial"/>
          <w:color w:val="000000" w:themeColor="text1"/>
        </w:rPr>
        <w:t>(</w:t>
      </w:r>
      <w:r w:rsidRPr="00B031A0" w:rsidR="004553F0">
        <w:rPr>
          <w:rFonts w:ascii="Arial" w:hAnsi="Arial" w:cs="Arial"/>
          <w:color w:val="000000" w:themeColor="text1"/>
        </w:rPr>
        <w:t>Kutter et al., 2018)</w:t>
      </w:r>
      <w:r w:rsidRPr="00B031A0">
        <w:rPr>
          <w:rFonts w:ascii="Arial" w:hAnsi="Arial" w:cs="Arial"/>
          <w:color w:val="000000" w:themeColor="text1"/>
        </w:rPr>
        <w:t xml:space="preserve">. This review can help deliver cost-saving strategies and the better allocation of resources when identifying effective interventions. In addition, </w:t>
      </w:r>
      <w:r w:rsidR="007C25F7">
        <w:rPr>
          <w:rFonts w:ascii="Arial" w:hAnsi="Arial" w:cs="Arial"/>
          <w:color w:val="000000" w:themeColor="text1"/>
        </w:rPr>
        <w:t>given</w:t>
      </w:r>
      <w:r w:rsidRPr="00B031A0">
        <w:rPr>
          <w:rFonts w:ascii="Arial" w:hAnsi="Arial" w:cs="Arial"/>
          <w:color w:val="000000" w:themeColor="text1"/>
        </w:rPr>
        <w:t xml:space="preserve"> the time of this study in </w:t>
      </w:r>
      <w:r w:rsidR="007C25F7">
        <w:rPr>
          <w:rFonts w:ascii="Arial" w:hAnsi="Arial" w:cs="Arial"/>
          <w:color w:val="000000" w:themeColor="text1"/>
        </w:rPr>
        <w:t xml:space="preserve">the </w:t>
      </w:r>
      <w:r w:rsidRPr="00B031A0">
        <w:rPr>
          <w:rFonts w:ascii="Arial" w:hAnsi="Arial" w:cs="Arial"/>
          <w:color w:val="000000" w:themeColor="text1"/>
        </w:rPr>
        <w:t xml:space="preserve">COVID era, hygiene behaviours were hard to sustain (Ali </w:t>
      </w:r>
      <w:r w:rsidRPr="00B031A0" w:rsidR="00776C49">
        <w:rPr>
          <w:rFonts w:ascii="Arial" w:hAnsi="Arial" w:cs="Arial"/>
          <w:color w:val="000000" w:themeColor="text1"/>
        </w:rPr>
        <w:t>et al</w:t>
      </w:r>
      <w:r w:rsidRPr="00B031A0">
        <w:rPr>
          <w:rFonts w:ascii="Arial" w:hAnsi="Arial" w:cs="Arial"/>
          <w:color w:val="000000" w:themeColor="text1"/>
        </w:rPr>
        <w:t xml:space="preserve">., 2023), and this study will </w:t>
      </w:r>
      <w:r w:rsidR="007C25F7">
        <w:rPr>
          <w:rFonts w:ascii="Arial" w:hAnsi="Arial" w:cs="Arial"/>
          <w:color w:val="000000" w:themeColor="text1"/>
        </w:rPr>
        <w:t>provide</w:t>
      </w:r>
      <w:r w:rsidRPr="00B031A0">
        <w:rPr>
          <w:rFonts w:ascii="Arial" w:hAnsi="Arial" w:cs="Arial"/>
          <w:color w:val="000000" w:themeColor="text1"/>
        </w:rPr>
        <w:t xml:space="preserve"> current evidence to support the national guidelines and training</w:t>
      </w:r>
      <w:r w:rsidR="004553F0">
        <w:rPr>
          <w:rFonts w:ascii="Arial" w:hAnsi="Arial" w:cs="Arial"/>
          <w:color w:val="000000" w:themeColor="text1"/>
        </w:rPr>
        <w:t xml:space="preserve"> </w:t>
      </w:r>
      <w:r w:rsidRPr="00B031A0" w:rsidR="004553F0">
        <w:rPr>
          <w:rFonts w:ascii="Arial" w:hAnsi="Arial" w:cs="Arial"/>
          <w:color w:val="000000" w:themeColor="text1"/>
        </w:rPr>
        <w:t>Kutter et al., 2018)</w:t>
      </w:r>
      <w:r w:rsidRPr="00B031A0">
        <w:rPr>
          <w:rFonts w:ascii="Arial" w:hAnsi="Arial" w:cs="Arial"/>
          <w:color w:val="000000" w:themeColor="text1"/>
        </w:rPr>
        <w:t>.</w:t>
      </w:r>
    </w:p>
    <w:p w:rsidRPr="00B031A0" w:rsidR="00C77BF3" w:rsidRDefault="00115699" w14:paraId="59579B68" w14:textId="11045563">
      <w:pPr>
        <w:rPr>
          <w:rFonts w:ascii="Arial" w:hAnsi="Arial" w:cs="Arial"/>
          <w:color w:val="000000" w:themeColor="text1"/>
        </w:rPr>
      </w:pPr>
      <w:r w:rsidRPr="00B031A0">
        <w:rPr>
          <w:rFonts w:ascii="Arial" w:hAnsi="Arial" w:cs="Arial"/>
          <w:color w:val="000000" w:themeColor="text1"/>
        </w:rPr>
        <w:t xml:space="preserve">Theoretically, it contributes to the understanding of the complex interplay between individual </w:t>
      </w:r>
      <w:r w:rsidR="007F5072">
        <w:rPr>
          <w:rFonts w:ascii="Arial" w:hAnsi="Arial" w:cs="Arial"/>
          <w:color w:val="000000" w:themeColor="text1"/>
        </w:rPr>
        <w:t>behaviour</w:t>
      </w:r>
      <w:r w:rsidRPr="00B031A0">
        <w:rPr>
          <w:rFonts w:ascii="Arial" w:hAnsi="Arial" w:cs="Arial"/>
          <w:color w:val="000000" w:themeColor="text1"/>
        </w:rPr>
        <w:t xml:space="preserve">, </w:t>
      </w:r>
      <w:r w:rsidR="007F5072">
        <w:rPr>
          <w:rFonts w:ascii="Arial" w:hAnsi="Arial" w:cs="Arial"/>
          <w:color w:val="000000" w:themeColor="text1"/>
        </w:rPr>
        <w:t>organisational</w:t>
      </w:r>
      <w:r w:rsidRPr="00B031A0">
        <w:rPr>
          <w:rFonts w:ascii="Arial" w:hAnsi="Arial" w:cs="Arial"/>
          <w:color w:val="000000" w:themeColor="text1"/>
        </w:rPr>
        <w:t xml:space="preserve"> factors, and patient outcomes in infection control</w:t>
      </w:r>
      <w:r w:rsidR="004553F0">
        <w:rPr>
          <w:rFonts w:ascii="Arial" w:hAnsi="Arial" w:cs="Arial"/>
          <w:color w:val="000000" w:themeColor="text1"/>
        </w:rPr>
        <w:t xml:space="preserve"> </w:t>
      </w:r>
      <w:r w:rsidRPr="00B031A0" w:rsidR="004553F0">
        <w:rPr>
          <w:rFonts w:ascii="Arial" w:hAnsi="Arial" w:cs="Arial"/>
          <w:color w:val="000000" w:themeColor="text1"/>
        </w:rPr>
        <w:t>(Ali et al., 2023)</w:t>
      </w:r>
      <w:r w:rsidRPr="00B031A0">
        <w:rPr>
          <w:rFonts w:ascii="Arial" w:hAnsi="Arial" w:cs="Arial"/>
          <w:color w:val="000000" w:themeColor="text1"/>
        </w:rPr>
        <w:t xml:space="preserve">. Results </w:t>
      </w:r>
      <w:r w:rsidR="007F5072">
        <w:rPr>
          <w:rFonts w:ascii="Arial" w:hAnsi="Arial" w:cs="Arial"/>
          <w:color w:val="000000" w:themeColor="text1"/>
        </w:rPr>
        <w:t>guide</w:t>
      </w:r>
      <w:r w:rsidRPr="00B031A0">
        <w:rPr>
          <w:rFonts w:ascii="Arial" w:hAnsi="Arial" w:cs="Arial"/>
          <w:color w:val="000000" w:themeColor="text1"/>
        </w:rPr>
        <w:t xml:space="preserve"> policymakers and hospital managers in the development of health systems that create more effective compliance monitoring systems, educational interventions, and supportive workplace cultures (Kutter </w:t>
      </w:r>
      <w:r w:rsidRPr="00B031A0" w:rsidR="00776C49">
        <w:rPr>
          <w:rFonts w:ascii="Arial" w:hAnsi="Arial" w:cs="Arial"/>
          <w:color w:val="000000" w:themeColor="text1"/>
        </w:rPr>
        <w:t>et al</w:t>
      </w:r>
      <w:r w:rsidRPr="00B031A0">
        <w:rPr>
          <w:rFonts w:ascii="Arial" w:hAnsi="Arial" w:cs="Arial"/>
          <w:color w:val="000000" w:themeColor="text1"/>
        </w:rPr>
        <w:t xml:space="preserve">., 2018). In conclusion, the findings of this research could have the potential to touch healthcare delivery in UK hospitals in the areas of safer, higher-quality, and more sustainable healthcare delivery, benefiting patients, healthcare professionals, and society at large (Religioni </w:t>
      </w:r>
      <w:r w:rsidRPr="00B031A0" w:rsidR="00776C49">
        <w:rPr>
          <w:rFonts w:ascii="Arial" w:hAnsi="Arial" w:cs="Arial"/>
          <w:color w:val="000000" w:themeColor="text1"/>
        </w:rPr>
        <w:t>et al</w:t>
      </w:r>
      <w:r w:rsidRPr="00B031A0">
        <w:rPr>
          <w:rFonts w:ascii="Arial" w:hAnsi="Arial" w:cs="Arial"/>
          <w:color w:val="000000" w:themeColor="text1"/>
        </w:rPr>
        <w:t>., 2025).</w:t>
      </w:r>
    </w:p>
    <w:p w:rsidRPr="00B031A0" w:rsidR="00C77BF3" w:rsidP="007F5072" w:rsidRDefault="00115699" w14:paraId="10F1BACD" w14:textId="7BAF3937">
      <w:pPr>
        <w:pStyle w:val="Heading1"/>
        <w:jc w:val="both"/>
      </w:pPr>
      <w:bookmarkStart w:name="_Toc240696154" w:id="9"/>
      <w:r w:rsidRPr="00B031A0">
        <w:t>1.9 Summary</w:t>
      </w:r>
      <w:bookmarkEnd w:id="9"/>
      <w:r w:rsidRPr="00B031A0">
        <w:t xml:space="preserve"> </w:t>
      </w:r>
    </w:p>
    <w:p w:rsidRPr="00B031A0" w:rsidR="00C77BF3" w:rsidRDefault="00115699" w14:paraId="24981208" w14:textId="45E0D865">
      <w:pPr>
        <w:rPr>
          <w:rFonts w:ascii="Arial" w:hAnsi="Arial" w:cs="Arial"/>
          <w:color w:val="000000" w:themeColor="text1"/>
        </w:rPr>
      </w:pPr>
      <w:r w:rsidRPr="00B031A0">
        <w:rPr>
          <w:rFonts w:ascii="Arial" w:hAnsi="Arial" w:cs="Arial"/>
          <w:color w:val="000000" w:themeColor="text1"/>
        </w:rPr>
        <w:t xml:space="preserve">The chapter has provided insight into the important matter of healthcare-associated infections (HAIs) occurring in hospitals throughout the UK and the central role that hand hygiene compliance plays in preventing infections. It has presented the problem statement of the research, the reasons for doing this systematic review, the aim, the objectives, and the research questions of this systematic review. Persistent compliance issues have been </w:t>
      </w:r>
      <w:r w:rsidR="007C25F7">
        <w:rPr>
          <w:rFonts w:ascii="Arial" w:hAnsi="Arial" w:cs="Arial"/>
          <w:color w:val="000000" w:themeColor="text1"/>
        </w:rPr>
        <w:t>emphasised</w:t>
      </w:r>
      <w:r w:rsidRPr="00B031A0">
        <w:rPr>
          <w:rFonts w:ascii="Arial" w:hAnsi="Arial" w:cs="Arial"/>
          <w:color w:val="000000" w:themeColor="text1"/>
        </w:rPr>
        <w:t xml:space="preserve"> in the context of patient safety, </w:t>
      </w:r>
      <w:r w:rsidR="007C25F7">
        <w:rPr>
          <w:rFonts w:ascii="Arial" w:hAnsi="Arial" w:cs="Arial"/>
          <w:color w:val="000000" w:themeColor="text1"/>
        </w:rPr>
        <w:t xml:space="preserve">the </w:t>
      </w:r>
      <w:r w:rsidRPr="00B031A0">
        <w:rPr>
          <w:rFonts w:ascii="Arial" w:hAnsi="Arial" w:cs="Arial"/>
          <w:color w:val="000000" w:themeColor="text1"/>
        </w:rPr>
        <w:t>cost of the National Health Service (NHS), and quality of care. The chapter provides a robust background to the later literature study, methodology, and evidence-based research for this important public health concern</w:t>
      </w:r>
      <w:r w:rsidR="00B052D6">
        <w:rPr>
          <w:rFonts w:ascii="Arial" w:hAnsi="Arial" w:cs="Arial"/>
          <w:color w:val="000000" w:themeColor="text1"/>
        </w:rPr>
        <w:t>.</w:t>
      </w:r>
    </w:p>
    <w:p w:rsidRPr="00B031A0" w:rsidR="00C77BF3" w:rsidRDefault="00C77BF3" w14:paraId="78F88249" w14:textId="77777777">
      <w:pPr>
        <w:rPr>
          <w:rFonts w:ascii="Arial" w:hAnsi="Arial" w:cs="Arial"/>
          <w:color w:val="000000" w:themeColor="text1"/>
        </w:rPr>
      </w:pPr>
    </w:p>
    <w:p w:rsidRPr="00B031A0" w:rsidR="00C77BF3" w:rsidRDefault="00C77BF3" w14:paraId="70AB325D" w14:textId="77777777">
      <w:pPr>
        <w:rPr>
          <w:rFonts w:ascii="Arial" w:hAnsi="Arial" w:cs="Arial"/>
          <w:color w:val="000000" w:themeColor="text1"/>
        </w:rPr>
      </w:pPr>
    </w:p>
    <w:p w:rsidRPr="00B031A0" w:rsidR="00C77BF3" w:rsidRDefault="00C77BF3" w14:paraId="39F57E8C" w14:textId="5F9E4DBE">
      <w:pPr>
        <w:rPr>
          <w:rFonts w:ascii="Arial" w:hAnsi="Arial" w:cs="Arial"/>
          <w:b/>
          <w:bCs/>
          <w:color w:val="000000" w:themeColor="text1"/>
        </w:rPr>
      </w:pPr>
    </w:p>
    <w:p w:rsidRPr="00B031A0" w:rsidR="00C77BF3" w:rsidP="007C25F7" w:rsidRDefault="00115699" w14:paraId="1A04862C" w14:textId="77777777">
      <w:pPr>
        <w:pStyle w:val="Heading1"/>
      </w:pPr>
      <w:bookmarkStart w:name="_Toc240696155" w:id="10"/>
      <w:r w:rsidRPr="00B031A0">
        <w:t>Chapter 2: Literature review/theoretical framework</w:t>
      </w:r>
      <w:bookmarkEnd w:id="10"/>
      <w:r w:rsidRPr="00B031A0">
        <w:t xml:space="preserve"> </w:t>
      </w:r>
    </w:p>
    <w:p w:rsidRPr="00B031A0" w:rsidR="00C77BF3" w:rsidP="007C25F7" w:rsidRDefault="00115699" w14:paraId="3A9BFA23" w14:textId="77777777">
      <w:pPr>
        <w:pStyle w:val="Heading1"/>
        <w:spacing w:before="240" w:line="240" w:lineRule="auto"/>
        <w:jc w:val="both"/>
      </w:pPr>
      <w:bookmarkStart w:name="_Toc240696156" w:id="11"/>
      <w:r w:rsidRPr="00B031A0">
        <w:t>2.1 Introduction</w:t>
      </w:r>
      <w:bookmarkEnd w:id="11"/>
      <w:r w:rsidRPr="00B031A0">
        <w:t xml:space="preserve"> </w:t>
      </w:r>
    </w:p>
    <w:p w:rsidRPr="00B031A0" w:rsidR="00C77BF3" w:rsidRDefault="00115699" w14:paraId="0CD7D461" w14:textId="1A20DE64">
      <w:pPr>
        <w:rPr>
          <w:rFonts w:ascii="Arial" w:hAnsi="Arial" w:cs="Arial"/>
          <w:color w:val="000000" w:themeColor="text1"/>
        </w:rPr>
      </w:pPr>
      <w:r w:rsidRPr="00B031A0">
        <w:rPr>
          <w:rFonts w:ascii="Arial" w:hAnsi="Arial" w:cs="Arial"/>
          <w:color w:val="000000" w:themeColor="text1"/>
        </w:rPr>
        <w:t xml:space="preserve">The chapter will be a critique of the existing literature on the impact of hand hygiene compliance of nursing staff on healthcare-associated infections (HCAIs) in UK hospitals. It will concentrate on the most common healthcare-associated infections (HCAIs), why healthcare workers have not adopted hand hygiene, and how various interventions addressing hand hygiene can be effective in preventing infections. The chapter shall also highlight the gap areas in the existing literature that are critical and introduce relevant theories and models to create a conceptual framework of the systematic review. </w:t>
      </w:r>
    </w:p>
    <w:p w:rsidRPr="00B031A0" w:rsidR="00C77BF3" w:rsidP="007C25F7" w:rsidRDefault="00115699" w14:paraId="4EFB418A" w14:textId="77777777">
      <w:pPr>
        <w:pStyle w:val="Heading1"/>
        <w:jc w:val="both"/>
      </w:pPr>
      <w:bookmarkStart w:name="_Toc240696157" w:id="12"/>
      <w:r w:rsidRPr="00B031A0">
        <w:t>2.2 Literature Search Strategy</w:t>
      </w:r>
      <w:bookmarkEnd w:id="12"/>
      <w:r w:rsidRPr="00B031A0">
        <w:t xml:space="preserve"> </w:t>
      </w:r>
    </w:p>
    <w:p w:rsidRPr="00B031A0" w:rsidR="00C77BF3" w:rsidRDefault="00115699" w14:paraId="180E1CBC" w14:textId="4191D8DC">
      <w:pPr>
        <w:rPr>
          <w:rFonts w:ascii="Arial" w:hAnsi="Arial" w:cs="Arial"/>
          <w:color w:val="000000" w:themeColor="text1"/>
        </w:rPr>
      </w:pPr>
      <w:r w:rsidRPr="00B031A0">
        <w:rPr>
          <w:rFonts w:ascii="Arial" w:hAnsi="Arial" w:cs="Arial"/>
          <w:color w:val="000000" w:themeColor="text1"/>
        </w:rPr>
        <w:t xml:space="preserve">The scanning of the literature was conducted to establish crucial concepts, theoretical perspectives, and existing evidence </w:t>
      </w:r>
      <w:r w:rsidRPr="00B031A0" w:rsidR="0000352A">
        <w:rPr>
          <w:rFonts w:ascii="Arial" w:hAnsi="Arial" w:cs="Arial"/>
          <w:color w:val="000000" w:themeColor="text1"/>
        </w:rPr>
        <w:t>in</w:t>
      </w:r>
      <w:r w:rsidRPr="00B031A0">
        <w:rPr>
          <w:rFonts w:ascii="Arial" w:hAnsi="Arial" w:cs="Arial"/>
          <w:color w:val="000000" w:themeColor="text1"/>
        </w:rPr>
        <w:t xml:space="preserve"> hand hygiene compliance by nurses and healthcare-associated infections (HAIs) in hospitals within the UK. The scoping search also had the purpose of giving an overview of the field of research and creating a context upon which the study is going to take place, unlike the systematic review search (Kutter </w:t>
      </w:r>
      <w:r w:rsidRPr="00B031A0" w:rsidR="00776C49">
        <w:rPr>
          <w:rFonts w:ascii="Arial" w:hAnsi="Arial" w:cs="Arial"/>
          <w:color w:val="000000" w:themeColor="text1"/>
        </w:rPr>
        <w:t>et al</w:t>
      </w:r>
      <w:r w:rsidRPr="00B031A0">
        <w:rPr>
          <w:rFonts w:ascii="Arial" w:hAnsi="Arial" w:cs="Arial"/>
          <w:color w:val="000000" w:themeColor="text1"/>
        </w:rPr>
        <w:t xml:space="preserve">., 2018). The searches in electronic databases were performed in PubMed, CINAHL, Scopus and Google Scholar due to the inclusion of high-quality literature in healthcare, nursing and prevention of infection in their indexes. The primary search terms were: hand hygiene compliance, nurses, healthcare-associated infections, hospital-acquired infections, infection prevention, patient safety, United Kingdom, National Health Service (NHS) hospitals and hand hygiene interventions (Religioni </w:t>
      </w:r>
      <w:r w:rsidRPr="00B031A0" w:rsidR="00776C49">
        <w:rPr>
          <w:rFonts w:ascii="Arial" w:hAnsi="Arial" w:cs="Arial"/>
          <w:color w:val="000000" w:themeColor="text1"/>
        </w:rPr>
        <w:t>et al</w:t>
      </w:r>
      <w:r w:rsidRPr="00B031A0">
        <w:rPr>
          <w:rFonts w:ascii="Arial" w:hAnsi="Arial" w:cs="Arial"/>
          <w:color w:val="000000" w:themeColor="text1"/>
        </w:rPr>
        <w:t>., 2025). To narrow the search to retrieve the relevant publications, Boolean operators like AND, OR and NOT were employed to narrow down the search.</w:t>
      </w:r>
    </w:p>
    <w:p w:rsidRPr="00B031A0" w:rsidR="00C77BF3" w:rsidRDefault="00115699" w14:paraId="7071045A" w14:textId="2C5A6A41">
      <w:pPr>
        <w:rPr>
          <w:rFonts w:ascii="Arial" w:hAnsi="Arial" w:cs="Arial"/>
          <w:color w:val="000000" w:themeColor="text1"/>
        </w:rPr>
      </w:pPr>
      <w:r w:rsidRPr="00B031A0">
        <w:rPr>
          <w:rFonts w:ascii="Arial" w:hAnsi="Arial" w:cs="Arial"/>
          <w:color w:val="000000" w:themeColor="text1"/>
        </w:rPr>
        <w:t xml:space="preserve">Care was taken so that emphasis was paid to systematic reviews, meta-analyses, clinical guidelines and empirical studies that have been published in peer-reviewed journals. The World Health Organisation (WHO) and National Health Service (NHS)England also provided guidance on hand hygiene, which was consulted to find out about the hand hygiene standards and infection control according to the international standard. The chosen scoping literature served to detect common themes, existing evidence, theoretical insights and contradictions in the available literature (Besnier </w:t>
      </w:r>
      <w:r w:rsidRPr="00B031A0" w:rsidR="00776C49">
        <w:rPr>
          <w:rFonts w:ascii="Arial" w:hAnsi="Arial" w:cs="Arial"/>
          <w:color w:val="000000" w:themeColor="text1"/>
        </w:rPr>
        <w:t>et al</w:t>
      </w:r>
      <w:r w:rsidRPr="00B031A0">
        <w:rPr>
          <w:rFonts w:ascii="Arial" w:hAnsi="Arial" w:cs="Arial"/>
          <w:color w:val="000000" w:themeColor="text1"/>
        </w:rPr>
        <w:t xml:space="preserve">., 2026). Furthermore, it informed the literature review by considering key factors that influenced the adherence of nurses to hand hygiene and its relationship with the reduction of healthcare-associated infections in UK hospitals. </w:t>
      </w:r>
    </w:p>
    <w:p w:rsidRPr="00B031A0" w:rsidR="00C77BF3" w:rsidP="007C25F7" w:rsidRDefault="00115699" w14:paraId="3AC0E968" w14:textId="77777777">
      <w:pPr>
        <w:pStyle w:val="Heading1"/>
        <w:jc w:val="both"/>
      </w:pPr>
      <w:bookmarkStart w:name="_Toc240696158" w:id="13"/>
      <w:r w:rsidRPr="00B031A0">
        <w:t>2.3 Literature Review</w:t>
      </w:r>
      <w:bookmarkEnd w:id="13"/>
      <w:r w:rsidRPr="00B031A0">
        <w:t xml:space="preserve"> </w:t>
      </w:r>
    </w:p>
    <w:p w:rsidRPr="00B031A0" w:rsidR="00C77BF3" w:rsidP="007C25F7" w:rsidRDefault="00115699" w14:paraId="15C7063D" w14:textId="77777777">
      <w:pPr>
        <w:pStyle w:val="Heading2"/>
      </w:pPr>
      <w:bookmarkStart w:name="_Toc240696159" w:id="14"/>
      <w:r w:rsidRPr="00B031A0">
        <w:t>2.3.1 Most common healthcare-associated infections in UK hospitals</w:t>
      </w:r>
      <w:bookmarkEnd w:id="14"/>
    </w:p>
    <w:p w:rsidRPr="00B031A0" w:rsidR="00C77BF3" w:rsidRDefault="00115699" w14:paraId="0F470244" w14:textId="133941D2">
      <w:pPr>
        <w:rPr>
          <w:rFonts w:ascii="Arial" w:hAnsi="Arial" w:cs="Arial"/>
          <w:color w:val="000000" w:themeColor="text1"/>
        </w:rPr>
      </w:pPr>
      <w:r w:rsidRPr="00B031A0">
        <w:rPr>
          <w:rFonts w:ascii="Arial" w:hAnsi="Arial" w:cs="Arial"/>
          <w:color w:val="000000" w:themeColor="text1"/>
        </w:rPr>
        <w:t xml:space="preserve">Healthcare-associated infections (HCAIs) remain a </w:t>
      </w:r>
      <w:r w:rsidR="007C25F7">
        <w:rPr>
          <w:rFonts w:ascii="Arial" w:hAnsi="Arial" w:cs="Arial"/>
          <w:color w:val="000000" w:themeColor="text1"/>
        </w:rPr>
        <w:t>major</w:t>
      </w:r>
      <w:r w:rsidRPr="00B031A0">
        <w:rPr>
          <w:rFonts w:ascii="Arial" w:hAnsi="Arial" w:cs="Arial"/>
          <w:color w:val="000000" w:themeColor="text1"/>
        </w:rPr>
        <w:t xml:space="preserve"> patient-safety problem within UK hospitals. Poor hand hygiene is not the only cause; </w:t>
      </w:r>
      <w:r w:rsidR="007C25F7">
        <w:rPr>
          <w:rFonts w:ascii="Arial" w:hAnsi="Arial" w:cs="Arial"/>
          <w:color w:val="000000" w:themeColor="text1"/>
        </w:rPr>
        <w:t>infections</w:t>
      </w:r>
      <w:r w:rsidRPr="00B031A0">
        <w:rPr>
          <w:rFonts w:ascii="Arial" w:hAnsi="Arial" w:cs="Arial"/>
          <w:color w:val="000000" w:themeColor="text1"/>
        </w:rPr>
        <w:t xml:space="preserve"> can </w:t>
      </w:r>
      <w:r w:rsidR="007C25F7">
        <w:rPr>
          <w:rFonts w:ascii="Arial" w:hAnsi="Arial" w:cs="Arial"/>
          <w:color w:val="000000" w:themeColor="text1"/>
        </w:rPr>
        <w:t xml:space="preserve">also </w:t>
      </w:r>
      <w:r w:rsidRPr="00B031A0">
        <w:rPr>
          <w:rFonts w:ascii="Arial" w:hAnsi="Arial" w:cs="Arial"/>
          <w:color w:val="000000" w:themeColor="text1"/>
        </w:rPr>
        <w:t xml:space="preserve">be caused by poor hand hygiene (National Health Service England, 2023). However, as nurses often work with different patients, equipment and clinical conditions, their compliance is extremely important in breaking the connections of pathogen spread. The main HCAIs differ in their cause, symptoms and other reactions to hand-hygiene activities (Ghafouri, Kermani and Namaghi, 2026). </w:t>
      </w:r>
    </w:p>
    <w:p w:rsidRPr="00B031A0" w:rsidR="00C77BF3" w:rsidRDefault="00115699" w14:paraId="322EB5B5" w14:textId="77777777">
      <w:pPr>
        <w:rPr>
          <w:rFonts w:ascii="Arial" w:hAnsi="Arial" w:cs="Arial"/>
          <w:b/>
          <w:bCs/>
          <w:color w:val="000000" w:themeColor="text1"/>
        </w:rPr>
      </w:pPr>
      <w:r w:rsidRPr="00B031A0">
        <w:rPr>
          <w:rFonts w:ascii="Arial" w:hAnsi="Arial" w:cs="Arial"/>
          <w:b/>
          <w:bCs/>
          <w:color w:val="000000" w:themeColor="text1"/>
        </w:rPr>
        <w:t>Urinary Tract Infections</w:t>
      </w:r>
    </w:p>
    <w:p w:rsidRPr="00B031A0" w:rsidR="00C77BF3" w:rsidRDefault="00115699" w14:paraId="44FDB3C6" w14:textId="67999591">
      <w:pPr>
        <w:rPr>
          <w:rFonts w:ascii="Arial" w:hAnsi="Arial" w:cs="Arial"/>
          <w:color w:val="000000" w:themeColor="text1"/>
        </w:rPr>
      </w:pPr>
      <w:r w:rsidRPr="00B031A0">
        <w:rPr>
          <w:rFonts w:ascii="Arial" w:hAnsi="Arial" w:cs="Arial"/>
          <w:color w:val="000000" w:themeColor="text1"/>
        </w:rPr>
        <w:t>Gad and AbdelAziz (2021) point out in their systematic review summarising the current strategies and interventions in reducing urinary tract infections associated with urinary catheters, use and the need for re-catheterisation that urinary tract infections are the most commonly reported Healthcare-associated infections (HCAIs)are urinary tract infection and, in particular, catheter-associated urinary tract infections. They are usually formed in cases where the urinary catheters give access to microorganisms in the bladder. Compared with those that lead to surgical site</w:t>
      </w:r>
      <w:r w:rsidR="007C25F7">
        <w:rPr>
          <w:rFonts w:ascii="Arial" w:hAnsi="Arial" w:cs="Arial"/>
          <w:color w:val="000000" w:themeColor="text1"/>
        </w:rPr>
        <w:t xml:space="preserve"> infections</w:t>
      </w:r>
      <w:r w:rsidRPr="00B031A0">
        <w:rPr>
          <w:rFonts w:ascii="Arial" w:hAnsi="Arial" w:cs="Arial"/>
          <w:color w:val="000000" w:themeColor="text1"/>
        </w:rPr>
        <w:t xml:space="preserve">, catheter-associated infections are directly linked to the prolonged </w:t>
      </w:r>
      <w:r w:rsidR="007C25F7">
        <w:rPr>
          <w:rFonts w:ascii="Arial" w:hAnsi="Arial" w:cs="Arial"/>
          <w:color w:val="000000" w:themeColor="text1"/>
        </w:rPr>
        <w:t>use</w:t>
      </w:r>
      <w:r w:rsidRPr="00B031A0">
        <w:rPr>
          <w:rFonts w:ascii="Arial" w:hAnsi="Arial" w:cs="Arial"/>
          <w:color w:val="000000" w:themeColor="text1"/>
        </w:rPr>
        <w:t xml:space="preserve"> of the devices and the mismanagement of the catheters rather than </w:t>
      </w:r>
      <w:r w:rsidRPr="00B031A0" w:rsidR="0000352A">
        <w:rPr>
          <w:rFonts w:ascii="Arial" w:hAnsi="Arial" w:cs="Arial"/>
          <w:color w:val="000000" w:themeColor="text1"/>
        </w:rPr>
        <w:t>because of</w:t>
      </w:r>
      <w:r w:rsidRPr="00B031A0">
        <w:rPr>
          <w:rFonts w:ascii="Arial" w:hAnsi="Arial" w:cs="Arial"/>
          <w:color w:val="000000" w:themeColor="text1"/>
        </w:rPr>
        <w:t xml:space="preserve"> the contamination of the environment in the isolation (Skok </w:t>
      </w:r>
      <w:r w:rsidRPr="00B031A0" w:rsidR="00776C49">
        <w:rPr>
          <w:rFonts w:ascii="Arial" w:hAnsi="Arial" w:cs="Arial"/>
          <w:color w:val="000000" w:themeColor="text1"/>
        </w:rPr>
        <w:t>et al</w:t>
      </w:r>
      <w:r w:rsidRPr="00B031A0">
        <w:rPr>
          <w:rFonts w:ascii="Arial" w:hAnsi="Arial" w:cs="Arial"/>
          <w:color w:val="000000" w:themeColor="text1"/>
        </w:rPr>
        <w:t xml:space="preserve">., 2025). However, hand hygiene is still crucial </w:t>
      </w:r>
      <w:r w:rsidR="007C25F7">
        <w:rPr>
          <w:rFonts w:ascii="Arial" w:hAnsi="Arial" w:cs="Arial"/>
          <w:color w:val="000000" w:themeColor="text1"/>
        </w:rPr>
        <w:t>for</w:t>
      </w:r>
      <w:r w:rsidRPr="00B031A0">
        <w:rPr>
          <w:rFonts w:ascii="Arial" w:hAnsi="Arial" w:cs="Arial"/>
          <w:color w:val="000000" w:themeColor="text1"/>
        </w:rPr>
        <w:t xml:space="preserve"> nurses prior to inserting a catheter, handling a drainage bag, and for personal care (Chang </w:t>
      </w:r>
      <w:r w:rsidRPr="00B031A0" w:rsidR="00776C49">
        <w:rPr>
          <w:rFonts w:ascii="Arial" w:hAnsi="Arial" w:cs="Arial"/>
          <w:color w:val="000000" w:themeColor="text1"/>
        </w:rPr>
        <w:t>et al</w:t>
      </w:r>
      <w:r w:rsidRPr="00B031A0">
        <w:rPr>
          <w:rFonts w:ascii="Arial" w:hAnsi="Arial" w:cs="Arial"/>
          <w:color w:val="000000" w:themeColor="text1"/>
        </w:rPr>
        <w:t xml:space="preserve">., 2022). In </w:t>
      </w:r>
      <w:r w:rsidR="007C25F7">
        <w:rPr>
          <w:rFonts w:ascii="Arial" w:hAnsi="Arial" w:cs="Arial"/>
          <w:color w:val="000000" w:themeColor="text1"/>
        </w:rPr>
        <w:t>this</w:t>
      </w:r>
      <w:r w:rsidRPr="00B031A0">
        <w:rPr>
          <w:rFonts w:ascii="Arial" w:hAnsi="Arial" w:cs="Arial"/>
          <w:color w:val="000000" w:themeColor="text1"/>
        </w:rPr>
        <w:t xml:space="preserve"> way, Li </w:t>
      </w:r>
      <w:r w:rsidRPr="00B031A0" w:rsidR="00776C49">
        <w:rPr>
          <w:rFonts w:ascii="Arial" w:hAnsi="Arial" w:cs="Arial"/>
          <w:color w:val="000000" w:themeColor="text1"/>
        </w:rPr>
        <w:t>et al</w:t>
      </w:r>
      <w:r w:rsidRPr="00B031A0">
        <w:rPr>
          <w:rFonts w:ascii="Arial" w:hAnsi="Arial" w:cs="Arial"/>
          <w:color w:val="000000" w:themeColor="text1"/>
        </w:rPr>
        <w:t>. (2025), in their systematic review aimed at evaluating the effectiveness of various interventions in reducing catheter-associated urinary tract infections (CAUTI) incidence in healthcare settings, claimed that invasive devices pose a great risk of infection</w:t>
      </w:r>
      <w:r w:rsidR="007C25F7">
        <w:rPr>
          <w:rFonts w:ascii="Arial" w:hAnsi="Arial" w:cs="Arial"/>
          <w:color w:val="000000" w:themeColor="text1"/>
        </w:rPr>
        <w:t>;</w:t>
      </w:r>
      <w:r w:rsidRPr="00B031A0">
        <w:rPr>
          <w:rFonts w:ascii="Arial" w:hAnsi="Arial" w:cs="Arial"/>
          <w:color w:val="000000" w:themeColor="text1"/>
        </w:rPr>
        <w:t xml:space="preserve"> this means that </w:t>
      </w:r>
      <w:r w:rsidR="007C25F7">
        <w:rPr>
          <w:rFonts w:ascii="Arial" w:hAnsi="Arial" w:cs="Arial"/>
          <w:color w:val="000000" w:themeColor="text1"/>
        </w:rPr>
        <w:t>appropriate</w:t>
      </w:r>
      <w:r w:rsidRPr="00B031A0">
        <w:rPr>
          <w:rFonts w:ascii="Arial" w:hAnsi="Arial" w:cs="Arial"/>
          <w:color w:val="000000" w:themeColor="text1"/>
        </w:rPr>
        <w:t xml:space="preserve"> hand hygiene should be performed in addition to the procedure of catheter removal and aseptic insertion. Thus, the impact of hand hygiene alone might be overestimated by attributing decreases in urinary infections to it. </w:t>
      </w:r>
    </w:p>
    <w:p w:rsidRPr="00B031A0" w:rsidR="00C77BF3" w:rsidRDefault="00115699" w14:paraId="53E696A9" w14:textId="77777777">
      <w:pPr>
        <w:rPr>
          <w:rFonts w:ascii="Arial" w:hAnsi="Arial" w:cs="Arial"/>
          <w:b/>
          <w:bCs/>
          <w:color w:val="000000" w:themeColor="text1"/>
        </w:rPr>
      </w:pPr>
      <w:r w:rsidRPr="00B031A0">
        <w:rPr>
          <w:rFonts w:ascii="Arial" w:hAnsi="Arial" w:cs="Arial"/>
          <w:b/>
          <w:bCs/>
          <w:color w:val="000000" w:themeColor="text1"/>
        </w:rPr>
        <w:t>Surgical-Site Infections</w:t>
      </w:r>
    </w:p>
    <w:p w:rsidRPr="00B031A0" w:rsidR="00C77BF3" w:rsidRDefault="00115699" w14:paraId="502EA22B" w14:textId="11307187">
      <w:pPr>
        <w:rPr>
          <w:rFonts w:ascii="Arial" w:hAnsi="Arial" w:cs="Arial"/>
          <w:color w:val="000000" w:themeColor="text1"/>
        </w:rPr>
      </w:pPr>
      <w:r w:rsidRPr="00B031A0">
        <w:rPr>
          <w:rFonts w:ascii="Arial" w:hAnsi="Arial" w:cs="Arial"/>
          <w:color w:val="000000" w:themeColor="text1"/>
        </w:rPr>
        <w:t xml:space="preserve">In a comprehensive review of the epidemiology, classification, risk factors, microbiological aspects, treatment modalities, and prevention strategies for surgical-site infections, it was found by Rezaei </w:t>
      </w:r>
      <w:r w:rsidRPr="00B031A0" w:rsidR="00776C49">
        <w:rPr>
          <w:rFonts w:ascii="Arial" w:hAnsi="Arial" w:cs="Arial"/>
          <w:color w:val="000000" w:themeColor="text1"/>
        </w:rPr>
        <w:t>et al</w:t>
      </w:r>
      <w:r w:rsidRPr="00B031A0">
        <w:rPr>
          <w:rFonts w:ascii="Arial" w:hAnsi="Arial" w:cs="Arial"/>
          <w:color w:val="000000" w:themeColor="text1"/>
        </w:rPr>
        <w:t xml:space="preserve">. (2025) that Surgical-site infections develop after surgical operations and they could be superficial, deep, or organ-specific. Their progression compared to urinary infections is based on several factors, including the method of surgery, wound management, prophylactic use of antibiotics, morbidities in the patient and the sterility of the theatres (Ayo-Farai </w:t>
      </w:r>
      <w:r w:rsidRPr="00B031A0" w:rsidR="00776C49">
        <w:rPr>
          <w:rFonts w:ascii="Arial" w:hAnsi="Arial" w:cs="Arial"/>
          <w:color w:val="000000" w:themeColor="text1"/>
        </w:rPr>
        <w:t>et al</w:t>
      </w:r>
      <w:r w:rsidRPr="00B031A0">
        <w:rPr>
          <w:rFonts w:ascii="Arial" w:hAnsi="Arial" w:cs="Arial"/>
          <w:color w:val="000000" w:themeColor="text1"/>
        </w:rPr>
        <w:t xml:space="preserve">., 2024). As per the UK Health Security Agency (2025), Surveillance of surgical-site infections in National Health Service (NHS) hospitals by </w:t>
      </w:r>
      <w:r w:rsidR="007C25F7">
        <w:rPr>
          <w:rFonts w:ascii="Arial" w:hAnsi="Arial" w:cs="Arial"/>
          <w:color w:val="000000" w:themeColor="text1"/>
        </w:rPr>
        <w:t xml:space="preserve">the </w:t>
      </w:r>
      <w:r w:rsidRPr="00B031A0">
        <w:rPr>
          <w:rFonts w:ascii="Arial" w:hAnsi="Arial" w:cs="Arial"/>
          <w:color w:val="000000" w:themeColor="text1"/>
        </w:rPr>
        <w:t xml:space="preserve">United Kingdom Health Security Agency (UKHSA) remains specific, proving them to be of ongoing clinical interest. </w:t>
      </w:r>
      <w:r w:rsidRPr="00B031A0" w:rsidR="0000352A">
        <w:rPr>
          <w:rFonts w:ascii="Arial" w:hAnsi="Arial" w:cs="Arial"/>
          <w:color w:val="000000" w:themeColor="text1"/>
        </w:rPr>
        <w:t>Attention</w:t>
      </w:r>
      <w:r w:rsidRPr="00B031A0">
        <w:rPr>
          <w:rFonts w:ascii="Arial" w:hAnsi="Arial" w:cs="Arial"/>
          <w:color w:val="000000" w:themeColor="text1"/>
        </w:rPr>
        <w:t xml:space="preserve"> should be paid to hand hygiene, particularly when nurses need to change dressings or address surgical drains. Its impacts, however, may not be so direct as compared to infections that are transmitted mainly through contact</w:t>
      </w:r>
      <w:r w:rsidR="0000352A">
        <w:rPr>
          <w:rFonts w:ascii="Arial" w:hAnsi="Arial" w:cs="Arial"/>
          <w:color w:val="000000" w:themeColor="text1"/>
        </w:rPr>
        <w:t xml:space="preserve"> (</w:t>
      </w:r>
      <w:r w:rsidRPr="00B031A0" w:rsidR="0000352A">
        <w:rPr>
          <w:rFonts w:ascii="Arial" w:hAnsi="Arial" w:cs="Arial"/>
          <w:color w:val="000000" w:themeColor="text1"/>
        </w:rPr>
        <w:t xml:space="preserve">Rezaei </w:t>
      </w:r>
      <w:r w:rsidR="0000352A">
        <w:rPr>
          <w:rFonts w:ascii="Arial" w:hAnsi="Arial" w:cs="Arial"/>
          <w:color w:val="000000" w:themeColor="text1"/>
        </w:rPr>
        <w:t>et al</w:t>
      </w:r>
      <w:r w:rsidR="00087938">
        <w:rPr>
          <w:rFonts w:ascii="Arial" w:hAnsi="Arial" w:cs="Arial"/>
          <w:color w:val="000000" w:themeColor="text1"/>
        </w:rPr>
        <w:t>.</w:t>
      </w:r>
      <w:r w:rsidR="0000352A">
        <w:rPr>
          <w:rFonts w:ascii="Arial" w:hAnsi="Arial" w:cs="Arial"/>
          <w:color w:val="000000" w:themeColor="text1"/>
        </w:rPr>
        <w:t>, 2025)</w:t>
      </w:r>
      <w:r w:rsidRPr="00B031A0">
        <w:rPr>
          <w:rFonts w:ascii="Arial" w:hAnsi="Arial" w:cs="Arial"/>
          <w:color w:val="000000" w:themeColor="text1"/>
        </w:rPr>
        <w:t xml:space="preserve">. Therefore, hand hygiene should be employed as part of sterile work, necessary antimicrobial prophylaxis and postoperative monitoring of the wound, but not as a standalone intervention to enhance its effectiveness (Ali </w:t>
      </w:r>
      <w:r w:rsidRPr="00B031A0" w:rsidR="00776C49">
        <w:rPr>
          <w:rFonts w:ascii="Arial" w:hAnsi="Arial" w:cs="Arial"/>
          <w:color w:val="000000" w:themeColor="text1"/>
        </w:rPr>
        <w:t>et al</w:t>
      </w:r>
      <w:r w:rsidRPr="00B031A0">
        <w:rPr>
          <w:rFonts w:ascii="Arial" w:hAnsi="Arial" w:cs="Arial"/>
          <w:color w:val="000000" w:themeColor="text1"/>
        </w:rPr>
        <w:t>., 2023).</w:t>
      </w:r>
      <w:r w:rsidRPr="00B031A0">
        <w:rPr>
          <w:rFonts w:ascii="Arial" w:hAnsi="Arial" w:cs="Arial"/>
          <w:b/>
          <w:bCs/>
          <w:color w:val="000000" w:themeColor="text1"/>
        </w:rPr>
        <w:t xml:space="preserve"> </w:t>
      </w:r>
    </w:p>
    <w:p w:rsidRPr="00B031A0" w:rsidR="00C77BF3" w:rsidRDefault="00115699" w14:paraId="28101E1E" w14:textId="77777777">
      <w:pPr>
        <w:rPr>
          <w:rFonts w:ascii="Arial" w:hAnsi="Arial" w:cs="Arial"/>
          <w:color w:val="000000" w:themeColor="text1"/>
        </w:rPr>
      </w:pPr>
      <w:r w:rsidRPr="00B031A0">
        <w:rPr>
          <w:rFonts w:ascii="Arial" w:hAnsi="Arial" w:cs="Arial"/>
          <w:b/>
          <w:bCs/>
          <w:color w:val="000000" w:themeColor="text1"/>
        </w:rPr>
        <w:t>Bloodstream Infections</w:t>
      </w:r>
    </w:p>
    <w:p w:rsidRPr="00B031A0" w:rsidR="00C77BF3" w:rsidRDefault="00115699" w14:paraId="0D603E37" w14:textId="117F4B76">
      <w:pPr>
        <w:rPr>
          <w:rFonts w:ascii="Arial" w:hAnsi="Arial" w:cs="Arial"/>
          <w:color w:val="000000" w:themeColor="text1"/>
        </w:rPr>
      </w:pPr>
      <w:r w:rsidRPr="00B031A0">
        <w:rPr>
          <w:rFonts w:ascii="Arial" w:hAnsi="Arial" w:cs="Arial"/>
          <w:color w:val="000000" w:themeColor="text1"/>
        </w:rPr>
        <w:t xml:space="preserve">Bloodstream infections are those which are a result </w:t>
      </w:r>
      <w:r w:rsidR="007C25F7">
        <w:rPr>
          <w:rFonts w:ascii="Arial" w:hAnsi="Arial" w:cs="Arial"/>
          <w:color w:val="000000" w:themeColor="text1"/>
        </w:rPr>
        <w:t>from</w:t>
      </w:r>
      <w:r w:rsidRPr="00B031A0">
        <w:rPr>
          <w:rFonts w:ascii="Arial" w:hAnsi="Arial" w:cs="Arial"/>
          <w:color w:val="000000" w:themeColor="text1"/>
        </w:rPr>
        <w:t xml:space="preserve"> Escherichia coli, Methicillin-Susceptible Staphylococcus aureus (MSSA), Methicillin-Resistant Staphylococcus aureus (MRSA) and other Gram-negative bacteria (Golli </w:t>
      </w:r>
      <w:r w:rsidRPr="00B031A0" w:rsidR="00776C49">
        <w:rPr>
          <w:rFonts w:ascii="Arial" w:hAnsi="Arial" w:cs="Arial"/>
          <w:color w:val="000000" w:themeColor="text1"/>
        </w:rPr>
        <w:t>et al</w:t>
      </w:r>
      <w:r w:rsidRPr="00B031A0">
        <w:rPr>
          <w:rFonts w:ascii="Arial" w:hAnsi="Arial" w:cs="Arial"/>
          <w:color w:val="000000" w:themeColor="text1"/>
        </w:rPr>
        <w:t xml:space="preserve">., 2022). Bacteraemia can yield more severe consequences compared to superficial infections since the microorganisms are introduced into circulation and can bring about sepsis (Kumar </w:t>
      </w:r>
      <w:r w:rsidRPr="00B031A0" w:rsidR="00776C49">
        <w:rPr>
          <w:rFonts w:ascii="Arial" w:hAnsi="Arial" w:cs="Arial"/>
          <w:color w:val="000000" w:themeColor="text1"/>
        </w:rPr>
        <w:t>et al</w:t>
      </w:r>
      <w:r w:rsidRPr="00B031A0">
        <w:rPr>
          <w:rFonts w:ascii="Arial" w:hAnsi="Arial" w:cs="Arial"/>
          <w:color w:val="000000" w:themeColor="text1"/>
        </w:rPr>
        <w:t xml:space="preserve">., 2026). In an article </w:t>
      </w:r>
      <w:r w:rsidR="007C25F7">
        <w:rPr>
          <w:rFonts w:ascii="Arial" w:hAnsi="Arial" w:cs="Arial"/>
          <w:color w:val="000000" w:themeColor="text1"/>
        </w:rPr>
        <w:t>determining</w:t>
      </w:r>
      <w:r w:rsidRPr="00B031A0">
        <w:rPr>
          <w:rFonts w:ascii="Arial" w:hAnsi="Arial" w:cs="Arial"/>
          <w:color w:val="000000" w:themeColor="text1"/>
        </w:rPr>
        <w:t xml:space="preserve"> the underlying risk factors associated with E. coli bacteraemia, Nsonwu </w:t>
      </w:r>
      <w:r w:rsidRPr="00B031A0" w:rsidR="00776C49">
        <w:rPr>
          <w:rFonts w:ascii="Arial" w:hAnsi="Arial" w:cs="Arial"/>
          <w:color w:val="000000" w:themeColor="text1"/>
        </w:rPr>
        <w:t>et al</w:t>
      </w:r>
      <w:r w:rsidRPr="00B031A0">
        <w:rPr>
          <w:rFonts w:ascii="Arial" w:hAnsi="Arial" w:cs="Arial"/>
          <w:color w:val="000000" w:themeColor="text1"/>
        </w:rPr>
        <w:t xml:space="preserve">. (2025) assert that </w:t>
      </w:r>
      <w:r w:rsidR="007C25F7">
        <w:rPr>
          <w:rFonts w:ascii="Arial" w:hAnsi="Arial" w:cs="Arial"/>
          <w:color w:val="000000" w:themeColor="text1"/>
        </w:rPr>
        <w:t>in</w:t>
      </w:r>
      <w:r w:rsidRPr="00B031A0">
        <w:rPr>
          <w:rFonts w:ascii="Arial" w:hAnsi="Arial" w:cs="Arial"/>
          <w:color w:val="000000" w:themeColor="text1"/>
        </w:rPr>
        <w:t xml:space="preserve"> the UK, surveillance demonstrates that the incidence of E. coli bacteraemia is much greater than Methicillin-Resistant Staphylococcus aureus (MRSA) bacteraemia, and a great deal of resistant bloodstream </w:t>
      </w:r>
      <w:r w:rsidR="007C25F7">
        <w:rPr>
          <w:rFonts w:ascii="Arial" w:hAnsi="Arial" w:cs="Arial"/>
          <w:color w:val="000000" w:themeColor="text1"/>
        </w:rPr>
        <w:t>infections</w:t>
      </w:r>
      <w:r w:rsidRPr="00B031A0">
        <w:rPr>
          <w:rFonts w:ascii="Arial" w:hAnsi="Arial" w:cs="Arial"/>
          <w:color w:val="000000" w:themeColor="text1"/>
        </w:rPr>
        <w:t xml:space="preserve"> is due to E. coli, which also has its origin in the urine. According to Haque </w:t>
      </w:r>
      <w:r w:rsidRPr="00B031A0" w:rsidR="00776C49">
        <w:rPr>
          <w:rFonts w:ascii="Arial" w:hAnsi="Arial" w:cs="Arial"/>
          <w:color w:val="000000" w:themeColor="text1"/>
        </w:rPr>
        <w:t>et al</w:t>
      </w:r>
      <w:r w:rsidRPr="00B031A0">
        <w:rPr>
          <w:rFonts w:ascii="Arial" w:hAnsi="Arial" w:cs="Arial"/>
          <w:color w:val="000000" w:themeColor="text1"/>
        </w:rPr>
        <w:t xml:space="preserve">. (2020), these are so-called central-line-associated bloodstream infections, which can occur </w:t>
      </w:r>
      <w:r w:rsidRPr="00B031A0" w:rsidR="00087938">
        <w:rPr>
          <w:rFonts w:ascii="Arial" w:hAnsi="Arial" w:cs="Arial"/>
          <w:color w:val="000000" w:themeColor="text1"/>
        </w:rPr>
        <w:t>because of</w:t>
      </w:r>
      <w:r w:rsidRPr="00B031A0">
        <w:rPr>
          <w:rFonts w:ascii="Arial" w:hAnsi="Arial" w:cs="Arial"/>
          <w:color w:val="000000" w:themeColor="text1"/>
        </w:rPr>
        <w:t xml:space="preserve"> contaminated hands during line insertion, dressing change or administration of medication. However, other bacteraemia may be a community infection or of microbial origin in a patient (Ghafouri, Kermani and Namaghi, 2026). Therefore, the surveillance data on the national level cannot necessarily indicate poor hand hygiene in the hospital. Nurse adherence is also highly critical to prevent preventable hospital-acquired events, but device-care bundles, skin antisepsis, and linen removal in real-time are also needed (Sanvitti, Kanapeckas and Bilotta, 2026). </w:t>
      </w:r>
    </w:p>
    <w:p w:rsidRPr="00B031A0" w:rsidR="00C77BF3" w:rsidRDefault="00115699" w14:paraId="403F8B3D" w14:textId="77777777">
      <w:pPr>
        <w:rPr>
          <w:rFonts w:ascii="Arial" w:hAnsi="Arial" w:cs="Arial"/>
          <w:b/>
          <w:bCs/>
          <w:color w:val="000000" w:themeColor="text1"/>
        </w:rPr>
      </w:pPr>
      <w:r w:rsidRPr="00B031A0">
        <w:rPr>
          <w:rFonts w:ascii="Arial" w:hAnsi="Arial" w:cs="Arial"/>
          <w:b/>
          <w:bCs/>
          <w:color w:val="000000" w:themeColor="text1"/>
        </w:rPr>
        <w:t>Respiratory Infections and Hospital-Acquired Pneumonia</w:t>
      </w:r>
    </w:p>
    <w:p w:rsidRPr="00B031A0" w:rsidR="00C77BF3" w:rsidRDefault="00115699" w14:paraId="60CD7308" w14:textId="3545D5F8">
      <w:pPr>
        <w:rPr>
          <w:rFonts w:ascii="Arial" w:hAnsi="Arial" w:cs="Arial"/>
          <w:color w:val="000000" w:themeColor="text1"/>
        </w:rPr>
      </w:pPr>
      <w:r w:rsidRPr="00B031A0">
        <w:rPr>
          <w:rFonts w:ascii="Arial" w:hAnsi="Arial" w:cs="Arial"/>
          <w:color w:val="000000" w:themeColor="text1"/>
        </w:rPr>
        <w:t xml:space="preserve">Hospital-acquired pneumonia and ventilator-associated pneumonia are serious infections that afflict the critically ill, older and bedridden patients, as explained by Miron </w:t>
      </w:r>
      <w:r w:rsidRPr="00B031A0" w:rsidR="00776C49">
        <w:rPr>
          <w:rFonts w:ascii="Arial" w:hAnsi="Arial" w:cs="Arial"/>
          <w:color w:val="000000" w:themeColor="text1"/>
        </w:rPr>
        <w:t>et al</w:t>
      </w:r>
      <w:r w:rsidRPr="00B031A0">
        <w:rPr>
          <w:rFonts w:ascii="Arial" w:hAnsi="Arial" w:cs="Arial"/>
          <w:color w:val="000000" w:themeColor="text1"/>
        </w:rPr>
        <w:t xml:space="preserve">. (2024) in their literature review. </w:t>
      </w:r>
      <w:r w:rsidR="007C25F7">
        <w:rPr>
          <w:rFonts w:ascii="Arial" w:hAnsi="Arial" w:cs="Arial"/>
          <w:color w:val="000000" w:themeColor="text1"/>
        </w:rPr>
        <w:t>Respiratory</w:t>
      </w:r>
      <w:r w:rsidRPr="00B031A0">
        <w:rPr>
          <w:rFonts w:ascii="Arial" w:hAnsi="Arial" w:cs="Arial"/>
          <w:color w:val="000000" w:themeColor="text1"/>
        </w:rPr>
        <w:t xml:space="preserve"> wound infections can be spread through droplets, equipment contamination, aspiration and lack of control over the airways</w:t>
      </w:r>
      <w:r w:rsidR="007C25F7">
        <w:rPr>
          <w:rFonts w:ascii="Arial" w:hAnsi="Arial" w:cs="Arial"/>
          <w:color w:val="000000" w:themeColor="text1"/>
        </w:rPr>
        <w:t>,</w:t>
      </w:r>
      <w:r w:rsidRPr="00B031A0">
        <w:rPr>
          <w:rFonts w:ascii="Arial" w:hAnsi="Arial" w:cs="Arial"/>
          <w:color w:val="000000" w:themeColor="text1"/>
        </w:rPr>
        <w:t xml:space="preserve"> in comparison to contact-related infections (Kutter </w:t>
      </w:r>
      <w:r w:rsidRPr="00B031A0" w:rsidR="00776C49">
        <w:rPr>
          <w:rFonts w:ascii="Arial" w:hAnsi="Arial" w:cs="Arial"/>
          <w:color w:val="000000" w:themeColor="text1"/>
        </w:rPr>
        <w:t>et al</w:t>
      </w:r>
      <w:r w:rsidRPr="00B031A0">
        <w:rPr>
          <w:rFonts w:ascii="Arial" w:hAnsi="Arial" w:cs="Arial"/>
          <w:color w:val="000000" w:themeColor="text1"/>
        </w:rPr>
        <w:t xml:space="preserve">., 2018). When giving oral care, suctioning patients or operating ventilator equipment, the contaminated hands of nurses can </w:t>
      </w:r>
      <w:r w:rsidR="00BB7F17">
        <w:rPr>
          <w:rFonts w:ascii="Arial" w:hAnsi="Arial" w:cs="Arial"/>
          <w:color w:val="000000" w:themeColor="text1"/>
        </w:rPr>
        <w:t>transmit</w:t>
      </w:r>
      <w:r w:rsidRPr="00B031A0">
        <w:rPr>
          <w:rFonts w:ascii="Arial" w:hAnsi="Arial" w:cs="Arial"/>
          <w:color w:val="000000" w:themeColor="text1"/>
        </w:rPr>
        <w:t xml:space="preserve"> organisms (Kumar </w:t>
      </w:r>
      <w:r w:rsidRPr="00B031A0" w:rsidR="00776C49">
        <w:rPr>
          <w:rFonts w:ascii="Arial" w:hAnsi="Arial" w:cs="Arial"/>
          <w:color w:val="000000" w:themeColor="text1"/>
        </w:rPr>
        <w:t>et al</w:t>
      </w:r>
      <w:r w:rsidRPr="00B031A0">
        <w:rPr>
          <w:rFonts w:ascii="Arial" w:hAnsi="Arial" w:cs="Arial"/>
          <w:color w:val="000000" w:themeColor="text1"/>
        </w:rPr>
        <w:t>., 2023). It is also possible to suggest that pneumonia may result in a particularly high length of stay in a hospital in comparison with several other Healthcare-Associated Infections (HCAIs). Nonetheless, hand hygiene is not a sufficient measure to deal with aspiration, poor position or long-term mechanical ventilation.</w:t>
      </w:r>
      <w:r w:rsidR="00BB7F17">
        <w:rPr>
          <w:rFonts w:ascii="Arial" w:hAnsi="Arial" w:cs="Arial"/>
          <w:color w:val="000000" w:themeColor="text1"/>
        </w:rPr>
        <w:t xml:space="preserve"> </w:t>
      </w:r>
      <w:r w:rsidRPr="00B031A0" w:rsidR="00BB7F17">
        <w:rPr>
          <w:rFonts w:ascii="Arial" w:hAnsi="Arial" w:cs="Arial"/>
          <w:color w:val="000000" w:themeColor="text1"/>
        </w:rPr>
        <w:t>(Kutter et al., 2018)</w:t>
      </w:r>
      <w:r w:rsidR="008C491C">
        <w:rPr>
          <w:rFonts w:ascii="Arial" w:hAnsi="Arial" w:cs="Arial"/>
          <w:color w:val="000000" w:themeColor="text1"/>
        </w:rPr>
        <w:t>.</w:t>
      </w:r>
      <w:r w:rsidRPr="00B031A0">
        <w:rPr>
          <w:rFonts w:ascii="Arial" w:hAnsi="Arial" w:cs="Arial"/>
          <w:color w:val="000000" w:themeColor="text1"/>
        </w:rPr>
        <w:t xml:space="preserve"> This is what determines the distinction between pneumonia and infections where </w:t>
      </w:r>
      <w:r w:rsidR="008C491C">
        <w:rPr>
          <w:rFonts w:ascii="Arial" w:hAnsi="Arial" w:cs="Arial"/>
          <w:color w:val="000000" w:themeColor="text1"/>
        </w:rPr>
        <w:t>direct hand-to-hand</w:t>
      </w:r>
      <w:r w:rsidRPr="00B031A0">
        <w:rPr>
          <w:rFonts w:ascii="Arial" w:hAnsi="Arial" w:cs="Arial"/>
          <w:color w:val="000000" w:themeColor="text1"/>
        </w:rPr>
        <w:t xml:space="preserve"> transmission is more predominant. Prevention thus involves coordinated oral care, respiratory care, equipment decontamination and care of ventilators (Martelli </w:t>
      </w:r>
      <w:r w:rsidRPr="00B031A0" w:rsidR="00776C49">
        <w:rPr>
          <w:rFonts w:ascii="Arial" w:hAnsi="Arial" w:cs="Arial"/>
          <w:color w:val="000000" w:themeColor="text1"/>
        </w:rPr>
        <w:t>et al</w:t>
      </w:r>
      <w:r w:rsidRPr="00B031A0">
        <w:rPr>
          <w:rFonts w:ascii="Arial" w:hAnsi="Arial" w:cs="Arial"/>
          <w:color w:val="000000" w:themeColor="text1"/>
        </w:rPr>
        <w:t xml:space="preserve">., 2026). </w:t>
      </w:r>
    </w:p>
    <w:p w:rsidRPr="00B031A0" w:rsidR="00C77BF3" w:rsidP="007C25F7" w:rsidRDefault="00115699" w14:paraId="44C2EBDF" w14:textId="77777777">
      <w:pPr>
        <w:pStyle w:val="Heading2"/>
      </w:pPr>
      <w:bookmarkStart w:name="_Toc240696160" w:id="15"/>
      <w:r w:rsidRPr="00B031A0">
        <w:t>2.3.2 Factors influencing hand hygiene compliance among healthcare workers</w:t>
      </w:r>
      <w:bookmarkEnd w:id="15"/>
    </w:p>
    <w:p w:rsidRPr="00B031A0" w:rsidR="00C77BF3" w:rsidRDefault="00115699" w14:paraId="04DFAE6B" w14:textId="34C34CB6">
      <w:pPr>
        <w:rPr>
          <w:rFonts w:ascii="Arial" w:hAnsi="Arial" w:cs="Arial"/>
          <w:color w:val="000000" w:themeColor="text1"/>
        </w:rPr>
      </w:pPr>
      <w:r w:rsidRPr="00B031A0">
        <w:rPr>
          <w:rFonts w:ascii="Arial" w:hAnsi="Arial" w:cs="Arial"/>
          <w:color w:val="000000" w:themeColor="text1"/>
        </w:rPr>
        <w:t xml:space="preserve">A variety of organisational, behavioural and environmental variables can also contribute to the hand hygiene compliance of healthcare workers rather than the knowledge of the individuals (Zheng </w:t>
      </w:r>
      <w:r w:rsidRPr="00B031A0" w:rsidR="00776C49">
        <w:rPr>
          <w:rFonts w:ascii="Arial" w:hAnsi="Arial" w:cs="Arial"/>
          <w:color w:val="000000" w:themeColor="text1"/>
        </w:rPr>
        <w:t>et al</w:t>
      </w:r>
      <w:r w:rsidRPr="00B031A0">
        <w:rPr>
          <w:rFonts w:ascii="Arial" w:hAnsi="Arial" w:cs="Arial"/>
          <w:color w:val="000000" w:themeColor="text1"/>
        </w:rPr>
        <w:t xml:space="preserve">., 2022). </w:t>
      </w:r>
    </w:p>
    <w:p w:rsidRPr="00B031A0" w:rsidR="00C77BF3" w:rsidRDefault="00115699" w14:paraId="143301A3" w14:textId="77777777">
      <w:pPr>
        <w:jc w:val="center"/>
        <w:rPr>
          <w:rFonts w:ascii="Arial" w:hAnsi="Arial" w:cs="Arial"/>
          <w:color w:val="000000" w:themeColor="text1"/>
        </w:rPr>
      </w:pPr>
      <w:r w:rsidRPr="00B031A0">
        <w:rPr>
          <w:rFonts w:ascii="Arial" w:hAnsi="Arial" w:cs="Arial"/>
          <w:noProof/>
          <w:color w:val="000000" w:themeColor="text1"/>
        </w:rPr>
        <w:drawing>
          <wp:inline distT="114300" distB="114300" distL="114300" distR="114300" wp14:anchorId="2D04BC9D" wp14:editId="29C49AD1">
            <wp:extent cx="4000500" cy="2971800"/>
            <wp:effectExtent l="0" t="0" r="0" b="0"/>
            <wp:docPr id="114148258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4000500" cy="2971800"/>
                    </a:xfrm>
                    <a:prstGeom prst="rect">
                      <a:avLst/>
                    </a:prstGeom>
                    <a:ln/>
                  </pic:spPr>
                </pic:pic>
              </a:graphicData>
            </a:graphic>
          </wp:inline>
        </w:drawing>
      </w:r>
    </w:p>
    <w:p w:rsidRPr="00B031A0" w:rsidR="00C77BF3" w:rsidRDefault="00115699" w14:paraId="03D277A0" w14:textId="77777777">
      <w:pPr>
        <w:jc w:val="center"/>
        <w:rPr>
          <w:rFonts w:ascii="Arial" w:hAnsi="Arial" w:cs="Arial"/>
          <w:b/>
          <w:bCs/>
          <w:color w:val="000000" w:themeColor="text1"/>
        </w:rPr>
      </w:pPr>
      <w:r w:rsidRPr="00B031A0">
        <w:rPr>
          <w:rFonts w:ascii="Arial" w:hAnsi="Arial" w:cs="Arial"/>
          <w:b/>
          <w:bCs/>
          <w:color w:val="000000" w:themeColor="text1"/>
        </w:rPr>
        <w:t>Figure 2.1: 5 Moments of Hand Hygiene</w:t>
      </w:r>
    </w:p>
    <w:p w:rsidRPr="00B031A0" w:rsidR="00C77BF3" w:rsidRDefault="00115699" w14:paraId="3C43EB73" w14:textId="005E49FB">
      <w:pPr>
        <w:jc w:val="center"/>
        <w:rPr>
          <w:rFonts w:ascii="Arial" w:hAnsi="Arial" w:cs="Arial"/>
          <w:color w:val="000000" w:themeColor="text1"/>
        </w:rPr>
      </w:pPr>
      <w:r w:rsidRPr="00B031A0">
        <w:rPr>
          <w:rFonts w:ascii="Arial" w:hAnsi="Arial" w:cs="Arial"/>
          <w:color w:val="000000" w:themeColor="text1"/>
        </w:rPr>
        <w:t xml:space="preserve">(Source: Loftus </w:t>
      </w:r>
      <w:r w:rsidRPr="00B031A0" w:rsidR="00776C49">
        <w:rPr>
          <w:rFonts w:ascii="Arial" w:hAnsi="Arial" w:cs="Arial"/>
          <w:color w:val="000000" w:themeColor="text1"/>
        </w:rPr>
        <w:t>et al</w:t>
      </w:r>
      <w:r w:rsidRPr="00B031A0">
        <w:rPr>
          <w:rFonts w:ascii="Arial" w:hAnsi="Arial" w:cs="Arial"/>
          <w:color w:val="000000" w:themeColor="text1"/>
        </w:rPr>
        <w:t>., 2019)</w:t>
      </w:r>
    </w:p>
    <w:p w:rsidRPr="00B031A0" w:rsidR="00C77BF3" w:rsidRDefault="007C25F7" w14:paraId="14AC68B5" w14:textId="48CCF501">
      <w:pPr>
        <w:rPr>
          <w:rFonts w:ascii="Arial" w:hAnsi="Arial" w:cs="Arial"/>
          <w:color w:val="000000" w:themeColor="text1"/>
        </w:rPr>
      </w:pPr>
      <w:r>
        <w:rPr>
          <w:rFonts w:ascii="Arial" w:hAnsi="Arial" w:cs="Arial"/>
          <w:color w:val="000000" w:themeColor="text1"/>
        </w:rPr>
        <w:t>Compliance</w:t>
      </w:r>
      <w:r w:rsidRPr="00B031A0" w:rsidR="00115699">
        <w:rPr>
          <w:rFonts w:ascii="Arial" w:hAnsi="Arial" w:cs="Arial"/>
          <w:color w:val="000000" w:themeColor="text1"/>
        </w:rPr>
        <w:t xml:space="preserve"> with </w:t>
      </w:r>
      <w:r>
        <w:rPr>
          <w:rFonts w:ascii="Arial" w:hAnsi="Arial" w:cs="Arial"/>
          <w:color w:val="000000" w:themeColor="text1"/>
        </w:rPr>
        <w:t>the</w:t>
      </w:r>
      <w:r w:rsidRPr="00B031A0" w:rsidR="00115699">
        <w:rPr>
          <w:rFonts w:ascii="Arial" w:hAnsi="Arial" w:cs="Arial"/>
          <w:color w:val="000000" w:themeColor="text1"/>
        </w:rPr>
        <w:t xml:space="preserve"> Five Moments </w:t>
      </w:r>
      <w:r>
        <w:rPr>
          <w:rFonts w:ascii="Arial" w:hAnsi="Arial" w:cs="Arial"/>
          <w:color w:val="000000" w:themeColor="text1"/>
        </w:rPr>
        <w:t xml:space="preserve">of Hand Hygiene </w:t>
      </w:r>
      <w:r w:rsidRPr="00B031A0" w:rsidR="00115699">
        <w:rPr>
          <w:rFonts w:ascii="Arial" w:hAnsi="Arial" w:cs="Arial"/>
          <w:color w:val="000000" w:themeColor="text1"/>
        </w:rPr>
        <w:t xml:space="preserve">offered by the World Health Organisation (WHO) is not universal in every healthcare facility, </w:t>
      </w:r>
      <w:r>
        <w:rPr>
          <w:rFonts w:ascii="Arial" w:hAnsi="Arial" w:cs="Arial"/>
          <w:color w:val="000000" w:themeColor="text1"/>
        </w:rPr>
        <w:t>Bale et al. (2021) point out</w:t>
      </w:r>
      <w:r w:rsidRPr="00B031A0" w:rsidR="00115699">
        <w:rPr>
          <w:rFonts w:ascii="Arial" w:hAnsi="Arial" w:cs="Arial"/>
          <w:color w:val="000000" w:themeColor="text1"/>
        </w:rPr>
        <w:t xml:space="preserve"> in their Cross-sectional observation of healthcare professionals, even though the assumption is that nurses strive to follow the given rules regarding hand hygiene. World Health Organisation (2022) states that compliance with hand hygiene in healthcare facilities is still as low as 59.6% in the whole world, which proves that compliance </w:t>
      </w:r>
      <w:r w:rsidRPr="00B031A0">
        <w:rPr>
          <w:rFonts w:ascii="Arial" w:hAnsi="Arial" w:cs="Arial"/>
          <w:color w:val="000000" w:themeColor="text1"/>
        </w:rPr>
        <w:t>remains</w:t>
      </w:r>
      <w:r w:rsidRPr="00B031A0" w:rsidR="00115699">
        <w:rPr>
          <w:rFonts w:ascii="Arial" w:hAnsi="Arial" w:cs="Arial"/>
          <w:color w:val="000000" w:themeColor="text1"/>
        </w:rPr>
        <w:t xml:space="preserve"> one of the critical issues </w:t>
      </w:r>
      <w:r w:rsidRPr="00B031A0">
        <w:rPr>
          <w:rFonts w:ascii="Arial" w:hAnsi="Arial" w:cs="Arial"/>
          <w:color w:val="000000" w:themeColor="text1"/>
        </w:rPr>
        <w:t>despite</w:t>
      </w:r>
      <w:r w:rsidRPr="00B031A0" w:rsidR="00115699">
        <w:rPr>
          <w:rFonts w:ascii="Arial" w:hAnsi="Arial" w:cs="Arial"/>
          <w:color w:val="000000" w:themeColor="text1"/>
        </w:rPr>
        <w:t xml:space="preserve"> well-established rules. In addition, Sandu </w:t>
      </w:r>
      <w:r w:rsidRPr="00B031A0" w:rsidR="00776C49">
        <w:rPr>
          <w:rFonts w:ascii="Arial" w:hAnsi="Arial" w:cs="Arial"/>
          <w:color w:val="000000" w:themeColor="text1"/>
        </w:rPr>
        <w:t>et al</w:t>
      </w:r>
      <w:r w:rsidRPr="00B031A0" w:rsidR="00115699">
        <w:rPr>
          <w:rFonts w:ascii="Arial" w:hAnsi="Arial" w:cs="Arial"/>
          <w:color w:val="000000" w:themeColor="text1"/>
        </w:rPr>
        <w:t xml:space="preserve">. (2025) stated that high-income countries are not well compliant, with approximately 7% of patients </w:t>
      </w:r>
      <w:r>
        <w:rPr>
          <w:rFonts w:ascii="Arial" w:hAnsi="Arial" w:cs="Arial"/>
          <w:color w:val="000000" w:themeColor="text1"/>
        </w:rPr>
        <w:t>developing</w:t>
      </w:r>
      <w:r w:rsidRPr="00B031A0" w:rsidR="00115699">
        <w:rPr>
          <w:rFonts w:ascii="Arial" w:hAnsi="Arial" w:cs="Arial"/>
          <w:color w:val="000000" w:themeColor="text1"/>
        </w:rPr>
        <w:t xml:space="preserve"> at least one healthcare-associated infection </w:t>
      </w:r>
      <w:r w:rsidRPr="00B031A0">
        <w:rPr>
          <w:rFonts w:ascii="Arial" w:hAnsi="Arial" w:cs="Arial"/>
          <w:color w:val="000000" w:themeColor="text1"/>
        </w:rPr>
        <w:t>during</w:t>
      </w:r>
      <w:r w:rsidRPr="00B031A0" w:rsidR="00115699">
        <w:rPr>
          <w:rFonts w:ascii="Arial" w:hAnsi="Arial" w:cs="Arial"/>
          <w:color w:val="000000" w:themeColor="text1"/>
        </w:rPr>
        <w:t xml:space="preserve"> hospitalisation, which justifies the importance of an increased level of compliance. </w:t>
      </w:r>
    </w:p>
    <w:p w:rsidRPr="00B031A0" w:rsidR="00C77BF3" w:rsidRDefault="00115699" w14:paraId="353997A2" w14:textId="77777777">
      <w:pPr>
        <w:rPr>
          <w:rFonts w:ascii="Arial" w:hAnsi="Arial" w:cs="Arial"/>
          <w:color w:val="000000" w:themeColor="text1"/>
        </w:rPr>
      </w:pPr>
      <w:r w:rsidRPr="00B031A0">
        <w:rPr>
          <w:rFonts w:ascii="Arial" w:hAnsi="Arial" w:cs="Arial"/>
          <w:b/>
          <w:bCs/>
          <w:color w:val="000000" w:themeColor="text1"/>
        </w:rPr>
        <w:t>Knowledge, Education and Professional Competence</w:t>
      </w:r>
    </w:p>
    <w:p w:rsidRPr="00B031A0" w:rsidR="00C77BF3" w:rsidRDefault="00115699" w14:paraId="7D7AFE4F" w14:textId="352CCF5B">
      <w:pPr>
        <w:rPr>
          <w:rFonts w:ascii="Arial" w:hAnsi="Arial" w:cs="Arial"/>
          <w:color w:val="000000" w:themeColor="text1"/>
        </w:rPr>
      </w:pPr>
      <w:r w:rsidRPr="00B031A0">
        <w:rPr>
          <w:rFonts w:ascii="Arial" w:hAnsi="Arial" w:cs="Arial"/>
          <w:color w:val="000000" w:themeColor="text1"/>
        </w:rPr>
        <w:t xml:space="preserve">Knowledge and education are effective determinants of hand hygiene compliance (Chakma </w:t>
      </w:r>
      <w:r w:rsidRPr="00B031A0" w:rsidR="00776C49">
        <w:rPr>
          <w:rFonts w:ascii="Arial" w:hAnsi="Arial" w:cs="Arial"/>
          <w:color w:val="000000" w:themeColor="text1"/>
        </w:rPr>
        <w:t>et al</w:t>
      </w:r>
      <w:r w:rsidRPr="00B031A0">
        <w:rPr>
          <w:rFonts w:ascii="Arial" w:hAnsi="Arial" w:cs="Arial"/>
          <w:color w:val="000000" w:themeColor="text1"/>
        </w:rPr>
        <w:t xml:space="preserve">., 2024). While discussing the body of available literature regarding healthcare workers' knowledge of infection prevention and control, Alhumaid </w:t>
      </w:r>
      <w:r w:rsidRPr="00B031A0" w:rsidR="00776C49">
        <w:rPr>
          <w:rFonts w:ascii="Arial" w:hAnsi="Arial" w:cs="Arial"/>
          <w:color w:val="000000" w:themeColor="text1"/>
        </w:rPr>
        <w:t>et al</w:t>
      </w:r>
      <w:r w:rsidRPr="00B031A0">
        <w:rPr>
          <w:rFonts w:ascii="Arial" w:hAnsi="Arial" w:cs="Arial"/>
          <w:color w:val="000000" w:themeColor="text1"/>
        </w:rPr>
        <w:t xml:space="preserve">. (2021) contend that some of this research asserts that healthcare workers are better informed about how the pathogen can be transmitted and the consequences of not observing when the threat of infection exists in healthcare workers who undergo regular training about infection protection. Interventions in education lead to the awareness of healthcare providers regarding the correct hand hygiene techniques and the World Health </w:t>
      </w:r>
      <w:r w:rsidR="007C25F7">
        <w:rPr>
          <w:rFonts w:ascii="Arial" w:hAnsi="Arial" w:cs="Arial"/>
          <w:color w:val="000000" w:themeColor="text1"/>
        </w:rPr>
        <w:t>Organisation's</w:t>
      </w:r>
      <w:r w:rsidRPr="00B031A0">
        <w:rPr>
          <w:rFonts w:ascii="Arial" w:hAnsi="Arial" w:cs="Arial"/>
          <w:color w:val="000000" w:themeColor="text1"/>
        </w:rPr>
        <w:t xml:space="preserve"> (WHO) Five Moments of Hand Hygiene</w:t>
      </w:r>
      <w:r w:rsidR="007C25F7">
        <w:rPr>
          <w:rFonts w:ascii="Arial" w:hAnsi="Arial" w:cs="Arial"/>
          <w:color w:val="000000" w:themeColor="text1"/>
        </w:rPr>
        <w:t>,</w:t>
      </w:r>
      <w:r w:rsidRPr="00B031A0">
        <w:rPr>
          <w:rFonts w:ascii="Arial" w:hAnsi="Arial" w:cs="Arial"/>
          <w:color w:val="000000" w:themeColor="text1"/>
        </w:rPr>
        <w:t xml:space="preserve"> which serves to enhance infection prevention and control (Batra </w:t>
      </w:r>
      <w:r w:rsidRPr="00B031A0" w:rsidR="00776C49">
        <w:rPr>
          <w:rFonts w:ascii="Arial" w:hAnsi="Arial" w:cs="Arial"/>
          <w:color w:val="000000" w:themeColor="text1"/>
        </w:rPr>
        <w:t>et al</w:t>
      </w:r>
      <w:r w:rsidRPr="00B031A0">
        <w:rPr>
          <w:rFonts w:ascii="Arial" w:hAnsi="Arial" w:cs="Arial"/>
          <w:color w:val="000000" w:themeColor="text1"/>
        </w:rPr>
        <w:t xml:space="preserve">., 2025). The literature states that education is not sufficient for achieving change </w:t>
      </w:r>
      <w:r w:rsidR="007C25F7">
        <w:rPr>
          <w:rFonts w:ascii="Arial" w:hAnsi="Arial" w:cs="Arial"/>
          <w:color w:val="000000" w:themeColor="text1"/>
        </w:rPr>
        <w:t>in behaviour</w:t>
      </w:r>
      <w:r w:rsidRPr="00B031A0">
        <w:rPr>
          <w:rFonts w:ascii="Arial" w:hAnsi="Arial" w:cs="Arial"/>
          <w:color w:val="000000" w:themeColor="text1"/>
        </w:rPr>
        <w:t>. Two authors, Yue and Pan (2025)</w:t>
      </w:r>
      <w:r w:rsidR="007C25F7">
        <w:rPr>
          <w:rFonts w:ascii="Arial" w:hAnsi="Arial" w:cs="Arial"/>
          <w:color w:val="000000" w:themeColor="text1"/>
        </w:rPr>
        <w:t>,</w:t>
      </w:r>
      <w:r w:rsidRPr="00B031A0">
        <w:rPr>
          <w:rFonts w:ascii="Arial" w:hAnsi="Arial" w:cs="Arial"/>
          <w:color w:val="000000" w:themeColor="text1"/>
        </w:rPr>
        <w:t xml:space="preserve"> argue that while training can improve the outlook in terms of hand hygiene, successful long-term compliance is reliant on </w:t>
      </w:r>
      <w:r w:rsidR="007C25F7">
        <w:rPr>
          <w:rFonts w:ascii="Arial" w:hAnsi="Arial" w:cs="Arial"/>
          <w:color w:val="000000" w:themeColor="text1"/>
        </w:rPr>
        <w:t>an organisational</w:t>
      </w:r>
      <w:r w:rsidRPr="00B031A0">
        <w:rPr>
          <w:rFonts w:ascii="Arial" w:hAnsi="Arial" w:cs="Arial"/>
          <w:color w:val="000000" w:themeColor="text1"/>
        </w:rPr>
        <w:t xml:space="preserve"> basis. Alfaisal </w:t>
      </w:r>
      <w:r w:rsidRPr="00B031A0" w:rsidR="00776C49">
        <w:rPr>
          <w:rFonts w:ascii="Arial" w:hAnsi="Arial" w:cs="Arial"/>
          <w:color w:val="000000" w:themeColor="text1"/>
        </w:rPr>
        <w:t>et al</w:t>
      </w:r>
      <w:r w:rsidRPr="00B031A0">
        <w:rPr>
          <w:rFonts w:ascii="Arial" w:hAnsi="Arial" w:cs="Arial"/>
          <w:color w:val="000000" w:themeColor="text1"/>
        </w:rPr>
        <w:t xml:space="preserve">. (2024) reveal that healthcare workers </w:t>
      </w:r>
      <w:r w:rsidRPr="00B031A0" w:rsidR="008C491C">
        <w:rPr>
          <w:rFonts w:ascii="Arial" w:hAnsi="Arial" w:cs="Arial"/>
          <w:color w:val="000000" w:themeColor="text1"/>
        </w:rPr>
        <w:t>cannot</w:t>
      </w:r>
      <w:r w:rsidRPr="00B031A0">
        <w:rPr>
          <w:rFonts w:ascii="Arial" w:hAnsi="Arial" w:cs="Arial"/>
          <w:color w:val="000000" w:themeColor="text1"/>
        </w:rPr>
        <w:t xml:space="preserve"> move from theoretical knowledge to its application due to pressure of undergraduate workload, limited time and different priorities. Entry-level nursing practitioners usually possess recent knowledge of infection control, although probably lacking the necessary experience and confidence to adhere to </w:t>
      </w:r>
      <w:r w:rsidR="007C25F7">
        <w:rPr>
          <w:rFonts w:ascii="Arial" w:hAnsi="Arial" w:cs="Arial"/>
          <w:color w:val="000000" w:themeColor="text1"/>
        </w:rPr>
        <w:t>handwashing</w:t>
      </w:r>
      <w:r w:rsidRPr="00B031A0">
        <w:rPr>
          <w:rFonts w:ascii="Arial" w:hAnsi="Arial" w:cs="Arial"/>
          <w:color w:val="000000" w:themeColor="text1"/>
        </w:rPr>
        <w:t xml:space="preserve"> protocols in stressful clinical conditions (Batra </w:t>
      </w:r>
      <w:r w:rsidRPr="00B031A0" w:rsidR="00776C49">
        <w:rPr>
          <w:rFonts w:ascii="Arial" w:hAnsi="Arial" w:cs="Arial"/>
          <w:color w:val="000000" w:themeColor="text1"/>
        </w:rPr>
        <w:t>et al</w:t>
      </w:r>
      <w:r w:rsidRPr="00B031A0">
        <w:rPr>
          <w:rFonts w:ascii="Arial" w:hAnsi="Arial" w:cs="Arial"/>
          <w:color w:val="000000" w:themeColor="text1"/>
        </w:rPr>
        <w:t xml:space="preserve">., 2025). Adherence to hand hygiene procedures is influenced by cognitive skills, </w:t>
      </w:r>
      <w:r w:rsidR="007C25F7">
        <w:rPr>
          <w:rFonts w:ascii="Arial" w:hAnsi="Arial" w:cs="Arial"/>
          <w:color w:val="000000" w:themeColor="text1"/>
        </w:rPr>
        <w:t>organisational</w:t>
      </w:r>
      <w:r w:rsidRPr="00B031A0">
        <w:rPr>
          <w:rFonts w:ascii="Arial" w:hAnsi="Arial" w:cs="Arial"/>
          <w:color w:val="000000" w:themeColor="text1"/>
        </w:rPr>
        <w:t xml:space="preserve"> culture, support of management, feedback from superiors, and continuous reinforcement of </w:t>
      </w:r>
      <w:r w:rsidR="007C25F7">
        <w:rPr>
          <w:rFonts w:ascii="Arial" w:hAnsi="Arial" w:cs="Arial"/>
          <w:color w:val="000000" w:themeColor="text1"/>
        </w:rPr>
        <w:t>behaviour</w:t>
      </w:r>
      <w:r w:rsidRPr="00B031A0">
        <w:rPr>
          <w:rFonts w:ascii="Arial" w:hAnsi="Arial" w:cs="Arial"/>
          <w:color w:val="000000" w:themeColor="text1"/>
        </w:rPr>
        <w:t xml:space="preserve"> (Hammerschmidt and Manser, 2019). Such conclusions demonstrate that educational programs must be combined with the </w:t>
      </w:r>
      <w:r w:rsidR="007C25F7">
        <w:rPr>
          <w:rFonts w:ascii="Arial" w:hAnsi="Arial" w:cs="Arial"/>
          <w:color w:val="000000" w:themeColor="text1"/>
        </w:rPr>
        <w:t>organisational</w:t>
      </w:r>
      <w:r w:rsidRPr="00B031A0">
        <w:rPr>
          <w:rFonts w:ascii="Arial" w:hAnsi="Arial" w:cs="Arial"/>
          <w:color w:val="000000" w:themeColor="text1"/>
        </w:rPr>
        <w:t xml:space="preserve"> approach if improvements in hand hygiene compliance are to be </w:t>
      </w:r>
      <w:r w:rsidR="007C25F7">
        <w:rPr>
          <w:rFonts w:ascii="Arial" w:hAnsi="Arial" w:cs="Arial"/>
          <w:color w:val="000000" w:themeColor="text1"/>
        </w:rPr>
        <w:t>achieved</w:t>
      </w:r>
      <w:r w:rsidRPr="00B031A0">
        <w:rPr>
          <w:rFonts w:ascii="Arial" w:hAnsi="Arial" w:cs="Arial"/>
          <w:color w:val="000000" w:themeColor="text1"/>
        </w:rPr>
        <w:t>.</w:t>
      </w:r>
    </w:p>
    <w:p w:rsidRPr="00B031A0" w:rsidR="00C77BF3" w:rsidRDefault="00115699" w14:paraId="727B2272" w14:textId="77777777">
      <w:pPr>
        <w:rPr>
          <w:rFonts w:ascii="Arial" w:hAnsi="Arial" w:cs="Arial"/>
          <w:b/>
          <w:bCs/>
          <w:color w:val="000000" w:themeColor="text1"/>
        </w:rPr>
      </w:pPr>
      <w:r w:rsidRPr="00B031A0">
        <w:rPr>
          <w:rFonts w:ascii="Arial" w:hAnsi="Arial" w:cs="Arial"/>
          <w:b/>
          <w:bCs/>
          <w:color w:val="000000" w:themeColor="text1"/>
        </w:rPr>
        <w:t xml:space="preserve">Workload, Time Pressure and Staffing Levels </w:t>
      </w:r>
    </w:p>
    <w:p w:rsidRPr="00B031A0" w:rsidR="00C77BF3" w:rsidRDefault="00115699" w14:paraId="78E55217" w14:textId="593D8FC8">
      <w:pPr>
        <w:rPr>
          <w:rFonts w:ascii="Arial" w:hAnsi="Arial" w:cs="Arial"/>
          <w:color w:val="000000" w:themeColor="text1"/>
        </w:rPr>
      </w:pPr>
      <w:r w:rsidRPr="00B031A0">
        <w:rPr>
          <w:rFonts w:ascii="Arial" w:hAnsi="Arial" w:cs="Arial"/>
          <w:color w:val="000000" w:themeColor="text1"/>
        </w:rPr>
        <w:t xml:space="preserve">Workload has been the most widely reported impediment to compliance </w:t>
      </w:r>
      <w:r w:rsidR="00F74F31">
        <w:rPr>
          <w:rFonts w:ascii="Arial" w:hAnsi="Arial" w:cs="Arial"/>
          <w:color w:val="000000" w:themeColor="text1"/>
        </w:rPr>
        <w:t>with</w:t>
      </w:r>
      <w:r w:rsidRPr="00B031A0">
        <w:rPr>
          <w:rFonts w:ascii="Arial" w:hAnsi="Arial" w:cs="Arial"/>
          <w:color w:val="000000" w:themeColor="text1"/>
        </w:rPr>
        <w:t xml:space="preserve"> hand hygiene (Ahmadipour </w:t>
      </w:r>
      <w:r w:rsidRPr="00B031A0" w:rsidR="00776C49">
        <w:rPr>
          <w:rFonts w:ascii="Arial" w:hAnsi="Arial" w:cs="Arial"/>
          <w:color w:val="000000" w:themeColor="text1"/>
        </w:rPr>
        <w:t>et al</w:t>
      </w:r>
      <w:r w:rsidRPr="00B031A0">
        <w:rPr>
          <w:rFonts w:ascii="Arial" w:hAnsi="Arial" w:cs="Arial"/>
          <w:color w:val="000000" w:themeColor="text1"/>
        </w:rPr>
        <w:t xml:space="preserve">., 2022). </w:t>
      </w:r>
      <w:r w:rsidR="007C25F7">
        <w:rPr>
          <w:rFonts w:ascii="Arial" w:hAnsi="Arial" w:cs="Arial"/>
          <w:color w:val="000000" w:themeColor="text1"/>
        </w:rPr>
        <w:t>High</w:t>
      </w:r>
      <w:r w:rsidRPr="00B031A0">
        <w:rPr>
          <w:rFonts w:ascii="Arial" w:hAnsi="Arial" w:cs="Arial"/>
          <w:color w:val="000000" w:themeColor="text1"/>
        </w:rPr>
        <w:t xml:space="preserve"> patient-to-nurse ratios, emergency cases and growing service demands tend to decrease the time to </w:t>
      </w:r>
      <w:r w:rsidR="007C25F7">
        <w:rPr>
          <w:rFonts w:ascii="Arial" w:hAnsi="Arial" w:cs="Arial"/>
          <w:color w:val="000000" w:themeColor="text1"/>
        </w:rPr>
        <w:t>perform</w:t>
      </w:r>
      <w:r w:rsidRPr="00B031A0">
        <w:rPr>
          <w:rFonts w:ascii="Arial" w:hAnsi="Arial" w:cs="Arial"/>
          <w:color w:val="000000" w:themeColor="text1"/>
        </w:rPr>
        <w:t xml:space="preserve"> hand hygiene prior to and after each contact with a patient. Other researchers, such as Harb </w:t>
      </w:r>
      <w:r w:rsidRPr="00B031A0" w:rsidR="00776C49">
        <w:rPr>
          <w:rFonts w:ascii="Arial" w:hAnsi="Arial" w:cs="Arial"/>
          <w:color w:val="000000" w:themeColor="text1"/>
        </w:rPr>
        <w:t>et al</w:t>
      </w:r>
      <w:r w:rsidRPr="00B031A0">
        <w:rPr>
          <w:rFonts w:ascii="Arial" w:hAnsi="Arial" w:cs="Arial"/>
          <w:color w:val="000000" w:themeColor="text1"/>
        </w:rPr>
        <w:t xml:space="preserve">. (2025), also argue that time limitation is inevitably going to lower the compliance rate, as nurses are more concentrated on </w:t>
      </w:r>
      <w:r w:rsidR="007C25F7">
        <w:rPr>
          <w:rFonts w:ascii="Arial" w:hAnsi="Arial" w:cs="Arial"/>
          <w:color w:val="000000" w:themeColor="text1"/>
        </w:rPr>
        <w:t>immediate</w:t>
      </w:r>
      <w:r w:rsidRPr="00B031A0">
        <w:rPr>
          <w:rFonts w:ascii="Arial" w:hAnsi="Arial" w:cs="Arial"/>
          <w:color w:val="000000" w:themeColor="text1"/>
        </w:rPr>
        <w:t xml:space="preserve"> clinical treatment rather than on infection prevention as a practice. Yi </w:t>
      </w:r>
      <w:r w:rsidRPr="00B031A0" w:rsidR="00776C49">
        <w:rPr>
          <w:rFonts w:ascii="Arial" w:hAnsi="Arial" w:cs="Arial"/>
          <w:color w:val="000000" w:themeColor="text1"/>
        </w:rPr>
        <w:t>et al</w:t>
      </w:r>
      <w:r w:rsidRPr="00B031A0">
        <w:rPr>
          <w:rFonts w:ascii="Arial" w:hAnsi="Arial" w:cs="Arial"/>
          <w:color w:val="000000" w:themeColor="text1"/>
        </w:rPr>
        <w:t>. (2026), in contrast, believe that hand hygiene is a very short process and</w:t>
      </w:r>
      <w:r w:rsidR="007C25F7">
        <w:rPr>
          <w:rFonts w:ascii="Arial" w:hAnsi="Arial" w:cs="Arial"/>
          <w:color w:val="000000" w:themeColor="text1"/>
        </w:rPr>
        <w:t>,</w:t>
      </w:r>
      <w:r w:rsidRPr="00B031A0">
        <w:rPr>
          <w:rFonts w:ascii="Arial" w:hAnsi="Arial" w:cs="Arial"/>
          <w:color w:val="000000" w:themeColor="text1"/>
        </w:rPr>
        <w:t xml:space="preserve"> therefore, behavioural prioritisation, rather than time limitations, </w:t>
      </w:r>
      <w:r w:rsidR="007C25F7">
        <w:rPr>
          <w:rFonts w:ascii="Arial" w:hAnsi="Arial" w:cs="Arial"/>
          <w:color w:val="000000" w:themeColor="text1"/>
        </w:rPr>
        <w:t>is the issue</w:t>
      </w:r>
      <w:r w:rsidRPr="00B031A0">
        <w:rPr>
          <w:rFonts w:ascii="Arial" w:hAnsi="Arial" w:cs="Arial"/>
          <w:color w:val="000000" w:themeColor="text1"/>
        </w:rPr>
        <w:t xml:space="preserve">. This </w:t>
      </w:r>
      <w:r w:rsidR="007C25F7">
        <w:rPr>
          <w:rFonts w:ascii="Arial" w:hAnsi="Arial" w:cs="Arial"/>
          <w:color w:val="000000" w:themeColor="text1"/>
        </w:rPr>
        <w:t>opposing counterargument</w:t>
      </w:r>
      <w:r w:rsidRPr="00B031A0">
        <w:rPr>
          <w:rFonts w:ascii="Arial" w:hAnsi="Arial" w:cs="Arial"/>
          <w:color w:val="000000" w:themeColor="text1"/>
        </w:rPr>
        <w:t xml:space="preserve"> suggests </w:t>
      </w:r>
      <w:r w:rsidR="007C25F7">
        <w:rPr>
          <w:rFonts w:ascii="Arial" w:hAnsi="Arial" w:cs="Arial"/>
          <w:color w:val="000000" w:themeColor="text1"/>
        </w:rPr>
        <w:t xml:space="preserve">that </w:t>
      </w:r>
      <w:r w:rsidRPr="00B031A0">
        <w:rPr>
          <w:rFonts w:ascii="Arial" w:hAnsi="Arial" w:cs="Arial"/>
          <w:color w:val="000000" w:themeColor="text1"/>
        </w:rPr>
        <w:t xml:space="preserve">the culture within a given organisation can impact compliance </w:t>
      </w:r>
      <w:r w:rsidR="007C25F7">
        <w:rPr>
          <w:rFonts w:ascii="Arial" w:hAnsi="Arial" w:cs="Arial"/>
          <w:color w:val="000000" w:themeColor="text1"/>
        </w:rPr>
        <w:t xml:space="preserve">more </w:t>
      </w:r>
      <w:r w:rsidRPr="00B031A0">
        <w:rPr>
          <w:rFonts w:ascii="Arial" w:hAnsi="Arial" w:cs="Arial"/>
          <w:color w:val="000000" w:themeColor="text1"/>
        </w:rPr>
        <w:t xml:space="preserve">than workload. Nonetheless, a lack of adequate staff and overcrowding of National Health Service (NHS) hospitals have been proven to </w:t>
      </w:r>
      <w:r w:rsidR="007C25F7">
        <w:rPr>
          <w:rFonts w:ascii="Arial" w:hAnsi="Arial" w:cs="Arial"/>
          <w:color w:val="000000" w:themeColor="text1"/>
        </w:rPr>
        <w:t>exacerbate</w:t>
      </w:r>
      <w:r w:rsidRPr="00B031A0">
        <w:rPr>
          <w:rFonts w:ascii="Arial" w:hAnsi="Arial" w:cs="Arial"/>
          <w:color w:val="000000" w:themeColor="text1"/>
        </w:rPr>
        <w:t xml:space="preserve"> workflow disruptions and, consequently, increase the difficulty in sticking to it regularly (Sartini </w:t>
      </w:r>
      <w:r w:rsidRPr="00B031A0" w:rsidR="00776C49">
        <w:rPr>
          <w:rFonts w:ascii="Arial" w:hAnsi="Arial" w:cs="Arial"/>
          <w:color w:val="000000" w:themeColor="text1"/>
        </w:rPr>
        <w:t>et al</w:t>
      </w:r>
      <w:r w:rsidRPr="00B031A0">
        <w:rPr>
          <w:rFonts w:ascii="Arial" w:hAnsi="Arial" w:cs="Arial"/>
          <w:color w:val="000000" w:themeColor="text1"/>
        </w:rPr>
        <w:t xml:space="preserve">., 2022). Therefore, Clancy </w:t>
      </w:r>
      <w:r w:rsidRPr="00B031A0" w:rsidR="00776C49">
        <w:rPr>
          <w:rFonts w:ascii="Arial" w:hAnsi="Arial" w:cs="Arial"/>
          <w:color w:val="000000" w:themeColor="text1"/>
        </w:rPr>
        <w:t>et al</w:t>
      </w:r>
      <w:r w:rsidRPr="00B031A0">
        <w:rPr>
          <w:rFonts w:ascii="Arial" w:hAnsi="Arial" w:cs="Arial"/>
          <w:color w:val="000000" w:themeColor="text1"/>
        </w:rPr>
        <w:t xml:space="preserve">. (2021), in their comprehensive systematic review providing an up-to-date compilation of clinical trials, reported between 2014 and 2020, assessing hand hygiene interventions </w:t>
      </w:r>
      <w:r w:rsidR="007C25F7">
        <w:rPr>
          <w:rFonts w:ascii="Arial" w:hAnsi="Arial" w:cs="Arial"/>
          <w:color w:val="000000" w:themeColor="text1"/>
        </w:rPr>
        <w:t>to</w:t>
      </w:r>
      <w:r w:rsidRPr="00B031A0">
        <w:rPr>
          <w:rFonts w:ascii="Arial" w:hAnsi="Arial" w:cs="Arial"/>
          <w:color w:val="000000" w:themeColor="text1"/>
        </w:rPr>
        <w:t xml:space="preserve"> inform healthcare leaders and practitioners regarding approaches to reduce healthcare-associated infections using hand hygiene, argue that enhancing staffing levels might not guarantee compliance without the healthcare organisations employing a different strategy of enhancing accountability, leadership support and patient safety culture</w:t>
      </w:r>
      <w:r w:rsidR="008C491C">
        <w:rPr>
          <w:rFonts w:ascii="Arial" w:hAnsi="Arial" w:cs="Arial"/>
          <w:color w:val="000000" w:themeColor="text1"/>
        </w:rPr>
        <w:t xml:space="preserve"> </w:t>
      </w:r>
      <w:r w:rsidRPr="00B031A0" w:rsidR="008C491C">
        <w:rPr>
          <w:rFonts w:ascii="Arial" w:hAnsi="Arial" w:cs="Arial"/>
          <w:color w:val="000000" w:themeColor="text1"/>
        </w:rPr>
        <w:t>(Sartini et al., 2022)</w:t>
      </w:r>
      <w:r w:rsidRPr="00B031A0">
        <w:rPr>
          <w:rFonts w:ascii="Arial" w:hAnsi="Arial" w:cs="Arial"/>
          <w:color w:val="000000" w:themeColor="text1"/>
        </w:rPr>
        <w:t>.</w:t>
      </w:r>
      <w:r w:rsidRPr="00B031A0">
        <w:rPr>
          <w:rFonts w:ascii="Arial" w:hAnsi="Arial" w:cs="Arial"/>
          <w:b/>
          <w:bCs/>
          <w:color w:val="000000" w:themeColor="text1"/>
        </w:rPr>
        <w:t xml:space="preserve"> </w:t>
      </w:r>
    </w:p>
    <w:p w:rsidRPr="00B031A0" w:rsidR="00C77BF3" w:rsidRDefault="00115699" w14:paraId="108B451A" w14:textId="77777777">
      <w:pPr>
        <w:rPr>
          <w:rFonts w:ascii="Arial" w:hAnsi="Arial" w:cs="Arial"/>
          <w:b/>
          <w:bCs/>
          <w:color w:val="000000" w:themeColor="text1"/>
        </w:rPr>
      </w:pPr>
      <w:r w:rsidRPr="00B031A0">
        <w:rPr>
          <w:rFonts w:ascii="Arial" w:hAnsi="Arial" w:cs="Arial"/>
          <w:b/>
          <w:bCs/>
          <w:color w:val="000000" w:themeColor="text1"/>
        </w:rPr>
        <w:t>Organisational Culture and Leadership Support</w:t>
      </w:r>
    </w:p>
    <w:p w:rsidRPr="00B031A0" w:rsidR="00C77BF3" w:rsidRDefault="00115699" w14:paraId="49E6BCF4" w14:textId="4CB1C48D">
      <w:pPr>
        <w:rPr>
          <w:rFonts w:ascii="Arial" w:hAnsi="Arial" w:cs="Arial"/>
          <w:color w:val="000000" w:themeColor="text1"/>
        </w:rPr>
      </w:pPr>
      <w:r w:rsidRPr="00B031A0">
        <w:rPr>
          <w:rFonts w:ascii="Arial" w:hAnsi="Arial" w:cs="Arial"/>
          <w:color w:val="000000" w:themeColor="text1"/>
        </w:rPr>
        <w:t xml:space="preserve">Access to hand hygiene aids like alcohol-based hand rubs, soap, sinks, </w:t>
      </w:r>
      <w:r w:rsidR="007C25F7">
        <w:rPr>
          <w:rFonts w:ascii="Arial" w:hAnsi="Arial" w:cs="Arial"/>
          <w:color w:val="000000" w:themeColor="text1"/>
        </w:rPr>
        <w:t>disposable</w:t>
      </w:r>
      <w:r w:rsidRPr="00B031A0">
        <w:rPr>
          <w:rFonts w:ascii="Arial" w:hAnsi="Arial" w:cs="Arial"/>
          <w:color w:val="000000" w:themeColor="text1"/>
        </w:rPr>
        <w:t xml:space="preserve"> towels, and </w:t>
      </w:r>
      <w:r w:rsidR="007C25F7">
        <w:rPr>
          <w:rFonts w:ascii="Arial" w:hAnsi="Arial" w:cs="Arial"/>
          <w:color w:val="000000" w:themeColor="text1"/>
        </w:rPr>
        <w:t>PPE</w:t>
      </w:r>
      <w:r w:rsidRPr="00B031A0">
        <w:rPr>
          <w:rFonts w:ascii="Arial" w:hAnsi="Arial" w:cs="Arial"/>
          <w:color w:val="000000" w:themeColor="text1"/>
        </w:rPr>
        <w:t xml:space="preserve"> is regarded as a prerequisite for enhancing adherence to infection prevention protocols (Batra </w:t>
      </w:r>
      <w:r w:rsidRPr="00B031A0" w:rsidR="00776C49">
        <w:rPr>
          <w:rFonts w:ascii="Arial" w:hAnsi="Arial" w:cs="Arial"/>
          <w:color w:val="000000" w:themeColor="text1"/>
        </w:rPr>
        <w:t>et al</w:t>
      </w:r>
      <w:r w:rsidRPr="00B031A0">
        <w:rPr>
          <w:rFonts w:ascii="Arial" w:hAnsi="Arial" w:cs="Arial"/>
          <w:color w:val="000000" w:themeColor="text1"/>
        </w:rPr>
        <w:t xml:space="preserve">., 2025). Evidence continually demonstrates that healthcare professionals tend to practice hand hygiene in the workplace when these resources are available (Yue and Pan, 2025). The correlation between </w:t>
      </w:r>
      <w:r w:rsidR="007C25F7">
        <w:rPr>
          <w:rFonts w:ascii="Arial" w:hAnsi="Arial" w:cs="Arial"/>
          <w:color w:val="000000" w:themeColor="text1"/>
        </w:rPr>
        <w:t>resource</w:t>
      </w:r>
      <w:r w:rsidRPr="00B031A0">
        <w:rPr>
          <w:rFonts w:ascii="Arial" w:hAnsi="Arial" w:cs="Arial"/>
          <w:color w:val="000000" w:themeColor="text1"/>
        </w:rPr>
        <w:t xml:space="preserve"> availability and adherence is more complicated than the simple act of </w:t>
      </w:r>
      <w:r w:rsidR="007C25F7">
        <w:rPr>
          <w:rFonts w:ascii="Arial" w:hAnsi="Arial" w:cs="Arial"/>
          <w:color w:val="000000" w:themeColor="text1"/>
        </w:rPr>
        <w:t>providing</w:t>
      </w:r>
      <w:r w:rsidRPr="00B031A0">
        <w:rPr>
          <w:rFonts w:ascii="Arial" w:hAnsi="Arial" w:cs="Arial"/>
          <w:color w:val="000000" w:themeColor="text1"/>
        </w:rPr>
        <w:t xml:space="preserve"> the required materials. According to Worku and Melaku (2025), lack of access to hand hygiene resources means the standard would be lowered, while the mere existence of these facilities does not guarantee the necessary level of </w:t>
      </w:r>
      <w:r w:rsidR="007C25F7">
        <w:rPr>
          <w:rFonts w:ascii="Arial" w:hAnsi="Arial" w:cs="Arial"/>
          <w:color w:val="000000" w:themeColor="text1"/>
        </w:rPr>
        <w:t>behaviour change</w:t>
      </w:r>
      <w:r w:rsidRPr="00B031A0">
        <w:rPr>
          <w:rFonts w:ascii="Arial" w:hAnsi="Arial" w:cs="Arial"/>
          <w:color w:val="000000" w:themeColor="text1"/>
        </w:rPr>
        <w:t xml:space="preserve">. The same conclusion has been made by Ystaas </w:t>
      </w:r>
      <w:r w:rsidRPr="00B031A0" w:rsidR="00776C49">
        <w:rPr>
          <w:rFonts w:ascii="Arial" w:hAnsi="Arial" w:cs="Arial"/>
          <w:color w:val="000000" w:themeColor="text1"/>
        </w:rPr>
        <w:t>et al</w:t>
      </w:r>
      <w:r w:rsidRPr="00B031A0">
        <w:rPr>
          <w:rFonts w:ascii="Arial" w:hAnsi="Arial" w:cs="Arial"/>
          <w:color w:val="000000" w:themeColor="text1"/>
        </w:rPr>
        <w:t>. (2023), whose research indicated that leadership, guidance, and culture prove to have a stronger influence on compliance than availability of resources. In the circumstances of high-pressure medical performance, healthcare workers may miss hand hygiene moments even in the presence of all required facilities because of job commitments, interruptions, and competing priorities (</w:t>
      </w:r>
      <w:r w:rsidRPr="00B031A0" w:rsidR="00B1135D">
        <w:rPr>
          <w:rFonts w:ascii="Arial" w:hAnsi="Arial" w:cs="Arial"/>
          <w:color w:val="000000" w:themeColor="text1"/>
        </w:rPr>
        <w:t xml:space="preserve">Ystaas </w:t>
      </w:r>
      <w:r w:rsidR="00B1135D">
        <w:rPr>
          <w:rFonts w:ascii="Arial" w:hAnsi="Arial" w:cs="Arial"/>
          <w:color w:val="000000" w:themeColor="text1"/>
        </w:rPr>
        <w:t>et al</w:t>
      </w:r>
      <w:r w:rsidRPr="00B031A0">
        <w:rPr>
          <w:rFonts w:ascii="Arial" w:hAnsi="Arial" w:cs="Arial"/>
          <w:color w:val="000000" w:themeColor="text1"/>
        </w:rPr>
        <w:t>, 202</w:t>
      </w:r>
      <w:r w:rsidR="00B1135D">
        <w:rPr>
          <w:rFonts w:ascii="Arial" w:hAnsi="Arial" w:cs="Arial"/>
          <w:color w:val="000000" w:themeColor="text1"/>
        </w:rPr>
        <w:t>3</w:t>
      </w:r>
      <w:r w:rsidRPr="00B031A0">
        <w:rPr>
          <w:rFonts w:ascii="Arial" w:hAnsi="Arial" w:cs="Arial"/>
          <w:color w:val="000000" w:themeColor="text1"/>
        </w:rPr>
        <w:t xml:space="preserve">). </w:t>
      </w:r>
    </w:p>
    <w:p w:rsidRPr="00B031A0" w:rsidR="00C77BF3" w:rsidRDefault="00115699" w14:paraId="33EBB38F" w14:textId="77777777">
      <w:pPr>
        <w:rPr>
          <w:rFonts w:ascii="Arial" w:hAnsi="Arial" w:cs="Arial"/>
          <w:b/>
          <w:bCs/>
          <w:color w:val="000000" w:themeColor="text1"/>
        </w:rPr>
      </w:pPr>
      <w:r w:rsidRPr="00B031A0">
        <w:rPr>
          <w:rFonts w:ascii="Arial" w:hAnsi="Arial" w:cs="Arial"/>
          <w:b/>
          <w:bCs/>
          <w:color w:val="000000" w:themeColor="text1"/>
        </w:rPr>
        <w:t>Availability of Resources and Clinical Environment</w:t>
      </w:r>
    </w:p>
    <w:p w:rsidRPr="00B031A0" w:rsidR="00C77BF3" w:rsidRDefault="00115699" w14:paraId="74544365" w14:textId="79BE4764">
      <w:pPr>
        <w:rPr>
          <w:rFonts w:ascii="Arial" w:hAnsi="Arial" w:cs="Arial"/>
          <w:color w:val="000000" w:themeColor="text1"/>
        </w:rPr>
      </w:pPr>
      <w:r w:rsidRPr="00B031A0">
        <w:rPr>
          <w:rFonts w:ascii="Arial" w:hAnsi="Arial" w:cs="Arial"/>
          <w:color w:val="000000" w:themeColor="text1"/>
        </w:rPr>
        <w:t xml:space="preserve">The availability of alcohol-based hand rub, running sinks, soap dispensers and hand-drying stations should be ready to encourage the medical staff to perform hand hygiene more </w:t>
      </w:r>
      <w:r w:rsidR="007C25F7">
        <w:rPr>
          <w:rFonts w:ascii="Arial" w:hAnsi="Arial" w:cs="Arial"/>
          <w:color w:val="000000" w:themeColor="text1"/>
        </w:rPr>
        <w:t>consistently</w:t>
      </w:r>
      <w:r w:rsidRPr="00B031A0">
        <w:rPr>
          <w:rFonts w:ascii="Arial" w:hAnsi="Arial" w:cs="Arial"/>
          <w:color w:val="000000" w:themeColor="text1"/>
        </w:rPr>
        <w:t xml:space="preserve"> (Sartini </w:t>
      </w:r>
      <w:r w:rsidRPr="00B031A0" w:rsidR="00776C49">
        <w:rPr>
          <w:rFonts w:ascii="Arial" w:hAnsi="Arial" w:cs="Arial"/>
          <w:color w:val="000000" w:themeColor="text1"/>
        </w:rPr>
        <w:t>et al</w:t>
      </w:r>
      <w:r w:rsidRPr="00B031A0">
        <w:rPr>
          <w:rFonts w:ascii="Arial" w:hAnsi="Arial" w:cs="Arial"/>
          <w:color w:val="000000" w:themeColor="text1"/>
        </w:rPr>
        <w:t xml:space="preserve">., 2022). Long-distance walking is also of great importance, especially </w:t>
      </w:r>
      <w:r w:rsidR="007C25F7">
        <w:rPr>
          <w:rFonts w:ascii="Arial" w:hAnsi="Arial" w:cs="Arial"/>
          <w:color w:val="000000" w:themeColor="text1"/>
        </w:rPr>
        <w:t>when</w:t>
      </w:r>
      <w:r w:rsidRPr="00B031A0">
        <w:rPr>
          <w:rFonts w:ascii="Arial" w:hAnsi="Arial" w:cs="Arial"/>
          <w:color w:val="000000" w:themeColor="text1"/>
        </w:rPr>
        <w:t xml:space="preserve"> the environment is under consideration, and it discourages hand cleansing, often due to ill-positioned equipment. </w:t>
      </w:r>
      <w:r w:rsidR="007C25F7">
        <w:rPr>
          <w:rFonts w:ascii="Arial" w:hAnsi="Arial" w:cs="Arial"/>
          <w:color w:val="000000" w:themeColor="text1"/>
        </w:rPr>
        <w:t>Other</w:t>
      </w:r>
      <w:r w:rsidRPr="00B031A0">
        <w:rPr>
          <w:rFonts w:ascii="Arial" w:hAnsi="Arial" w:cs="Arial"/>
          <w:color w:val="000000" w:themeColor="text1"/>
        </w:rPr>
        <w:t xml:space="preserve"> researchers view the infrastructure as being enhanced, which, in effect, has a huge impact on compliance as it </w:t>
      </w:r>
      <w:r w:rsidR="007C25F7">
        <w:rPr>
          <w:rFonts w:ascii="Arial" w:hAnsi="Arial" w:cs="Arial"/>
          <w:color w:val="000000" w:themeColor="text1"/>
        </w:rPr>
        <w:t>removes</w:t>
      </w:r>
      <w:r w:rsidRPr="00B031A0">
        <w:rPr>
          <w:rFonts w:ascii="Arial" w:hAnsi="Arial" w:cs="Arial"/>
          <w:color w:val="000000" w:themeColor="text1"/>
        </w:rPr>
        <w:t xml:space="preserve"> practical impediments</w:t>
      </w:r>
      <w:r w:rsidR="008C491C">
        <w:rPr>
          <w:rFonts w:ascii="Arial" w:hAnsi="Arial" w:cs="Arial"/>
          <w:color w:val="000000" w:themeColor="text1"/>
        </w:rPr>
        <w:t xml:space="preserve"> </w:t>
      </w:r>
      <w:r w:rsidRPr="00B031A0" w:rsidR="008C491C">
        <w:rPr>
          <w:rFonts w:ascii="Arial" w:hAnsi="Arial" w:cs="Arial"/>
          <w:color w:val="000000" w:themeColor="text1"/>
        </w:rPr>
        <w:t>(Sartini et al., 2022)</w:t>
      </w:r>
      <w:r w:rsidRPr="00B031A0">
        <w:rPr>
          <w:rFonts w:ascii="Arial" w:hAnsi="Arial" w:cs="Arial"/>
          <w:color w:val="000000" w:themeColor="text1"/>
        </w:rPr>
        <w:t>. On the other hand, Worku and Melaku (2025), from an interview of twenty-four healthcare professionals, argue that the availability of resources will not be of value when healthcare personnel are not motivated or do not identify suitable hand hygiene opportunities. Thus, environmental interventions need to be supplementary to behavioural interventions and not substitutes</w:t>
      </w:r>
      <w:r w:rsidR="009100D2">
        <w:rPr>
          <w:rFonts w:ascii="Arial" w:hAnsi="Arial" w:cs="Arial"/>
          <w:color w:val="000000" w:themeColor="text1"/>
        </w:rPr>
        <w:t xml:space="preserve"> </w:t>
      </w:r>
      <w:r w:rsidRPr="00B031A0" w:rsidR="009100D2">
        <w:rPr>
          <w:rFonts w:ascii="Arial" w:hAnsi="Arial" w:cs="Arial"/>
          <w:color w:val="000000" w:themeColor="text1"/>
        </w:rPr>
        <w:t>(Sartini et al., 2022)</w:t>
      </w:r>
      <w:r w:rsidRPr="00B031A0">
        <w:rPr>
          <w:rFonts w:ascii="Arial" w:hAnsi="Arial" w:cs="Arial"/>
          <w:color w:val="000000" w:themeColor="text1"/>
        </w:rPr>
        <w:t xml:space="preserve">. Latest behavioural research has also indicated that co-design of clinical environments and staff has proved to be more effective in improving hand hygiene behaviour than education campaigns (Blair </w:t>
      </w:r>
      <w:r w:rsidRPr="00B031A0" w:rsidR="00776C49">
        <w:rPr>
          <w:rFonts w:ascii="Arial" w:hAnsi="Arial" w:cs="Arial"/>
          <w:color w:val="000000" w:themeColor="text1"/>
        </w:rPr>
        <w:t>et al</w:t>
      </w:r>
      <w:r w:rsidRPr="00B031A0">
        <w:rPr>
          <w:rFonts w:ascii="Arial" w:hAnsi="Arial" w:cs="Arial"/>
          <w:color w:val="000000" w:themeColor="text1"/>
        </w:rPr>
        <w:t>., 2024).</w:t>
      </w:r>
      <w:r w:rsidRPr="00B031A0">
        <w:rPr>
          <w:rFonts w:ascii="Arial" w:hAnsi="Arial" w:cs="Arial"/>
          <w:b/>
          <w:bCs/>
          <w:color w:val="000000" w:themeColor="text1"/>
        </w:rPr>
        <w:t xml:space="preserve"> </w:t>
      </w:r>
    </w:p>
    <w:p w:rsidRPr="00B031A0" w:rsidR="00C77BF3" w:rsidRDefault="00115699" w14:paraId="5FAA80B6" w14:textId="77777777">
      <w:pPr>
        <w:rPr>
          <w:rFonts w:ascii="Arial" w:hAnsi="Arial" w:cs="Arial"/>
          <w:b/>
          <w:bCs/>
          <w:color w:val="000000" w:themeColor="text1"/>
        </w:rPr>
      </w:pPr>
      <w:r w:rsidRPr="00B031A0">
        <w:rPr>
          <w:rFonts w:ascii="Arial" w:hAnsi="Arial" w:cs="Arial"/>
          <w:b/>
          <w:bCs/>
          <w:color w:val="000000" w:themeColor="text1"/>
        </w:rPr>
        <w:t>Behavioural Attitudes, Perceptions and Social Influence</w:t>
      </w:r>
    </w:p>
    <w:p w:rsidRPr="00B031A0" w:rsidR="00C77BF3" w:rsidRDefault="00115699" w14:paraId="2B18AC3F" w14:textId="1030BE75">
      <w:pPr>
        <w:rPr>
          <w:rFonts w:ascii="Arial" w:hAnsi="Arial" w:cs="Arial"/>
          <w:color w:val="000000" w:themeColor="text1"/>
        </w:rPr>
      </w:pPr>
      <w:r w:rsidRPr="00B031A0">
        <w:rPr>
          <w:rFonts w:ascii="Arial" w:hAnsi="Arial" w:cs="Arial"/>
          <w:color w:val="000000" w:themeColor="text1"/>
        </w:rPr>
        <w:t xml:space="preserve">Behavioural and psychological factors are yet another big contributor to compliance. Afework and Tamene (2025), in a review including twenty-eight studies that were conducted in different regions of the world representing six of the continents, posit that healthcare workers often have their own perception of risk according to their prior clinical experiences, which affects the rate at which they reliably engage in hand hygiene. Some people perceive alcohol-based hand rub as an answer to all situations, and some unrealistically consider the risks of contamination as high during seemingly low-risk interactions with the patient (Batra </w:t>
      </w:r>
      <w:r w:rsidRPr="00B031A0" w:rsidR="00776C49">
        <w:rPr>
          <w:rFonts w:ascii="Arial" w:hAnsi="Arial" w:cs="Arial"/>
          <w:color w:val="000000" w:themeColor="text1"/>
        </w:rPr>
        <w:t>et al</w:t>
      </w:r>
      <w:r w:rsidRPr="00B031A0">
        <w:rPr>
          <w:rFonts w:ascii="Arial" w:hAnsi="Arial" w:cs="Arial"/>
          <w:color w:val="000000" w:themeColor="text1"/>
        </w:rPr>
        <w:t xml:space="preserve">., 2025). Another factor that affects behaviour is social influence, as obedience </w:t>
      </w:r>
      <w:r w:rsidRPr="00B031A0" w:rsidR="00FB7391">
        <w:rPr>
          <w:rFonts w:ascii="Arial" w:hAnsi="Arial" w:cs="Arial"/>
          <w:color w:val="000000" w:themeColor="text1"/>
        </w:rPr>
        <w:t>tends to</w:t>
      </w:r>
      <w:r w:rsidRPr="00B031A0">
        <w:rPr>
          <w:rFonts w:ascii="Arial" w:hAnsi="Arial" w:cs="Arial"/>
          <w:color w:val="000000" w:themeColor="text1"/>
        </w:rPr>
        <w:t xml:space="preserve"> mimic the behaviours of senior colleagues and the multidisciplinary team (Violato </w:t>
      </w:r>
      <w:r w:rsidRPr="00B031A0" w:rsidR="00776C49">
        <w:rPr>
          <w:rFonts w:ascii="Arial" w:hAnsi="Arial" w:cs="Arial"/>
          <w:color w:val="000000" w:themeColor="text1"/>
        </w:rPr>
        <w:t>et al</w:t>
      </w:r>
      <w:r w:rsidRPr="00B031A0">
        <w:rPr>
          <w:rFonts w:ascii="Arial" w:hAnsi="Arial" w:cs="Arial"/>
          <w:color w:val="000000" w:themeColor="text1"/>
        </w:rPr>
        <w:t>., 2021). Adherence to behavioural views, which are taken by some scholars, is very dependent on peer influence, role modelling and workplace norms</w:t>
      </w:r>
      <w:r w:rsidR="00E274F6">
        <w:rPr>
          <w:rFonts w:ascii="Arial" w:hAnsi="Arial" w:cs="Arial"/>
          <w:color w:val="000000" w:themeColor="text1"/>
        </w:rPr>
        <w:t xml:space="preserve"> </w:t>
      </w:r>
      <w:r w:rsidRPr="00B031A0">
        <w:rPr>
          <w:rFonts w:ascii="Arial" w:hAnsi="Arial" w:cs="Arial"/>
          <w:color w:val="000000" w:themeColor="text1"/>
        </w:rPr>
        <w:t xml:space="preserve">(Ayo-Farai </w:t>
      </w:r>
      <w:r w:rsidRPr="00B031A0" w:rsidR="00776C49">
        <w:rPr>
          <w:rFonts w:ascii="Arial" w:hAnsi="Arial" w:cs="Arial"/>
          <w:color w:val="000000" w:themeColor="text1"/>
        </w:rPr>
        <w:t>et al</w:t>
      </w:r>
      <w:r w:rsidRPr="00B031A0">
        <w:rPr>
          <w:rFonts w:ascii="Arial" w:hAnsi="Arial" w:cs="Arial"/>
          <w:color w:val="000000" w:themeColor="text1"/>
        </w:rPr>
        <w:t xml:space="preserve">., 2024). In contrast, Smith </w:t>
      </w:r>
      <w:r w:rsidRPr="00B031A0" w:rsidR="00776C49">
        <w:rPr>
          <w:rFonts w:ascii="Arial" w:hAnsi="Arial" w:cs="Arial"/>
          <w:color w:val="000000" w:themeColor="text1"/>
        </w:rPr>
        <w:t>et al</w:t>
      </w:r>
      <w:r w:rsidRPr="00B031A0">
        <w:rPr>
          <w:rFonts w:ascii="Arial" w:hAnsi="Arial" w:cs="Arial"/>
          <w:color w:val="000000" w:themeColor="text1"/>
        </w:rPr>
        <w:t>. (2023) argue that the emphasis on personal professional responsibility, regardless of the surrounding behaviour, is advocated by infection control experts. As evidenced during this discussion, personal attitudes and institutional policies are not the only factors that can be used to explain hand hygiene compliance</w:t>
      </w:r>
      <w:r w:rsidR="00FB7391">
        <w:rPr>
          <w:rFonts w:ascii="Arial" w:hAnsi="Arial" w:cs="Arial"/>
          <w:color w:val="000000" w:themeColor="text1"/>
        </w:rPr>
        <w:t xml:space="preserve"> </w:t>
      </w:r>
      <w:r w:rsidRPr="00B031A0" w:rsidR="00FB7391">
        <w:rPr>
          <w:rFonts w:ascii="Arial" w:hAnsi="Arial" w:cs="Arial"/>
          <w:color w:val="000000" w:themeColor="text1"/>
        </w:rPr>
        <w:t>(Violato et al., 2021)</w:t>
      </w:r>
      <w:r w:rsidRPr="00B031A0">
        <w:rPr>
          <w:rFonts w:ascii="Arial" w:hAnsi="Arial" w:cs="Arial"/>
          <w:color w:val="000000" w:themeColor="text1"/>
        </w:rPr>
        <w:t xml:space="preserve">. Rather, we need behavioural change interventions that not only focus on the motivation of </w:t>
      </w:r>
      <w:r w:rsidRPr="00B031A0" w:rsidR="007C25F7">
        <w:rPr>
          <w:rFonts w:ascii="Arial" w:hAnsi="Arial" w:cs="Arial"/>
          <w:color w:val="000000" w:themeColor="text1"/>
        </w:rPr>
        <w:t>individuals but</w:t>
      </w:r>
      <w:r w:rsidRPr="00B031A0">
        <w:rPr>
          <w:rFonts w:ascii="Arial" w:hAnsi="Arial" w:cs="Arial"/>
          <w:color w:val="000000" w:themeColor="text1"/>
        </w:rPr>
        <w:t xml:space="preserve"> also facilitate supporting positive organisational practices through routinely reinforcing team norms, providing feedback, and organisational commitment to patient safety</w:t>
      </w:r>
      <w:r w:rsidR="00FB7391">
        <w:rPr>
          <w:rFonts w:ascii="Arial" w:hAnsi="Arial" w:cs="Arial"/>
          <w:color w:val="000000" w:themeColor="text1"/>
        </w:rPr>
        <w:t xml:space="preserve"> </w:t>
      </w:r>
      <w:r w:rsidRPr="00B031A0" w:rsidR="00FB7391">
        <w:rPr>
          <w:rFonts w:ascii="Arial" w:hAnsi="Arial" w:cs="Arial"/>
          <w:color w:val="000000" w:themeColor="text1"/>
        </w:rPr>
        <w:t>(Batra et al., 2025)</w:t>
      </w:r>
      <w:r w:rsidRPr="00B031A0">
        <w:rPr>
          <w:rFonts w:ascii="Arial" w:hAnsi="Arial" w:cs="Arial"/>
          <w:color w:val="000000" w:themeColor="text1"/>
        </w:rPr>
        <w:t xml:space="preserve">.  </w:t>
      </w:r>
    </w:p>
    <w:p w:rsidRPr="00B031A0" w:rsidR="00C77BF3" w:rsidP="007C25F7" w:rsidRDefault="00115699" w14:paraId="6C94B677" w14:textId="77777777">
      <w:pPr>
        <w:pStyle w:val="Heading2"/>
      </w:pPr>
      <w:bookmarkStart w:name="_Toc240696161" w:id="16"/>
      <w:r w:rsidRPr="00B031A0">
        <w:t>2.3.3 Effectiveness of hand hygiene interventions in reducing infection rates</w:t>
      </w:r>
      <w:bookmarkEnd w:id="16"/>
    </w:p>
    <w:p w:rsidRPr="00B031A0" w:rsidR="00C77BF3" w:rsidRDefault="00115699" w14:paraId="2028DB4F" w14:textId="21F08432">
      <w:pPr>
        <w:rPr>
          <w:rFonts w:ascii="Arial" w:hAnsi="Arial" w:cs="Arial"/>
          <w:color w:val="000000" w:themeColor="text1"/>
        </w:rPr>
      </w:pPr>
      <w:r w:rsidRPr="00B031A0">
        <w:rPr>
          <w:rFonts w:ascii="Arial" w:hAnsi="Arial" w:cs="Arial"/>
          <w:color w:val="000000" w:themeColor="text1"/>
        </w:rPr>
        <w:t xml:space="preserve">Hand hygiene intervention has also been widely suggested as a vital form of intervention in the reduction of healthcare-associated infections (HCAIs), but the effectiveness or use of the intervention is dependent on the format of the intervention, the quality of use, and clinical situations (Pruna </w:t>
      </w:r>
      <w:r w:rsidRPr="00B031A0" w:rsidR="00776C49">
        <w:rPr>
          <w:rFonts w:ascii="Arial" w:hAnsi="Arial" w:cs="Arial"/>
          <w:color w:val="000000" w:themeColor="text1"/>
        </w:rPr>
        <w:t>et al</w:t>
      </w:r>
      <w:r w:rsidRPr="00B031A0">
        <w:rPr>
          <w:rFonts w:ascii="Arial" w:hAnsi="Arial" w:cs="Arial"/>
          <w:color w:val="000000" w:themeColor="text1"/>
        </w:rPr>
        <w:t xml:space="preserve">., 2026). The evidence widely </w:t>
      </w:r>
      <w:r w:rsidR="007C25F7">
        <w:rPr>
          <w:rFonts w:ascii="Arial" w:hAnsi="Arial" w:cs="Arial"/>
          <w:color w:val="000000" w:themeColor="text1"/>
        </w:rPr>
        <w:t>suggests</w:t>
      </w:r>
      <w:r w:rsidRPr="00B031A0">
        <w:rPr>
          <w:rFonts w:ascii="Arial" w:hAnsi="Arial" w:cs="Arial"/>
          <w:color w:val="000000" w:themeColor="text1"/>
        </w:rPr>
        <w:t xml:space="preserve"> that </w:t>
      </w:r>
      <w:r w:rsidR="007C25F7">
        <w:rPr>
          <w:rFonts w:ascii="Arial" w:hAnsi="Arial" w:cs="Arial"/>
          <w:color w:val="000000" w:themeColor="text1"/>
        </w:rPr>
        <w:t>multi-component,</w:t>
      </w:r>
      <w:r w:rsidRPr="00B031A0">
        <w:rPr>
          <w:rFonts w:ascii="Arial" w:hAnsi="Arial" w:cs="Arial"/>
          <w:color w:val="000000" w:themeColor="text1"/>
        </w:rPr>
        <w:t xml:space="preserve"> but </w:t>
      </w:r>
      <w:r w:rsidR="007C25F7">
        <w:rPr>
          <w:rFonts w:ascii="Arial" w:hAnsi="Arial" w:cs="Arial"/>
          <w:color w:val="000000" w:themeColor="text1"/>
        </w:rPr>
        <w:t>not</w:t>
      </w:r>
      <w:r w:rsidRPr="00B031A0">
        <w:rPr>
          <w:rFonts w:ascii="Arial" w:hAnsi="Arial" w:cs="Arial"/>
          <w:color w:val="000000" w:themeColor="text1"/>
        </w:rPr>
        <w:t xml:space="preserve"> single</w:t>
      </w:r>
      <w:r w:rsidR="007C25F7">
        <w:rPr>
          <w:rFonts w:ascii="Arial" w:hAnsi="Arial" w:cs="Arial"/>
          <w:color w:val="000000" w:themeColor="text1"/>
        </w:rPr>
        <w:t>,</w:t>
      </w:r>
      <w:r w:rsidRPr="00B031A0">
        <w:rPr>
          <w:rFonts w:ascii="Arial" w:hAnsi="Arial" w:cs="Arial"/>
          <w:color w:val="000000" w:themeColor="text1"/>
        </w:rPr>
        <w:t xml:space="preserve"> interventions are most likely to be effective and that a good response in terms of compliance will not necessarily lead to the same level of reduction </w:t>
      </w:r>
      <w:r w:rsidR="007C25F7">
        <w:rPr>
          <w:rFonts w:ascii="Arial" w:hAnsi="Arial" w:cs="Arial"/>
          <w:color w:val="000000" w:themeColor="text1"/>
        </w:rPr>
        <w:t>in</w:t>
      </w:r>
      <w:r w:rsidRPr="00B031A0">
        <w:rPr>
          <w:rFonts w:ascii="Arial" w:hAnsi="Arial" w:cs="Arial"/>
          <w:color w:val="000000" w:themeColor="text1"/>
        </w:rPr>
        <w:t xml:space="preserve"> infection rates (Ssekamatte </w:t>
      </w:r>
      <w:r w:rsidRPr="00B031A0" w:rsidR="00776C49">
        <w:rPr>
          <w:rFonts w:ascii="Arial" w:hAnsi="Arial" w:cs="Arial"/>
          <w:color w:val="000000" w:themeColor="text1"/>
        </w:rPr>
        <w:t>et al</w:t>
      </w:r>
      <w:r w:rsidRPr="00B031A0">
        <w:rPr>
          <w:rFonts w:ascii="Arial" w:hAnsi="Arial" w:cs="Arial"/>
          <w:color w:val="000000" w:themeColor="text1"/>
        </w:rPr>
        <w:t xml:space="preserve">., 2024). </w:t>
      </w:r>
    </w:p>
    <w:p w:rsidRPr="00B031A0" w:rsidR="00C77BF3" w:rsidRDefault="00115699" w14:paraId="5A7224B6" w14:textId="77777777">
      <w:pPr>
        <w:rPr>
          <w:rFonts w:ascii="Arial" w:hAnsi="Arial" w:cs="Arial"/>
          <w:b/>
          <w:bCs/>
          <w:color w:val="000000" w:themeColor="text1"/>
        </w:rPr>
      </w:pPr>
      <w:r w:rsidRPr="00B031A0">
        <w:rPr>
          <w:rFonts w:ascii="Arial" w:hAnsi="Arial" w:cs="Arial"/>
          <w:b/>
          <w:bCs/>
          <w:color w:val="000000" w:themeColor="text1"/>
        </w:rPr>
        <w:t>Education and Practical Skills Training</w:t>
      </w:r>
    </w:p>
    <w:p w:rsidRPr="00B031A0" w:rsidR="00C77BF3" w:rsidRDefault="00115699" w14:paraId="67F7511A" w14:textId="064FB0E7">
      <w:pPr>
        <w:rPr>
          <w:rFonts w:ascii="Arial" w:hAnsi="Arial" w:cs="Arial"/>
          <w:color w:val="000000" w:themeColor="text1"/>
        </w:rPr>
      </w:pPr>
      <w:r w:rsidRPr="00B031A0">
        <w:rPr>
          <w:rFonts w:ascii="Arial" w:hAnsi="Arial" w:cs="Arial"/>
          <w:color w:val="000000" w:themeColor="text1"/>
        </w:rPr>
        <w:t xml:space="preserve">Education will be used in sensitising the healthcare workers about the routes of transmission, when to wash their hands and how to do so (Ssekamatte </w:t>
      </w:r>
      <w:r w:rsidRPr="00B031A0" w:rsidR="00776C49">
        <w:rPr>
          <w:rFonts w:ascii="Arial" w:hAnsi="Arial" w:cs="Arial"/>
          <w:color w:val="000000" w:themeColor="text1"/>
        </w:rPr>
        <w:t>et al</w:t>
      </w:r>
      <w:r w:rsidRPr="00B031A0">
        <w:rPr>
          <w:rFonts w:ascii="Arial" w:hAnsi="Arial" w:cs="Arial"/>
          <w:color w:val="000000" w:themeColor="text1"/>
        </w:rPr>
        <w:t xml:space="preserve">., 2024). Simulation and competency assessment are more effective when it is compared to interactive demonstrations because the knowledge is converted into practice. Nonetheless, the results of the analysis performed by Clancy </w:t>
      </w:r>
      <w:r w:rsidRPr="00B031A0" w:rsidR="00776C49">
        <w:rPr>
          <w:rFonts w:ascii="Arial" w:hAnsi="Arial" w:cs="Arial"/>
          <w:color w:val="000000" w:themeColor="text1"/>
        </w:rPr>
        <w:t>et al</w:t>
      </w:r>
      <w:r w:rsidRPr="00B031A0">
        <w:rPr>
          <w:rFonts w:ascii="Arial" w:hAnsi="Arial" w:cs="Arial"/>
          <w:color w:val="000000" w:themeColor="text1"/>
        </w:rPr>
        <w:t>. (2021) demonstrated that various intervention trials have different outcomes on the spot and, as a result, the educational programmes often resulted in instant compliance rates and did not indicate whether the level of these improvements will be maintained or the Healthcare-Associated Infections (HCAIs) level will decline</w:t>
      </w:r>
      <w:r w:rsidR="00D948E0">
        <w:rPr>
          <w:rFonts w:ascii="Arial" w:hAnsi="Arial" w:cs="Arial"/>
          <w:color w:val="000000" w:themeColor="text1"/>
        </w:rPr>
        <w:t xml:space="preserve"> (</w:t>
      </w:r>
      <w:r w:rsidRPr="00B031A0" w:rsidR="00D948E0">
        <w:rPr>
          <w:rFonts w:ascii="Arial" w:hAnsi="Arial" w:cs="Arial"/>
          <w:color w:val="000000" w:themeColor="text1"/>
        </w:rPr>
        <w:t xml:space="preserve">Knudsen </w:t>
      </w:r>
      <w:r w:rsidRPr="00B031A0" w:rsidR="00D948E0">
        <w:rPr>
          <w:rFonts w:ascii="Arial" w:hAnsi="Arial" w:cs="Arial"/>
          <w:i/>
          <w:iCs/>
          <w:color w:val="000000" w:themeColor="text1"/>
        </w:rPr>
        <w:t>et al.</w:t>
      </w:r>
      <w:r w:rsidR="00D948E0">
        <w:rPr>
          <w:rFonts w:ascii="Arial" w:hAnsi="Arial" w:cs="Arial"/>
          <w:i/>
          <w:iCs/>
          <w:color w:val="000000" w:themeColor="text1"/>
        </w:rPr>
        <w:t>,</w:t>
      </w:r>
      <w:r w:rsidRPr="00B031A0" w:rsidR="00D948E0">
        <w:rPr>
          <w:rFonts w:ascii="Arial" w:hAnsi="Arial" w:cs="Arial"/>
          <w:i/>
          <w:iCs/>
          <w:color w:val="000000" w:themeColor="text1"/>
        </w:rPr>
        <w:t xml:space="preserve"> </w:t>
      </w:r>
      <w:r w:rsidRPr="00B031A0" w:rsidR="00D948E0">
        <w:rPr>
          <w:rFonts w:ascii="Arial" w:hAnsi="Arial" w:cs="Arial"/>
          <w:color w:val="000000" w:themeColor="text1"/>
        </w:rPr>
        <w:t>2023)</w:t>
      </w:r>
      <w:r w:rsidRPr="00B031A0">
        <w:rPr>
          <w:rFonts w:ascii="Arial" w:hAnsi="Arial" w:cs="Arial"/>
          <w:color w:val="000000" w:themeColor="text1"/>
        </w:rPr>
        <w:t xml:space="preserve">. Comparison of repeated training, which is part of clinical practice, will be more likely to influence behaviour than training once a year. However, the outcomes of infection can still not </w:t>
      </w:r>
      <w:r w:rsidR="00F74F31">
        <w:rPr>
          <w:rFonts w:ascii="Arial" w:hAnsi="Arial" w:cs="Arial"/>
          <w:color w:val="000000" w:themeColor="text1"/>
        </w:rPr>
        <w:t>change</w:t>
      </w:r>
      <w:r w:rsidRPr="00B031A0">
        <w:rPr>
          <w:rFonts w:ascii="Arial" w:hAnsi="Arial" w:cs="Arial"/>
          <w:color w:val="000000" w:themeColor="text1"/>
        </w:rPr>
        <w:t xml:space="preserve"> in such cases where education is not </w:t>
      </w:r>
      <w:r w:rsidR="00F74F31">
        <w:rPr>
          <w:rFonts w:ascii="Arial" w:hAnsi="Arial" w:cs="Arial"/>
          <w:color w:val="000000" w:themeColor="text1"/>
        </w:rPr>
        <w:t>accompanied by</w:t>
      </w:r>
      <w:r w:rsidRPr="00B031A0">
        <w:rPr>
          <w:rFonts w:ascii="Arial" w:hAnsi="Arial" w:cs="Arial"/>
          <w:color w:val="000000" w:themeColor="text1"/>
        </w:rPr>
        <w:t xml:space="preserve"> adequate provisions, supervision and organisational enforcement (Mensah </w:t>
      </w:r>
      <w:r w:rsidRPr="00B031A0" w:rsidR="00776C49">
        <w:rPr>
          <w:rFonts w:ascii="Arial" w:hAnsi="Arial" w:cs="Arial"/>
          <w:i/>
          <w:iCs/>
          <w:color w:val="000000" w:themeColor="text1"/>
        </w:rPr>
        <w:t>et al</w:t>
      </w:r>
      <w:r w:rsidRPr="00B031A0">
        <w:rPr>
          <w:rFonts w:ascii="Arial" w:hAnsi="Arial" w:cs="Arial"/>
          <w:i/>
          <w:iCs/>
          <w:color w:val="000000" w:themeColor="text1"/>
        </w:rPr>
        <w:t>.,</w:t>
      </w:r>
      <w:r w:rsidRPr="00B031A0">
        <w:rPr>
          <w:rFonts w:ascii="Arial" w:hAnsi="Arial" w:cs="Arial"/>
          <w:color w:val="000000" w:themeColor="text1"/>
        </w:rPr>
        <w:t xml:space="preserve"> 2022). Training, however, is not a </w:t>
      </w:r>
      <w:r w:rsidR="00F74F31">
        <w:rPr>
          <w:rFonts w:ascii="Arial" w:hAnsi="Arial" w:cs="Arial"/>
          <w:color w:val="000000" w:themeColor="text1"/>
        </w:rPr>
        <w:t>panacea</w:t>
      </w:r>
      <w:r w:rsidRPr="00B031A0">
        <w:rPr>
          <w:rFonts w:ascii="Arial" w:hAnsi="Arial" w:cs="Arial"/>
          <w:color w:val="000000" w:themeColor="text1"/>
        </w:rPr>
        <w:t xml:space="preserve"> of its own as an infection-control solution, as the success/failure of the training will be ascertained by whether the knowledge is carried through to the point of care (Knudsen </w:t>
      </w:r>
      <w:r w:rsidRPr="00B031A0" w:rsidR="00776C49">
        <w:rPr>
          <w:rFonts w:ascii="Arial" w:hAnsi="Arial" w:cs="Arial"/>
          <w:i/>
          <w:iCs/>
          <w:color w:val="000000" w:themeColor="text1"/>
        </w:rPr>
        <w:t>et al</w:t>
      </w:r>
      <w:r w:rsidRPr="00B031A0">
        <w:rPr>
          <w:rFonts w:ascii="Arial" w:hAnsi="Arial" w:cs="Arial"/>
          <w:i/>
          <w:iCs/>
          <w:color w:val="000000" w:themeColor="text1"/>
        </w:rPr>
        <w:t>.</w:t>
      </w:r>
      <w:r w:rsidR="00F74F31">
        <w:rPr>
          <w:rFonts w:ascii="Arial" w:hAnsi="Arial" w:cs="Arial"/>
          <w:i/>
          <w:iCs/>
          <w:color w:val="000000" w:themeColor="text1"/>
        </w:rPr>
        <w:t>,</w:t>
      </w:r>
      <w:r w:rsidRPr="00B031A0">
        <w:rPr>
          <w:rFonts w:ascii="Arial" w:hAnsi="Arial" w:cs="Arial"/>
          <w:i/>
          <w:iCs/>
          <w:color w:val="000000" w:themeColor="text1"/>
        </w:rPr>
        <w:t xml:space="preserve"> </w:t>
      </w:r>
      <w:r w:rsidRPr="00B031A0">
        <w:rPr>
          <w:rFonts w:ascii="Arial" w:hAnsi="Arial" w:cs="Arial"/>
          <w:color w:val="000000" w:themeColor="text1"/>
        </w:rPr>
        <w:t>2023).</w:t>
      </w:r>
      <w:r w:rsidRPr="00B031A0">
        <w:rPr>
          <w:rFonts w:ascii="Arial" w:hAnsi="Arial" w:cs="Arial"/>
          <w:b/>
          <w:bCs/>
          <w:color w:val="000000" w:themeColor="text1"/>
        </w:rPr>
        <w:t xml:space="preserve"> </w:t>
      </w:r>
    </w:p>
    <w:p w:rsidRPr="00B031A0" w:rsidR="00C77BF3" w:rsidRDefault="00115699" w14:paraId="15EF3D5F" w14:textId="77777777">
      <w:pPr>
        <w:rPr>
          <w:rFonts w:ascii="Arial" w:hAnsi="Arial" w:cs="Arial"/>
          <w:b/>
          <w:bCs/>
          <w:color w:val="000000" w:themeColor="text1"/>
        </w:rPr>
      </w:pPr>
      <w:r w:rsidRPr="00B031A0">
        <w:rPr>
          <w:rFonts w:ascii="Arial" w:hAnsi="Arial" w:cs="Arial"/>
          <w:b/>
          <w:bCs/>
          <w:color w:val="000000" w:themeColor="text1"/>
        </w:rPr>
        <w:t>Audit, Observation and Performance Feedback</w:t>
      </w:r>
    </w:p>
    <w:p w:rsidRPr="00B031A0" w:rsidR="00C77BF3" w:rsidRDefault="00115699" w14:paraId="161220B5" w14:textId="5F567E92">
      <w:pPr>
        <w:rPr>
          <w:rFonts w:ascii="Arial" w:hAnsi="Arial" w:cs="Arial"/>
          <w:color w:val="000000" w:themeColor="text1"/>
        </w:rPr>
      </w:pPr>
      <w:r w:rsidRPr="00B031A0">
        <w:rPr>
          <w:rFonts w:ascii="Arial" w:hAnsi="Arial" w:cs="Arial"/>
          <w:color w:val="000000" w:themeColor="text1"/>
        </w:rPr>
        <w:t xml:space="preserve">Audit and feedback interventions can empower infection-control teams with learning about missed opportunities and the ability to provide outcomes towards or individuals (Aalalhareth and Abdullah, 2024). Feedback has a greater behavioural focus compared to education since healthcare workers do not get general orders but evidence regarding their actual performance (Mensah </w:t>
      </w:r>
      <w:r w:rsidRPr="00B031A0" w:rsidR="00776C49">
        <w:rPr>
          <w:rFonts w:ascii="Arial" w:hAnsi="Arial" w:cs="Arial"/>
          <w:i/>
          <w:iCs/>
          <w:color w:val="000000" w:themeColor="text1"/>
        </w:rPr>
        <w:t>et al</w:t>
      </w:r>
      <w:r w:rsidRPr="00B031A0">
        <w:rPr>
          <w:rFonts w:ascii="Arial" w:hAnsi="Arial" w:cs="Arial"/>
          <w:i/>
          <w:iCs/>
          <w:color w:val="000000" w:themeColor="text1"/>
        </w:rPr>
        <w:t>.,</w:t>
      </w:r>
      <w:r w:rsidRPr="00B031A0">
        <w:rPr>
          <w:rFonts w:ascii="Arial" w:hAnsi="Arial" w:cs="Arial"/>
          <w:color w:val="000000" w:themeColor="text1"/>
        </w:rPr>
        <w:t xml:space="preserve"> 2022). Comparison and accounting via electronic dashboards and periodic reports at the level of the ward can promote improvement. However, the Hawthorne effect may take place through direct observation</w:t>
      </w:r>
      <w:r w:rsidR="00F74F31">
        <w:rPr>
          <w:rFonts w:ascii="Arial" w:hAnsi="Arial" w:cs="Arial"/>
          <w:color w:val="000000" w:themeColor="text1"/>
        </w:rPr>
        <w:t>;</w:t>
      </w:r>
      <w:r w:rsidRPr="00B031A0">
        <w:rPr>
          <w:rFonts w:ascii="Arial" w:hAnsi="Arial" w:cs="Arial"/>
          <w:color w:val="000000" w:themeColor="text1"/>
        </w:rPr>
        <w:t xml:space="preserve"> temporarily, the staff will perform better because it is presumed that they are being observed (Berkhout </w:t>
      </w:r>
      <w:r w:rsidRPr="00B031A0" w:rsidR="00776C49">
        <w:rPr>
          <w:rFonts w:ascii="Arial" w:hAnsi="Arial" w:cs="Arial"/>
          <w:i/>
          <w:iCs/>
          <w:color w:val="000000" w:themeColor="text1"/>
        </w:rPr>
        <w:t>et al</w:t>
      </w:r>
      <w:r w:rsidRPr="00B031A0">
        <w:rPr>
          <w:rFonts w:ascii="Arial" w:hAnsi="Arial" w:cs="Arial"/>
          <w:i/>
          <w:iCs/>
          <w:color w:val="000000" w:themeColor="text1"/>
        </w:rPr>
        <w:t>.,</w:t>
      </w:r>
      <w:r w:rsidRPr="00B031A0">
        <w:rPr>
          <w:rFonts w:ascii="Arial" w:hAnsi="Arial" w:cs="Arial"/>
          <w:color w:val="000000" w:themeColor="text1"/>
        </w:rPr>
        <w:t xml:space="preserve"> 2022). Furthermore, a </w:t>
      </w:r>
      <w:r w:rsidR="00F74F31">
        <w:rPr>
          <w:rFonts w:ascii="Arial" w:hAnsi="Arial" w:cs="Arial"/>
          <w:color w:val="000000" w:themeColor="text1"/>
        </w:rPr>
        <w:t>higher</w:t>
      </w:r>
      <w:r w:rsidRPr="00B031A0">
        <w:rPr>
          <w:rFonts w:ascii="Arial" w:hAnsi="Arial" w:cs="Arial"/>
          <w:color w:val="000000" w:themeColor="text1"/>
        </w:rPr>
        <w:t xml:space="preserve"> percentage of compliance does not always mean lower infection rates because it might be caused by the possibility of varying definitions of surveillance, complexity of </w:t>
      </w:r>
      <w:r w:rsidR="00F74F31">
        <w:rPr>
          <w:rFonts w:ascii="Arial" w:hAnsi="Arial" w:cs="Arial"/>
          <w:color w:val="000000" w:themeColor="text1"/>
        </w:rPr>
        <w:t>patients,</w:t>
      </w:r>
      <w:r w:rsidRPr="00B031A0">
        <w:rPr>
          <w:rFonts w:ascii="Arial" w:hAnsi="Arial" w:cs="Arial"/>
          <w:color w:val="000000" w:themeColor="text1"/>
        </w:rPr>
        <w:t xml:space="preserve"> and co-occurring infection-intervention plans. In a review of 35 studies, Mouajou </w:t>
      </w:r>
      <w:r w:rsidRPr="00B031A0" w:rsidR="00776C49">
        <w:rPr>
          <w:rFonts w:ascii="Arial" w:hAnsi="Arial" w:cs="Arial"/>
          <w:i/>
          <w:iCs/>
          <w:color w:val="000000" w:themeColor="text1"/>
        </w:rPr>
        <w:t>et al</w:t>
      </w:r>
      <w:r w:rsidRPr="00B031A0">
        <w:rPr>
          <w:rFonts w:ascii="Arial" w:hAnsi="Arial" w:cs="Arial"/>
          <w:i/>
          <w:iCs/>
          <w:color w:val="000000" w:themeColor="text1"/>
        </w:rPr>
        <w:t>.</w:t>
      </w:r>
      <w:r w:rsidRPr="00B031A0">
        <w:rPr>
          <w:rFonts w:ascii="Arial" w:hAnsi="Arial" w:cs="Arial"/>
          <w:color w:val="000000" w:themeColor="text1"/>
        </w:rPr>
        <w:t xml:space="preserve"> (2022) found that most of the compliance levels were between 60 and 70, and the </w:t>
      </w:r>
      <w:r w:rsidR="00F74F31">
        <w:rPr>
          <w:rFonts w:ascii="Arial" w:hAnsi="Arial" w:cs="Arial"/>
          <w:color w:val="000000" w:themeColor="text1"/>
        </w:rPr>
        <w:t>incidence of Healthcare-Associated Infections (HCAIs)</w:t>
      </w:r>
      <w:r w:rsidRPr="00B031A0">
        <w:rPr>
          <w:rFonts w:ascii="Arial" w:hAnsi="Arial" w:cs="Arial"/>
          <w:color w:val="000000" w:themeColor="text1"/>
        </w:rPr>
        <w:t xml:space="preserve"> appeared to be lower at about </w:t>
      </w:r>
      <w:r w:rsidR="00340394">
        <w:rPr>
          <w:rFonts w:ascii="Arial" w:hAnsi="Arial" w:cs="Arial"/>
          <w:color w:val="000000" w:themeColor="text1"/>
        </w:rPr>
        <w:t>60% compliance</w:t>
      </w:r>
      <w:r w:rsidRPr="00B031A0">
        <w:rPr>
          <w:rFonts w:ascii="Arial" w:hAnsi="Arial" w:cs="Arial"/>
          <w:color w:val="000000" w:themeColor="text1"/>
        </w:rPr>
        <w:t xml:space="preserve">. The authors, however, </w:t>
      </w:r>
      <w:r w:rsidRPr="00B031A0" w:rsidR="00340394">
        <w:rPr>
          <w:rFonts w:ascii="Arial" w:hAnsi="Arial" w:cs="Arial"/>
          <w:color w:val="000000" w:themeColor="text1"/>
        </w:rPr>
        <w:t>could not</w:t>
      </w:r>
      <w:r w:rsidRPr="00B031A0">
        <w:rPr>
          <w:rFonts w:ascii="Arial" w:hAnsi="Arial" w:cs="Arial"/>
          <w:color w:val="000000" w:themeColor="text1"/>
        </w:rPr>
        <w:t xml:space="preserve"> build an internationally </w:t>
      </w:r>
      <w:r w:rsidR="00F74F31">
        <w:rPr>
          <w:rFonts w:ascii="Arial" w:hAnsi="Arial" w:cs="Arial"/>
          <w:color w:val="000000" w:themeColor="text1"/>
        </w:rPr>
        <w:t>optimal</w:t>
      </w:r>
      <w:r w:rsidRPr="00B031A0">
        <w:rPr>
          <w:rFonts w:ascii="Arial" w:hAnsi="Arial" w:cs="Arial"/>
          <w:color w:val="000000" w:themeColor="text1"/>
        </w:rPr>
        <w:t xml:space="preserve"> threshold, demonstrating that the correlation given is not linear but rather significant (Aalalhareth and Abdullah, 2024). </w:t>
      </w:r>
    </w:p>
    <w:p w:rsidRPr="00B031A0" w:rsidR="00C77BF3" w:rsidRDefault="00115699" w14:paraId="507D8643" w14:textId="77777777">
      <w:pPr>
        <w:rPr>
          <w:rFonts w:ascii="Arial" w:hAnsi="Arial" w:cs="Arial"/>
          <w:b/>
          <w:bCs/>
          <w:color w:val="000000" w:themeColor="text1"/>
        </w:rPr>
      </w:pPr>
      <w:r w:rsidRPr="00B031A0">
        <w:rPr>
          <w:rFonts w:ascii="Arial" w:hAnsi="Arial" w:cs="Arial"/>
          <w:b/>
          <w:bCs/>
          <w:color w:val="000000" w:themeColor="text1"/>
        </w:rPr>
        <w:t>Electronic Monitoring and Real-Time Reminders</w:t>
      </w:r>
    </w:p>
    <w:p w:rsidRPr="00B031A0" w:rsidR="00C77BF3" w:rsidRDefault="00115699" w14:paraId="7A948F41" w14:textId="611EF5AC">
      <w:pPr>
        <w:rPr>
          <w:rFonts w:ascii="Arial" w:hAnsi="Arial" w:cs="Arial"/>
          <w:color w:val="000000" w:themeColor="text1"/>
        </w:rPr>
      </w:pPr>
      <w:r w:rsidRPr="00B031A0">
        <w:rPr>
          <w:rFonts w:ascii="Arial" w:hAnsi="Arial" w:cs="Arial"/>
          <w:color w:val="000000" w:themeColor="text1"/>
        </w:rPr>
        <w:t xml:space="preserve">Electronic monitoring will track either the visits of the dispenser or the movement of employees and provide real-time notifications when they forget to use hand hygiene (Madden </w:t>
      </w:r>
      <w:r w:rsidRPr="00B031A0" w:rsidR="00776C49">
        <w:rPr>
          <w:rFonts w:ascii="Arial" w:hAnsi="Arial" w:cs="Arial"/>
          <w:i/>
          <w:iCs/>
          <w:color w:val="000000" w:themeColor="text1"/>
        </w:rPr>
        <w:t>et al</w:t>
      </w:r>
      <w:r w:rsidRPr="00B031A0">
        <w:rPr>
          <w:rFonts w:ascii="Arial" w:hAnsi="Arial" w:cs="Arial"/>
          <w:i/>
          <w:iCs/>
          <w:color w:val="000000" w:themeColor="text1"/>
        </w:rPr>
        <w:t>.,</w:t>
      </w:r>
      <w:r w:rsidRPr="00B031A0">
        <w:rPr>
          <w:rFonts w:ascii="Arial" w:hAnsi="Arial" w:cs="Arial"/>
          <w:color w:val="000000" w:themeColor="text1"/>
        </w:rPr>
        <w:t xml:space="preserve"> 2022). The main feature they have</w:t>
      </w:r>
      <w:r w:rsidR="00F74F31">
        <w:rPr>
          <w:rFonts w:ascii="Arial" w:hAnsi="Arial" w:cs="Arial"/>
          <w:color w:val="000000" w:themeColor="text1"/>
        </w:rPr>
        <w:t>,</w:t>
      </w:r>
      <w:r w:rsidRPr="00B031A0">
        <w:rPr>
          <w:rFonts w:ascii="Arial" w:hAnsi="Arial" w:cs="Arial"/>
          <w:color w:val="000000" w:themeColor="text1"/>
        </w:rPr>
        <w:t xml:space="preserve"> </w:t>
      </w:r>
      <w:r w:rsidR="00F74F31">
        <w:rPr>
          <w:rFonts w:ascii="Arial" w:hAnsi="Arial" w:cs="Arial"/>
          <w:color w:val="000000" w:themeColor="text1"/>
        </w:rPr>
        <w:t>compared</w:t>
      </w:r>
      <w:r w:rsidRPr="00B031A0">
        <w:rPr>
          <w:rFonts w:ascii="Arial" w:hAnsi="Arial" w:cs="Arial"/>
          <w:color w:val="000000" w:themeColor="text1"/>
        </w:rPr>
        <w:t xml:space="preserve"> with manual auditing</w:t>
      </w:r>
      <w:r w:rsidR="00F74F31">
        <w:rPr>
          <w:rFonts w:ascii="Arial" w:hAnsi="Arial" w:cs="Arial"/>
          <w:color w:val="000000" w:themeColor="text1"/>
        </w:rPr>
        <w:t>,</w:t>
      </w:r>
      <w:r w:rsidRPr="00B031A0">
        <w:rPr>
          <w:rFonts w:ascii="Arial" w:hAnsi="Arial" w:cs="Arial"/>
          <w:color w:val="000000" w:themeColor="text1"/>
        </w:rPr>
        <w:t xml:space="preserve"> is their ability to collect data </w:t>
      </w:r>
      <w:r w:rsidR="00F74F31">
        <w:rPr>
          <w:rFonts w:ascii="Arial" w:hAnsi="Arial" w:cs="Arial"/>
          <w:color w:val="000000" w:themeColor="text1"/>
        </w:rPr>
        <w:t>continuously</w:t>
      </w:r>
      <w:r w:rsidRPr="00B031A0">
        <w:rPr>
          <w:rFonts w:ascii="Arial" w:hAnsi="Arial" w:cs="Arial"/>
          <w:color w:val="000000" w:themeColor="text1"/>
        </w:rPr>
        <w:t xml:space="preserve">, decrease the bias in observers and disclose variation between shifts and locations. The knowledge base of Knudsen </w:t>
      </w:r>
      <w:r w:rsidRPr="00B031A0" w:rsidR="00776C49">
        <w:rPr>
          <w:rFonts w:ascii="Arial" w:hAnsi="Arial" w:cs="Arial"/>
          <w:i/>
          <w:iCs/>
          <w:color w:val="000000" w:themeColor="text1"/>
        </w:rPr>
        <w:t>et al</w:t>
      </w:r>
      <w:r w:rsidRPr="00B031A0">
        <w:rPr>
          <w:rFonts w:ascii="Arial" w:hAnsi="Arial" w:cs="Arial"/>
          <w:i/>
          <w:iCs/>
          <w:color w:val="000000" w:themeColor="text1"/>
        </w:rPr>
        <w:t xml:space="preserve">. </w:t>
      </w:r>
      <w:r w:rsidRPr="00B031A0">
        <w:rPr>
          <w:rFonts w:ascii="Arial" w:hAnsi="Arial" w:cs="Arial"/>
          <w:color w:val="000000" w:themeColor="text1"/>
        </w:rPr>
        <w:t xml:space="preserve">(2023) literature explored an electronic monitoring and feedback intervention that provided an expected benefit of sustained hand hygiene behaviour, and hospital-acquired bloodstream and urinary infections were also evaluated. In the dispenser activation in the electronic system, however, rather than </w:t>
      </w:r>
      <w:r w:rsidR="00F74F31">
        <w:rPr>
          <w:rFonts w:ascii="Arial" w:hAnsi="Arial" w:cs="Arial"/>
          <w:color w:val="000000" w:themeColor="text1"/>
        </w:rPr>
        <w:t>determining</w:t>
      </w:r>
      <w:r w:rsidRPr="00B031A0">
        <w:rPr>
          <w:rFonts w:ascii="Arial" w:hAnsi="Arial" w:cs="Arial"/>
          <w:color w:val="000000" w:themeColor="text1"/>
        </w:rPr>
        <w:t xml:space="preserve"> whether the correct technique (for example, product quantity or clinical moment) has been exercised, it may be measured (Momeni </w:t>
      </w:r>
      <w:r w:rsidRPr="00B031A0" w:rsidR="00776C49">
        <w:rPr>
          <w:rFonts w:ascii="Arial" w:hAnsi="Arial" w:cs="Arial"/>
          <w:i/>
          <w:iCs/>
          <w:color w:val="000000" w:themeColor="text1"/>
        </w:rPr>
        <w:t>et al</w:t>
      </w:r>
      <w:r w:rsidRPr="00B031A0">
        <w:rPr>
          <w:rFonts w:ascii="Arial" w:hAnsi="Arial" w:cs="Arial"/>
          <w:i/>
          <w:iCs/>
          <w:color w:val="000000" w:themeColor="text1"/>
        </w:rPr>
        <w:t>.,</w:t>
      </w:r>
      <w:r w:rsidRPr="00B031A0">
        <w:rPr>
          <w:rFonts w:ascii="Arial" w:hAnsi="Arial" w:cs="Arial"/>
          <w:color w:val="000000" w:themeColor="text1"/>
        </w:rPr>
        <w:t xml:space="preserve"> 2025). Hence, clinical interpretation with human observation in </w:t>
      </w:r>
      <w:r w:rsidR="00F74F31">
        <w:rPr>
          <w:rFonts w:ascii="Arial" w:hAnsi="Arial" w:cs="Arial"/>
          <w:color w:val="000000" w:themeColor="text1"/>
        </w:rPr>
        <w:t>a</w:t>
      </w:r>
      <w:r w:rsidRPr="00B031A0">
        <w:rPr>
          <w:rFonts w:ascii="Arial" w:hAnsi="Arial" w:cs="Arial"/>
          <w:color w:val="000000" w:themeColor="text1"/>
        </w:rPr>
        <w:t xml:space="preserve"> trained form might be more powerful than technological monitoring with increased coverage</w:t>
      </w:r>
      <w:r w:rsidR="00340394">
        <w:rPr>
          <w:rFonts w:ascii="Arial" w:hAnsi="Arial" w:cs="Arial"/>
          <w:color w:val="000000" w:themeColor="text1"/>
        </w:rPr>
        <w:t xml:space="preserve"> </w:t>
      </w:r>
      <w:r w:rsidRPr="00B031A0" w:rsidR="00340394">
        <w:rPr>
          <w:rFonts w:ascii="Arial" w:hAnsi="Arial" w:cs="Arial"/>
          <w:color w:val="000000" w:themeColor="text1"/>
        </w:rPr>
        <w:t xml:space="preserve">(Madden </w:t>
      </w:r>
      <w:r w:rsidRPr="00B031A0" w:rsidR="00340394">
        <w:rPr>
          <w:rFonts w:ascii="Arial" w:hAnsi="Arial" w:cs="Arial"/>
          <w:i/>
          <w:iCs/>
          <w:color w:val="000000" w:themeColor="text1"/>
        </w:rPr>
        <w:t>et al.,</w:t>
      </w:r>
      <w:r w:rsidRPr="00B031A0" w:rsidR="00340394">
        <w:rPr>
          <w:rFonts w:ascii="Arial" w:hAnsi="Arial" w:cs="Arial"/>
          <w:color w:val="000000" w:themeColor="text1"/>
        </w:rPr>
        <w:t xml:space="preserve"> 2022)</w:t>
      </w:r>
      <w:r w:rsidRPr="00B031A0">
        <w:rPr>
          <w:rFonts w:ascii="Arial" w:hAnsi="Arial" w:cs="Arial"/>
          <w:color w:val="000000" w:themeColor="text1"/>
        </w:rPr>
        <w:t xml:space="preserve">. It can also be costly and cause employees to be staffing issues over spying. It is likely to play the biggest role in the decrease of infections, whereby real-time information is incorporated </w:t>
      </w:r>
      <w:r w:rsidR="00F74F31">
        <w:rPr>
          <w:rFonts w:ascii="Arial" w:hAnsi="Arial" w:cs="Arial"/>
          <w:color w:val="000000" w:themeColor="text1"/>
        </w:rPr>
        <w:t>into</w:t>
      </w:r>
      <w:r w:rsidRPr="00B031A0">
        <w:rPr>
          <w:rFonts w:ascii="Arial" w:hAnsi="Arial" w:cs="Arial"/>
          <w:color w:val="000000" w:themeColor="text1"/>
        </w:rPr>
        <w:t xml:space="preserve"> positive feedback </w:t>
      </w:r>
      <w:r w:rsidR="00F74F31">
        <w:rPr>
          <w:rFonts w:ascii="Arial" w:hAnsi="Arial" w:cs="Arial"/>
          <w:color w:val="000000" w:themeColor="text1"/>
        </w:rPr>
        <w:t>instead of</w:t>
      </w:r>
      <w:r w:rsidRPr="00B031A0">
        <w:rPr>
          <w:rFonts w:ascii="Arial" w:hAnsi="Arial" w:cs="Arial"/>
          <w:color w:val="000000" w:themeColor="text1"/>
        </w:rPr>
        <w:t xml:space="preserve"> performance appraisal</w:t>
      </w:r>
      <w:r w:rsidR="00340394">
        <w:rPr>
          <w:rFonts w:ascii="Arial" w:hAnsi="Arial" w:cs="Arial"/>
          <w:color w:val="000000" w:themeColor="text1"/>
        </w:rPr>
        <w:t xml:space="preserve"> (</w:t>
      </w:r>
      <w:r w:rsidRPr="00B031A0" w:rsidR="00340394">
        <w:rPr>
          <w:rFonts w:ascii="Arial" w:hAnsi="Arial" w:cs="Arial"/>
          <w:color w:val="000000" w:themeColor="text1"/>
        </w:rPr>
        <w:t xml:space="preserve">Knudsen </w:t>
      </w:r>
      <w:r w:rsidR="00340394">
        <w:rPr>
          <w:rFonts w:ascii="Arial" w:hAnsi="Arial" w:cs="Arial"/>
          <w:color w:val="000000" w:themeColor="text1"/>
        </w:rPr>
        <w:t>et al</w:t>
      </w:r>
      <w:r w:rsidR="006F485D">
        <w:rPr>
          <w:rFonts w:ascii="Arial" w:hAnsi="Arial" w:cs="Arial"/>
          <w:color w:val="000000" w:themeColor="text1"/>
        </w:rPr>
        <w:t>.</w:t>
      </w:r>
      <w:r w:rsidR="00340394">
        <w:rPr>
          <w:rFonts w:ascii="Arial" w:hAnsi="Arial" w:cs="Arial"/>
          <w:color w:val="000000" w:themeColor="text1"/>
        </w:rPr>
        <w:t>, 2023)</w:t>
      </w:r>
      <w:r w:rsidRPr="00B031A0">
        <w:rPr>
          <w:rFonts w:ascii="Arial" w:hAnsi="Arial" w:cs="Arial"/>
          <w:color w:val="000000" w:themeColor="text1"/>
        </w:rPr>
        <w:t xml:space="preserve">. </w:t>
      </w:r>
    </w:p>
    <w:p w:rsidRPr="00B031A0" w:rsidR="00C77BF3" w:rsidRDefault="00115699" w14:paraId="3048A56E" w14:textId="77777777">
      <w:pPr>
        <w:rPr>
          <w:rFonts w:ascii="Arial" w:hAnsi="Arial" w:cs="Arial"/>
          <w:b/>
          <w:bCs/>
          <w:color w:val="000000" w:themeColor="text1"/>
        </w:rPr>
      </w:pPr>
      <w:r w:rsidRPr="00B031A0">
        <w:rPr>
          <w:rFonts w:ascii="Arial" w:hAnsi="Arial" w:cs="Arial"/>
          <w:b/>
          <w:bCs/>
          <w:color w:val="000000" w:themeColor="text1"/>
        </w:rPr>
        <w:t>Environmental and Point-of-Care Interventions</w:t>
      </w:r>
    </w:p>
    <w:p w:rsidRPr="00B031A0" w:rsidR="00C77BF3" w:rsidRDefault="00115699" w14:paraId="6DFF2754" w14:textId="5C0D7576">
      <w:pPr>
        <w:rPr>
          <w:rFonts w:ascii="Arial" w:hAnsi="Arial" w:cs="Arial"/>
          <w:color w:val="000000" w:themeColor="text1"/>
        </w:rPr>
      </w:pPr>
      <w:r w:rsidRPr="00B031A0">
        <w:rPr>
          <w:rFonts w:ascii="Arial" w:hAnsi="Arial" w:cs="Arial"/>
          <w:color w:val="000000" w:themeColor="text1"/>
        </w:rPr>
        <w:t xml:space="preserve">Placing alcohol based hand rub near the bed, the treatment area, and entrances will decrease the physical effort needed to clean the hands (Momeni </w:t>
      </w:r>
      <w:r w:rsidRPr="00B031A0" w:rsidR="00776C49">
        <w:rPr>
          <w:rFonts w:ascii="Arial" w:hAnsi="Arial" w:cs="Arial"/>
          <w:i/>
          <w:iCs/>
          <w:color w:val="000000" w:themeColor="text1"/>
        </w:rPr>
        <w:t>et al</w:t>
      </w:r>
      <w:r w:rsidRPr="00B031A0">
        <w:rPr>
          <w:rFonts w:ascii="Arial" w:hAnsi="Arial" w:cs="Arial"/>
          <w:i/>
          <w:iCs/>
          <w:color w:val="000000" w:themeColor="text1"/>
        </w:rPr>
        <w:t>.,</w:t>
      </w:r>
      <w:r w:rsidRPr="00B031A0">
        <w:rPr>
          <w:rFonts w:ascii="Arial" w:hAnsi="Arial" w:cs="Arial"/>
          <w:color w:val="000000" w:themeColor="text1"/>
        </w:rPr>
        <w:t xml:space="preserve"> 2025). Environmental restructuring puts its emphasis on opportunity, rather than knowledge, in comparison to education (Mitev, Tóth and Vaszkun, 2024). Practical signals, for example, the presence of dispensers involving replenishment, may promote hand hygiene when there are complexities in clinical care processes (Aalalhareth and Abdullah, 2024). However, increased supply of products is capable of producing greater usage without showing how workers wash their hands at the right time. Environmental changes, however, as found by Alshagrawi and Alhodaithy (2024) in their qualitative study interviewing 49 healthcare workers working in ICUs, are needed yet inadequate in cases where professional habits are not changed. Also, product selection is important due to the lack of sustained use due to poor skin tolerance (Letellier </w:t>
      </w:r>
      <w:r w:rsidRPr="00B031A0" w:rsidR="00776C49">
        <w:rPr>
          <w:rFonts w:ascii="Arial" w:hAnsi="Arial" w:cs="Arial"/>
          <w:i/>
          <w:iCs/>
          <w:color w:val="000000" w:themeColor="text1"/>
        </w:rPr>
        <w:t>et al</w:t>
      </w:r>
      <w:r w:rsidRPr="00B031A0">
        <w:rPr>
          <w:rFonts w:ascii="Arial" w:hAnsi="Arial" w:cs="Arial"/>
          <w:i/>
          <w:iCs/>
          <w:color w:val="000000" w:themeColor="text1"/>
        </w:rPr>
        <w:t>.,</w:t>
      </w:r>
      <w:r w:rsidRPr="00B031A0">
        <w:rPr>
          <w:rFonts w:ascii="Arial" w:hAnsi="Arial" w:cs="Arial"/>
          <w:color w:val="000000" w:themeColor="text1"/>
        </w:rPr>
        <w:t xml:space="preserve"> 2022). The best examples of environmental interventions are access </w:t>
      </w:r>
      <w:r w:rsidR="00F74F31">
        <w:rPr>
          <w:rFonts w:ascii="Arial" w:hAnsi="Arial" w:cs="Arial"/>
          <w:color w:val="000000" w:themeColor="text1"/>
        </w:rPr>
        <w:t xml:space="preserve">to </w:t>
      </w:r>
      <w:r w:rsidRPr="00B031A0">
        <w:rPr>
          <w:rFonts w:ascii="Arial" w:hAnsi="Arial" w:cs="Arial"/>
          <w:color w:val="000000" w:themeColor="text1"/>
        </w:rPr>
        <w:t xml:space="preserve">and consultation </w:t>
      </w:r>
      <w:r w:rsidR="00F74F31">
        <w:rPr>
          <w:rFonts w:ascii="Arial" w:hAnsi="Arial" w:cs="Arial"/>
          <w:color w:val="000000" w:themeColor="text1"/>
        </w:rPr>
        <w:t>with</w:t>
      </w:r>
      <w:r w:rsidRPr="00B031A0">
        <w:rPr>
          <w:rFonts w:ascii="Arial" w:hAnsi="Arial" w:cs="Arial"/>
          <w:color w:val="000000" w:themeColor="text1"/>
        </w:rPr>
        <w:t xml:space="preserve"> staff </w:t>
      </w:r>
      <w:r w:rsidR="00F74F31">
        <w:rPr>
          <w:rFonts w:ascii="Arial" w:hAnsi="Arial" w:cs="Arial"/>
          <w:color w:val="000000" w:themeColor="text1"/>
        </w:rPr>
        <w:t>about</w:t>
      </w:r>
      <w:r w:rsidRPr="00B031A0">
        <w:rPr>
          <w:rFonts w:ascii="Arial" w:hAnsi="Arial" w:cs="Arial"/>
          <w:color w:val="000000" w:themeColor="text1"/>
        </w:rPr>
        <w:t xml:space="preserve"> the environment, testing of the product and redesigning of workflows</w:t>
      </w:r>
      <w:r w:rsidR="00F74F31">
        <w:rPr>
          <w:rFonts w:ascii="Arial" w:hAnsi="Arial" w:cs="Arial"/>
          <w:color w:val="000000" w:themeColor="text1"/>
        </w:rPr>
        <w:t>,</w:t>
      </w:r>
      <w:r w:rsidRPr="00B031A0">
        <w:rPr>
          <w:rFonts w:ascii="Arial" w:hAnsi="Arial" w:cs="Arial"/>
          <w:color w:val="000000" w:themeColor="text1"/>
        </w:rPr>
        <w:t xml:space="preserve"> which cross both practical and behavioural barriers (Aalalhareth and Abdullah, 2024). </w:t>
      </w:r>
    </w:p>
    <w:p w:rsidRPr="00B031A0" w:rsidR="00C77BF3" w:rsidRDefault="00115699" w14:paraId="7094AE75" w14:textId="77777777">
      <w:pPr>
        <w:rPr>
          <w:rFonts w:ascii="Arial" w:hAnsi="Arial" w:cs="Arial"/>
          <w:b/>
          <w:bCs/>
          <w:color w:val="000000" w:themeColor="text1"/>
        </w:rPr>
      </w:pPr>
      <w:r w:rsidRPr="00B031A0">
        <w:rPr>
          <w:rFonts w:ascii="Arial" w:hAnsi="Arial" w:cs="Arial"/>
          <w:b/>
          <w:bCs/>
          <w:color w:val="000000" w:themeColor="text1"/>
        </w:rPr>
        <w:t>Multimodal Improvement Programmes</w:t>
      </w:r>
    </w:p>
    <w:p w:rsidRPr="00B031A0" w:rsidR="00C77BF3" w:rsidRDefault="00115699" w14:paraId="12F5C2E8" w14:textId="3B7E5D39">
      <w:pPr>
        <w:rPr>
          <w:rFonts w:ascii="Arial" w:hAnsi="Arial" w:cs="Arial"/>
          <w:color w:val="000000" w:themeColor="text1"/>
        </w:rPr>
      </w:pPr>
      <w:r w:rsidRPr="00B031A0">
        <w:rPr>
          <w:rFonts w:ascii="Arial" w:hAnsi="Arial" w:cs="Arial"/>
          <w:color w:val="000000" w:themeColor="text1"/>
        </w:rPr>
        <w:t xml:space="preserve">Multimodal programmes consist of system change, training, reminders, monitoring, feedback and institutional safety culture. They tend to be more useful than single interventions due to the simultaneous treatment of some causes of non-compliance. Fredj </w:t>
      </w:r>
      <w:r w:rsidRPr="00B031A0" w:rsidR="00776C49">
        <w:rPr>
          <w:rFonts w:ascii="Arial" w:hAnsi="Arial" w:cs="Arial"/>
          <w:i/>
          <w:iCs/>
          <w:color w:val="000000" w:themeColor="text1"/>
        </w:rPr>
        <w:t>et al</w:t>
      </w:r>
      <w:r w:rsidRPr="00B031A0">
        <w:rPr>
          <w:rFonts w:ascii="Arial" w:hAnsi="Arial" w:cs="Arial"/>
          <w:i/>
          <w:iCs/>
          <w:color w:val="000000" w:themeColor="text1"/>
        </w:rPr>
        <w:t>.</w:t>
      </w:r>
      <w:r w:rsidRPr="00B031A0">
        <w:rPr>
          <w:rFonts w:ascii="Arial" w:hAnsi="Arial" w:cs="Arial"/>
          <w:color w:val="000000" w:themeColor="text1"/>
        </w:rPr>
        <w:t xml:space="preserve"> (2020) assert that the World Health Organisation</w:t>
      </w:r>
      <w:r w:rsidR="00B1135D">
        <w:rPr>
          <w:rFonts w:ascii="Arial" w:hAnsi="Arial" w:cs="Arial"/>
          <w:color w:val="000000" w:themeColor="text1"/>
        </w:rPr>
        <w:t xml:space="preserve"> </w:t>
      </w:r>
      <w:r w:rsidRPr="00B031A0">
        <w:rPr>
          <w:rFonts w:ascii="Arial" w:hAnsi="Arial" w:cs="Arial"/>
          <w:color w:val="000000" w:themeColor="text1"/>
        </w:rPr>
        <w:t xml:space="preserve">(WHO) has discovered that the best single method in general to use is the multimode enhancement, and it has projected that preventable infections acquired in healthcare provision can be reduced by up to half through hand hygiene programmes. It also says the average economic savings were approximately 16 times more than the implementation cost (Aalalhareth and Abdullah, 2024). These data substantiate significant clinical and economic gains, yet they must be viewed with a grain of salt since multimodal programmes make it hard to figure out which of the elements led to the decrease(Skok </w:t>
      </w:r>
      <w:r w:rsidRPr="00B031A0" w:rsidR="00776C49">
        <w:rPr>
          <w:rFonts w:ascii="Arial" w:hAnsi="Arial" w:cs="Arial"/>
          <w:i/>
          <w:iCs/>
          <w:color w:val="000000" w:themeColor="text1"/>
        </w:rPr>
        <w:t>et al</w:t>
      </w:r>
      <w:r w:rsidRPr="00B031A0">
        <w:rPr>
          <w:rFonts w:ascii="Arial" w:hAnsi="Arial" w:cs="Arial"/>
          <w:color w:val="000000" w:themeColor="text1"/>
        </w:rPr>
        <w:t xml:space="preserve">., 2025). The infection rates could also decrease due to increased cleaning, isolation or antimicrobial stewardship used simultaneously. </w:t>
      </w:r>
    </w:p>
    <w:p w:rsidRPr="00B031A0" w:rsidR="00C77BF3" w:rsidP="007C25F7" w:rsidRDefault="00115699" w14:paraId="7942F041" w14:textId="77777777">
      <w:pPr>
        <w:pStyle w:val="Heading1"/>
        <w:jc w:val="both"/>
      </w:pPr>
      <w:bookmarkStart w:name="_Toc240696162" w:id="17"/>
      <w:r w:rsidRPr="00B031A0">
        <w:t>2.4 Gaps in Literature</w:t>
      </w:r>
      <w:bookmarkEnd w:id="17"/>
      <w:r w:rsidRPr="00B031A0">
        <w:t xml:space="preserve"> </w:t>
      </w:r>
    </w:p>
    <w:p w:rsidRPr="00B031A0" w:rsidR="00C77BF3" w:rsidRDefault="00115699" w14:paraId="1807F3BD" w14:textId="248AF718">
      <w:pPr>
        <w:rPr>
          <w:rFonts w:ascii="Arial" w:hAnsi="Arial" w:cs="Arial"/>
          <w:color w:val="000000" w:themeColor="text1"/>
        </w:rPr>
      </w:pPr>
      <w:r w:rsidRPr="00B031A0">
        <w:rPr>
          <w:rFonts w:ascii="Arial" w:hAnsi="Arial" w:cs="Arial"/>
          <w:color w:val="000000" w:themeColor="text1"/>
        </w:rPr>
        <w:t>Although there is a good amount of literature on the topic of hand hygiene compliance and healthcare-associated infections (HCAIs), there are still a few significant gaps in the literature. Most of the studies have shown that better hand hygiene is linked to the fact that it reduces the rate of infections, but the relationship is inconclusive as a result of inconsistencies in methods and differences in study design. The methodologies employed in most of the available research include observational or cross-sectional designs and reveal that hand hygiene adherence of nurses is related to a reduction in healthcare-associated infections (HCAIs); however, the research fails to show causality. Therefore, it is still hard to calculate the degree to which better compliance in itself is a source of infection prevention as compared to other infection control measures.</w:t>
      </w:r>
    </w:p>
    <w:p w:rsidRPr="00B031A0" w:rsidR="00C77BF3" w:rsidRDefault="00115699" w14:paraId="041E5289" w14:textId="04A16365">
      <w:pPr>
        <w:rPr>
          <w:rFonts w:ascii="Arial" w:hAnsi="Arial" w:cs="Arial"/>
          <w:color w:val="000000" w:themeColor="text1"/>
        </w:rPr>
      </w:pPr>
      <w:r w:rsidRPr="00B031A0">
        <w:rPr>
          <w:rFonts w:ascii="Arial" w:hAnsi="Arial" w:cs="Arial"/>
          <w:color w:val="000000" w:themeColor="text1"/>
        </w:rPr>
        <w:t xml:space="preserve">The second significant gap is connected with the rather limited scope of nurses. </w:t>
      </w:r>
      <w:r w:rsidR="007C25F7">
        <w:rPr>
          <w:rFonts w:ascii="Arial" w:hAnsi="Arial" w:cs="Arial"/>
          <w:color w:val="000000" w:themeColor="text1"/>
        </w:rPr>
        <w:t>A review</w:t>
      </w:r>
      <w:r w:rsidRPr="00B031A0">
        <w:rPr>
          <w:rFonts w:ascii="Arial" w:hAnsi="Arial" w:cs="Arial"/>
          <w:color w:val="000000" w:themeColor="text1"/>
        </w:rPr>
        <w:t xml:space="preserve"> by Harb </w:t>
      </w:r>
      <w:r w:rsidRPr="00B031A0" w:rsidR="00776C49">
        <w:rPr>
          <w:rFonts w:ascii="Arial" w:hAnsi="Arial" w:cs="Arial"/>
          <w:i/>
          <w:iCs/>
          <w:color w:val="000000" w:themeColor="text1"/>
        </w:rPr>
        <w:t>et al</w:t>
      </w:r>
      <w:r w:rsidRPr="00B031A0">
        <w:rPr>
          <w:rFonts w:ascii="Arial" w:hAnsi="Arial" w:cs="Arial"/>
          <w:i/>
          <w:iCs/>
          <w:color w:val="000000" w:themeColor="text1"/>
        </w:rPr>
        <w:t xml:space="preserve">. </w:t>
      </w:r>
      <w:r w:rsidRPr="00B031A0">
        <w:rPr>
          <w:rFonts w:ascii="Arial" w:hAnsi="Arial" w:cs="Arial"/>
          <w:color w:val="000000" w:themeColor="text1"/>
        </w:rPr>
        <w:t xml:space="preserve">(2025) shows that current studies often focus on the hand hygiene adherence of all medical practitioners, such as doctors, allied health professionals and support staff, but do not focus on the role that nurses play. With the most frequent close experiences with a patient in hospital care, the combination of different types of professionals may confuse issues that are specific to particular professions, behavioural patterns and outcomes of interventions (Sanvitti, Kanapeckas and Bilotta, 2026). More emphasis on nursing practice is, therefore, required </w:t>
      </w:r>
      <w:r w:rsidR="007C25F7">
        <w:rPr>
          <w:rFonts w:ascii="Arial" w:hAnsi="Arial" w:cs="Arial"/>
          <w:color w:val="000000" w:themeColor="text1"/>
        </w:rPr>
        <w:t>to value</w:t>
      </w:r>
      <w:r w:rsidRPr="00B031A0">
        <w:rPr>
          <w:rFonts w:ascii="Arial" w:hAnsi="Arial" w:cs="Arial"/>
          <w:color w:val="000000" w:themeColor="text1"/>
        </w:rPr>
        <w:t xml:space="preserve"> the role that nurse compliance is likely to play in preventing infections in clinical environments.</w:t>
      </w:r>
    </w:p>
    <w:p w:rsidRPr="00B031A0" w:rsidR="00C77BF3" w:rsidRDefault="00115699" w14:paraId="1A510014" w14:textId="1C450B80">
      <w:pPr>
        <w:rPr>
          <w:rFonts w:ascii="Arial" w:hAnsi="Arial" w:cs="Arial"/>
          <w:color w:val="000000" w:themeColor="text1"/>
        </w:rPr>
      </w:pPr>
      <w:r w:rsidRPr="00B031A0">
        <w:rPr>
          <w:rFonts w:ascii="Arial" w:hAnsi="Arial" w:cs="Arial"/>
          <w:color w:val="000000" w:themeColor="text1"/>
        </w:rPr>
        <w:t xml:space="preserve">Besides this, Afework and Tamene (2025) argue that a </w:t>
      </w:r>
      <w:r w:rsidR="007C25F7">
        <w:rPr>
          <w:rFonts w:ascii="Arial" w:hAnsi="Arial" w:cs="Arial"/>
          <w:color w:val="000000" w:themeColor="text1"/>
        </w:rPr>
        <w:t>large</w:t>
      </w:r>
      <w:r w:rsidRPr="00B031A0">
        <w:rPr>
          <w:rFonts w:ascii="Arial" w:hAnsi="Arial" w:cs="Arial"/>
          <w:color w:val="000000" w:themeColor="text1"/>
        </w:rPr>
        <w:t xml:space="preserve"> proportion of the available evidence is based on healthcare systems, and not UK hospitals. They have observed that despite the potential good learning attained in the studies in Europe, North America and Asia, diverse policies on healthcare, staffing, infection prevention practices, and organisation within the National Health Service (NHS) may inhibit the direct generalisability of the findings to UK practices (Mitev, Tóth and Vaszkun, 2024). Therefore, a synthesis of evidence that is specifically reflective of the National Health Service (NHS) context, where workforce constraints, increasing patient complexity and resource requirements may have disparate effects on hand hygiene adherence to other healthcare contexts, is necessary.</w:t>
      </w:r>
    </w:p>
    <w:p w:rsidRPr="00B031A0" w:rsidR="00C77BF3" w:rsidRDefault="00115699" w14:paraId="307CBC7C" w14:textId="3BB8107C">
      <w:pPr>
        <w:rPr>
          <w:rFonts w:ascii="Arial" w:hAnsi="Arial" w:cs="Arial"/>
          <w:color w:val="000000" w:themeColor="text1"/>
        </w:rPr>
      </w:pPr>
      <w:r w:rsidRPr="00B031A0">
        <w:rPr>
          <w:rFonts w:ascii="Arial" w:hAnsi="Arial" w:cs="Arial"/>
          <w:color w:val="000000" w:themeColor="text1"/>
        </w:rPr>
        <w:t xml:space="preserve">It is also mentioned in the literature that there </w:t>
      </w:r>
      <w:r w:rsidR="00F74F31">
        <w:rPr>
          <w:rFonts w:ascii="Arial" w:hAnsi="Arial" w:cs="Arial"/>
          <w:color w:val="000000" w:themeColor="text1"/>
        </w:rPr>
        <w:t>is</w:t>
      </w:r>
      <w:r w:rsidRPr="00B031A0">
        <w:rPr>
          <w:rFonts w:ascii="Arial" w:hAnsi="Arial" w:cs="Arial"/>
          <w:color w:val="000000" w:themeColor="text1"/>
        </w:rPr>
        <w:t xml:space="preserve"> significant conformity in measuring hand hygiene compliance. Some of these studies are those which use direct observations, and others which take the self-reported questionnaires, electronic monitoring systems, or product consumption data (Skok </w:t>
      </w:r>
      <w:r w:rsidRPr="00B031A0" w:rsidR="00776C49">
        <w:rPr>
          <w:rFonts w:ascii="Arial" w:hAnsi="Arial" w:cs="Arial"/>
          <w:color w:val="000000" w:themeColor="text1"/>
        </w:rPr>
        <w:t>et al</w:t>
      </w:r>
      <w:r w:rsidRPr="00B031A0">
        <w:rPr>
          <w:rFonts w:ascii="Arial" w:hAnsi="Arial" w:cs="Arial"/>
          <w:color w:val="000000" w:themeColor="text1"/>
        </w:rPr>
        <w:t xml:space="preserve">., 2025). The disadvantages of each technique include bias of the observer, the remember bias or </w:t>
      </w:r>
      <w:r w:rsidR="00F74F31">
        <w:rPr>
          <w:rFonts w:ascii="Arial" w:hAnsi="Arial" w:cs="Arial"/>
          <w:color w:val="000000" w:themeColor="text1"/>
        </w:rPr>
        <w:t xml:space="preserve">a </w:t>
      </w:r>
      <w:r w:rsidRPr="00B031A0">
        <w:rPr>
          <w:rFonts w:ascii="Arial" w:hAnsi="Arial" w:cs="Arial"/>
          <w:color w:val="000000" w:themeColor="text1"/>
        </w:rPr>
        <w:t xml:space="preserve">lack of ability to assess the quality of the techniques (Madden </w:t>
      </w:r>
      <w:r w:rsidRPr="00B031A0" w:rsidR="00776C49">
        <w:rPr>
          <w:rFonts w:ascii="Arial" w:hAnsi="Arial" w:cs="Arial"/>
          <w:color w:val="000000" w:themeColor="text1"/>
        </w:rPr>
        <w:t>et al</w:t>
      </w:r>
      <w:r w:rsidRPr="00B031A0">
        <w:rPr>
          <w:rFonts w:ascii="Arial" w:hAnsi="Arial" w:cs="Arial"/>
          <w:color w:val="000000" w:themeColor="text1"/>
        </w:rPr>
        <w:t>., 2022). Such methodological heterogeneity makes cross-study comparison complicated and limits the strength of evidence as regards the effectiveness of hand hygiene interventions.</w:t>
      </w:r>
    </w:p>
    <w:p w:rsidRPr="00B031A0" w:rsidR="00C77BF3" w:rsidRDefault="00115699" w14:paraId="3C57A3E2" w14:textId="64CFE4D4">
      <w:pPr>
        <w:rPr>
          <w:rFonts w:ascii="Arial" w:hAnsi="Arial" w:cs="Arial"/>
          <w:color w:val="000000" w:themeColor="text1"/>
        </w:rPr>
      </w:pPr>
      <w:r w:rsidRPr="00B031A0">
        <w:rPr>
          <w:rFonts w:ascii="Arial" w:hAnsi="Arial" w:cs="Arial"/>
          <w:color w:val="000000" w:themeColor="text1"/>
        </w:rPr>
        <w:t xml:space="preserve">Lastly, Clancy </w:t>
      </w:r>
      <w:r w:rsidRPr="00B031A0" w:rsidR="00776C49">
        <w:rPr>
          <w:rFonts w:ascii="Arial" w:hAnsi="Arial" w:cs="Arial"/>
          <w:color w:val="000000" w:themeColor="text1"/>
        </w:rPr>
        <w:t>et al</w:t>
      </w:r>
      <w:r w:rsidRPr="00B031A0">
        <w:rPr>
          <w:rFonts w:ascii="Arial" w:hAnsi="Arial" w:cs="Arial"/>
          <w:color w:val="000000" w:themeColor="text1"/>
        </w:rPr>
        <w:t xml:space="preserve">. (2021), in their comprehensive review, found that there is a common underlying trend in existing research where short-term changes after learning or multimodal intervention are assessed, </w:t>
      </w:r>
      <w:r w:rsidRPr="00B031A0" w:rsidR="007C25F7">
        <w:rPr>
          <w:rFonts w:ascii="Arial" w:hAnsi="Arial" w:cs="Arial"/>
          <w:color w:val="000000" w:themeColor="text1"/>
        </w:rPr>
        <w:t>despite</w:t>
      </w:r>
      <w:r w:rsidRPr="00B031A0">
        <w:rPr>
          <w:rFonts w:ascii="Arial" w:hAnsi="Arial" w:cs="Arial"/>
          <w:color w:val="000000" w:themeColor="text1"/>
        </w:rPr>
        <w:t xml:space="preserve"> having little evidence about the sustainability of behaviour change in the long run. There are research studies with limited scope in exploring the success of compliance in the </w:t>
      </w:r>
      <w:r w:rsidR="00F74F31">
        <w:rPr>
          <w:rFonts w:ascii="Arial" w:hAnsi="Arial" w:cs="Arial"/>
          <w:color w:val="000000" w:themeColor="text1"/>
        </w:rPr>
        <w:t>long run</w:t>
      </w:r>
      <w:r w:rsidRPr="00B031A0">
        <w:rPr>
          <w:rFonts w:ascii="Arial" w:hAnsi="Arial" w:cs="Arial"/>
          <w:color w:val="000000" w:themeColor="text1"/>
        </w:rPr>
        <w:t xml:space="preserve"> and the frequency of the impact to decrease infection produced by the intervention measures once the measures have ceased (Letellier </w:t>
      </w:r>
      <w:r w:rsidRPr="00B031A0" w:rsidR="00776C49">
        <w:rPr>
          <w:rFonts w:ascii="Arial" w:hAnsi="Arial" w:cs="Arial"/>
          <w:color w:val="000000" w:themeColor="text1"/>
        </w:rPr>
        <w:t>et al</w:t>
      </w:r>
      <w:r w:rsidRPr="00B031A0">
        <w:rPr>
          <w:rFonts w:ascii="Arial" w:hAnsi="Arial" w:cs="Arial"/>
          <w:color w:val="000000" w:themeColor="text1"/>
        </w:rPr>
        <w:t xml:space="preserve">., 2022). Similarly, the comparative effectiveness of different intervention strategies in similar hospital settings on a critical basis has been studied to a limited extent (Sandu </w:t>
      </w:r>
      <w:r w:rsidRPr="00B031A0" w:rsidR="00776C49">
        <w:rPr>
          <w:rFonts w:ascii="Arial" w:hAnsi="Arial" w:cs="Arial"/>
          <w:color w:val="000000" w:themeColor="text1"/>
        </w:rPr>
        <w:t>et al</w:t>
      </w:r>
      <w:r w:rsidRPr="00B031A0">
        <w:rPr>
          <w:rFonts w:ascii="Arial" w:hAnsi="Arial" w:cs="Arial"/>
          <w:color w:val="000000" w:themeColor="text1"/>
        </w:rPr>
        <w:t>.</w:t>
      </w:r>
      <w:r w:rsidR="007C25F7">
        <w:rPr>
          <w:rFonts w:ascii="Arial" w:hAnsi="Arial" w:cs="Arial"/>
          <w:color w:val="000000" w:themeColor="text1"/>
        </w:rPr>
        <w:t>,</w:t>
      </w:r>
      <w:r w:rsidRPr="00B031A0">
        <w:rPr>
          <w:rFonts w:ascii="Arial" w:hAnsi="Arial" w:cs="Arial"/>
          <w:color w:val="000000" w:themeColor="text1"/>
        </w:rPr>
        <w:t xml:space="preserve"> 2025).</w:t>
      </w:r>
    </w:p>
    <w:p w:rsidR="007C25F7" w:rsidP="007C25F7" w:rsidRDefault="00115699" w14:paraId="37CD21D7" w14:textId="746160A3">
      <w:pPr>
        <w:rPr>
          <w:rFonts w:ascii="Arial" w:hAnsi="Arial" w:cs="Arial"/>
          <w:color w:val="000000" w:themeColor="text1"/>
        </w:rPr>
      </w:pPr>
      <w:r w:rsidRPr="00B031A0">
        <w:rPr>
          <w:rFonts w:ascii="Arial" w:hAnsi="Arial" w:cs="Arial"/>
          <w:color w:val="000000" w:themeColor="text1"/>
        </w:rPr>
        <w:t xml:space="preserve">Therefore, this proposed systematic review will aim to address the gaps to provide a critical synthesis of the existing evidence on the relationship between the compliance of nurses with hand hygiene and healthcare-associated infections in UK hospitals (Skok </w:t>
      </w:r>
      <w:r w:rsidRPr="00B031A0" w:rsidR="00776C49">
        <w:rPr>
          <w:rFonts w:ascii="Arial" w:hAnsi="Arial" w:cs="Arial"/>
          <w:color w:val="000000" w:themeColor="text1"/>
        </w:rPr>
        <w:t>et al</w:t>
      </w:r>
      <w:r w:rsidRPr="00B031A0">
        <w:rPr>
          <w:rFonts w:ascii="Arial" w:hAnsi="Arial" w:cs="Arial"/>
          <w:color w:val="000000" w:themeColor="text1"/>
        </w:rPr>
        <w:t xml:space="preserve">., 2025). By particularly focusing on nursing practice, the review also needs to provide a more comprehensive view </w:t>
      </w:r>
      <w:r w:rsidR="00F74F31">
        <w:rPr>
          <w:rFonts w:ascii="Arial" w:hAnsi="Arial" w:cs="Arial"/>
          <w:color w:val="000000" w:themeColor="text1"/>
        </w:rPr>
        <w:t>of</w:t>
      </w:r>
      <w:r w:rsidRPr="00B031A0">
        <w:rPr>
          <w:rFonts w:ascii="Arial" w:hAnsi="Arial" w:cs="Arial"/>
          <w:color w:val="000000" w:themeColor="text1"/>
        </w:rPr>
        <w:t xml:space="preserve"> the interdependence of hand hygiene compliance and infection prevention, plus define the areas which require additional research and policy development.</w:t>
      </w:r>
    </w:p>
    <w:p w:rsidRPr="007C25F7" w:rsidR="00C77BF3" w:rsidP="007C25F7" w:rsidRDefault="00115699" w14:paraId="1B9BE3AC" w14:textId="09A270C6">
      <w:pPr>
        <w:pStyle w:val="Heading1"/>
        <w:jc w:val="both"/>
        <w:rPr>
          <w:color w:val="000000" w:themeColor="text1"/>
        </w:rPr>
      </w:pPr>
      <w:r w:rsidRPr="00B031A0">
        <w:rPr>
          <w:color w:val="000000" w:themeColor="text1"/>
        </w:rPr>
        <w:t xml:space="preserve"> </w:t>
      </w:r>
      <w:bookmarkStart w:name="_Toc240696163" w:id="18"/>
      <w:r w:rsidRPr="00B031A0">
        <w:t>2.5 Theoretical Framework</w:t>
      </w:r>
      <w:bookmarkEnd w:id="18"/>
      <w:r w:rsidRPr="00B031A0">
        <w:t xml:space="preserve"> </w:t>
      </w:r>
    </w:p>
    <w:p w:rsidRPr="00B031A0" w:rsidR="00C77BF3" w:rsidP="007C25F7" w:rsidRDefault="007C25F7" w14:paraId="467A0BC9" w14:textId="517F876D">
      <w:pPr>
        <w:pStyle w:val="Heading2"/>
      </w:pPr>
      <w:bookmarkStart w:name="_Toc240696164" w:id="19"/>
      <w:r>
        <w:t xml:space="preserve">2.5.1 </w:t>
      </w:r>
      <w:r w:rsidRPr="00B031A0" w:rsidR="00115699">
        <w:t>Health Belief Model (HBM)</w:t>
      </w:r>
      <w:bookmarkEnd w:id="19"/>
    </w:p>
    <w:p w:rsidRPr="00B031A0" w:rsidR="00C77BF3" w:rsidRDefault="00115699" w14:paraId="5322F0BD" w14:textId="77777777">
      <w:pPr>
        <w:jc w:val="center"/>
        <w:rPr>
          <w:rFonts w:ascii="Arial" w:hAnsi="Arial" w:cs="Arial"/>
          <w:color w:val="000000" w:themeColor="text1"/>
        </w:rPr>
      </w:pPr>
      <w:r w:rsidRPr="00B031A0">
        <w:rPr>
          <w:rFonts w:ascii="Arial" w:hAnsi="Arial" w:cs="Arial"/>
          <w:noProof/>
          <w:color w:val="000000" w:themeColor="text1"/>
        </w:rPr>
        <w:drawing>
          <wp:inline distT="114300" distB="114300" distL="114300" distR="114300" wp14:anchorId="76741E36" wp14:editId="117A42A0">
            <wp:extent cx="6042660" cy="3292475"/>
            <wp:effectExtent l="0" t="0" r="0" b="3175"/>
            <wp:docPr id="114148258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rotWithShape="1">
                    <a:blip r:embed="rId10"/>
                    <a:srcRect t="8168"/>
                    <a:stretch>
                      <a:fillRect/>
                    </a:stretch>
                  </pic:blipFill>
                  <pic:spPr bwMode="auto">
                    <a:xfrm>
                      <a:off x="0" y="0"/>
                      <a:ext cx="6058607" cy="3301164"/>
                    </a:xfrm>
                    <a:prstGeom prst="rect">
                      <a:avLst/>
                    </a:prstGeom>
                    <a:ln>
                      <a:noFill/>
                    </a:ln>
                    <a:extLst>
                      <a:ext uri="{53640926-AAD7-44D8-BBD7-CCE9431645EC}">
                        <a14:shadowObscured xmlns:a14="http://schemas.microsoft.com/office/drawing/2010/main"/>
                      </a:ext>
                    </a:extLst>
                  </pic:spPr>
                </pic:pic>
              </a:graphicData>
            </a:graphic>
          </wp:inline>
        </w:drawing>
      </w:r>
    </w:p>
    <w:p w:rsidRPr="00B031A0" w:rsidR="00C77BF3" w:rsidRDefault="00115699" w14:paraId="7E7A70E0" w14:textId="77777777">
      <w:pPr>
        <w:jc w:val="center"/>
        <w:rPr>
          <w:rFonts w:ascii="Arial" w:hAnsi="Arial" w:cs="Arial"/>
          <w:b/>
          <w:bCs/>
          <w:color w:val="000000" w:themeColor="text1"/>
        </w:rPr>
      </w:pPr>
      <w:r w:rsidRPr="00B031A0">
        <w:rPr>
          <w:rFonts w:ascii="Arial" w:hAnsi="Arial" w:cs="Arial"/>
          <w:b/>
          <w:bCs/>
          <w:color w:val="000000" w:themeColor="text1"/>
        </w:rPr>
        <w:t>Figure 2.2: Health Belief Model (HBM)</w:t>
      </w:r>
    </w:p>
    <w:p w:rsidRPr="00B031A0" w:rsidR="00C77BF3" w:rsidRDefault="00115699" w14:paraId="3A4948FF" w14:textId="4F47119A">
      <w:pPr>
        <w:jc w:val="center"/>
        <w:rPr>
          <w:rFonts w:ascii="Arial" w:hAnsi="Arial" w:cs="Arial"/>
          <w:color w:val="000000" w:themeColor="text1"/>
        </w:rPr>
      </w:pPr>
      <w:r w:rsidRPr="00B031A0">
        <w:rPr>
          <w:rFonts w:ascii="Arial" w:hAnsi="Arial" w:cs="Arial"/>
          <w:color w:val="000000" w:themeColor="text1"/>
        </w:rPr>
        <w:t xml:space="preserve">(Source: </w:t>
      </w:r>
      <w:r w:rsidR="00F74F31">
        <w:rPr>
          <w:rFonts w:ascii="Arial" w:hAnsi="Arial" w:cs="Arial"/>
          <w:color w:val="000000" w:themeColor="text1"/>
        </w:rPr>
        <w:t>Penn State</w:t>
      </w:r>
      <w:r w:rsidRPr="00B031A0">
        <w:rPr>
          <w:rFonts w:ascii="Arial" w:hAnsi="Arial" w:cs="Arial"/>
          <w:color w:val="000000" w:themeColor="text1"/>
        </w:rPr>
        <w:t>, 2020)</w:t>
      </w:r>
    </w:p>
    <w:p w:rsidRPr="00B031A0" w:rsidR="00C77BF3" w:rsidRDefault="00115699" w14:paraId="28822FC9" w14:textId="78EFDE1B">
      <w:pPr>
        <w:rPr>
          <w:rFonts w:ascii="Arial" w:hAnsi="Arial" w:cs="Arial"/>
          <w:color w:val="000000" w:themeColor="text1"/>
        </w:rPr>
      </w:pPr>
      <w:r w:rsidRPr="00B031A0">
        <w:rPr>
          <w:rFonts w:ascii="Arial" w:hAnsi="Arial" w:cs="Arial"/>
          <w:color w:val="000000" w:themeColor="text1"/>
        </w:rPr>
        <w:t xml:space="preserve">Health Belief Model, </w:t>
      </w:r>
      <w:r w:rsidR="00F74F31">
        <w:rPr>
          <w:rFonts w:ascii="Arial" w:hAnsi="Arial" w:cs="Arial"/>
          <w:color w:val="000000" w:themeColor="text1"/>
        </w:rPr>
        <w:t>first</w:t>
      </w:r>
      <w:r w:rsidRPr="00B031A0">
        <w:rPr>
          <w:rFonts w:ascii="Arial" w:hAnsi="Arial" w:cs="Arial"/>
          <w:color w:val="000000" w:themeColor="text1"/>
        </w:rPr>
        <w:t xml:space="preserve"> introduced by Rosenstock, is used to claim that people with a perception that they are prone to adverse consequences, understand the severity of these consequences, perceive preventative measures as helpful and who perceive a relatively low number of barriers to undertaking preventative behaviour (</w:t>
      </w:r>
      <w:r w:rsidRPr="00B031A0" w:rsidR="00E274F6">
        <w:rPr>
          <w:rFonts w:ascii="Arial" w:hAnsi="Arial" w:cs="Arial"/>
          <w:color w:val="000000" w:themeColor="text1"/>
        </w:rPr>
        <w:t>Skok et al., 2025</w:t>
      </w:r>
      <w:r w:rsidRPr="00B031A0">
        <w:rPr>
          <w:rFonts w:ascii="Arial" w:hAnsi="Arial" w:cs="Arial"/>
          <w:color w:val="000000" w:themeColor="text1"/>
        </w:rPr>
        <w:t>). Applying it to the hospital situation, it means that nurses will tend to follow hand hygiene measures in cases when they understand the threat of pathogen transmission, the importance of the final result of Healthcare-Associated Infections (HCAIs</w:t>
      </w:r>
      <w:r w:rsidRPr="00B031A0" w:rsidR="00B1135D">
        <w:rPr>
          <w:rFonts w:ascii="Arial" w:hAnsi="Arial" w:cs="Arial"/>
          <w:color w:val="000000" w:themeColor="text1"/>
        </w:rPr>
        <w:t>) and</w:t>
      </w:r>
      <w:r w:rsidRPr="00B031A0">
        <w:rPr>
          <w:rFonts w:ascii="Arial" w:hAnsi="Arial" w:cs="Arial"/>
          <w:color w:val="000000" w:themeColor="text1"/>
        </w:rPr>
        <w:t xml:space="preserve"> believe that hand hygiene is effective in defending patients</w:t>
      </w:r>
      <w:r w:rsidR="00B1135D">
        <w:rPr>
          <w:rFonts w:ascii="Arial" w:hAnsi="Arial" w:cs="Arial"/>
          <w:color w:val="000000" w:themeColor="text1"/>
        </w:rPr>
        <w:t xml:space="preserve"> </w:t>
      </w:r>
      <w:r w:rsidRPr="00B031A0">
        <w:rPr>
          <w:rFonts w:ascii="Arial" w:hAnsi="Arial" w:cs="Arial"/>
          <w:color w:val="000000" w:themeColor="text1"/>
        </w:rPr>
        <w:t xml:space="preserve">(Ayo-Farai </w:t>
      </w:r>
      <w:r w:rsidRPr="00B031A0" w:rsidR="00776C49">
        <w:rPr>
          <w:rFonts w:ascii="Arial" w:hAnsi="Arial" w:cs="Arial"/>
          <w:color w:val="000000" w:themeColor="text1"/>
        </w:rPr>
        <w:t>et al</w:t>
      </w:r>
      <w:r w:rsidRPr="00B031A0">
        <w:rPr>
          <w:rFonts w:ascii="Arial" w:hAnsi="Arial" w:cs="Arial"/>
          <w:color w:val="000000" w:themeColor="text1"/>
        </w:rPr>
        <w:t>., 2024).</w:t>
      </w:r>
    </w:p>
    <w:p w:rsidRPr="00B031A0" w:rsidR="00C77BF3" w:rsidRDefault="00115699" w14:paraId="257000FF" w14:textId="63366340">
      <w:pPr>
        <w:rPr>
          <w:rFonts w:ascii="Arial" w:hAnsi="Arial" w:cs="Arial"/>
          <w:color w:val="000000" w:themeColor="text1"/>
        </w:rPr>
      </w:pPr>
      <w:r w:rsidRPr="00B031A0">
        <w:rPr>
          <w:rFonts w:ascii="Arial" w:hAnsi="Arial" w:cs="Arial"/>
          <w:color w:val="000000" w:themeColor="text1"/>
        </w:rPr>
        <w:t>The Health Belief Model</w:t>
      </w:r>
      <w:r w:rsidR="002F17CD">
        <w:rPr>
          <w:rFonts w:ascii="Arial" w:hAnsi="Arial" w:cs="Arial"/>
          <w:color w:val="000000" w:themeColor="text1"/>
        </w:rPr>
        <w:t xml:space="preserve"> </w:t>
      </w:r>
      <w:r w:rsidRPr="00B031A0">
        <w:rPr>
          <w:rFonts w:ascii="Arial" w:hAnsi="Arial" w:cs="Arial"/>
          <w:color w:val="000000" w:themeColor="text1"/>
        </w:rPr>
        <w:t xml:space="preserve">(HBM), as Amini </w:t>
      </w:r>
      <w:r w:rsidRPr="00B031A0" w:rsidR="00776C49">
        <w:rPr>
          <w:rFonts w:ascii="Arial" w:hAnsi="Arial" w:cs="Arial"/>
          <w:color w:val="000000" w:themeColor="text1"/>
        </w:rPr>
        <w:t>et al</w:t>
      </w:r>
      <w:r w:rsidRPr="00B031A0">
        <w:rPr>
          <w:rFonts w:ascii="Arial" w:hAnsi="Arial" w:cs="Arial"/>
          <w:color w:val="000000" w:themeColor="text1"/>
        </w:rPr>
        <w:t xml:space="preserve">. (2021) explained in their clinical trial study of 84 prehospital emergency staff, has found wide application in infection prevention research because it can explain how better-informed healthcare employees are more likely to show a higher degree of compliance since they have a higher level of awareness about infection (Knudsen </w:t>
      </w:r>
      <w:r w:rsidRPr="00B031A0" w:rsidR="00776C49">
        <w:rPr>
          <w:rFonts w:ascii="Arial" w:hAnsi="Arial" w:cs="Arial"/>
          <w:color w:val="000000" w:themeColor="text1"/>
        </w:rPr>
        <w:t>et al</w:t>
      </w:r>
      <w:r w:rsidRPr="00B031A0">
        <w:rPr>
          <w:rFonts w:ascii="Arial" w:hAnsi="Arial" w:cs="Arial"/>
          <w:color w:val="000000" w:themeColor="text1"/>
        </w:rPr>
        <w:t>.</w:t>
      </w:r>
      <w:r w:rsidR="00F74F31">
        <w:rPr>
          <w:rFonts w:ascii="Arial" w:hAnsi="Arial" w:cs="Arial"/>
          <w:color w:val="000000" w:themeColor="text1"/>
        </w:rPr>
        <w:t>,</w:t>
      </w:r>
      <w:r w:rsidRPr="00B031A0">
        <w:rPr>
          <w:rFonts w:ascii="Arial" w:hAnsi="Arial" w:cs="Arial"/>
          <w:color w:val="000000" w:themeColor="text1"/>
        </w:rPr>
        <w:t xml:space="preserve"> 2023). Such perceived benefits may include avoiding patient harm and enhancing clinical results, which typically promotes compliance with recommended practices. Likewise, the cues to action, including reminder posters, infection-control campaigns and regular training, solidify behavioural change</w:t>
      </w:r>
      <w:r w:rsidR="007C25F7">
        <w:rPr>
          <w:rFonts w:ascii="Arial" w:hAnsi="Arial" w:cs="Arial"/>
          <w:color w:val="000000" w:themeColor="text1"/>
        </w:rPr>
        <w:t xml:space="preserve"> </w:t>
      </w:r>
      <w:r w:rsidRPr="00B031A0">
        <w:rPr>
          <w:rFonts w:ascii="Arial" w:hAnsi="Arial" w:cs="Arial"/>
          <w:color w:val="000000" w:themeColor="text1"/>
        </w:rPr>
        <w:t xml:space="preserve">(Skok </w:t>
      </w:r>
      <w:r w:rsidRPr="00B031A0" w:rsidR="00776C49">
        <w:rPr>
          <w:rFonts w:ascii="Arial" w:hAnsi="Arial" w:cs="Arial"/>
          <w:color w:val="000000" w:themeColor="text1"/>
        </w:rPr>
        <w:t>et al</w:t>
      </w:r>
      <w:r w:rsidRPr="00B031A0">
        <w:rPr>
          <w:rFonts w:ascii="Arial" w:hAnsi="Arial" w:cs="Arial"/>
          <w:color w:val="000000" w:themeColor="text1"/>
        </w:rPr>
        <w:t>., 2025).</w:t>
      </w:r>
    </w:p>
    <w:p w:rsidRPr="00B031A0" w:rsidR="00C77BF3" w:rsidRDefault="00115699" w14:paraId="54E2FB58" w14:textId="5CC541CC">
      <w:pPr>
        <w:rPr>
          <w:rFonts w:ascii="Arial" w:hAnsi="Arial" w:cs="Arial"/>
          <w:color w:val="000000" w:themeColor="text1"/>
        </w:rPr>
      </w:pPr>
      <w:r w:rsidRPr="00B031A0">
        <w:rPr>
          <w:rFonts w:ascii="Arial" w:hAnsi="Arial" w:cs="Arial"/>
          <w:color w:val="000000" w:themeColor="text1"/>
        </w:rPr>
        <w:t>However, the Health Belief Model</w:t>
      </w:r>
      <w:r w:rsidR="002F17CD">
        <w:rPr>
          <w:rFonts w:ascii="Arial" w:hAnsi="Arial" w:cs="Arial"/>
          <w:color w:val="000000" w:themeColor="text1"/>
        </w:rPr>
        <w:t xml:space="preserve"> </w:t>
      </w:r>
      <w:r w:rsidRPr="00B031A0">
        <w:rPr>
          <w:rFonts w:ascii="Arial" w:hAnsi="Arial" w:cs="Arial"/>
          <w:color w:val="000000" w:themeColor="text1"/>
        </w:rPr>
        <w:t xml:space="preserve">(HBM) has limitations when it comes to explaining </w:t>
      </w:r>
      <w:r w:rsidR="00F74F31">
        <w:rPr>
          <w:rFonts w:ascii="Arial" w:hAnsi="Arial" w:cs="Arial"/>
          <w:color w:val="000000" w:themeColor="text1"/>
        </w:rPr>
        <w:t xml:space="preserve">this </w:t>
      </w:r>
      <w:r w:rsidRPr="00B031A0">
        <w:rPr>
          <w:rFonts w:ascii="Arial" w:hAnsi="Arial" w:cs="Arial"/>
          <w:color w:val="000000" w:themeColor="text1"/>
        </w:rPr>
        <w:t>because it is more focused on individual perceptions, as opposed to being focused on organisational factors</w:t>
      </w:r>
      <w:r w:rsidR="00613939">
        <w:rPr>
          <w:rFonts w:ascii="Arial" w:hAnsi="Arial" w:cs="Arial"/>
          <w:color w:val="000000" w:themeColor="text1"/>
        </w:rPr>
        <w:t xml:space="preserve"> </w:t>
      </w:r>
      <w:r w:rsidRPr="00B031A0" w:rsidR="00613939">
        <w:rPr>
          <w:rFonts w:ascii="Arial" w:hAnsi="Arial" w:cs="Arial"/>
          <w:color w:val="000000" w:themeColor="text1"/>
        </w:rPr>
        <w:t>(Hodgson, Lamport and Laville, 2024)</w:t>
      </w:r>
      <w:r w:rsidRPr="00B031A0">
        <w:rPr>
          <w:rFonts w:ascii="Arial" w:hAnsi="Arial" w:cs="Arial"/>
          <w:color w:val="000000" w:themeColor="text1"/>
        </w:rPr>
        <w:t xml:space="preserve">. Batran </w:t>
      </w:r>
      <w:r w:rsidRPr="00B031A0" w:rsidR="00776C49">
        <w:rPr>
          <w:rFonts w:ascii="Arial" w:hAnsi="Arial" w:cs="Arial"/>
          <w:color w:val="000000" w:themeColor="text1"/>
        </w:rPr>
        <w:t>et al</w:t>
      </w:r>
      <w:r w:rsidRPr="00B031A0">
        <w:rPr>
          <w:rFonts w:ascii="Arial" w:hAnsi="Arial" w:cs="Arial"/>
          <w:color w:val="000000" w:themeColor="text1"/>
        </w:rPr>
        <w:t>. (2025) caution that nurses are not always those who are not fully aware of the dangers of infections and still have low compliance due to the shortage of staff, high workloads, or insufficient facilities. Hence, the descriptions of behavioural preferences cannot always be distilled down to individual beliefs</w:t>
      </w:r>
      <w:r w:rsidR="00613939">
        <w:rPr>
          <w:rFonts w:ascii="Arial" w:hAnsi="Arial" w:cs="Arial"/>
          <w:color w:val="000000" w:themeColor="text1"/>
        </w:rPr>
        <w:t xml:space="preserve"> </w:t>
      </w:r>
      <w:r w:rsidRPr="00B031A0" w:rsidR="00613939">
        <w:rPr>
          <w:rFonts w:ascii="Arial" w:hAnsi="Arial" w:cs="Arial"/>
          <w:color w:val="000000" w:themeColor="text1"/>
        </w:rPr>
        <w:t>(Skok et al., 2025)</w:t>
      </w:r>
      <w:r w:rsidRPr="00B031A0">
        <w:rPr>
          <w:rFonts w:ascii="Arial" w:hAnsi="Arial" w:cs="Arial"/>
          <w:color w:val="000000" w:themeColor="text1"/>
        </w:rPr>
        <w:t xml:space="preserve">. Compared to organisational theories, </w:t>
      </w:r>
      <w:r w:rsidRPr="00B031A0" w:rsidR="002F17CD">
        <w:rPr>
          <w:rFonts w:ascii="Arial" w:hAnsi="Arial" w:cs="Arial"/>
          <w:color w:val="000000" w:themeColor="text1"/>
        </w:rPr>
        <w:t>the Health</w:t>
      </w:r>
      <w:r w:rsidRPr="00B031A0">
        <w:rPr>
          <w:rFonts w:ascii="Arial" w:hAnsi="Arial" w:cs="Arial"/>
          <w:color w:val="000000" w:themeColor="text1"/>
        </w:rPr>
        <w:t xml:space="preserve"> Belief Model</w:t>
      </w:r>
      <w:r w:rsidR="002F17CD">
        <w:rPr>
          <w:rFonts w:ascii="Arial" w:hAnsi="Arial" w:cs="Arial"/>
          <w:color w:val="000000" w:themeColor="text1"/>
        </w:rPr>
        <w:t xml:space="preserve"> </w:t>
      </w:r>
      <w:r w:rsidRPr="00B031A0">
        <w:rPr>
          <w:rFonts w:ascii="Arial" w:hAnsi="Arial" w:cs="Arial"/>
          <w:color w:val="000000" w:themeColor="text1"/>
        </w:rPr>
        <w:t xml:space="preserve">(HBM) provides a feasible psychological explanation but fails to </w:t>
      </w:r>
      <w:r w:rsidRPr="00B031A0" w:rsidR="007C25F7">
        <w:rPr>
          <w:rFonts w:ascii="Arial" w:hAnsi="Arial" w:cs="Arial"/>
          <w:color w:val="000000" w:themeColor="text1"/>
        </w:rPr>
        <w:t>consider</w:t>
      </w:r>
      <w:r w:rsidRPr="00B031A0">
        <w:rPr>
          <w:rFonts w:ascii="Arial" w:hAnsi="Arial" w:cs="Arial"/>
          <w:color w:val="000000" w:themeColor="text1"/>
        </w:rPr>
        <w:t xml:space="preserve"> the environmental limitations that characterise busy National Health Service (NHS) hospitals (Hodgson, Lamport and Laville, 2024). Thus, the model </w:t>
      </w:r>
      <w:r w:rsidRPr="00B031A0" w:rsidR="007C25F7">
        <w:rPr>
          <w:rFonts w:ascii="Arial" w:hAnsi="Arial" w:cs="Arial"/>
          <w:color w:val="000000" w:themeColor="text1"/>
        </w:rPr>
        <w:t>can</w:t>
      </w:r>
      <w:r w:rsidRPr="00B031A0">
        <w:rPr>
          <w:rFonts w:ascii="Arial" w:hAnsi="Arial" w:cs="Arial"/>
          <w:color w:val="000000" w:themeColor="text1"/>
        </w:rPr>
        <w:t xml:space="preserve"> determine individual </w:t>
      </w:r>
      <w:r w:rsidRPr="00B031A0" w:rsidR="002F17CD">
        <w:rPr>
          <w:rFonts w:ascii="Arial" w:hAnsi="Arial" w:cs="Arial"/>
          <w:color w:val="000000" w:themeColor="text1"/>
        </w:rPr>
        <w:t>motivation but</w:t>
      </w:r>
      <w:r w:rsidRPr="00B031A0">
        <w:rPr>
          <w:rFonts w:ascii="Arial" w:hAnsi="Arial" w:cs="Arial"/>
          <w:color w:val="000000" w:themeColor="text1"/>
        </w:rPr>
        <w:t xml:space="preserve"> is not sufficient on its own to explain the differences in compliance by healthcare organisations. </w:t>
      </w:r>
    </w:p>
    <w:p w:rsidRPr="00B031A0" w:rsidR="00C77BF3" w:rsidP="002F17CD" w:rsidRDefault="002F17CD" w14:paraId="22D14E77" w14:textId="5AEB8BFE">
      <w:pPr>
        <w:pStyle w:val="Heading2"/>
      </w:pPr>
      <w:bookmarkStart w:name="_Toc240696165" w:id="20"/>
      <w:r>
        <w:t xml:space="preserve">2.5.2 </w:t>
      </w:r>
      <w:r w:rsidRPr="00B031A0" w:rsidR="00115699">
        <w:t>Theory of Planned Behaviour (TPB)</w:t>
      </w:r>
      <w:bookmarkEnd w:id="20"/>
    </w:p>
    <w:p w:rsidRPr="00B031A0" w:rsidR="00C77BF3" w:rsidRDefault="00115699" w14:paraId="52BBE97F" w14:textId="77777777">
      <w:pPr>
        <w:jc w:val="center"/>
        <w:rPr>
          <w:rFonts w:ascii="Arial" w:hAnsi="Arial" w:cs="Arial"/>
          <w:color w:val="000000" w:themeColor="text1"/>
        </w:rPr>
      </w:pPr>
      <w:r w:rsidRPr="00B031A0">
        <w:rPr>
          <w:rFonts w:ascii="Arial" w:hAnsi="Arial" w:cs="Arial"/>
          <w:noProof/>
          <w:color w:val="000000" w:themeColor="text1"/>
        </w:rPr>
        <w:drawing>
          <wp:inline distT="114300" distB="114300" distL="114300" distR="114300" wp14:anchorId="2FDC1B1C" wp14:editId="2A08D1A6">
            <wp:extent cx="4333875" cy="2581275"/>
            <wp:effectExtent l="0" t="0" r="0" b="0"/>
            <wp:docPr id="114148259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333875" cy="2581275"/>
                    </a:xfrm>
                    <a:prstGeom prst="rect">
                      <a:avLst/>
                    </a:prstGeom>
                    <a:ln/>
                  </pic:spPr>
                </pic:pic>
              </a:graphicData>
            </a:graphic>
          </wp:inline>
        </w:drawing>
      </w:r>
    </w:p>
    <w:p w:rsidRPr="00B031A0" w:rsidR="00C77BF3" w:rsidRDefault="00115699" w14:paraId="0DF984CE" w14:textId="77777777">
      <w:pPr>
        <w:jc w:val="center"/>
        <w:rPr>
          <w:rFonts w:ascii="Arial" w:hAnsi="Arial" w:cs="Arial"/>
          <w:b/>
          <w:bCs/>
          <w:color w:val="000000" w:themeColor="text1"/>
        </w:rPr>
      </w:pPr>
      <w:r w:rsidRPr="00B031A0">
        <w:rPr>
          <w:rFonts w:ascii="Arial" w:hAnsi="Arial" w:cs="Arial"/>
          <w:b/>
          <w:bCs/>
          <w:color w:val="000000" w:themeColor="text1"/>
        </w:rPr>
        <w:t>Figure 2.3: Theory of Planned Behaviour (TPB)</w:t>
      </w:r>
    </w:p>
    <w:p w:rsidRPr="00B031A0" w:rsidR="00C77BF3" w:rsidRDefault="00115699" w14:paraId="38689A3E" w14:textId="77777777">
      <w:pPr>
        <w:jc w:val="center"/>
        <w:rPr>
          <w:rFonts w:ascii="Arial" w:hAnsi="Arial" w:cs="Arial"/>
          <w:color w:val="000000" w:themeColor="text1"/>
        </w:rPr>
      </w:pPr>
      <w:r w:rsidRPr="00B031A0">
        <w:rPr>
          <w:rFonts w:ascii="Arial" w:hAnsi="Arial" w:cs="Arial"/>
          <w:color w:val="000000" w:themeColor="text1"/>
        </w:rPr>
        <w:t>(Source: Accelerating Systemic Change Network, 2021)</w:t>
      </w:r>
    </w:p>
    <w:p w:rsidRPr="00B031A0" w:rsidR="00C77BF3" w:rsidRDefault="00115699" w14:paraId="1FF21A56" w14:textId="692729ED">
      <w:pPr>
        <w:rPr>
          <w:rFonts w:ascii="Arial" w:hAnsi="Arial" w:cs="Arial"/>
          <w:color w:val="000000" w:themeColor="text1"/>
        </w:rPr>
      </w:pPr>
      <w:r w:rsidRPr="00B031A0">
        <w:rPr>
          <w:rFonts w:ascii="Arial" w:hAnsi="Arial" w:cs="Arial"/>
          <w:color w:val="000000" w:themeColor="text1"/>
        </w:rPr>
        <w:t xml:space="preserve">Ajzen's Theory of Planned Behaviour enhances the concept of behaviour, proposing that behaviour can be attributed to behavioural intention that is influenced by attitude, subjective norms and perceived behavioural control (Sandu </w:t>
      </w:r>
      <w:r w:rsidRPr="00B031A0" w:rsidR="00776C49">
        <w:rPr>
          <w:rFonts w:ascii="Arial" w:hAnsi="Arial" w:cs="Arial"/>
          <w:color w:val="000000" w:themeColor="text1"/>
        </w:rPr>
        <w:t>et al</w:t>
      </w:r>
      <w:r w:rsidRPr="00B031A0">
        <w:rPr>
          <w:rFonts w:ascii="Arial" w:hAnsi="Arial" w:cs="Arial"/>
          <w:color w:val="000000" w:themeColor="text1"/>
        </w:rPr>
        <w:t xml:space="preserve">. 2025). The theory has been applied by White </w:t>
      </w:r>
      <w:r w:rsidRPr="00B031A0" w:rsidR="00776C49">
        <w:rPr>
          <w:rFonts w:ascii="Arial" w:hAnsi="Arial" w:cs="Arial"/>
          <w:color w:val="000000" w:themeColor="text1"/>
        </w:rPr>
        <w:t>et al</w:t>
      </w:r>
      <w:r w:rsidRPr="00B031A0">
        <w:rPr>
          <w:rFonts w:ascii="Arial" w:hAnsi="Arial" w:cs="Arial"/>
          <w:color w:val="000000" w:themeColor="text1"/>
        </w:rPr>
        <w:t>. (2015) in their thematic content analysis of qualitative data from focus group discussions with hospital-based registered nurses to hand hygiene, whereby it posits that nurses are more likely to follow the hand hygiene advice when they already hold positive beliefs about infection prevention, have high professional expectations from their colleagues and supervisors and feel that they have adequate opportunity and resources to maintain hand hygiene</w:t>
      </w:r>
      <w:r w:rsidR="00EC5ABE">
        <w:rPr>
          <w:rFonts w:ascii="Arial" w:hAnsi="Arial" w:cs="Arial"/>
          <w:color w:val="000000" w:themeColor="text1"/>
        </w:rPr>
        <w:t xml:space="preserve"> </w:t>
      </w:r>
      <w:r w:rsidRPr="00B031A0">
        <w:rPr>
          <w:rFonts w:ascii="Arial" w:hAnsi="Arial" w:cs="Arial"/>
          <w:color w:val="000000" w:themeColor="text1"/>
        </w:rPr>
        <w:t xml:space="preserve">(Ayo-Farai </w:t>
      </w:r>
      <w:r w:rsidRPr="00B031A0" w:rsidR="00776C49">
        <w:rPr>
          <w:rFonts w:ascii="Arial" w:hAnsi="Arial" w:cs="Arial"/>
          <w:color w:val="000000" w:themeColor="text1"/>
        </w:rPr>
        <w:t>et al</w:t>
      </w:r>
      <w:r w:rsidRPr="00B031A0">
        <w:rPr>
          <w:rFonts w:ascii="Arial" w:hAnsi="Arial" w:cs="Arial"/>
          <w:color w:val="000000" w:themeColor="text1"/>
        </w:rPr>
        <w:t>., 2024).</w:t>
      </w:r>
    </w:p>
    <w:p w:rsidRPr="00B031A0" w:rsidR="00C77BF3" w:rsidRDefault="00115699" w14:paraId="25E9189B" w14:textId="0079D38D">
      <w:pPr>
        <w:rPr>
          <w:rFonts w:ascii="Arial" w:hAnsi="Arial" w:cs="Arial"/>
          <w:color w:val="000000" w:themeColor="text1"/>
        </w:rPr>
      </w:pPr>
      <w:r w:rsidRPr="00B031A0">
        <w:rPr>
          <w:rFonts w:ascii="Arial" w:hAnsi="Arial" w:cs="Arial"/>
          <w:color w:val="000000" w:themeColor="text1"/>
        </w:rPr>
        <w:t xml:space="preserve">Theory of Planned Behaviour (TPB)emphasises more on social and organisational factors as compared to the Health Belief Model (Hodgson, Lamport and Laville, 2024). The culture of behaviour of the professional nurses at the hospital wards is usually affected by the senior nurses, infection-control practitioners and those who desire to control the ward, who are influential role </w:t>
      </w:r>
      <w:r w:rsidR="00F74F31">
        <w:rPr>
          <w:rFonts w:ascii="Arial" w:hAnsi="Arial" w:cs="Arial"/>
          <w:color w:val="000000" w:themeColor="text1"/>
        </w:rPr>
        <w:t>models</w:t>
      </w:r>
      <w:r w:rsidRPr="00B031A0">
        <w:rPr>
          <w:rFonts w:ascii="Arial" w:hAnsi="Arial" w:cs="Arial"/>
          <w:color w:val="000000" w:themeColor="text1"/>
        </w:rPr>
        <w:t xml:space="preserve"> (Sandu </w:t>
      </w:r>
      <w:r w:rsidRPr="00B031A0" w:rsidR="00776C49">
        <w:rPr>
          <w:rFonts w:ascii="Arial" w:hAnsi="Arial" w:cs="Arial"/>
          <w:color w:val="000000" w:themeColor="text1"/>
        </w:rPr>
        <w:t>et al</w:t>
      </w:r>
      <w:r w:rsidRPr="00B031A0">
        <w:rPr>
          <w:rFonts w:ascii="Arial" w:hAnsi="Arial" w:cs="Arial"/>
          <w:color w:val="000000" w:themeColor="text1"/>
        </w:rPr>
        <w:t>.</w:t>
      </w:r>
      <w:r w:rsidR="00F74F31">
        <w:rPr>
          <w:rFonts w:ascii="Arial" w:hAnsi="Arial" w:cs="Arial"/>
          <w:color w:val="000000" w:themeColor="text1"/>
        </w:rPr>
        <w:t>,</w:t>
      </w:r>
      <w:r w:rsidRPr="00B031A0">
        <w:rPr>
          <w:rFonts w:ascii="Arial" w:hAnsi="Arial" w:cs="Arial"/>
          <w:color w:val="000000" w:themeColor="text1"/>
        </w:rPr>
        <w:t xml:space="preserve"> 2025). Subjective norms can be enhanced by positive peer behaviour and helpful leadership, which will promote increased compliance. Similarly, Issa </w:t>
      </w:r>
      <w:r w:rsidRPr="00B031A0" w:rsidR="00776C49">
        <w:rPr>
          <w:rFonts w:ascii="Arial" w:hAnsi="Arial" w:cs="Arial"/>
          <w:color w:val="000000" w:themeColor="text1"/>
        </w:rPr>
        <w:t>et al</w:t>
      </w:r>
      <w:r w:rsidRPr="00B031A0">
        <w:rPr>
          <w:rFonts w:ascii="Arial" w:hAnsi="Arial" w:cs="Arial"/>
          <w:color w:val="000000" w:themeColor="text1"/>
        </w:rPr>
        <w:t>. (2022), in their inclusive systematic review that focuses on handwashing in the Emergency Department (ED), found that perceived behavioural control recognises that sometimes, nurses may be well-intentioned to follow the instructions, but structural obstacles may stand in the way of their intentions, such as emergency cases, competing clinical priorities, or the inaccessibility of hand hygiene stations</w:t>
      </w:r>
      <w:r w:rsidR="00E64EBD">
        <w:rPr>
          <w:rFonts w:ascii="Arial" w:hAnsi="Arial" w:cs="Arial"/>
          <w:color w:val="000000" w:themeColor="text1"/>
        </w:rPr>
        <w:t xml:space="preserve"> </w:t>
      </w:r>
      <w:r w:rsidRPr="00B031A0">
        <w:rPr>
          <w:rFonts w:ascii="Arial" w:hAnsi="Arial" w:cs="Arial"/>
          <w:color w:val="000000" w:themeColor="text1"/>
        </w:rPr>
        <w:t xml:space="preserve">(Batra </w:t>
      </w:r>
      <w:r w:rsidRPr="00B031A0" w:rsidR="00776C49">
        <w:rPr>
          <w:rFonts w:ascii="Arial" w:hAnsi="Arial" w:cs="Arial"/>
          <w:color w:val="000000" w:themeColor="text1"/>
        </w:rPr>
        <w:t>et al</w:t>
      </w:r>
      <w:r w:rsidRPr="00B031A0">
        <w:rPr>
          <w:rFonts w:ascii="Arial" w:hAnsi="Arial" w:cs="Arial"/>
          <w:color w:val="000000" w:themeColor="text1"/>
        </w:rPr>
        <w:t>., 2025).</w:t>
      </w:r>
    </w:p>
    <w:p w:rsidRPr="00B031A0" w:rsidR="00C77BF3" w:rsidRDefault="00115699" w14:paraId="7A61B118" w14:textId="2DF8BBA3">
      <w:pPr>
        <w:rPr>
          <w:rFonts w:ascii="Arial" w:hAnsi="Arial" w:cs="Arial"/>
          <w:color w:val="000000" w:themeColor="text1"/>
        </w:rPr>
      </w:pPr>
      <w:r w:rsidRPr="00B031A0">
        <w:rPr>
          <w:rFonts w:ascii="Arial" w:hAnsi="Arial" w:cs="Arial"/>
          <w:color w:val="000000" w:themeColor="text1"/>
        </w:rPr>
        <w:t xml:space="preserve">However, </w:t>
      </w:r>
      <w:r w:rsidR="00F74F31">
        <w:rPr>
          <w:rFonts w:ascii="Arial" w:hAnsi="Arial" w:cs="Arial"/>
          <w:color w:val="000000" w:themeColor="text1"/>
        </w:rPr>
        <w:t xml:space="preserve">the </w:t>
      </w:r>
      <w:r w:rsidRPr="00B031A0">
        <w:rPr>
          <w:rFonts w:ascii="Arial" w:hAnsi="Arial" w:cs="Arial"/>
          <w:color w:val="000000" w:themeColor="text1"/>
        </w:rPr>
        <w:t xml:space="preserve">Theory of Planned Behaviour (TPB)has some shortcomings as well. The model </w:t>
      </w:r>
      <w:r w:rsidRPr="00B031A0" w:rsidR="004406A9">
        <w:rPr>
          <w:rFonts w:ascii="Arial" w:hAnsi="Arial" w:cs="Arial"/>
          <w:color w:val="000000" w:themeColor="text1"/>
        </w:rPr>
        <w:t>assumes</w:t>
      </w:r>
      <w:r w:rsidRPr="00B031A0">
        <w:rPr>
          <w:rFonts w:ascii="Arial" w:hAnsi="Arial" w:cs="Arial"/>
          <w:color w:val="000000" w:themeColor="text1"/>
        </w:rPr>
        <w:t xml:space="preserve"> that behavioural intention can be consistently predictors of actual behaviour, but in the context of healthcare, making rapid decisions is a frequent requirement in unpredictable situations (Hodgson, Lamport and Laville, 2024). Good intentions to which the nurses adhere may fail because of a sudden situation in the clinical setting or interference. Moreover, Potthoff </w:t>
      </w:r>
      <w:r w:rsidRPr="00B031A0" w:rsidR="00776C49">
        <w:rPr>
          <w:rFonts w:ascii="Arial" w:hAnsi="Arial" w:cs="Arial"/>
          <w:color w:val="000000" w:themeColor="text1"/>
        </w:rPr>
        <w:t>et al</w:t>
      </w:r>
      <w:r w:rsidRPr="00B031A0">
        <w:rPr>
          <w:rFonts w:ascii="Arial" w:hAnsi="Arial" w:cs="Arial"/>
          <w:color w:val="000000" w:themeColor="text1"/>
        </w:rPr>
        <w:t xml:space="preserve">. (2019) found in their systematic review and meta-analysis that years of clinical practice can lead to behaviours being practised automatically as opposed to intentionally (Knudsen </w:t>
      </w:r>
      <w:r w:rsidRPr="00B031A0" w:rsidR="00776C49">
        <w:rPr>
          <w:rFonts w:ascii="Arial" w:hAnsi="Arial" w:cs="Arial"/>
          <w:color w:val="000000" w:themeColor="text1"/>
        </w:rPr>
        <w:t>et al</w:t>
      </w:r>
      <w:r w:rsidRPr="00B031A0">
        <w:rPr>
          <w:rFonts w:ascii="Arial" w:hAnsi="Arial" w:cs="Arial"/>
          <w:color w:val="000000" w:themeColor="text1"/>
        </w:rPr>
        <w:t>.</w:t>
      </w:r>
      <w:r w:rsidR="00F74F31">
        <w:rPr>
          <w:rFonts w:ascii="Arial" w:hAnsi="Arial" w:cs="Arial"/>
          <w:color w:val="000000" w:themeColor="text1"/>
        </w:rPr>
        <w:t>,</w:t>
      </w:r>
      <w:r w:rsidRPr="00B031A0">
        <w:rPr>
          <w:rFonts w:ascii="Arial" w:hAnsi="Arial" w:cs="Arial"/>
          <w:color w:val="000000" w:themeColor="text1"/>
        </w:rPr>
        <w:t xml:space="preserve"> 2023). Therefore, as far as </w:t>
      </w:r>
      <w:r w:rsidR="00F74F31">
        <w:rPr>
          <w:rFonts w:ascii="Arial" w:hAnsi="Arial" w:cs="Arial"/>
          <w:color w:val="000000" w:themeColor="text1"/>
        </w:rPr>
        <w:t xml:space="preserve">the </w:t>
      </w:r>
      <w:r w:rsidRPr="00B031A0">
        <w:rPr>
          <w:rFonts w:ascii="Arial" w:hAnsi="Arial" w:cs="Arial"/>
          <w:color w:val="000000" w:themeColor="text1"/>
        </w:rPr>
        <w:t>Theory of Planned Behaviour (TPB)</w:t>
      </w:r>
      <w:r w:rsidR="004406A9">
        <w:rPr>
          <w:rFonts w:ascii="Arial" w:hAnsi="Arial" w:cs="Arial"/>
          <w:color w:val="000000" w:themeColor="text1"/>
        </w:rPr>
        <w:t xml:space="preserve"> </w:t>
      </w:r>
      <w:r w:rsidRPr="00B031A0">
        <w:rPr>
          <w:rFonts w:ascii="Arial" w:hAnsi="Arial" w:cs="Arial"/>
          <w:color w:val="000000" w:themeColor="text1"/>
        </w:rPr>
        <w:t xml:space="preserve">is more exhaustive in its explanation </w:t>
      </w:r>
      <w:r w:rsidRPr="00B031A0" w:rsidR="004406A9">
        <w:rPr>
          <w:rFonts w:ascii="Arial" w:hAnsi="Arial" w:cs="Arial"/>
          <w:color w:val="000000" w:themeColor="text1"/>
        </w:rPr>
        <w:t xml:space="preserve">than </w:t>
      </w:r>
      <w:r w:rsidR="00F74F31">
        <w:rPr>
          <w:rFonts w:ascii="Arial" w:hAnsi="Arial" w:cs="Arial"/>
          <w:color w:val="000000" w:themeColor="text1"/>
        </w:rPr>
        <w:t xml:space="preserve">the </w:t>
      </w:r>
      <w:r w:rsidRPr="00B031A0" w:rsidR="004406A9">
        <w:rPr>
          <w:rFonts w:ascii="Arial" w:hAnsi="Arial" w:cs="Arial"/>
          <w:color w:val="000000" w:themeColor="text1"/>
        </w:rPr>
        <w:t>Health</w:t>
      </w:r>
      <w:r w:rsidRPr="00B031A0">
        <w:rPr>
          <w:rFonts w:ascii="Arial" w:hAnsi="Arial" w:cs="Arial"/>
          <w:color w:val="000000" w:themeColor="text1"/>
        </w:rPr>
        <w:t xml:space="preserve"> Belief Model (HBM) due to its consideration of social influence, it is too simplistic in breaking down the complexity of the organisation's systems, which can influence the prevention of infections</w:t>
      </w:r>
      <w:r w:rsidR="004406A9">
        <w:rPr>
          <w:rFonts w:ascii="Arial" w:hAnsi="Arial" w:cs="Arial"/>
          <w:color w:val="000000" w:themeColor="text1"/>
        </w:rPr>
        <w:t xml:space="preserve"> </w:t>
      </w:r>
      <w:r w:rsidRPr="00B031A0">
        <w:rPr>
          <w:rFonts w:ascii="Arial" w:hAnsi="Arial" w:cs="Arial"/>
          <w:color w:val="000000" w:themeColor="text1"/>
        </w:rPr>
        <w:t xml:space="preserve">(Batra </w:t>
      </w:r>
      <w:r w:rsidRPr="00B031A0" w:rsidR="00776C49">
        <w:rPr>
          <w:rFonts w:ascii="Arial" w:hAnsi="Arial" w:cs="Arial"/>
          <w:color w:val="000000" w:themeColor="text1"/>
        </w:rPr>
        <w:t>et al</w:t>
      </w:r>
      <w:r w:rsidRPr="00B031A0">
        <w:rPr>
          <w:rFonts w:ascii="Arial" w:hAnsi="Arial" w:cs="Arial"/>
          <w:color w:val="000000" w:themeColor="text1"/>
        </w:rPr>
        <w:t xml:space="preserve">., 2025). </w:t>
      </w:r>
    </w:p>
    <w:p w:rsidRPr="00B031A0" w:rsidR="00C77BF3" w:rsidP="00F74F31" w:rsidRDefault="00F74F31" w14:paraId="10D3EE2B" w14:textId="01A37C5B">
      <w:pPr>
        <w:pStyle w:val="Heading2"/>
      </w:pPr>
      <w:bookmarkStart w:name="_Toc240696166" w:id="21"/>
      <w:r>
        <w:t xml:space="preserve">2.5.3 </w:t>
      </w:r>
      <w:r w:rsidRPr="00B031A0" w:rsidR="00115699">
        <w:t>Systems Engineering Initiative for Patient Safety (SEIPS) Model</w:t>
      </w:r>
      <w:bookmarkEnd w:id="21"/>
    </w:p>
    <w:p w:rsidRPr="00B031A0" w:rsidR="00C77BF3" w:rsidRDefault="00115699" w14:paraId="2D649242" w14:textId="77777777">
      <w:pPr>
        <w:jc w:val="center"/>
        <w:rPr>
          <w:rFonts w:ascii="Arial" w:hAnsi="Arial" w:cs="Arial"/>
          <w:color w:val="000000" w:themeColor="text1"/>
        </w:rPr>
      </w:pPr>
      <w:r w:rsidRPr="00B031A0">
        <w:rPr>
          <w:rFonts w:ascii="Arial" w:hAnsi="Arial" w:cs="Arial"/>
          <w:noProof/>
          <w:color w:val="000000" w:themeColor="text1"/>
        </w:rPr>
        <w:drawing>
          <wp:inline distT="114300" distB="114300" distL="114300" distR="114300" wp14:anchorId="2F5F83EE" wp14:editId="2C1AC6C9">
            <wp:extent cx="5772785" cy="2543175"/>
            <wp:effectExtent l="0" t="0" r="0" b="9525"/>
            <wp:docPr id="114148259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777917" cy="2545436"/>
                    </a:xfrm>
                    <a:prstGeom prst="rect">
                      <a:avLst/>
                    </a:prstGeom>
                    <a:ln/>
                  </pic:spPr>
                </pic:pic>
              </a:graphicData>
            </a:graphic>
          </wp:inline>
        </w:drawing>
      </w:r>
    </w:p>
    <w:p w:rsidRPr="00B031A0" w:rsidR="00C77BF3" w:rsidRDefault="00115699" w14:paraId="064BAF05" w14:textId="77777777">
      <w:pPr>
        <w:jc w:val="center"/>
        <w:rPr>
          <w:rFonts w:ascii="Arial" w:hAnsi="Arial" w:cs="Arial"/>
          <w:color w:val="000000" w:themeColor="text1"/>
        </w:rPr>
      </w:pPr>
      <w:r w:rsidRPr="00B031A0">
        <w:rPr>
          <w:rFonts w:ascii="Arial" w:hAnsi="Arial" w:cs="Arial"/>
          <w:b/>
          <w:bCs/>
          <w:color w:val="000000" w:themeColor="text1"/>
        </w:rPr>
        <w:t>Figure 2.4: Systems Engineering Initiative for Patient Safety (SEIPS) Model</w:t>
      </w:r>
    </w:p>
    <w:p w:rsidRPr="00B031A0" w:rsidR="00C77BF3" w:rsidRDefault="00115699" w14:paraId="2085F968" w14:textId="02D08B68">
      <w:pPr>
        <w:jc w:val="center"/>
        <w:rPr>
          <w:rFonts w:ascii="Arial" w:hAnsi="Arial" w:cs="Arial"/>
          <w:color w:val="000000" w:themeColor="text1"/>
        </w:rPr>
      </w:pPr>
      <w:r w:rsidRPr="00B031A0">
        <w:rPr>
          <w:rFonts w:ascii="Arial" w:hAnsi="Arial" w:cs="Arial"/>
          <w:color w:val="000000" w:themeColor="text1"/>
        </w:rPr>
        <w:t xml:space="preserve">(Source: Hoe GAN </w:t>
      </w:r>
      <w:r w:rsidRPr="00B031A0" w:rsidR="00776C49">
        <w:rPr>
          <w:rFonts w:ascii="Arial" w:hAnsi="Arial" w:cs="Arial"/>
          <w:color w:val="000000" w:themeColor="text1"/>
        </w:rPr>
        <w:t>et al</w:t>
      </w:r>
      <w:r w:rsidRPr="00B031A0">
        <w:rPr>
          <w:rFonts w:ascii="Arial" w:hAnsi="Arial" w:cs="Arial"/>
          <w:color w:val="000000" w:themeColor="text1"/>
        </w:rPr>
        <w:t>., 2020)</w:t>
      </w:r>
    </w:p>
    <w:p w:rsidRPr="00B031A0" w:rsidR="00C77BF3" w:rsidRDefault="00115699" w14:paraId="4EBDD329" w14:textId="5A819563">
      <w:pPr>
        <w:rPr>
          <w:rFonts w:ascii="Arial" w:hAnsi="Arial" w:cs="Arial"/>
          <w:color w:val="000000" w:themeColor="text1"/>
        </w:rPr>
      </w:pPr>
      <w:r w:rsidRPr="00B031A0">
        <w:rPr>
          <w:rFonts w:ascii="Arial" w:hAnsi="Arial" w:cs="Arial"/>
          <w:color w:val="000000" w:themeColor="text1"/>
        </w:rPr>
        <w:t xml:space="preserve">In their journal article on preventing intra-hospital infection and transmission of COVID-19 in healthcare workers, Hoe GAN </w:t>
      </w:r>
      <w:r w:rsidRPr="00B031A0" w:rsidR="00776C49">
        <w:rPr>
          <w:rFonts w:ascii="Arial" w:hAnsi="Arial" w:cs="Arial"/>
          <w:color w:val="000000" w:themeColor="text1"/>
        </w:rPr>
        <w:t>et al</w:t>
      </w:r>
      <w:r w:rsidRPr="00B031A0">
        <w:rPr>
          <w:rFonts w:ascii="Arial" w:hAnsi="Arial" w:cs="Arial"/>
          <w:color w:val="000000" w:themeColor="text1"/>
        </w:rPr>
        <w:t xml:space="preserve">. (2020) mention that the Systems Engineering Initiative for Patient Safety (SEIPS) Model adopts the systems perspective of healthcare in that the authors recognise that </w:t>
      </w:r>
      <w:r w:rsidR="00F74F31">
        <w:rPr>
          <w:rFonts w:ascii="Arial" w:hAnsi="Arial" w:cs="Arial"/>
          <w:color w:val="000000" w:themeColor="text1"/>
        </w:rPr>
        <w:t xml:space="preserve">the </w:t>
      </w:r>
      <w:r w:rsidRPr="00B031A0">
        <w:rPr>
          <w:rFonts w:ascii="Arial" w:hAnsi="Arial" w:cs="Arial"/>
          <w:color w:val="000000" w:themeColor="text1"/>
        </w:rPr>
        <w:t xml:space="preserve">performance of care was an outcome of people-to-people, people-to-task, and people-to-technology derived interactions combined with organisational structures and </w:t>
      </w:r>
      <w:r w:rsidR="00F74F31">
        <w:rPr>
          <w:rFonts w:ascii="Arial" w:hAnsi="Arial" w:cs="Arial"/>
          <w:color w:val="000000" w:themeColor="text1"/>
        </w:rPr>
        <w:t xml:space="preserve">the </w:t>
      </w:r>
      <w:r w:rsidRPr="00B031A0">
        <w:rPr>
          <w:rFonts w:ascii="Arial" w:hAnsi="Arial" w:cs="Arial"/>
          <w:color w:val="000000" w:themeColor="text1"/>
        </w:rPr>
        <w:t xml:space="preserve">physical work environment. Patient Safety Systems (SEIPS) imply that individuals do not cause a lack of good hand hygiene, but </w:t>
      </w:r>
      <w:r w:rsidR="00F74F31">
        <w:rPr>
          <w:rFonts w:ascii="Arial" w:hAnsi="Arial" w:cs="Arial"/>
          <w:color w:val="000000" w:themeColor="text1"/>
        </w:rPr>
        <w:t>rather</w:t>
      </w:r>
      <w:r w:rsidRPr="00B031A0">
        <w:rPr>
          <w:rFonts w:ascii="Arial" w:hAnsi="Arial" w:cs="Arial"/>
          <w:color w:val="000000" w:themeColor="text1"/>
        </w:rPr>
        <w:t xml:space="preserve"> that health systems are not well organised in general (Ayo-Farai </w:t>
      </w:r>
      <w:r w:rsidRPr="00B031A0" w:rsidR="00776C49">
        <w:rPr>
          <w:rFonts w:ascii="Arial" w:hAnsi="Arial" w:cs="Arial"/>
          <w:color w:val="000000" w:themeColor="text1"/>
        </w:rPr>
        <w:t>et al</w:t>
      </w:r>
      <w:r w:rsidRPr="00B031A0">
        <w:rPr>
          <w:rFonts w:ascii="Arial" w:hAnsi="Arial" w:cs="Arial"/>
          <w:color w:val="000000" w:themeColor="text1"/>
        </w:rPr>
        <w:t>., 2024).</w:t>
      </w:r>
    </w:p>
    <w:p w:rsidRPr="00B031A0" w:rsidR="00C77BF3" w:rsidRDefault="00115699" w14:paraId="2A411031" w14:textId="76F61B48">
      <w:pPr>
        <w:rPr>
          <w:rFonts w:ascii="Arial" w:hAnsi="Arial" w:cs="Arial"/>
          <w:color w:val="000000" w:themeColor="text1"/>
        </w:rPr>
      </w:pPr>
      <w:r w:rsidRPr="00B031A0">
        <w:rPr>
          <w:rFonts w:ascii="Arial" w:hAnsi="Arial" w:cs="Arial"/>
          <w:color w:val="000000" w:themeColor="text1"/>
        </w:rPr>
        <w:t xml:space="preserve">Nevertheless, there are also some drawbacks to Patient Safety Systems (SEIPS). It is general in its orientation, and therefore there is greater complexity of empirical measurement as it requires the estimation of so many interacting organisational variables simultaneously (Ayo-Farai </w:t>
      </w:r>
      <w:r w:rsidRPr="00B031A0" w:rsidR="00776C49">
        <w:rPr>
          <w:rFonts w:ascii="Arial" w:hAnsi="Arial" w:cs="Arial"/>
          <w:color w:val="000000" w:themeColor="text1"/>
        </w:rPr>
        <w:t>et al</w:t>
      </w:r>
      <w:r w:rsidRPr="00B031A0">
        <w:rPr>
          <w:rFonts w:ascii="Arial" w:hAnsi="Arial" w:cs="Arial"/>
          <w:color w:val="000000" w:themeColor="text1"/>
        </w:rPr>
        <w:t xml:space="preserve">., 2024). Otherwise, </w:t>
      </w:r>
      <w:r w:rsidRPr="00B031A0" w:rsidR="00F74F31">
        <w:rPr>
          <w:rFonts w:ascii="Arial" w:hAnsi="Arial" w:cs="Arial"/>
          <w:color w:val="000000" w:themeColor="text1"/>
        </w:rPr>
        <w:t xml:space="preserve">unlike </w:t>
      </w:r>
      <w:r w:rsidR="00F74F31">
        <w:rPr>
          <w:rFonts w:ascii="Arial" w:hAnsi="Arial" w:cs="Arial"/>
          <w:color w:val="000000" w:themeColor="text1"/>
        </w:rPr>
        <w:t xml:space="preserve">the </w:t>
      </w:r>
      <w:r w:rsidRPr="00B031A0" w:rsidR="00F74F31">
        <w:rPr>
          <w:rFonts w:ascii="Arial" w:hAnsi="Arial" w:cs="Arial"/>
          <w:color w:val="000000" w:themeColor="text1"/>
        </w:rPr>
        <w:t>Health</w:t>
      </w:r>
      <w:r w:rsidRPr="00B031A0">
        <w:rPr>
          <w:rFonts w:ascii="Arial" w:hAnsi="Arial" w:cs="Arial"/>
          <w:color w:val="000000" w:themeColor="text1"/>
        </w:rPr>
        <w:t xml:space="preserve"> Belief Model (HBM) and Theory of Planned Behaviour (TPB), which generate comparatively straightforward predictions regarding behaviour, Fabre </w:t>
      </w:r>
      <w:r w:rsidRPr="00B031A0" w:rsidR="00776C49">
        <w:rPr>
          <w:rFonts w:ascii="Arial" w:hAnsi="Arial" w:cs="Arial"/>
          <w:color w:val="000000" w:themeColor="text1"/>
        </w:rPr>
        <w:t>et al</w:t>
      </w:r>
      <w:r w:rsidRPr="00B031A0">
        <w:rPr>
          <w:rFonts w:ascii="Arial" w:hAnsi="Arial" w:cs="Arial"/>
          <w:color w:val="000000" w:themeColor="text1"/>
        </w:rPr>
        <w:t>. (2024) suggest that Patient Safety Systems (SEIPS)</w:t>
      </w:r>
      <w:r w:rsidR="00F74F31">
        <w:rPr>
          <w:rFonts w:ascii="Arial" w:hAnsi="Arial" w:cs="Arial"/>
          <w:color w:val="000000" w:themeColor="text1"/>
        </w:rPr>
        <w:t xml:space="preserve"> require</w:t>
      </w:r>
      <w:r w:rsidRPr="00B031A0">
        <w:rPr>
          <w:rFonts w:ascii="Arial" w:hAnsi="Arial" w:cs="Arial"/>
          <w:color w:val="000000" w:themeColor="text1"/>
        </w:rPr>
        <w:t xml:space="preserve"> intensive organisational analysis that can vary dramatically in nature across hospitals. This makes it difficult to determine the independent input of </w:t>
      </w:r>
      <w:r w:rsidRPr="00B031A0" w:rsidR="00F74F31">
        <w:rPr>
          <w:rFonts w:ascii="Arial" w:hAnsi="Arial" w:cs="Arial"/>
          <w:color w:val="000000" w:themeColor="text1"/>
        </w:rPr>
        <w:t>system</w:t>
      </w:r>
      <w:r w:rsidRPr="00B031A0">
        <w:rPr>
          <w:rFonts w:ascii="Arial" w:hAnsi="Arial" w:cs="Arial"/>
          <w:color w:val="000000" w:themeColor="text1"/>
        </w:rPr>
        <w:t xml:space="preserve"> elements. Nevertheless, its holistic style presents an explanatory force with more strength to learn about infection prevention within the intricate National Health Service (NHS) setting (Sandu </w:t>
      </w:r>
      <w:r w:rsidRPr="00B031A0" w:rsidR="00776C49">
        <w:rPr>
          <w:rFonts w:ascii="Arial" w:hAnsi="Arial" w:cs="Arial"/>
          <w:color w:val="000000" w:themeColor="text1"/>
        </w:rPr>
        <w:t>et al</w:t>
      </w:r>
      <w:r w:rsidRPr="00B031A0">
        <w:rPr>
          <w:rFonts w:ascii="Arial" w:hAnsi="Arial" w:cs="Arial"/>
          <w:color w:val="000000" w:themeColor="text1"/>
        </w:rPr>
        <w:t xml:space="preserve">. 2025). </w:t>
      </w:r>
    </w:p>
    <w:p w:rsidRPr="00B031A0" w:rsidR="00C77BF3" w:rsidP="00F74F31" w:rsidRDefault="00115699" w14:paraId="1D16EB77" w14:textId="77777777">
      <w:pPr>
        <w:pStyle w:val="Heading1"/>
        <w:jc w:val="both"/>
      </w:pPr>
      <w:bookmarkStart w:name="_Toc240696167" w:id="22"/>
      <w:r w:rsidRPr="00B031A0">
        <w:t>2.6 Summary</w:t>
      </w:r>
      <w:bookmarkEnd w:id="22"/>
      <w:r w:rsidRPr="00B031A0">
        <w:t xml:space="preserve"> </w:t>
      </w:r>
    </w:p>
    <w:p w:rsidRPr="00B031A0" w:rsidR="00C77BF3" w:rsidRDefault="00115699" w14:paraId="1353E889" w14:textId="7BB650D4">
      <w:pPr>
        <w:rPr>
          <w:rFonts w:ascii="Arial" w:hAnsi="Arial" w:cs="Arial"/>
          <w:color w:val="000000" w:themeColor="text1"/>
        </w:rPr>
      </w:pPr>
      <w:r w:rsidRPr="00B031A0">
        <w:rPr>
          <w:rFonts w:ascii="Arial" w:hAnsi="Arial" w:cs="Arial"/>
          <w:color w:val="000000" w:themeColor="text1"/>
        </w:rPr>
        <w:t xml:space="preserve">The chapter critically evaluated the literature available </w:t>
      </w:r>
      <w:r w:rsidRPr="00B031A0" w:rsidR="00F74F31">
        <w:rPr>
          <w:rFonts w:ascii="Arial" w:hAnsi="Arial" w:cs="Arial"/>
          <w:color w:val="000000" w:themeColor="text1"/>
        </w:rPr>
        <w:t>about compliance</w:t>
      </w:r>
      <w:r w:rsidRPr="00B031A0">
        <w:rPr>
          <w:rFonts w:ascii="Arial" w:hAnsi="Arial" w:cs="Arial"/>
          <w:color w:val="000000" w:themeColor="text1"/>
        </w:rPr>
        <w:t xml:space="preserve"> with hand hygiene among nurses and healthcare-associated infections in hospitals in the UK. It has </w:t>
      </w:r>
      <w:r w:rsidR="00F74F31">
        <w:rPr>
          <w:rFonts w:ascii="Arial" w:hAnsi="Arial" w:cs="Arial"/>
          <w:color w:val="000000" w:themeColor="text1"/>
        </w:rPr>
        <w:t>discussed</w:t>
      </w:r>
      <w:r w:rsidRPr="00B031A0">
        <w:rPr>
          <w:rFonts w:ascii="Arial" w:hAnsi="Arial" w:cs="Arial"/>
          <w:color w:val="000000" w:themeColor="text1"/>
        </w:rPr>
        <w:t xml:space="preserve"> the most important categorisations of Healthcare-Associated Infections (HCAIs), has analysed the most important determinants of compliance and has said what various interventions do </w:t>
      </w:r>
      <w:r w:rsidR="00F74F31">
        <w:rPr>
          <w:rFonts w:ascii="Arial" w:hAnsi="Arial" w:cs="Arial"/>
          <w:color w:val="000000" w:themeColor="text1"/>
        </w:rPr>
        <w:t>for</w:t>
      </w:r>
      <w:r w:rsidRPr="00B031A0">
        <w:rPr>
          <w:rFonts w:ascii="Arial" w:hAnsi="Arial" w:cs="Arial"/>
          <w:color w:val="000000" w:themeColor="text1"/>
        </w:rPr>
        <w:t xml:space="preserve"> hand hygiene and how effective they are. The chapter has also identified key gaps in the current evidence base and has stated the theoretical base on which this systematic review is based: the Health Belief Model, Theory of Planned Behaviour and Patient Safety Systems (SEIPS) </w:t>
      </w:r>
      <w:r w:rsidR="009A0698">
        <w:rPr>
          <w:rFonts w:ascii="Arial" w:hAnsi="Arial" w:cs="Arial"/>
          <w:color w:val="000000" w:themeColor="text1"/>
        </w:rPr>
        <w:t>Model</w:t>
      </w:r>
      <w:r w:rsidRPr="00B031A0">
        <w:rPr>
          <w:rFonts w:ascii="Arial" w:hAnsi="Arial" w:cs="Arial"/>
          <w:color w:val="000000" w:themeColor="text1"/>
        </w:rPr>
        <w:t xml:space="preserve">. </w:t>
      </w:r>
      <w:r w:rsidRPr="00B031A0">
        <w:rPr>
          <w:rFonts w:ascii="Arial" w:hAnsi="Arial" w:cs="Arial"/>
          <w:color w:val="000000" w:themeColor="text1"/>
        </w:rPr>
        <w:tab/>
      </w:r>
      <w:r w:rsidRPr="00B031A0">
        <w:rPr>
          <w:rFonts w:ascii="Arial" w:hAnsi="Arial" w:cs="Arial"/>
          <w:color w:val="000000" w:themeColor="text1"/>
        </w:rPr>
        <w:t xml:space="preserve"> </w:t>
      </w:r>
    </w:p>
    <w:p w:rsidRPr="00B031A0" w:rsidR="00C77BF3" w:rsidRDefault="00115699" w14:paraId="150C7B02" w14:textId="77777777">
      <w:pPr>
        <w:rPr>
          <w:rFonts w:ascii="Arial" w:hAnsi="Arial" w:cs="Arial"/>
          <w:b/>
          <w:bCs/>
          <w:color w:val="000000" w:themeColor="text1"/>
          <w:sz w:val="28"/>
          <w:szCs w:val="28"/>
        </w:rPr>
      </w:pPr>
      <w:r w:rsidRPr="00B031A0">
        <w:rPr>
          <w:rFonts w:ascii="Arial" w:hAnsi="Arial" w:cs="Arial"/>
          <w:color w:val="000000" w:themeColor="text1"/>
        </w:rPr>
        <w:br w:type="page"/>
      </w:r>
    </w:p>
    <w:p w:rsidRPr="00B031A0" w:rsidR="00C77BF3" w:rsidRDefault="00115699" w14:paraId="1AD7A7C9" w14:textId="32FB749A">
      <w:pPr>
        <w:pStyle w:val="Heading1"/>
        <w:rPr>
          <w:color w:val="000000" w:themeColor="text1"/>
        </w:rPr>
      </w:pPr>
      <w:bookmarkStart w:name="_Toc240696168" w:id="23"/>
      <w:r w:rsidRPr="00B031A0">
        <w:rPr>
          <w:color w:val="000000" w:themeColor="text1"/>
        </w:rPr>
        <w:t xml:space="preserve">Chapter 3: Methods </w:t>
      </w:r>
      <w:r w:rsidR="00B031A0">
        <w:rPr>
          <w:color w:val="000000" w:themeColor="text1"/>
        </w:rPr>
        <w:t>And</w:t>
      </w:r>
      <w:r w:rsidRPr="00B031A0">
        <w:rPr>
          <w:color w:val="000000" w:themeColor="text1"/>
        </w:rPr>
        <w:t xml:space="preserve"> Methodology</w:t>
      </w:r>
      <w:bookmarkEnd w:id="23"/>
    </w:p>
    <w:p w:rsidRPr="00B031A0" w:rsidR="00C77BF3" w:rsidP="00CF15B6" w:rsidRDefault="00115699" w14:paraId="5E4C9C5D" w14:textId="77777777">
      <w:pPr>
        <w:pStyle w:val="Heading1"/>
        <w:jc w:val="both"/>
      </w:pPr>
      <w:bookmarkStart w:name="_Toc240696169" w:id="24"/>
      <w:r w:rsidRPr="00B031A0">
        <w:t>3.1 Introduction</w:t>
      </w:r>
      <w:bookmarkEnd w:id="24"/>
      <w:r w:rsidRPr="00B031A0">
        <w:t xml:space="preserve"> </w:t>
      </w:r>
    </w:p>
    <w:p w:rsidRPr="00B031A0" w:rsidR="00C77BF3" w:rsidRDefault="00115699" w14:paraId="3C178D87" w14:textId="05669671">
      <w:pPr>
        <w:rPr>
          <w:rFonts w:ascii="Arial" w:hAnsi="Arial" w:cs="Arial"/>
          <w:color w:val="000000" w:themeColor="text1"/>
        </w:rPr>
      </w:pPr>
      <w:r w:rsidRPr="00B031A0">
        <w:rPr>
          <w:rFonts w:ascii="Arial" w:hAnsi="Arial" w:cs="Arial"/>
          <w:color w:val="000000" w:themeColor="text1"/>
        </w:rPr>
        <w:t xml:space="preserve">The chapter will provide an overview of the research methodology used to achieve the aim and objective of this systematic review. The in-depth discussion will include research philosophy, ethical issues, research approach, research strategy, and study design to inform the literature review. It will also explain the methods of data collection, which include search strategy, research question formulation, the PICO framework and </w:t>
      </w:r>
      <w:r w:rsidR="002E1234">
        <w:rPr>
          <w:rFonts w:ascii="Arial" w:hAnsi="Arial" w:cs="Arial"/>
          <w:color w:val="000000" w:themeColor="text1"/>
        </w:rPr>
        <w:t xml:space="preserve">the </w:t>
      </w:r>
      <w:r w:rsidRPr="00B031A0">
        <w:rPr>
          <w:rFonts w:ascii="Arial" w:hAnsi="Arial" w:cs="Arial"/>
          <w:color w:val="000000" w:themeColor="text1"/>
        </w:rPr>
        <w:t>database search process</w:t>
      </w:r>
      <w:r w:rsidR="00E64EBD">
        <w:rPr>
          <w:rFonts w:ascii="Arial" w:hAnsi="Arial" w:cs="Arial"/>
          <w:color w:val="000000" w:themeColor="text1"/>
        </w:rPr>
        <w:t xml:space="preserve">. </w:t>
      </w:r>
      <w:r w:rsidRPr="00B031A0">
        <w:rPr>
          <w:rFonts w:ascii="Arial" w:hAnsi="Arial" w:cs="Arial"/>
          <w:color w:val="000000" w:themeColor="text1"/>
        </w:rPr>
        <w:t xml:space="preserve">The chapter will also include hand search, grey literature, and inclusion and exclusion criteria </w:t>
      </w:r>
      <w:r w:rsidR="002E1234">
        <w:rPr>
          <w:rFonts w:ascii="Arial" w:hAnsi="Arial" w:cs="Arial"/>
          <w:color w:val="000000" w:themeColor="text1"/>
        </w:rPr>
        <w:t>for</w:t>
      </w:r>
      <w:r w:rsidRPr="00B031A0">
        <w:rPr>
          <w:rFonts w:ascii="Arial" w:hAnsi="Arial" w:cs="Arial"/>
          <w:color w:val="000000" w:themeColor="text1"/>
        </w:rPr>
        <w:t xml:space="preserve"> the analysis. At the end of the study, PRISMA analysis will include factors that influence the selection process to establish a successful and sufficient systematic review. </w:t>
      </w:r>
    </w:p>
    <w:p w:rsidRPr="00B031A0" w:rsidR="00C77BF3" w:rsidP="00CF15B6" w:rsidRDefault="00115699" w14:paraId="6E9D438A" w14:textId="77777777">
      <w:pPr>
        <w:pStyle w:val="Heading1"/>
        <w:jc w:val="both"/>
      </w:pPr>
      <w:bookmarkStart w:name="_Toc240696170" w:id="25"/>
      <w:r w:rsidRPr="00B031A0">
        <w:t>3.2 Research Philosophy</w:t>
      </w:r>
      <w:bookmarkEnd w:id="25"/>
      <w:r w:rsidRPr="00B031A0">
        <w:t xml:space="preserve"> </w:t>
      </w:r>
    </w:p>
    <w:p w:rsidRPr="004E2B90" w:rsidR="004E2B90" w:rsidP="004E2B90" w:rsidRDefault="004E2B90" w14:paraId="487825E1" w14:textId="57E64918">
      <w:pPr>
        <w:rPr>
          <w:rFonts w:ascii="Arial" w:hAnsi="Arial" w:cs="Arial"/>
          <w:color w:val="000000" w:themeColor="text1"/>
          <w:lang w:val="en-US"/>
        </w:rPr>
      </w:pPr>
      <w:r w:rsidRPr="004E2B90">
        <w:rPr>
          <w:rFonts w:ascii="Arial" w:hAnsi="Arial" w:cs="Arial"/>
          <w:color w:val="000000" w:themeColor="text1"/>
          <w:lang w:val="en-US"/>
        </w:rPr>
        <w:t xml:space="preserve">The philosophy of research provides a theoretical basis for how knowledge is created and influences the selection of appropriate research approaches (Saliya, 2023). Epistemology concerns </w:t>
      </w:r>
      <w:r w:rsidR="00A17FF8">
        <w:rPr>
          <w:rFonts w:ascii="Arial" w:hAnsi="Arial" w:cs="Arial"/>
          <w:color w:val="000000" w:themeColor="text1"/>
          <w:lang w:val="en-US"/>
        </w:rPr>
        <w:t>nature</w:t>
      </w:r>
      <w:r w:rsidRPr="004E2B90">
        <w:rPr>
          <w:rFonts w:ascii="Arial" w:hAnsi="Arial" w:cs="Arial"/>
          <w:color w:val="000000" w:themeColor="text1"/>
          <w:lang w:val="en-US"/>
        </w:rPr>
        <w:t xml:space="preserve"> and sources of knowledge, while ontology relates to the nature of reality and how it is understood (Rosida et al., 2023). Different research paradigms, including positivism, interpretivism, and pragmatism, provide different perspectives on the research process (Dulal, 2025).</w:t>
      </w:r>
    </w:p>
    <w:p w:rsidRPr="004E2B90" w:rsidR="00C77BF3" w:rsidRDefault="004E2B90" w14:paraId="657F7868" w14:textId="49CC0740">
      <w:pPr>
        <w:rPr>
          <w:rFonts w:ascii="Arial" w:hAnsi="Arial" w:cs="Arial"/>
          <w:color w:val="000000" w:themeColor="text1"/>
          <w:lang w:val="en-US"/>
        </w:rPr>
      </w:pPr>
      <w:r w:rsidRPr="004E2B90">
        <w:rPr>
          <w:rFonts w:ascii="Arial" w:hAnsi="Arial" w:cs="Arial"/>
          <w:color w:val="000000" w:themeColor="text1"/>
        </w:rPr>
        <w:t>The systematic review used a structured approach to identify, select, and synthesise evidence from previously published studies</w:t>
      </w:r>
      <w:r w:rsidR="00E64EBD">
        <w:rPr>
          <w:rFonts w:ascii="Arial" w:hAnsi="Arial" w:cs="Arial"/>
          <w:color w:val="000000" w:themeColor="text1"/>
        </w:rPr>
        <w:t xml:space="preserve"> </w:t>
      </w:r>
      <w:r w:rsidRPr="004E2B90" w:rsidR="00E64EBD">
        <w:rPr>
          <w:rFonts w:ascii="Arial" w:hAnsi="Arial" w:cs="Arial"/>
          <w:color w:val="000000" w:themeColor="text1"/>
          <w:lang w:val="en-US"/>
        </w:rPr>
        <w:t>(Saliya, 2023)</w:t>
      </w:r>
      <w:r w:rsidRPr="004E2B90">
        <w:rPr>
          <w:rFonts w:ascii="Arial" w:hAnsi="Arial" w:cs="Arial"/>
          <w:color w:val="000000" w:themeColor="text1"/>
        </w:rPr>
        <w:t>. A predefined search strategy was applied across the selected databases, followed by the application of inclusion and exclusion criteria to determine study eligibility</w:t>
      </w:r>
      <w:r w:rsidR="00E64EBD">
        <w:rPr>
          <w:rFonts w:ascii="Arial" w:hAnsi="Arial" w:cs="Arial"/>
          <w:color w:val="000000" w:themeColor="text1"/>
        </w:rPr>
        <w:t xml:space="preserve"> </w:t>
      </w:r>
      <w:r w:rsidRPr="004E2B90" w:rsidR="00E64EBD">
        <w:rPr>
          <w:rFonts w:ascii="Arial" w:hAnsi="Arial" w:cs="Arial"/>
          <w:color w:val="000000" w:themeColor="text1"/>
          <w:lang w:val="en-US"/>
        </w:rPr>
        <w:t xml:space="preserve">(Rosida et al., 2023). </w:t>
      </w:r>
      <w:r w:rsidRPr="004E2B90">
        <w:rPr>
          <w:rFonts w:ascii="Arial" w:hAnsi="Arial" w:cs="Arial"/>
          <w:color w:val="000000" w:themeColor="text1"/>
        </w:rPr>
        <w:t xml:space="preserve"> The methodological quality of the included studies was also assessed using an appropriate quality assessment tool</w:t>
      </w:r>
      <w:r w:rsidR="00E64EBD">
        <w:rPr>
          <w:rFonts w:ascii="Arial" w:hAnsi="Arial" w:cs="Arial"/>
          <w:color w:val="000000" w:themeColor="text1"/>
        </w:rPr>
        <w:t xml:space="preserve"> </w:t>
      </w:r>
      <w:r w:rsidRPr="004E2B90" w:rsidR="00E64EBD">
        <w:rPr>
          <w:rFonts w:ascii="Arial" w:hAnsi="Arial" w:cs="Arial"/>
          <w:color w:val="000000" w:themeColor="text1"/>
          <w:lang w:val="en-US"/>
        </w:rPr>
        <w:t>(Saliya, 2023)</w:t>
      </w:r>
      <w:r w:rsidRPr="004E2B90">
        <w:rPr>
          <w:rFonts w:ascii="Arial" w:hAnsi="Arial" w:cs="Arial"/>
          <w:color w:val="000000" w:themeColor="text1"/>
        </w:rPr>
        <w:t>. This approach provided a consistent process for examining evidence on smoking behaviour, lung cancer onset, and early detection among older adults in the UK</w:t>
      </w:r>
      <w:r w:rsidRPr="004E2B90">
        <w:rPr>
          <w:rFonts w:ascii="Arial" w:hAnsi="Arial" w:cs="Arial"/>
          <w:color w:val="000000" w:themeColor="text1"/>
          <w:lang w:val="en-US"/>
        </w:rPr>
        <w:t>.</w:t>
      </w:r>
    </w:p>
    <w:p w:rsidRPr="00B031A0" w:rsidR="00C77BF3" w:rsidP="00CF15B6" w:rsidRDefault="00115699" w14:paraId="663B1508" w14:textId="0EB18908">
      <w:pPr>
        <w:pStyle w:val="Heading1"/>
        <w:jc w:val="both"/>
      </w:pPr>
      <w:bookmarkStart w:name="_Toc240696171" w:id="26"/>
      <w:r w:rsidRPr="00B031A0">
        <w:t xml:space="preserve">3.3 Ethical </w:t>
      </w:r>
      <w:r w:rsidR="002E1234">
        <w:t>Considerations</w:t>
      </w:r>
      <w:bookmarkEnd w:id="26"/>
      <w:r w:rsidRPr="00B031A0">
        <w:t xml:space="preserve"> </w:t>
      </w:r>
    </w:p>
    <w:p w:rsidRPr="00B031A0" w:rsidR="00C77BF3" w:rsidRDefault="00115699" w14:paraId="03A2B94A" w14:textId="54E5BE71">
      <w:pPr>
        <w:rPr>
          <w:rFonts w:ascii="Arial" w:hAnsi="Arial" w:cs="Arial"/>
          <w:color w:val="000000" w:themeColor="text1"/>
        </w:rPr>
      </w:pPr>
      <w:r w:rsidRPr="00B031A0">
        <w:rPr>
          <w:rFonts w:ascii="Arial" w:hAnsi="Arial" w:cs="Arial"/>
          <w:color w:val="000000" w:themeColor="text1"/>
        </w:rPr>
        <w:t xml:space="preserve">The importance of ethical issues in research is due to the influence it has on aspects such as honesty, </w:t>
      </w:r>
      <w:r w:rsidR="00E858B2">
        <w:rPr>
          <w:rFonts w:ascii="Arial" w:hAnsi="Arial" w:cs="Arial"/>
          <w:color w:val="000000" w:themeColor="text1"/>
        </w:rPr>
        <w:t xml:space="preserve">the </w:t>
      </w:r>
      <w:r w:rsidRPr="00B031A0">
        <w:rPr>
          <w:rFonts w:ascii="Arial" w:hAnsi="Arial" w:cs="Arial"/>
          <w:color w:val="000000" w:themeColor="text1"/>
        </w:rPr>
        <w:t xml:space="preserve">reputation of research practices and protecting the rights of its subjects (Drolet </w:t>
      </w:r>
      <w:r w:rsidRPr="00B031A0" w:rsidR="00776C49">
        <w:rPr>
          <w:rFonts w:ascii="Arial" w:hAnsi="Arial" w:cs="Arial"/>
          <w:color w:val="000000" w:themeColor="text1"/>
        </w:rPr>
        <w:t>et al</w:t>
      </w:r>
      <w:r w:rsidRPr="00B031A0">
        <w:rPr>
          <w:rFonts w:ascii="Arial" w:hAnsi="Arial" w:cs="Arial"/>
          <w:color w:val="000000" w:themeColor="text1"/>
        </w:rPr>
        <w:t xml:space="preserve">., 2022). Research ethics mandates honesty, openness, responsibility and accurate reporting. In this context, the researcher should apply selection criteria consistently </w:t>
      </w:r>
      <w:r w:rsidR="00E858B2">
        <w:rPr>
          <w:rFonts w:ascii="Arial" w:hAnsi="Arial" w:cs="Arial"/>
          <w:color w:val="000000" w:themeColor="text1"/>
        </w:rPr>
        <w:t>to</w:t>
      </w:r>
      <w:r w:rsidRPr="00B031A0">
        <w:rPr>
          <w:rFonts w:ascii="Arial" w:hAnsi="Arial" w:cs="Arial"/>
          <w:color w:val="000000" w:themeColor="text1"/>
        </w:rPr>
        <w:t xml:space="preserve"> </w:t>
      </w:r>
      <w:r w:rsidR="00E858B2">
        <w:rPr>
          <w:rFonts w:ascii="Arial" w:hAnsi="Arial" w:cs="Arial"/>
          <w:color w:val="000000" w:themeColor="text1"/>
        </w:rPr>
        <w:t>minimise</w:t>
      </w:r>
      <w:r w:rsidRPr="00B031A0">
        <w:rPr>
          <w:rFonts w:ascii="Arial" w:hAnsi="Arial" w:cs="Arial"/>
          <w:color w:val="000000" w:themeColor="text1"/>
        </w:rPr>
        <w:t xml:space="preserve"> bias (Zhaksylyk </w:t>
      </w:r>
      <w:r w:rsidRPr="00B031A0" w:rsidR="00776C49">
        <w:rPr>
          <w:rFonts w:ascii="Arial" w:hAnsi="Arial" w:cs="Arial"/>
          <w:color w:val="000000" w:themeColor="text1"/>
        </w:rPr>
        <w:t>et al</w:t>
      </w:r>
      <w:r w:rsidRPr="00B031A0">
        <w:rPr>
          <w:rFonts w:ascii="Arial" w:hAnsi="Arial" w:cs="Arial"/>
          <w:color w:val="000000" w:themeColor="text1"/>
        </w:rPr>
        <w:t xml:space="preserve">., 2023). Openness is also crucial in ensuring reproducibility (Brignardello-Petersen, Santesso and Guyatt, 2024). As the research was based solely on published literature, ethical approval was not needed. Ethical approval was not obtained for this systematic review since it relies only on the already published literature and does not include information from primary sources (Sonni </w:t>
      </w:r>
      <w:r w:rsidRPr="00B031A0" w:rsidR="00776C49">
        <w:rPr>
          <w:rFonts w:ascii="Arial" w:hAnsi="Arial" w:cs="Arial"/>
          <w:color w:val="000000" w:themeColor="text1"/>
        </w:rPr>
        <w:t>et al</w:t>
      </w:r>
      <w:r w:rsidRPr="00B031A0">
        <w:rPr>
          <w:rFonts w:ascii="Arial" w:hAnsi="Arial" w:cs="Arial"/>
          <w:color w:val="000000" w:themeColor="text1"/>
        </w:rPr>
        <w:t xml:space="preserve">., 2024). Ethical issues were fully addressed </w:t>
      </w:r>
      <w:r w:rsidR="00E858B2">
        <w:rPr>
          <w:rFonts w:ascii="Arial" w:hAnsi="Arial" w:cs="Arial"/>
          <w:color w:val="000000" w:themeColor="text1"/>
        </w:rPr>
        <w:t>through</w:t>
      </w:r>
      <w:r w:rsidRPr="00B031A0">
        <w:rPr>
          <w:rFonts w:ascii="Arial" w:hAnsi="Arial" w:cs="Arial"/>
          <w:color w:val="000000" w:themeColor="text1"/>
        </w:rPr>
        <w:t xml:space="preserve"> sub-strategies such as </w:t>
      </w:r>
      <w:r w:rsidR="00E858B2">
        <w:rPr>
          <w:rFonts w:ascii="Arial" w:hAnsi="Arial" w:cs="Arial"/>
          <w:color w:val="000000" w:themeColor="text1"/>
        </w:rPr>
        <w:t>developing</w:t>
      </w:r>
      <w:r w:rsidRPr="00B031A0">
        <w:rPr>
          <w:rFonts w:ascii="Arial" w:hAnsi="Arial" w:cs="Arial"/>
          <w:color w:val="000000" w:themeColor="text1"/>
        </w:rPr>
        <w:t xml:space="preserve"> the search strategy, applying the inclusion and exclusion criteria in a consistent way and making sure that the results are presented accurately. </w:t>
      </w:r>
    </w:p>
    <w:p w:rsidRPr="00B031A0" w:rsidR="00C77BF3" w:rsidP="00CF15B6" w:rsidRDefault="00115699" w14:paraId="14AAF625" w14:textId="77777777">
      <w:pPr>
        <w:pStyle w:val="Heading1"/>
        <w:jc w:val="both"/>
      </w:pPr>
      <w:bookmarkStart w:name="_Toc240696172" w:id="27"/>
      <w:r w:rsidRPr="00B031A0">
        <w:t>3.4 Research Approach</w:t>
      </w:r>
      <w:bookmarkEnd w:id="27"/>
      <w:r w:rsidRPr="00B031A0">
        <w:t xml:space="preserve"> </w:t>
      </w:r>
    </w:p>
    <w:p w:rsidRPr="00B031A0" w:rsidR="00C77BF3" w:rsidRDefault="00115699" w14:paraId="7DB1ADFF" w14:textId="10CD3632">
      <w:pPr>
        <w:spacing w:after="200"/>
        <w:rPr>
          <w:rFonts w:ascii="Arial" w:hAnsi="Arial" w:cs="Arial"/>
          <w:color w:val="000000" w:themeColor="text1"/>
        </w:rPr>
      </w:pPr>
      <w:r w:rsidRPr="00B031A0">
        <w:rPr>
          <w:rFonts w:ascii="Arial" w:hAnsi="Arial" w:cs="Arial"/>
          <w:color w:val="000000" w:themeColor="text1"/>
        </w:rPr>
        <w:t xml:space="preserve">Research approaches offer a general structure for executing a study and are chosen based on research goals and the kind of proof needed (Simsek </w:t>
      </w:r>
      <w:r w:rsidRPr="00B031A0" w:rsidR="00776C49">
        <w:rPr>
          <w:rFonts w:ascii="Arial" w:hAnsi="Arial" w:cs="Arial"/>
          <w:color w:val="000000" w:themeColor="text1"/>
        </w:rPr>
        <w:t>et al</w:t>
      </w:r>
      <w:r w:rsidRPr="00B031A0">
        <w:rPr>
          <w:rFonts w:ascii="Arial" w:hAnsi="Arial" w:cs="Arial"/>
          <w:color w:val="000000" w:themeColor="text1"/>
        </w:rPr>
        <w:t xml:space="preserve">., 2024). The three major types of approaches are quantitative research, qualitative research and systematic review. Quantitative research concentrates on gathering and analysing statistical information to determine relationships and shake hypothesis (Simsek </w:t>
      </w:r>
      <w:r w:rsidRPr="00B031A0" w:rsidR="00776C49">
        <w:rPr>
          <w:rFonts w:ascii="Arial" w:hAnsi="Arial" w:cs="Arial"/>
          <w:color w:val="000000" w:themeColor="text1"/>
        </w:rPr>
        <w:t>et al</w:t>
      </w:r>
      <w:r w:rsidRPr="00B031A0">
        <w:rPr>
          <w:rFonts w:ascii="Arial" w:hAnsi="Arial" w:cs="Arial"/>
          <w:color w:val="000000" w:themeColor="text1"/>
        </w:rPr>
        <w:t xml:space="preserve">., 2024). </w:t>
      </w:r>
      <w:r w:rsidR="002E1234">
        <w:rPr>
          <w:rFonts w:ascii="Arial" w:hAnsi="Arial" w:cs="Arial"/>
          <w:color w:val="000000" w:themeColor="text1"/>
        </w:rPr>
        <w:t>Qualitative</w:t>
      </w:r>
      <w:r w:rsidRPr="00B031A0">
        <w:rPr>
          <w:rFonts w:ascii="Arial" w:hAnsi="Arial" w:cs="Arial"/>
          <w:color w:val="000000" w:themeColor="text1"/>
        </w:rPr>
        <w:t xml:space="preserve"> research examines people's experiences, views, and actions using non-numerical data (Taherdoost, 2022). Systematic review (SR) means analysing previously available data using a methodology which is systematic and transparent. The current study used a systematic review approach that provided an opportunity to select, evaluate, and synthesise valuable information on the research topic (Ghosh and Choudhury, 2025). The choice of this technique is appropriate due to its ability to provide precise results, as it implies the use of many research techniques to identify criteria and methods of evaluation that reduce bias. </w:t>
      </w:r>
    </w:p>
    <w:p w:rsidRPr="00B031A0" w:rsidR="00C77BF3" w:rsidP="00CF15B6" w:rsidRDefault="00115699" w14:paraId="246D178F" w14:textId="77777777">
      <w:pPr>
        <w:pStyle w:val="Heading1"/>
        <w:jc w:val="both"/>
      </w:pPr>
      <w:bookmarkStart w:name="_Toc240696173" w:id="28"/>
      <w:r w:rsidRPr="00B031A0">
        <w:t>3.5 Research Strategy</w:t>
      </w:r>
      <w:bookmarkEnd w:id="28"/>
      <w:r w:rsidRPr="00B031A0">
        <w:t xml:space="preserve"> </w:t>
      </w:r>
    </w:p>
    <w:p w:rsidRPr="00B031A0" w:rsidR="00C77BF3" w:rsidRDefault="00115699" w14:paraId="082D8F9C" w14:textId="4F9DFDAF">
      <w:pPr>
        <w:rPr>
          <w:rFonts w:ascii="Arial" w:hAnsi="Arial" w:cs="Arial"/>
          <w:color w:val="000000" w:themeColor="text1"/>
        </w:rPr>
      </w:pPr>
      <w:r w:rsidRPr="00B031A0">
        <w:rPr>
          <w:rFonts w:ascii="Arial" w:hAnsi="Arial" w:cs="Arial"/>
          <w:color w:val="000000" w:themeColor="text1"/>
        </w:rPr>
        <w:t xml:space="preserve">The selected research strategy defines the logical mechanism through which knowledge is established to answer a research question. The two main types of research strategies are deductive and inductive research strategies, which are assessed to answer some of the research questions (Kumar, 2024). The deductive approach is a strategy that starts with existing theories and existing evidence; an inductive research strategy involves generating theories from findings by looking at the data collected </w:t>
      </w:r>
      <w:r w:rsidRPr="00B031A0" w:rsidR="00E858B2">
        <w:rPr>
          <w:rFonts w:ascii="Arial" w:hAnsi="Arial" w:cs="Arial"/>
          <w:color w:val="000000" w:themeColor="text1"/>
        </w:rPr>
        <w:t>while</w:t>
      </w:r>
      <w:r w:rsidRPr="00B031A0">
        <w:rPr>
          <w:rFonts w:ascii="Arial" w:hAnsi="Arial" w:cs="Arial"/>
          <w:color w:val="000000" w:themeColor="text1"/>
        </w:rPr>
        <w:t xml:space="preserve"> conducting research (Laari, 2025). </w:t>
      </w:r>
      <w:r w:rsidR="00E858B2">
        <w:rPr>
          <w:rFonts w:ascii="Arial" w:hAnsi="Arial" w:cs="Arial"/>
          <w:color w:val="000000" w:themeColor="text1"/>
        </w:rPr>
        <w:t>An</w:t>
      </w:r>
      <w:r w:rsidRPr="00B031A0">
        <w:rPr>
          <w:rFonts w:ascii="Arial" w:hAnsi="Arial" w:cs="Arial"/>
          <w:color w:val="000000" w:themeColor="text1"/>
        </w:rPr>
        <w:t xml:space="preserve"> inductive research strategy was chosen in this case, as the already existing and peer-reviewed literature was used to study the relationship between the variables through </w:t>
      </w:r>
      <w:r w:rsidR="00E858B2">
        <w:rPr>
          <w:rFonts w:ascii="Arial" w:hAnsi="Arial" w:cs="Arial"/>
          <w:color w:val="000000" w:themeColor="text1"/>
        </w:rPr>
        <w:t xml:space="preserve">a </w:t>
      </w:r>
      <w:r w:rsidRPr="00B031A0">
        <w:rPr>
          <w:rFonts w:ascii="Arial" w:hAnsi="Arial" w:cs="Arial"/>
          <w:color w:val="000000" w:themeColor="text1"/>
        </w:rPr>
        <w:t xml:space="preserve">systematic review (Sauer and Seuring, 2023). </w:t>
      </w:r>
      <w:r w:rsidR="00E858B2">
        <w:rPr>
          <w:rFonts w:ascii="Arial" w:hAnsi="Arial" w:cs="Arial"/>
          <w:color w:val="000000" w:themeColor="text1"/>
        </w:rPr>
        <w:t>A</w:t>
      </w:r>
      <w:r w:rsidRPr="00B031A0">
        <w:rPr>
          <w:rFonts w:ascii="Arial" w:hAnsi="Arial" w:cs="Arial"/>
          <w:color w:val="000000" w:themeColor="text1"/>
        </w:rPr>
        <w:t xml:space="preserve"> deductive approach was not suitable in this case</w:t>
      </w:r>
      <w:r w:rsidR="00E858B2">
        <w:rPr>
          <w:rFonts w:ascii="Arial" w:hAnsi="Arial" w:cs="Arial"/>
          <w:color w:val="000000" w:themeColor="text1"/>
        </w:rPr>
        <w:t>,</w:t>
      </w:r>
      <w:r w:rsidRPr="00B031A0">
        <w:rPr>
          <w:rFonts w:ascii="Arial" w:hAnsi="Arial" w:cs="Arial"/>
          <w:color w:val="000000" w:themeColor="text1"/>
        </w:rPr>
        <w:t xml:space="preserve"> as there was no primary data collection for the purpose of creating new theories</w:t>
      </w:r>
      <w:r w:rsidR="00E858B2">
        <w:rPr>
          <w:rFonts w:ascii="Arial" w:hAnsi="Arial" w:cs="Arial"/>
          <w:color w:val="000000" w:themeColor="text1"/>
        </w:rPr>
        <w:t xml:space="preserve"> </w:t>
      </w:r>
      <w:r w:rsidRPr="00B031A0" w:rsidR="00E858B2">
        <w:rPr>
          <w:rFonts w:ascii="Arial" w:hAnsi="Arial" w:cs="Arial"/>
          <w:color w:val="000000" w:themeColor="text1"/>
        </w:rPr>
        <w:t>(Laari, 2025)</w:t>
      </w:r>
      <w:r w:rsidRPr="00B031A0">
        <w:rPr>
          <w:rFonts w:ascii="Arial" w:hAnsi="Arial" w:cs="Arial"/>
          <w:color w:val="000000" w:themeColor="text1"/>
        </w:rPr>
        <w:t xml:space="preserve">. The use of a </w:t>
      </w:r>
      <w:r w:rsidR="00E858B2">
        <w:rPr>
          <w:rFonts w:ascii="Arial" w:hAnsi="Arial" w:cs="Arial"/>
          <w:color w:val="000000" w:themeColor="text1"/>
        </w:rPr>
        <w:t>deductive</w:t>
      </w:r>
      <w:r w:rsidRPr="00B031A0">
        <w:rPr>
          <w:rFonts w:ascii="Arial" w:hAnsi="Arial" w:cs="Arial"/>
          <w:color w:val="000000" w:themeColor="text1"/>
        </w:rPr>
        <w:t xml:space="preserve"> approach allowed conducting a systematic review according to already established </w:t>
      </w:r>
      <w:r w:rsidR="00E858B2">
        <w:rPr>
          <w:rFonts w:ascii="Arial" w:hAnsi="Arial" w:cs="Arial"/>
          <w:color w:val="000000" w:themeColor="text1"/>
        </w:rPr>
        <w:t>strategies</w:t>
      </w:r>
      <w:r w:rsidRPr="00B031A0">
        <w:rPr>
          <w:rFonts w:ascii="Arial" w:hAnsi="Arial" w:cs="Arial"/>
          <w:color w:val="000000" w:themeColor="text1"/>
        </w:rPr>
        <w:t xml:space="preserve"> and criteria applied for the assessment of the studies and their quality (Sauer and Seuring, 2023). </w:t>
      </w:r>
    </w:p>
    <w:p w:rsidRPr="00B031A0" w:rsidR="00C77BF3" w:rsidP="00CF15B6" w:rsidRDefault="00115699" w14:paraId="56EB1229" w14:textId="77777777">
      <w:pPr>
        <w:pStyle w:val="Heading1"/>
        <w:jc w:val="both"/>
      </w:pPr>
      <w:bookmarkStart w:name="_Toc240696174" w:id="29"/>
      <w:r w:rsidRPr="00B031A0">
        <w:t>3.6 Study Design</w:t>
      </w:r>
      <w:bookmarkEnd w:id="29"/>
      <w:r w:rsidRPr="00B031A0">
        <w:t xml:space="preserve"> </w:t>
      </w:r>
    </w:p>
    <w:p w:rsidRPr="00B031A0" w:rsidR="00C77BF3" w:rsidRDefault="00115699" w14:paraId="13249B78" w14:textId="29D3411F">
      <w:pPr>
        <w:rPr>
          <w:rFonts w:ascii="Arial" w:hAnsi="Arial" w:cs="Arial"/>
          <w:color w:val="000000" w:themeColor="text1"/>
        </w:rPr>
      </w:pPr>
      <w:r w:rsidRPr="00B031A0">
        <w:rPr>
          <w:rFonts w:ascii="Arial" w:hAnsi="Arial" w:cs="Arial"/>
          <w:color w:val="000000" w:themeColor="text1"/>
        </w:rPr>
        <w:t xml:space="preserve">In this study, a systematic review method was adopted to comprehensively identify, assess and consolidate evidence pertaining to how nursing hand hygiene compliance in hospitals in the UK affects </w:t>
      </w:r>
      <w:r w:rsidR="00D97F86">
        <w:rPr>
          <w:rFonts w:ascii="Arial" w:hAnsi="Arial" w:cs="Arial"/>
          <w:color w:val="000000" w:themeColor="text1"/>
        </w:rPr>
        <w:t>healthcare-associated infections</w:t>
      </w:r>
      <w:r w:rsidRPr="00B031A0">
        <w:rPr>
          <w:rFonts w:ascii="Arial" w:hAnsi="Arial" w:cs="Arial"/>
          <w:color w:val="000000" w:themeColor="text1"/>
        </w:rPr>
        <w:t xml:space="preserve"> (HCAIs). Systematic review methodology is a defined and structured technique wherein a predefined research strategy is employed along with the inclusion and exclusion criteria and quality evaluation techniques to gather pertinent and reliable evidence (Brignardello-Petersen, Santesso, and Guyatt, 2024). Unlike the general literature review, which provides a holistic overview of the previous literature, a systematic review identifies the process clearly by providing the method of assessing and selecting studies. The methodology is also different from the narrative review because of the systematic approach that </w:t>
      </w:r>
      <w:r w:rsidR="00D97F86">
        <w:rPr>
          <w:rFonts w:ascii="Arial" w:hAnsi="Arial" w:cs="Arial"/>
          <w:color w:val="000000" w:themeColor="text1"/>
        </w:rPr>
        <w:t>minimises</w:t>
      </w:r>
      <w:r w:rsidRPr="00B031A0">
        <w:rPr>
          <w:rFonts w:ascii="Arial" w:hAnsi="Arial" w:cs="Arial"/>
          <w:color w:val="000000" w:themeColor="text1"/>
        </w:rPr>
        <w:t xml:space="preserve"> the subjectivity and bias involved in the selection of studies (Schwabe </w:t>
      </w:r>
      <w:r w:rsidRPr="00B031A0" w:rsidR="00776C49">
        <w:rPr>
          <w:rFonts w:ascii="Arial" w:hAnsi="Arial" w:cs="Arial"/>
          <w:color w:val="000000" w:themeColor="text1"/>
        </w:rPr>
        <w:t>et al</w:t>
      </w:r>
      <w:r w:rsidRPr="00B031A0">
        <w:rPr>
          <w:rFonts w:ascii="Arial" w:hAnsi="Arial" w:cs="Arial"/>
          <w:color w:val="000000" w:themeColor="text1"/>
        </w:rPr>
        <w:t>., 2024). The systematic review approach was used in this study because the goal of the study is to bring together evidence from different studies regarding the compliance of nursing hand hygiene and its effect on HCAIs.</w:t>
      </w:r>
    </w:p>
    <w:p w:rsidRPr="00B031A0" w:rsidR="00C77BF3" w:rsidP="00E0210C" w:rsidRDefault="00115699" w14:paraId="7E6D05A2" w14:textId="77777777">
      <w:pPr>
        <w:pStyle w:val="Heading1"/>
        <w:jc w:val="both"/>
      </w:pPr>
      <w:bookmarkStart w:name="_Toc240696175" w:id="30"/>
      <w:r w:rsidRPr="00B031A0">
        <w:t>3.7 Method of Data Collection</w:t>
      </w:r>
      <w:bookmarkEnd w:id="30"/>
      <w:r w:rsidRPr="00B031A0">
        <w:t xml:space="preserve"> </w:t>
      </w:r>
    </w:p>
    <w:p w:rsidRPr="00B031A0" w:rsidR="00C77BF3" w:rsidP="00E0210C" w:rsidRDefault="00115699" w14:paraId="377E1D26" w14:textId="77777777">
      <w:pPr>
        <w:pStyle w:val="Heading2"/>
      </w:pPr>
      <w:bookmarkStart w:name="_Toc240696176" w:id="31"/>
      <w:r w:rsidRPr="00B031A0">
        <w:t>3.7.1 Search Strategy</w:t>
      </w:r>
      <w:bookmarkEnd w:id="31"/>
      <w:r w:rsidRPr="00B031A0">
        <w:t xml:space="preserve"> </w:t>
      </w:r>
    </w:p>
    <w:p w:rsidRPr="00B031A0" w:rsidR="00C77BF3" w:rsidRDefault="00115699" w14:paraId="7C311A09" w14:textId="3E0DB441">
      <w:pPr>
        <w:rPr>
          <w:rFonts w:ascii="Arial" w:hAnsi="Arial" w:cs="Arial"/>
          <w:color w:val="000000" w:themeColor="text1"/>
        </w:rPr>
      </w:pPr>
      <w:r w:rsidRPr="00B031A0">
        <w:rPr>
          <w:rFonts w:ascii="Arial" w:hAnsi="Arial" w:cs="Arial"/>
          <w:color w:val="000000" w:themeColor="text1"/>
        </w:rPr>
        <w:t xml:space="preserve">A detailed research strategy was used to find the relevant articles to answer the research question (Hosseini </w:t>
      </w:r>
      <w:r w:rsidRPr="00B031A0" w:rsidR="00776C49">
        <w:rPr>
          <w:rFonts w:ascii="Arial" w:hAnsi="Arial" w:cs="Arial"/>
          <w:color w:val="000000" w:themeColor="text1"/>
        </w:rPr>
        <w:t>et al</w:t>
      </w:r>
      <w:r w:rsidRPr="00B031A0">
        <w:rPr>
          <w:rFonts w:ascii="Arial" w:hAnsi="Arial" w:cs="Arial"/>
          <w:color w:val="000000" w:themeColor="text1"/>
        </w:rPr>
        <w:t xml:space="preserve">., 2024). The sub-strategy was designed with the use of established keywords and controlled vocabulary so that high-quality and important information could be retrieved. The use of Boolean logic such as AND, OR, and NOT made it possible to combine different search terms and concisely implement search results (Hosseini </w:t>
      </w:r>
      <w:r w:rsidRPr="00B031A0" w:rsidR="00776C49">
        <w:rPr>
          <w:rFonts w:ascii="Arial" w:hAnsi="Arial" w:cs="Arial"/>
          <w:color w:val="000000" w:themeColor="text1"/>
        </w:rPr>
        <w:t>et al</w:t>
      </w:r>
      <w:r w:rsidRPr="00B031A0">
        <w:rPr>
          <w:rFonts w:ascii="Arial" w:hAnsi="Arial" w:cs="Arial"/>
          <w:color w:val="000000" w:themeColor="text1"/>
        </w:rPr>
        <w:t xml:space="preserve">., 2024). Search term expansion was performed, when necessary, by using such techniques. The chosen keyword originated from the main component of the research question and was arranged with the PICO process. Searching was carried out through various electronic databases so that the maximum possible number of studies were found (Yadav </w:t>
      </w:r>
      <w:r w:rsidRPr="00B031A0" w:rsidR="00776C49">
        <w:rPr>
          <w:rFonts w:ascii="Arial" w:hAnsi="Arial" w:cs="Arial"/>
          <w:color w:val="000000" w:themeColor="text1"/>
        </w:rPr>
        <w:t>et al</w:t>
      </w:r>
      <w:r w:rsidRPr="00B031A0">
        <w:rPr>
          <w:rFonts w:ascii="Arial" w:hAnsi="Arial" w:cs="Arial"/>
          <w:color w:val="000000" w:themeColor="text1"/>
        </w:rPr>
        <w:t xml:space="preserve">., 2025). Defined criteria for excluding and including studies were applied to ensure uniformity and consistency in the selection process (Hosseini </w:t>
      </w:r>
      <w:r w:rsidRPr="00B031A0" w:rsidR="00776C49">
        <w:rPr>
          <w:rFonts w:ascii="Arial" w:hAnsi="Arial" w:cs="Arial"/>
          <w:color w:val="000000" w:themeColor="text1"/>
        </w:rPr>
        <w:t>et al</w:t>
      </w:r>
      <w:r w:rsidRPr="00B031A0">
        <w:rPr>
          <w:rFonts w:ascii="Arial" w:hAnsi="Arial" w:cs="Arial"/>
          <w:color w:val="000000" w:themeColor="text1"/>
        </w:rPr>
        <w:t xml:space="preserve">., 2024). </w:t>
      </w:r>
    </w:p>
    <w:p w:rsidRPr="00B031A0" w:rsidR="00C77BF3" w:rsidP="00E0210C" w:rsidRDefault="00115699" w14:paraId="02C0C64E" w14:textId="77777777">
      <w:pPr>
        <w:pStyle w:val="Heading1"/>
        <w:jc w:val="both"/>
      </w:pPr>
      <w:bookmarkStart w:name="_Toc240696177" w:id="32"/>
      <w:r w:rsidRPr="00B031A0">
        <w:t>3.8 Framing the Research Question (PICO)</w:t>
      </w:r>
      <w:bookmarkEnd w:id="32"/>
      <w:r w:rsidRPr="00B031A0">
        <w:t xml:space="preserve">  </w:t>
      </w:r>
    </w:p>
    <w:p w:rsidR="00C77BF3" w:rsidRDefault="00115699" w14:paraId="38845BB4" w14:textId="6973678E">
      <w:pPr>
        <w:rPr>
          <w:rFonts w:ascii="Arial" w:hAnsi="Arial" w:cs="Arial"/>
          <w:color w:val="000000" w:themeColor="text1"/>
        </w:rPr>
      </w:pPr>
      <w:r w:rsidRPr="00B031A0">
        <w:rPr>
          <w:rFonts w:ascii="Arial" w:hAnsi="Arial" w:cs="Arial"/>
          <w:color w:val="000000" w:themeColor="text1"/>
        </w:rPr>
        <w:t xml:space="preserve">This systematic review used the population, intervention, comparison, outcome and setting (PICO) approach as a basis for the research question and its search strategy (Hosseini </w:t>
      </w:r>
      <w:r w:rsidRPr="00B031A0" w:rsidR="00776C49">
        <w:rPr>
          <w:rFonts w:ascii="Arial" w:hAnsi="Arial" w:cs="Arial"/>
          <w:color w:val="000000" w:themeColor="text1"/>
        </w:rPr>
        <w:t>et al</w:t>
      </w:r>
      <w:r w:rsidRPr="00B031A0">
        <w:rPr>
          <w:rFonts w:ascii="Arial" w:hAnsi="Arial" w:cs="Arial"/>
          <w:color w:val="000000" w:themeColor="text1"/>
        </w:rPr>
        <w:t xml:space="preserve">., 2024). The PICO principles help researchers to establish the core components of the research question and translate them into search terms, improving the efficiency of the research (Covvey, McClendon and Gionfriddo, 2023). The author has determined </w:t>
      </w:r>
      <w:r w:rsidR="00D97F86">
        <w:rPr>
          <w:rFonts w:ascii="Arial" w:hAnsi="Arial" w:cs="Arial"/>
          <w:color w:val="000000" w:themeColor="text1"/>
        </w:rPr>
        <w:t xml:space="preserve">the </w:t>
      </w:r>
      <w:r w:rsidRPr="00B031A0">
        <w:rPr>
          <w:rFonts w:ascii="Arial" w:hAnsi="Arial" w:cs="Arial"/>
          <w:color w:val="000000" w:themeColor="text1"/>
        </w:rPr>
        <w:t xml:space="preserve">population, intervention, comparison, outcome and setting with the goal of the study. The author has created a combination of synonyms and related words using Boolean operators in the search </w:t>
      </w:r>
      <w:r w:rsidR="00D97F86">
        <w:rPr>
          <w:rFonts w:ascii="Arial" w:hAnsi="Arial" w:cs="Arial"/>
          <w:color w:val="000000" w:themeColor="text1"/>
        </w:rPr>
        <w:t>strategy</w:t>
      </w:r>
      <w:r w:rsidRPr="00B031A0">
        <w:rPr>
          <w:rFonts w:ascii="Arial" w:hAnsi="Arial" w:cs="Arial"/>
          <w:color w:val="000000" w:themeColor="text1"/>
        </w:rPr>
        <w:t xml:space="preserve"> to ensure the studies relevant to the specific research question are included (Covvey, McClendon and Gionfriddo, 2023). </w:t>
      </w:r>
    </w:p>
    <w:p w:rsidRPr="002E1234" w:rsidR="002E1234" w:rsidP="002E1234" w:rsidRDefault="002E1234" w14:paraId="7482C3B9" w14:textId="14F917F1">
      <w:pPr>
        <w:spacing w:before="280" w:line="240" w:lineRule="auto"/>
        <w:jc w:val="center"/>
        <w:rPr>
          <w:rFonts w:ascii="Arial" w:hAnsi="Arial" w:cs="Arial"/>
          <w:b/>
          <w:bCs/>
          <w:color w:val="000000" w:themeColor="text1"/>
        </w:rPr>
      </w:pPr>
      <w:r w:rsidRPr="00B031A0">
        <w:rPr>
          <w:rFonts w:ascii="Arial" w:hAnsi="Arial" w:cs="Arial"/>
          <w:b/>
          <w:bCs/>
          <w:color w:val="000000" w:themeColor="text1"/>
        </w:rPr>
        <w:t xml:space="preserve">Table 3.1: PICO Framework </w:t>
      </w:r>
    </w:p>
    <w:tbl>
      <w:tblPr>
        <w:tblStyle w:val="a2"/>
        <w:tblW w:w="9202" w:type="dxa"/>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734"/>
        <w:gridCol w:w="5468"/>
      </w:tblGrid>
      <w:tr w:rsidRPr="00B031A0" w:rsidR="00C77BF3" w:rsidTr="00E0210C" w14:paraId="35E927BA" w14:textId="77777777">
        <w:trPr>
          <w:trHeight w:val="270"/>
        </w:trPr>
        <w:tc>
          <w:tcPr>
            <w:tcW w:w="3734" w:type="dxa"/>
          </w:tcPr>
          <w:p w:rsidRPr="00B031A0" w:rsidR="00C77BF3" w:rsidRDefault="00115699" w14:paraId="48BED92A" w14:textId="77777777">
            <w:pPr>
              <w:widowControl w:val="0"/>
              <w:ind w:left="108"/>
              <w:rPr>
                <w:rFonts w:ascii="Arial" w:hAnsi="Arial" w:cs="Arial"/>
                <w:b/>
                <w:bCs/>
                <w:color w:val="000000" w:themeColor="text1"/>
              </w:rPr>
            </w:pPr>
            <w:r w:rsidRPr="00B031A0">
              <w:rPr>
                <w:rFonts w:ascii="Arial" w:hAnsi="Arial" w:cs="Arial"/>
                <w:b/>
                <w:bCs/>
                <w:color w:val="000000" w:themeColor="text1"/>
              </w:rPr>
              <w:t>PICO</w:t>
            </w:r>
          </w:p>
        </w:tc>
        <w:tc>
          <w:tcPr>
            <w:tcW w:w="5468" w:type="dxa"/>
          </w:tcPr>
          <w:p w:rsidRPr="00B031A0" w:rsidR="00C77BF3" w:rsidRDefault="00115699" w14:paraId="5C9E09C1" w14:textId="77777777">
            <w:pPr>
              <w:widowControl w:val="0"/>
              <w:ind w:left="108"/>
              <w:rPr>
                <w:rFonts w:ascii="Arial" w:hAnsi="Arial" w:cs="Arial"/>
                <w:b/>
                <w:bCs/>
                <w:color w:val="000000" w:themeColor="text1"/>
              </w:rPr>
            </w:pPr>
            <w:r w:rsidRPr="00B031A0">
              <w:rPr>
                <w:rFonts w:ascii="Arial" w:hAnsi="Arial" w:cs="Arial"/>
                <w:b/>
                <w:bCs/>
                <w:color w:val="000000" w:themeColor="text1"/>
              </w:rPr>
              <w:t>Search Terms</w:t>
            </w:r>
          </w:p>
        </w:tc>
      </w:tr>
      <w:tr w:rsidRPr="00B031A0" w:rsidR="00C77BF3" w:rsidTr="00E0210C" w14:paraId="5DDD603A" w14:textId="77777777">
        <w:trPr>
          <w:trHeight w:val="814"/>
        </w:trPr>
        <w:tc>
          <w:tcPr>
            <w:tcW w:w="3734" w:type="dxa"/>
          </w:tcPr>
          <w:p w:rsidRPr="00B031A0" w:rsidR="00C77BF3" w:rsidRDefault="00115699" w14:paraId="4CA5D2A7" w14:textId="77777777">
            <w:pPr>
              <w:widowControl w:val="0"/>
              <w:ind w:left="108"/>
              <w:rPr>
                <w:rFonts w:ascii="Arial" w:hAnsi="Arial" w:cs="Arial"/>
                <w:b/>
                <w:bCs/>
                <w:color w:val="000000" w:themeColor="text1"/>
              </w:rPr>
            </w:pPr>
            <w:r w:rsidRPr="00B031A0">
              <w:rPr>
                <w:rFonts w:ascii="Arial" w:hAnsi="Arial" w:cs="Arial"/>
                <w:b/>
                <w:bCs/>
                <w:color w:val="000000" w:themeColor="text1"/>
              </w:rPr>
              <w:t>Population (P)</w:t>
            </w:r>
          </w:p>
        </w:tc>
        <w:tc>
          <w:tcPr>
            <w:tcW w:w="5468" w:type="dxa"/>
          </w:tcPr>
          <w:p w:rsidRPr="00B031A0" w:rsidR="00C77BF3" w:rsidRDefault="00115699" w14:paraId="108F2078" w14:textId="77777777">
            <w:pPr>
              <w:widowControl w:val="0"/>
              <w:ind w:left="108" w:right="152"/>
              <w:rPr>
                <w:rFonts w:ascii="Arial" w:hAnsi="Arial" w:cs="Arial"/>
                <w:color w:val="000000" w:themeColor="text1"/>
              </w:rPr>
            </w:pPr>
            <w:r w:rsidRPr="00B031A0">
              <w:rPr>
                <w:rFonts w:ascii="Arial" w:hAnsi="Arial" w:cs="Arial"/>
                <w:color w:val="000000" w:themeColor="text1"/>
              </w:rPr>
              <w:t xml:space="preserve">Nurse, Staff, Healthcare staff, Registered Nurses </w:t>
            </w:r>
          </w:p>
        </w:tc>
      </w:tr>
      <w:tr w:rsidRPr="00B031A0" w:rsidR="00C77BF3" w:rsidTr="00E0210C" w14:paraId="085F9564" w14:textId="77777777">
        <w:trPr>
          <w:trHeight w:val="542"/>
        </w:trPr>
        <w:tc>
          <w:tcPr>
            <w:tcW w:w="3734" w:type="dxa"/>
          </w:tcPr>
          <w:p w:rsidRPr="00B031A0" w:rsidR="00C77BF3" w:rsidRDefault="00115699" w14:paraId="10C17999" w14:textId="77777777">
            <w:pPr>
              <w:widowControl w:val="0"/>
              <w:ind w:left="108"/>
              <w:rPr>
                <w:rFonts w:ascii="Arial" w:hAnsi="Arial" w:cs="Arial"/>
                <w:b/>
                <w:bCs/>
                <w:color w:val="000000" w:themeColor="text1"/>
              </w:rPr>
            </w:pPr>
            <w:r w:rsidRPr="00B031A0">
              <w:rPr>
                <w:rFonts w:ascii="Arial" w:hAnsi="Arial" w:cs="Arial"/>
                <w:b/>
                <w:bCs/>
                <w:color w:val="000000" w:themeColor="text1"/>
              </w:rPr>
              <w:t>Intervention (I)</w:t>
            </w:r>
          </w:p>
        </w:tc>
        <w:tc>
          <w:tcPr>
            <w:tcW w:w="5468" w:type="dxa"/>
          </w:tcPr>
          <w:p w:rsidRPr="00B031A0" w:rsidR="00C77BF3" w:rsidRDefault="00115699" w14:paraId="6962A4F7" w14:textId="6FDBD5C1">
            <w:pPr>
              <w:widowControl w:val="0"/>
              <w:ind w:left="108"/>
              <w:rPr>
                <w:rFonts w:ascii="Arial" w:hAnsi="Arial" w:cs="Arial"/>
                <w:color w:val="000000" w:themeColor="text1"/>
              </w:rPr>
            </w:pPr>
            <w:r w:rsidRPr="00B031A0">
              <w:rPr>
                <w:rFonts w:ascii="Arial" w:hAnsi="Arial" w:cs="Arial"/>
                <w:color w:val="000000" w:themeColor="text1"/>
              </w:rPr>
              <w:t xml:space="preserve">Hand washing, Hand Hygiene, Hand </w:t>
            </w:r>
            <w:r w:rsidR="00D97F86">
              <w:rPr>
                <w:rFonts w:ascii="Arial" w:hAnsi="Arial" w:cs="Arial"/>
                <w:color w:val="000000" w:themeColor="text1"/>
              </w:rPr>
              <w:t>Sanitising</w:t>
            </w:r>
            <w:r w:rsidRPr="00B031A0">
              <w:rPr>
                <w:rFonts w:ascii="Arial" w:hAnsi="Arial" w:cs="Arial"/>
                <w:color w:val="000000" w:themeColor="text1"/>
              </w:rPr>
              <w:t xml:space="preserve">, Hand Hygiene Adherence </w:t>
            </w:r>
          </w:p>
        </w:tc>
      </w:tr>
      <w:tr w:rsidRPr="00B031A0" w:rsidR="00C77BF3" w:rsidTr="00E0210C" w14:paraId="2C984460" w14:textId="77777777">
        <w:trPr>
          <w:trHeight w:val="270"/>
        </w:trPr>
        <w:tc>
          <w:tcPr>
            <w:tcW w:w="3734" w:type="dxa"/>
          </w:tcPr>
          <w:p w:rsidRPr="00B031A0" w:rsidR="00C77BF3" w:rsidRDefault="00115699" w14:paraId="55F2C1E4" w14:textId="77777777">
            <w:pPr>
              <w:widowControl w:val="0"/>
              <w:ind w:left="108"/>
              <w:rPr>
                <w:rFonts w:ascii="Arial" w:hAnsi="Arial" w:cs="Arial"/>
                <w:b/>
                <w:bCs/>
                <w:color w:val="000000" w:themeColor="text1"/>
              </w:rPr>
            </w:pPr>
            <w:r w:rsidRPr="00B031A0">
              <w:rPr>
                <w:rFonts w:ascii="Arial" w:hAnsi="Arial" w:cs="Arial"/>
                <w:b/>
                <w:bCs/>
                <w:color w:val="000000" w:themeColor="text1"/>
              </w:rPr>
              <w:t>Comparison (C)</w:t>
            </w:r>
          </w:p>
        </w:tc>
        <w:tc>
          <w:tcPr>
            <w:tcW w:w="5468" w:type="dxa"/>
          </w:tcPr>
          <w:p w:rsidRPr="00B031A0" w:rsidR="00C77BF3" w:rsidRDefault="00115699" w14:paraId="5D053A3E" w14:textId="77777777">
            <w:pPr>
              <w:widowControl w:val="0"/>
              <w:ind w:left="108"/>
              <w:rPr>
                <w:rFonts w:ascii="Arial" w:hAnsi="Arial" w:cs="Arial"/>
                <w:color w:val="000000" w:themeColor="text1"/>
              </w:rPr>
            </w:pPr>
            <w:r w:rsidRPr="00B031A0">
              <w:rPr>
                <w:rFonts w:ascii="Arial" w:hAnsi="Arial" w:cs="Arial"/>
                <w:color w:val="000000" w:themeColor="text1"/>
              </w:rPr>
              <w:t>Poor Compliance, Non-Compliance, Standard Practice</w:t>
            </w:r>
          </w:p>
        </w:tc>
      </w:tr>
      <w:tr w:rsidRPr="00B031A0" w:rsidR="00C77BF3" w:rsidTr="00E0210C" w14:paraId="33048956" w14:textId="77777777">
        <w:trPr>
          <w:trHeight w:val="814"/>
        </w:trPr>
        <w:tc>
          <w:tcPr>
            <w:tcW w:w="3734" w:type="dxa"/>
          </w:tcPr>
          <w:p w:rsidRPr="00B031A0" w:rsidR="00C77BF3" w:rsidRDefault="00115699" w14:paraId="6883E745" w14:textId="77777777">
            <w:pPr>
              <w:widowControl w:val="0"/>
              <w:ind w:left="108"/>
              <w:rPr>
                <w:rFonts w:ascii="Arial" w:hAnsi="Arial" w:cs="Arial"/>
                <w:b/>
                <w:bCs/>
                <w:color w:val="000000" w:themeColor="text1"/>
              </w:rPr>
            </w:pPr>
            <w:r w:rsidRPr="00B031A0">
              <w:rPr>
                <w:rFonts w:ascii="Arial" w:hAnsi="Arial" w:cs="Arial"/>
                <w:b/>
                <w:bCs/>
                <w:color w:val="000000" w:themeColor="text1"/>
              </w:rPr>
              <w:t>Outcome (O)</w:t>
            </w:r>
          </w:p>
        </w:tc>
        <w:tc>
          <w:tcPr>
            <w:tcW w:w="5468" w:type="dxa"/>
          </w:tcPr>
          <w:p w:rsidRPr="00B031A0" w:rsidR="00C77BF3" w:rsidRDefault="00115699" w14:paraId="274C3E73" w14:textId="77777777">
            <w:pPr>
              <w:widowControl w:val="0"/>
              <w:ind w:left="108" w:right="152"/>
              <w:rPr>
                <w:rFonts w:ascii="Arial" w:hAnsi="Arial" w:cs="Arial"/>
                <w:color w:val="000000" w:themeColor="text1"/>
              </w:rPr>
            </w:pPr>
            <w:r w:rsidRPr="00B031A0">
              <w:rPr>
                <w:rFonts w:ascii="Arial" w:hAnsi="Arial" w:cs="Arial"/>
                <w:color w:val="000000" w:themeColor="text1"/>
              </w:rPr>
              <w:t>Healthcare Associated Infections (HCAIs), Infection Control, Patient Safety, Infection Management</w:t>
            </w:r>
          </w:p>
        </w:tc>
      </w:tr>
      <w:tr w:rsidRPr="00B031A0" w:rsidR="00C77BF3" w:rsidTr="00E0210C" w14:paraId="75554435" w14:textId="77777777">
        <w:trPr>
          <w:trHeight w:val="814"/>
        </w:trPr>
        <w:tc>
          <w:tcPr>
            <w:tcW w:w="3734" w:type="dxa"/>
          </w:tcPr>
          <w:p w:rsidRPr="00B031A0" w:rsidR="00C77BF3" w:rsidRDefault="00115699" w14:paraId="50156DA0" w14:textId="77777777">
            <w:pPr>
              <w:widowControl w:val="0"/>
              <w:ind w:left="108"/>
              <w:rPr>
                <w:rFonts w:ascii="Arial" w:hAnsi="Arial" w:cs="Arial"/>
                <w:b/>
                <w:bCs/>
                <w:color w:val="000000" w:themeColor="text1"/>
              </w:rPr>
            </w:pPr>
            <w:r w:rsidRPr="00B031A0">
              <w:rPr>
                <w:rFonts w:ascii="Arial" w:hAnsi="Arial" w:cs="Arial"/>
                <w:b/>
                <w:bCs/>
                <w:color w:val="000000" w:themeColor="text1"/>
              </w:rPr>
              <w:t>Setting (S)</w:t>
            </w:r>
          </w:p>
        </w:tc>
        <w:tc>
          <w:tcPr>
            <w:tcW w:w="5468" w:type="dxa"/>
          </w:tcPr>
          <w:p w:rsidRPr="00B031A0" w:rsidR="00C77BF3" w:rsidRDefault="00115699" w14:paraId="611B749B" w14:textId="77777777">
            <w:pPr>
              <w:widowControl w:val="0"/>
              <w:ind w:left="108" w:right="152"/>
              <w:rPr>
                <w:rFonts w:ascii="Arial" w:hAnsi="Arial" w:cs="Arial"/>
                <w:color w:val="000000" w:themeColor="text1"/>
              </w:rPr>
            </w:pPr>
            <w:r w:rsidRPr="00B031A0">
              <w:rPr>
                <w:rFonts w:ascii="Arial" w:hAnsi="Arial" w:cs="Arial"/>
                <w:color w:val="000000" w:themeColor="text1"/>
              </w:rPr>
              <w:t>United Kingdom, UK hospitals, Healthcare Setting, NHS Hospitals</w:t>
            </w:r>
          </w:p>
        </w:tc>
      </w:tr>
    </w:tbl>
    <w:p w:rsidR="00490CD4" w:rsidP="00490CD4" w:rsidRDefault="00490CD4" w14:paraId="5FB9D850" w14:textId="77777777">
      <w:pPr>
        <w:pStyle w:val="NoSpacing"/>
      </w:pPr>
    </w:p>
    <w:p w:rsidRPr="00B031A0" w:rsidR="00C77BF3" w:rsidP="00E0210C" w:rsidRDefault="00115699" w14:paraId="570854DB" w14:textId="4A19ED85">
      <w:pPr>
        <w:pStyle w:val="Heading1"/>
        <w:jc w:val="both"/>
      </w:pPr>
      <w:bookmarkStart w:name="_Toc240696178" w:id="33"/>
      <w:r w:rsidRPr="00B031A0">
        <w:t>3.9 Database Research Procedure</w:t>
      </w:r>
      <w:bookmarkEnd w:id="33"/>
      <w:r w:rsidRPr="00B031A0">
        <w:t xml:space="preserve"> </w:t>
      </w:r>
    </w:p>
    <w:p w:rsidRPr="00546E69" w:rsidR="00C77BF3" w:rsidRDefault="00115699" w14:paraId="75AC4C04" w14:textId="59FD073D">
      <w:pPr>
        <w:rPr>
          <w:rFonts w:ascii="Arial" w:hAnsi="Arial" w:cs="Arial"/>
          <w:color w:val="000000" w:themeColor="text1"/>
        </w:rPr>
      </w:pPr>
      <w:r w:rsidRPr="00B031A0">
        <w:rPr>
          <w:rFonts w:ascii="Arial" w:hAnsi="Arial" w:cs="Arial"/>
          <w:color w:val="000000" w:themeColor="text1"/>
        </w:rPr>
        <w:t xml:space="preserve">Through the database research during the period from June 5, 2026, to </w:t>
      </w:r>
      <w:r w:rsidR="002E1234">
        <w:rPr>
          <w:rFonts w:ascii="Arial" w:hAnsi="Arial" w:cs="Arial"/>
          <w:color w:val="000000" w:themeColor="text1"/>
        </w:rPr>
        <w:t xml:space="preserve">August </w:t>
      </w:r>
      <w:r w:rsidRPr="00B031A0">
        <w:rPr>
          <w:rFonts w:ascii="Arial" w:hAnsi="Arial" w:cs="Arial"/>
          <w:color w:val="000000" w:themeColor="text1"/>
        </w:rPr>
        <w:t>1</w:t>
      </w:r>
      <w:r w:rsidR="002E1234">
        <w:rPr>
          <w:rFonts w:ascii="Arial" w:hAnsi="Arial" w:cs="Arial"/>
          <w:color w:val="000000" w:themeColor="text1"/>
        </w:rPr>
        <w:t>0</w:t>
      </w:r>
      <w:r w:rsidRPr="00B031A0">
        <w:rPr>
          <w:rFonts w:ascii="Arial" w:hAnsi="Arial" w:cs="Arial"/>
          <w:color w:val="000000" w:themeColor="text1"/>
        </w:rPr>
        <w:t xml:space="preserve">, 2026, relevant research studies on the subject were located. The data sources that exist include PubMed, Scopus, and Google Scholar. To improve the retrieval of research in PubMed, medical subject headings were used to standardise search terms (Covvey, McClendon and Gionfriddo, 2023). The medical subject headings, together with the use of Boolean operators, allowed the search to be refined. Search terms included “hand hygiene” and “hand hygiene compliance”. The searches were limited to peer-reviewed primary research studies published from 2016 until 2026. </w:t>
      </w:r>
      <w:r w:rsidRPr="00546E69" w:rsidR="00546E69">
        <w:rPr>
          <w:rFonts w:ascii="Arial" w:hAnsi="Arial" w:cs="Arial"/>
          <w:color w:val="000000" w:themeColor="text1"/>
        </w:rPr>
        <w:t>The database searches identified a total of 1,375 records. Following the removal of duplicate records and the initial screening process, 12 relevant records remained and were imported into RefWorks for reference management and further assessment</w:t>
      </w:r>
      <w:r w:rsidR="00546E69">
        <w:rPr>
          <w:rFonts w:ascii="Arial" w:hAnsi="Arial" w:cs="Arial"/>
          <w:color w:val="000000" w:themeColor="text1"/>
        </w:rPr>
        <w:t>.</w:t>
      </w:r>
    </w:p>
    <w:p w:rsidRPr="00B031A0" w:rsidR="00C77BF3" w:rsidP="00C668C4" w:rsidRDefault="00115699" w14:paraId="6DED3C52" w14:textId="77777777">
      <w:pPr>
        <w:pStyle w:val="Heading1"/>
        <w:jc w:val="both"/>
      </w:pPr>
      <w:bookmarkStart w:name="_Toc240696179" w:id="34"/>
      <w:r w:rsidRPr="00B031A0">
        <w:t>3.10 Hand Search</w:t>
      </w:r>
      <w:bookmarkEnd w:id="34"/>
      <w:r w:rsidRPr="00B031A0">
        <w:t xml:space="preserve"> </w:t>
      </w:r>
    </w:p>
    <w:p w:rsidRPr="00B031A0" w:rsidR="00C77BF3" w:rsidRDefault="00115699" w14:paraId="41301431" w14:textId="7B50AE62">
      <w:pPr>
        <w:rPr>
          <w:rFonts w:ascii="Arial" w:hAnsi="Arial" w:cs="Arial"/>
          <w:color w:val="000000" w:themeColor="text1"/>
        </w:rPr>
      </w:pPr>
      <w:r w:rsidRPr="00B031A0">
        <w:rPr>
          <w:rFonts w:ascii="Arial" w:hAnsi="Arial" w:cs="Arial"/>
          <w:color w:val="000000" w:themeColor="text1"/>
        </w:rPr>
        <w:t xml:space="preserve">Hand searching was carried out to locate relevant research papers that were not found. This procedure included checking the references from the selected studies to find more research related to the research question (Pallath and Zhang, 2022). This was very useful </w:t>
      </w:r>
      <w:r w:rsidR="00216CEB">
        <w:rPr>
          <w:rFonts w:ascii="Arial" w:hAnsi="Arial" w:cs="Arial"/>
          <w:color w:val="000000" w:themeColor="text1"/>
        </w:rPr>
        <w:t>in finding</w:t>
      </w:r>
      <w:r w:rsidRPr="00B031A0">
        <w:rPr>
          <w:rFonts w:ascii="Arial" w:hAnsi="Arial" w:cs="Arial"/>
          <w:color w:val="000000" w:themeColor="text1"/>
        </w:rPr>
        <w:t xml:space="preserve"> some valuable documents that helped to achieve the inclusion criteria and avoided the possibility of missing some evidence from the study. The obtained articles were analysed using the same criteria and quality assessment criteria used for systematic studies. Hand searching is essential for conducting systematic reviews as it helps prevent the loss of important information due to database coverage, indexing, and terminology use (Al-Jarf, 2021). It also helps to reduce publication bias by helping the researcher find studies that have not been found during electronic search. Hand searching has given more transparency and reliability to the synthesis of information and has provided a higher quality of the conducted systematic review (Pallath and Zhang, 2022). </w:t>
      </w:r>
    </w:p>
    <w:p w:rsidRPr="00B031A0" w:rsidR="00C77BF3" w:rsidP="00C668C4" w:rsidRDefault="00115699" w14:paraId="6C83861F" w14:textId="77777777">
      <w:pPr>
        <w:pStyle w:val="Heading1"/>
        <w:jc w:val="both"/>
      </w:pPr>
      <w:bookmarkStart w:name="_Toc240696180" w:id="35"/>
      <w:r w:rsidRPr="00B031A0">
        <w:t>3.11 Grey Literature</w:t>
      </w:r>
      <w:bookmarkEnd w:id="35"/>
      <w:r w:rsidRPr="00B031A0">
        <w:t xml:space="preserve"> </w:t>
      </w:r>
    </w:p>
    <w:p w:rsidRPr="00B031A0" w:rsidR="00C77BF3" w:rsidRDefault="00115699" w14:paraId="0CBD49CD" w14:textId="61B888A0">
      <w:pPr>
        <w:rPr>
          <w:rFonts w:ascii="Arial" w:hAnsi="Arial" w:cs="Arial"/>
          <w:color w:val="000000" w:themeColor="text1"/>
        </w:rPr>
      </w:pPr>
      <w:r w:rsidRPr="00B031A0">
        <w:rPr>
          <w:rFonts w:ascii="Arial" w:hAnsi="Arial" w:cs="Arial"/>
          <w:color w:val="000000" w:themeColor="text1"/>
        </w:rPr>
        <w:t xml:space="preserve">Grey literature refers to studies that have not been published in text that have undergone </w:t>
      </w:r>
      <w:r w:rsidR="00D97F86">
        <w:rPr>
          <w:rFonts w:ascii="Arial" w:hAnsi="Arial" w:cs="Arial"/>
          <w:color w:val="000000" w:themeColor="text1"/>
        </w:rPr>
        <w:t xml:space="preserve">the </w:t>
      </w:r>
      <w:r w:rsidRPr="00B031A0">
        <w:rPr>
          <w:rFonts w:ascii="Arial" w:hAnsi="Arial" w:cs="Arial"/>
          <w:color w:val="000000" w:themeColor="text1"/>
        </w:rPr>
        <w:t>paper review process and contribute to the information relevant to the research issue (Pallath and Zhang, 2022). The grey literature may include government publications, legislative the clinical guidelines, articles presented at conference research papers developed by medical agencies</w:t>
      </w:r>
      <w:r w:rsidR="00D97F86">
        <w:rPr>
          <w:rFonts w:ascii="Arial" w:hAnsi="Arial" w:cs="Arial"/>
          <w:color w:val="000000" w:themeColor="text1"/>
        </w:rPr>
        <w:t xml:space="preserve"> </w:t>
      </w:r>
      <w:r w:rsidRPr="00B031A0" w:rsidR="00D97F86">
        <w:rPr>
          <w:rFonts w:ascii="Arial" w:hAnsi="Arial" w:cs="Arial"/>
          <w:color w:val="000000" w:themeColor="text1"/>
        </w:rPr>
        <w:t>(Pallath and Zhang, 2022)</w:t>
      </w:r>
      <w:r w:rsidRPr="00B031A0">
        <w:rPr>
          <w:rFonts w:ascii="Arial" w:hAnsi="Arial" w:cs="Arial"/>
          <w:color w:val="000000" w:themeColor="text1"/>
        </w:rPr>
        <w:t>. Grey literature was included in this systematic review to avoid publication bias and perform an exhaustive search for the data concerning the problem under consideration</w:t>
      </w:r>
      <w:r w:rsidR="000E488E">
        <w:rPr>
          <w:rFonts w:ascii="Arial" w:hAnsi="Arial" w:cs="Arial"/>
          <w:color w:val="000000" w:themeColor="text1"/>
        </w:rPr>
        <w:t xml:space="preserve"> </w:t>
      </w:r>
      <w:r w:rsidRPr="00B031A0" w:rsidR="000E488E">
        <w:rPr>
          <w:rFonts w:ascii="Arial" w:hAnsi="Arial" w:cs="Arial"/>
          <w:color w:val="000000" w:themeColor="text1"/>
        </w:rPr>
        <w:t>(Rosida et al., 2023)</w:t>
      </w:r>
      <w:r w:rsidRPr="00B031A0">
        <w:rPr>
          <w:rFonts w:ascii="Arial" w:hAnsi="Arial" w:cs="Arial"/>
          <w:color w:val="000000" w:themeColor="text1"/>
        </w:rPr>
        <w:t xml:space="preserve">. Grey literature was searched for AT acknowledge sources, including government and health agency websites in the study (Kousha, Thelwall and Bickley, 2022). The materials provided by those sources were not </w:t>
      </w:r>
      <w:r w:rsidR="00D97F86">
        <w:rPr>
          <w:rFonts w:ascii="Arial" w:hAnsi="Arial" w:cs="Arial"/>
          <w:color w:val="000000" w:themeColor="text1"/>
        </w:rPr>
        <w:t>peer-reviewed</w:t>
      </w:r>
      <w:r w:rsidRPr="00B031A0">
        <w:rPr>
          <w:rFonts w:ascii="Arial" w:hAnsi="Arial" w:cs="Arial"/>
          <w:color w:val="000000" w:themeColor="text1"/>
        </w:rPr>
        <w:t>; the paper was analysed for relevance and credibility</w:t>
      </w:r>
      <w:r w:rsidR="00D97F86">
        <w:rPr>
          <w:rFonts w:ascii="Arial" w:hAnsi="Arial" w:cs="Arial"/>
          <w:color w:val="000000" w:themeColor="text1"/>
        </w:rPr>
        <w:t xml:space="preserve"> </w:t>
      </w:r>
      <w:r w:rsidRPr="00B031A0" w:rsidR="00D97F86">
        <w:rPr>
          <w:rFonts w:ascii="Arial" w:hAnsi="Arial" w:cs="Arial"/>
          <w:color w:val="000000" w:themeColor="text1"/>
        </w:rPr>
        <w:t>(Rosida et al., 2023)</w:t>
      </w:r>
      <w:r w:rsidRPr="00B031A0">
        <w:rPr>
          <w:rFonts w:ascii="Arial" w:hAnsi="Arial" w:cs="Arial"/>
          <w:color w:val="000000" w:themeColor="text1"/>
        </w:rPr>
        <w:t xml:space="preserve">. The inclusion and exclusion criteria and other procedures for assessing the quality of papers that have been used for peer-reviewed materials were applied to grey literature. 20 approaches explained that different reliable sources were used for the study, while the information presented by them was valid and relevant (Rosida </w:t>
      </w:r>
      <w:r w:rsidRPr="00B031A0" w:rsidR="00776C49">
        <w:rPr>
          <w:rFonts w:ascii="Arial" w:hAnsi="Arial" w:cs="Arial"/>
          <w:color w:val="000000" w:themeColor="text1"/>
        </w:rPr>
        <w:t>et al</w:t>
      </w:r>
      <w:r w:rsidRPr="00B031A0">
        <w:rPr>
          <w:rFonts w:ascii="Arial" w:hAnsi="Arial" w:cs="Arial"/>
          <w:color w:val="000000" w:themeColor="text1"/>
        </w:rPr>
        <w:t>., 2023).</w:t>
      </w:r>
    </w:p>
    <w:p w:rsidRPr="00B031A0" w:rsidR="00C77BF3" w:rsidP="00C668C4" w:rsidRDefault="00115699" w14:paraId="54C4FEBC" w14:textId="77777777">
      <w:pPr>
        <w:pStyle w:val="Heading1"/>
        <w:jc w:val="both"/>
      </w:pPr>
      <w:bookmarkStart w:name="_Toc240696181" w:id="36"/>
      <w:r w:rsidRPr="00B031A0">
        <w:t>3.12 Inclusion and Exclusion</w:t>
      </w:r>
      <w:bookmarkEnd w:id="36"/>
      <w:r w:rsidRPr="00B031A0">
        <w:t xml:space="preserve"> </w:t>
      </w:r>
    </w:p>
    <w:p w:rsidR="00E12C0B" w:rsidRDefault="00115699" w14:paraId="45280AB2" w14:textId="7B0D73AD">
      <w:pPr>
        <w:rPr>
          <w:rFonts w:ascii="Arial" w:hAnsi="Arial" w:cs="Arial"/>
          <w:color w:val="000000" w:themeColor="text1"/>
        </w:rPr>
      </w:pPr>
      <w:r w:rsidRPr="00B031A0">
        <w:rPr>
          <w:rFonts w:ascii="Arial" w:hAnsi="Arial" w:cs="Arial"/>
          <w:color w:val="000000" w:themeColor="text1"/>
        </w:rPr>
        <w:t xml:space="preserve">The criteria for including or excluding studies were stated before searching the literature to ensure a methodical and open process of relevant study selection (Affengruber </w:t>
      </w:r>
      <w:r w:rsidRPr="00B031A0" w:rsidR="00776C49">
        <w:rPr>
          <w:rFonts w:ascii="Arial" w:hAnsi="Arial" w:cs="Arial"/>
          <w:color w:val="000000" w:themeColor="text1"/>
        </w:rPr>
        <w:t>et al</w:t>
      </w:r>
      <w:r w:rsidRPr="00B031A0">
        <w:rPr>
          <w:rFonts w:ascii="Arial" w:hAnsi="Arial" w:cs="Arial"/>
          <w:color w:val="000000" w:themeColor="text1"/>
        </w:rPr>
        <w:t xml:space="preserve">., 2022). The criteria according to the PICO model indicate population, intervention, comparison, outcome and settings that were suitable for the study decision-making. Primary studies in English that have been published </w:t>
      </w:r>
      <w:r w:rsidRPr="00B031A0" w:rsidR="009A1371">
        <w:rPr>
          <w:rFonts w:ascii="Arial" w:hAnsi="Arial" w:cs="Arial"/>
          <w:color w:val="000000" w:themeColor="text1"/>
        </w:rPr>
        <w:t>recently</w:t>
      </w:r>
      <w:r w:rsidRPr="00B031A0">
        <w:rPr>
          <w:rFonts w:ascii="Arial" w:hAnsi="Arial" w:cs="Arial"/>
          <w:color w:val="000000" w:themeColor="text1"/>
        </w:rPr>
        <w:t xml:space="preserve"> and which are relevant to the research question were selected (Buddrus </w:t>
      </w:r>
      <w:r w:rsidRPr="00B031A0" w:rsidR="00776C49">
        <w:rPr>
          <w:rFonts w:ascii="Arial" w:hAnsi="Arial" w:cs="Arial"/>
          <w:color w:val="000000" w:themeColor="text1"/>
        </w:rPr>
        <w:t>et al</w:t>
      </w:r>
      <w:r w:rsidRPr="00B031A0">
        <w:rPr>
          <w:rFonts w:ascii="Arial" w:hAnsi="Arial" w:cs="Arial"/>
          <w:color w:val="000000" w:themeColor="text1"/>
        </w:rPr>
        <w:t>., 2026). Studies which are not relevant to the given question, lack methodological details</w:t>
      </w:r>
      <w:r w:rsidR="009A1371">
        <w:rPr>
          <w:rFonts w:ascii="Arial" w:hAnsi="Arial" w:cs="Arial"/>
          <w:color w:val="000000" w:themeColor="text1"/>
        </w:rPr>
        <w:t>, are</w:t>
      </w:r>
      <w:r w:rsidRPr="00B031A0">
        <w:rPr>
          <w:rFonts w:ascii="Arial" w:hAnsi="Arial" w:cs="Arial"/>
          <w:color w:val="000000" w:themeColor="text1"/>
        </w:rPr>
        <w:t xml:space="preserve"> duplicated or are reviews of papers in any other language were omitted. The use of the criteria before </w:t>
      </w:r>
      <w:r w:rsidR="009A1371">
        <w:rPr>
          <w:rFonts w:ascii="Arial" w:hAnsi="Arial" w:cs="Arial"/>
          <w:color w:val="000000" w:themeColor="text1"/>
        </w:rPr>
        <w:t>the process affected it</w:t>
      </w:r>
      <w:r w:rsidRPr="00B031A0">
        <w:rPr>
          <w:rFonts w:ascii="Arial" w:hAnsi="Arial" w:cs="Arial"/>
          <w:color w:val="000000" w:themeColor="text1"/>
        </w:rPr>
        <w:t xml:space="preserve"> positively and helped the research team to avoid looking for biased studies, along with providing the validity and transparency of the systematic study (Affengruber </w:t>
      </w:r>
      <w:r w:rsidRPr="00B031A0" w:rsidR="00776C49">
        <w:rPr>
          <w:rFonts w:ascii="Arial" w:hAnsi="Arial" w:cs="Arial"/>
          <w:color w:val="000000" w:themeColor="text1"/>
        </w:rPr>
        <w:t>et al</w:t>
      </w:r>
      <w:r w:rsidRPr="00B031A0">
        <w:rPr>
          <w:rFonts w:ascii="Arial" w:hAnsi="Arial" w:cs="Arial"/>
          <w:color w:val="000000" w:themeColor="text1"/>
        </w:rPr>
        <w:t xml:space="preserve">., 2022). </w:t>
      </w:r>
    </w:p>
    <w:p w:rsidR="002E1234" w:rsidP="002E1234" w:rsidRDefault="002E1234" w14:paraId="39ED1025" w14:textId="19AAB45E">
      <w:pPr>
        <w:spacing w:before="280" w:line="240" w:lineRule="auto"/>
        <w:jc w:val="center"/>
        <w:rPr>
          <w:rFonts w:ascii="Arial" w:hAnsi="Arial" w:cs="Arial"/>
          <w:b/>
          <w:bCs/>
          <w:color w:val="000000" w:themeColor="text1"/>
        </w:rPr>
      </w:pPr>
      <w:r w:rsidRPr="00B031A0">
        <w:rPr>
          <w:rFonts w:ascii="Arial" w:hAnsi="Arial" w:cs="Arial"/>
          <w:b/>
          <w:bCs/>
          <w:color w:val="000000" w:themeColor="text1"/>
        </w:rPr>
        <w:t>Table 3.2: Inclusion and Exclusion Criteria</w:t>
      </w:r>
    </w:p>
    <w:p w:rsidR="00490CD4" w:rsidP="002E1234" w:rsidRDefault="00490CD4" w14:paraId="7704128C" w14:textId="77777777">
      <w:pPr>
        <w:spacing w:before="280" w:line="240" w:lineRule="auto"/>
        <w:jc w:val="center"/>
        <w:rPr>
          <w:rFonts w:ascii="Arial" w:hAnsi="Arial" w:cs="Arial"/>
          <w:b/>
          <w:bCs/>
          <w:color w:val="000000" w:themeColor="text1"/>
        </w:rPr>
      </w:pPr>
    </w:p>
    <w:tbl>
      <w:tblPr>
        <w:tblStyle w:val="a3"/>
        <w:tblpPr w:leftFromText="180" w:rightFromText="180" w:vertAnchor="text" w:horzAnchor="margin" w:tblpXSpec="center" w:tblpY="422"/>
        <w:tblW w:w="1006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2419"/>
        <w:gridCol w:w="3589"/>
        <w:gridCol w:w="4052"/>
      </w:tblGrid>
      <w:tr w:rsidRPr="00B031A0" w:rsidR="00490CD4" w:rsidTr="007F0A8D" w14:paraId="0302B420" w14:textId="77777777">
        <w:trPr>
          <w:trHeight w:val="272"/>
        </w:trPr>
        <w:tc>
          <w:tcPr>
            <w:tcW w:w="2419" w:type="dxa"/>
          </w:tcPr>
          <w:p w:rsidRPr="00B031A0" w:rsidR="00490CD4" w:rsidP="007F0A8D" w:rsidRDefault="00490CD4" w14:paraId="6195F43F" w14:textId="77777777">
            <w:pPr>
              <w:widowControl w:val="0"/>
              <w:ind w:left="108"/>
              <w:rPr>
                <w:rFonts w:ascii="Arial" w:hAnsi="Arial" w:cs="Arial"/>
                <w:b/>
                <w:bCs/>
                <w:color w:val="000000" w:themeColor="text1"/>
              </w:rPr>
            </w:pPr>
            <w:r w:rsidRPr="00B031A0">
              <w:rPr>
                <w:rFonts w:ascii="Arial" w:hAnsi="Arial" w:cs="Arial"/>
                <w:b/>
                <w:bCs/>
                <w:color w:val="000000" w:themeColor="text1"/>
              </w:rPr>
              <w:t xml:space="preserve">PICO </w:t>
            </w:r>
          </w:p>
        </w:tc>
        <w:tc>
          <w:tcPr>
            <w:tcW w:w="3589" w:type="dxa"/>
          </w:tcPr>
          <w:p w:rsidRPr="00B031A0" w:rsidR="00490CD4" w:rsidP="007F0A8D" w:rsidRDefault="00490CD4" w14:paraId="50C7F77E" w14:textId="77777777">
            <w:pPr>
              <w:widowControl w:val="0"/>
              <w:ind w:left="108"/>
              <w:rPr>
                <w:rFonts w:ascii="Arial" w:hAnsi="Arial" w:cs="Arial"/>
                <w:b/>
                <w:bCs/>
                <w:color w:val="000000" w:themeColor="text1"/>
              </w:rPr>
            </w:pPr>
            <w:r w:rsidRPr="00B031A0">
              <w:rPr>
                <w:rFonts w:ascii="Arial" w:hAnsi="Arial" w:cs="Arial"/>
                <w:b/>
                <w:bCs/>
                <w:color w:val="000000" w:themeColor="text1"/>
              </w:rPr>
              <w:t>INCLUSION CRITERIA</w:t>
            </w:r>
          </w:p>
        </w:tc>
        <w:tc>
          <w:tcPr>
            <w:tcW w:w="4052" w:type="dxa"/>
          </w:tcPr>
          <w:p w:rsidRPr="00B031A0" w:rsidR="00490CD4" w:rsidP="007F0A8D" w:rsidRDefault="00490CD4" w14:paraId="226E781D" w14:textId="77777777">
            <w:pPr>
              <w:widowControl w:val="0"/>
              <w:ind w:left="108"/>
              <w:rPr>
                <w:rFonts w:ascii="Arial" w:hAnsi="Arial" w:cs="Arial"/>
                <w:b/>
                <w:bCs/>
                <w:color w:val="000000" w:themeColor="text1"/>
              </w:rPr>
            </w:pPr>
            <w:r w:rsidRPr="00B031A0">
              <w:rPr>
                <w:rFonts w:ascii="Arial" w:hAnsi="Arial" w:cs="Arial"/>
                <w:b/>
                <w:bCs/>
                <w:color w:val="000000" w:themeColor="text1"/>
              </w:rPr>
              <w:t>EXCLUSION CRITERIA</w:t>
            </w:r>
          </w:p>
        </w:tc>
      </w:tr>
      <w:tr w:rsidRPr="00B031A0" w:rsidR="00490CD4" w:rsidTr="007F0A8D" w14:paraId="03E0C2C8" w14:textId="77777777">
        <w:trPr>
          <w:trHeight w:val="818"/>
        </w:trPr>
        <w:tc>
          <w:tcPr>
            <w:tcW w:w="2419" w:type="dxa"/>
          </w:tcPr>
          <w:p w:rsidRPr="00B031A0" w:rsidR="00490CD4" w:rsidP="007F0A8D" w:rsidRDefault="00490CD4" w14:paraId="19C4DCF6" w14:textId="77777777">
            <w:pPr>
              <w:widowControl w:val="0"/>
              <w:ind w:left="108"/>
              <w:rPr>
                <w:rFonts w:ascii="Arial" w:hAnsi="Arial" w:cs="Arial"/>
                <w:b/>
                <w:bCs/>
                <w:color w:val="000000" w:themeColor="text1"/>
              </w:rPr>
            </w:pPr>
            <w:r w:rsidRPr="00B031A0">
              <w:rPr>
                <w:rFonts w:ascii="Arial" w:hAnsi="Arial" w:cs="Arial"/>
                <w:b/>
                <w:bCs/>
                <w:color w:val="000000" w:themeColor="text1"/>
              </w:rPr>
              <w:t>Population (P)</w:t>
            </w:r>
          </w:p>
        </w:tc>
        <w:tc>
          <w:tcPr>
            <w:tcW w:w="3589" w:type="dxa"/>
          </w:tcPr>
          <w:p w:rsidRPr="00B031A0" w:rsidR="00490CD4" w:rsidP="007F0A8D" w:rsidRDefault="00490CD4" w14:paraId="305D78BA" w14:textId="77777777">
            <w:pPr>
              <w:widowControl w:val="0"/>
              <w:ind w:left="108" w:right="152"/>
              <w:rPr>
                <w:rFonts w:ascii="Arial" w:hAnsi="Arial" w:cs="Arial"/>
                <w:color w:val="000000" w:themeColor="text1"/>
              </w:rPr>
            </w:pPr>
            <w:r w:rsidRPr="00B031A0">
              <w:rPr>
                <w:rFonts w:ascii="Arial" w:hAnsi="Arial" w:cs="Arial"/>
                <w:color w:val="000000" w:themeColor="text1"/>
              </w:rPr>
              <w:t xml:space="preserve">Registered nurses </w:t>
            </w:r>
          </w:p>
        </w:tc>
        <w:tc>
          <w:tcPr>
            <w:tcW w:w="4052" w:type="dxa"/>
          </w:tcPr>
          <w:p w:rsidRPr="00B031A0" w:rsidR="00490CD4" w:rsidP="007F0A8D" w:rsidRDefault="00490CD4" w14:paraId="0CED3A43" w14:textId="77777777">
            <w:pPr>
              <w:widowControl w:val="0"/>
              <w:ind w:left="108" w:right="152"/>
              <w:rPr>
                <w:rFonts w:ascii="Arial" w:hAnsi="Arial" w:cs="Arial"/>
                <w:color w:val="000000" w:themeColor="text1"/>
              </w:rPr>
            </w:pPr>
            <w:r w:rsidRPr="00B031A0">
              <w:rPr>
                <w:rFonts w:ascii="Arial" w:hAnsi="Arial" w:cs="Arial"/>
                <w:color w:val="000000" w:themeColor="text1"/>
              </w:rPr>
              <w:t>Other healthcare providers who are not registered nurses, along with patients, students and non-clinical personnel</w:t>
            </w:r>
          </w:p>
        </w:tc>
      </w:tr>
      <w:tr w:rsidRPr="00B031A0" w:rsidR="00490CD4" w:rsidTr="007F0A8D" w14:paraId="37C8AD1F" w14:textId="77777777">
        <w:trPr>
          <w:trHeight w:val="545"/>
        </w:trPr>
        <w:tc>
          <w:tcPr>
            <w:tcW w:w="2419" w:type="dxa"/>
          </w:tcPr>
          <w:p w:rsidRPr="00B031A0" w:rsidR="00490CD4" w:rsidP="007F0A8D" w:rsidRDefault="00490CD4" w14:paraId="609D2D19" w14:textId="77777777">
            <w:pPr>
              <w:widowControl w:val="0"/>
              <w:ind w:left="108"/>
              <w:rPr>
                <w:rFonts w:ascii="Arial" w:hAnsi="Arial" w:cs="Arial"/>
                <w:b/>
                <w:bCs/>
                <w:color w:val="000000" w:themeColor="text1"/>
              </w:rPr>
            </w:pPr>
            <w:r w:rsidRPr="00B031A0">
              <w:rPr>
                <w:rFonts w:ascii="Arial" w:hAnsi="Arial" w:cs="Arial"/>
                <w:b/>
                <w:bCs/>
                <w:color w:val="000000" w:themeColor="text1"/>
              </w:rPr>
              <w:t>Intervention (I)</w:t>
            </w:r>
          </w:p>
        </w:tc>
        <w:tc>
          <w:tcPr>
            <w:tcW w:w="3589" w:type="dxa"/>
          </w:tcPr>
          <w:p w:rsidRPr="00B031A0" w:rsidR="00490CD4" w:rsidP="007F0A8D" w:rsidRDefault="00490CD4" w14:paraId="08D80C00" w14:textId="77777777">
            <w:pPr>
              <w:widowControl w:val="0"/>
              <w:ind w:left="108"/>
              <w:rPr>
                <w:rFonts w:ascii="Arial" w:hAnsi="Arial" w:cs="Arial"/>
                <w:color w:val="000000" w:themeColor="text1"/>
              </w:rPr>
            </w:pPr>
            <w:r w:rsidRPr="00B031A0">
              <w:rPr>
                <w:rFonts w:ascii="Arial" w:hAnsi="Arial" w:cs="Arial"/>
                <w:color w:val="000000" w:themeColor="text1"/>
              </w:rPr>
              <w:t>Practice of hand hygiene, infection prevention measures</w:t>
            </w:r>
          </w:p>
        </w:tc>
        <w:tc>
          <w:tcPr>
            <w:tcW w:w="4052" w:type="dxa"/>
          </w:tcPr>
          <w:p w:rsidRPr="00B031A0" w:rsidR="00490CD4" w:rsidP="007F0A8D" w:rsidRDefault="00490CD4" w14:paraId="63510F66" w14:textId="77777777">
            <w:pPr>
              <w:widowControl w:val="0"/>
              <w:ind w:left="108"/>
              <w:rPr>
                <w:rFonts w:ascii="Arial" w:hAnsi="Arial" w:cs="Arial"/>
                <w:color w:val="000000" w:themeColor="text1"/>
              </w:rPr>
            </w:pPr>
            <w:r w:rsidRPr="00B031A0">
              <w:rPr>
                <w:rFonts w:ascii="Arial" w:hAnsi="Arial" w:cs="Arial"/>
                <w:color w:val="000000" w:themeColor="text1"/>
              </w:rPr>
              <w:t xml:space="preserve">Articles that </w:t>
            </w:r>
            <w:r>
              <w:rPr>
                <w:rFonts w:ascii="Arial" w:hAnsi="Arial" w:cs="Arial"/>
                <w:color w:val="000000" w:themeColor="text1"/>
              </w:rPr>
              <w:t>are</w:t>
            </w:r>
            <w:r w:rsidRPr="00B031A0">
              <w:rPr>
                <w:rFonts w:ascii="Arial" w:hAnsi="Arial" w:cs="Arial"/>
                <w:color w:val="000000" w:themeColor="text1"/>
              </w:rPr>
              <w:t xml:space="preserve"> not related to hand hygiene or infection prevention</w:t>
            </w:r>
          </w:p>
        </w:tc>
      </w:tr>
      <w:tr w:rsidRPr="00B031A0" w:rsidR="00490CD4" w:rsidTr="007F0A8D" w14:paraId="0D4A9E0C" w14:textId="77777777">
        <w:trPr>
          <w:trHeight w:val="272"/>
        </w:trPr>
        <w:tc>
          <w:tcPr>
            <w:tcW w:w="2419" w:type="dxa"/>
          </w:tcPr>
          <w:p w:rsidRPr="00B031A0" w:rsidR="00490CD4" w:rsidP="007F0A8D" w:rsidRDefault="00490CD4" w14:paraId="28A65BC6" w14:textId="77777777">
            <w:pPr>
              <w:widowControl w:val="0"/>
              <w:ind w:left="108"/>
              <w:rPr>
                <w:rFonts w:ascii="Arial" w:hAnsi="Arial" w:cs="Arial"/>
                <w:b/>
                <w:bCs/>
                <w:color w:val="000000" w:themeColor="text1"/>
              </w:rPr>
            </w:pPr>
            <w:r w:rsidRPr="00B031A0">
              <w:rPr>
                <w:rFonts w:ascii="Arial" w:hAnsi="Arial" w:cs="Arial"/>
                <w:b/>
                <w:bCs/>
                <w:color w:val="000000" w:themeColor="text1"/>
              </w:rPr>
              <w:t>Comparison (C)</w:t>
            </w:r>
          </w:p>
        </w:tc>
        <w:tc>
          <w:tcPr>
            <w:tcW w:w="3589" w:type="dxa"/>
          </w:tcPr>
          <w:p w:rsidRPr="00B031A0" w:rsidR="00490CD4" w:rsidP="007F0A8D" w:rsidRDefault="00490CD4" w14:paraId="111B88C9" w14:textId="77777777">
            <w:pPr>
              <w:widowControl w:val="0"/>
              <w:ind w:left="108"/>
              <w:rPr>
                <w:rFonts w:ascii="Arial" w:hAnsi="Arial" w:cs="Arial"/>
                <w:color w:val="000000" w:themeColor="text1"/>
              </w:rPr>
            </w:pPr>
            <w:r w:rsidRPr="00B031A0">
              <w:rPr>
                <w:rFonts w:ascii="Arial" w:hAnsi="Arial" w:cs="Arial"/>
                <w:color w:val="000000" w:themeColor="text1"/>
              </w:rPr>
              <w:t>Infection prevention strategy, poor compliance and standard practice</w:t>
            </w:r>
          </w:p>
        </w:tc>
        <w:tc>
          <w:tcPr>
            <w:tcW w:w="4052" w:type="dxa"/>
          </w:tcPr>
          <w:p w:rsidRPr="00B031A0" w:rsidR="00490CD4" w:rsidP="007F0A8D" w:rsidRDefault="00490CD4" w14:paraId="685B2FEE" w14:textId="77777777">
            <w:pPr>
              <w:widowControl w:val="0"/>
              <w:ind w:left="108"/>
              <w:rPr>
                <w:rFonts w:ascii="Arial" w:hAnsi="Arial" w:cs="Arial"/>
                <w:color w:val="000000" w:themeColor="text1"/>
              </w:rPr>
            </w:pPr>
            <w:r w:rsidRPr="00B031A0">
              <w:rPr>
                <w:rFonts w:ascii="Arial" w:hAnsi="Arial" w:cs="Arial"/>
                <w:color w:val="000000" w:themeColor="text1"/>
              </w:rPr>
              <w:t xml:space="preserve">Articles that do not have a relevant comparison </w:t>
            </w:r>
          </w:p>
        </w:tc>
      </w:tr>
      <w:tr w:rsidRPr="00B031A0" w:rsidR="00490CD4" w:rsidTr="007F0A8D" w14:paraId="19C59DDA" w14:textId="77777777">
        <w:trPr>
          <w:trHeight w:val="818"/>
        </w:trPr>
        <w:tc>
          <w:tcPr>
            <w:tcW w:w="2419" w:type="dxa"/>
          </w:tcPr>
          <w:p w:rsidRPr="00B031A0" w:rsidR="00490CD4" w:rsidP="007F0A8D" w:rsidRDefault="00490CD4" w14:paraId="029DEB02" w14:textId="77777777">
            <w:pPr>
              <w:widowControl w:val="0"/>
              <w:ind w:left="108"/>
              <w:rPr>
                <w:rFonts w:ascii="Arial" w:hAnsi="Arial" w:cs="Arial"/>
                <w:b/>
                <w:bCs/>
                <w:color w:val="000000" w:themeColor="text1"/>
              </w:rPr>
            </w:pPr>
            <w:r w:rsidRPr="00B031A0">
              <w:rPr>
                <w:rFonts w:ascii="Arial" w:hAnsi="Arial" w:cs="Arial"/>
                <w:b/>
                <w:bCs/>
                <w:color w:val="000000" w:themeColor="text1"/>
              </w:rPr>
              <w:t>Outcome (O)</w:t>
            </w:r>
          </w:p>
        </w:tc>
        <w:tc>
          <w:tcPr>
            <w:tcW w:w="3589" w:type="dxa"/>
          </w:tcPr>
          <w:p w:rsidRPr="00B031A0" w:rsidR="00490CD4" w:rsidP="007F0A8D" w:rsidRDefault="00490CD4" w14:paraId="7F4D6B7D" w14:textId="77777777">
            <w:pPr>
              <w:widowControl w:val="0"/>
              <w:ind w:left="108" w:right="152"/>
              <w:rPr>
                <w:rFonts w:ascii="Arial" w:hAnsi="Arial" w:cs="Arial"/>
                <w:color w:val="000000" w:themeColor="text1"/>
              </w:rPr>
            </w:pPr>
            <w:r w:rsidRPr="00B031A0">
              <w:rPr>
                <w:rFonts w:ascii="Arial" w:hAnsi="Arial" w:cs="Arial"/>
                <w:color w:val="000000" w:themeColor="text1"/>
              </w:rPr>
              <w:t xml:space="preserve">Hand hygiene compliance, decrease in HCAIs </w:t>
            </w:r>
          </w:p>
        </w:tc>
        <w:tc>
          <w:tcPr>
            <w:tcW w:w="4052" w:type="dxa"/>
          </w:tcPr>
          <w:p w:rsidRPr="00B031A0" w:rsidR="00490CD4" w:rsidP="007F0A8D" w:rsidRDefault="00490CD4" w14:paraId="58218A5B" w14:textId="77777777">
            <w:pPr>
              <w:widowControl w:val="0"/>
              <w:ind w:left="108" w:right="152"/>
              <w:rPr>
                <w:rFonts w:ascii="Arial" w:hAnsi="Arial" w:cs="Arial"/>
                <w:color w:val="000000" w:themeColor="text1"/>
              </w:rPr>
            </w:pPr>
            <w:r w:rsidRPr="00B031A0">
              <w:rPr>
                <w:rFonts w:ascii="Arial" w:hAnsi="Arial" w:cs="Arial"/>
                <w:color w:val="000000" w:themeColor="text1"/>
              </w:rPr>
              <w:t>Results that are not related to hand hygiene or infection management</w:t>
            </w:r>
          </w:p>
        </w:tc>
      </w:tr>
      <w:tr w:rsidRPr="00B031A0" w:rsidR="00490CD4" w:rsidTr="007F0A8D" w14:paraId="308DCB75" w14:textId="77777777">
        <w:trPr>
          <w:trHeight w:val="818"/>
        </w:trPr>
        <w:tc>
          <w:tcPr>
            <w:tcW w:w="2419" w:type="dxa"/>
          </w:tcPr>
          <w:p w:rsidRPr="00B031A0" w:rsidR="00490CD4" w:rsidP="007F0A8D" w:rsidRDefault="00490CD4" w14:paraId="4D457109" w14:textId="77777777">
            <w:pPr>
              <w:widowControl w:val="0"/>
              <w:ind w:left="108"/>
              <w:rPr>
                <w:rFonts w:ascii="Arial" w:hAnsi="Arial" w:cs="Arial"/>
                <w:b/>
                <w:bCs/>
                <w:color w:val="000000" w:themeColor="text1"/>
              </w:rPr>
            </w:pPr>
            <w:r w:rsidRPr="00B031A0">
              <w:rPr>
                <w:rFonts w:ascii="Arial" w:hAnsi="Arial" w:cs="Arial"/>
                <w:b/>
                <w:bCs/>
                <w:color w:val="000000" w:themeColor="text1"/>
              </w:rPr>
              <w:t>Setting (S)</w:t>
            </w:r>
          </w:p>
        </w:tc>
        <w:tc>
          <w:tcPr>
            <w:tcW w:w="3589" w:type="dxa"/>
          </w:tcPr>
          <w:p w:rsidRPr="00B031A0" w:rsidR="00490CD4" w:rsidP="007F0A8D" w:rsidRDefault="00490CD4" w14:paraId="7C0E52FD" w14:textId="77777777">
            <w:pPr>
              <w:widowControl w:val="0"/>
              <w:ind w:left="108" w:right="152"/>
              <w:rPr>
                <w:rFonts w:ascii="Arial" w:hAnsi="Arial" w:cs="Arial"/>
                <w:color w:val="000000" w:themeColor="text1"/>
              </w:rPr>
            </w:pPr>
            <w:r w:rsidRPr="00B031A0">
              <w:rPr>
                <w:rFonts w:ascii="Arial" w:hAnsi="Arial" w:cs="Arial"/>
                <w:color w:val="000000" w:themeColor="text1"/>
              </w:rPr>
              <w:t>UK hospitals, NHS hospitals</w:t>
            </w:r>
          </w:p>
        </w:tc>
        <w:tc>
          <w:tcPr>
            <w:tcW w:w="4052" w:type="dxa"/>
          </w:tcPr>
          <w:p w:rsidRPr="00B031A0" w:rsidR="00490CD4" w:rsidP="007F0A8D" w:rsidRDefault="00490CD4" w14:paraId="4C92A341" w14:textId="77777777">
            <w:pPr>
              <w:widowControl w:val="0"/>
              <w:ind w:left="108" w:right="152"/>
              <w:rPr>
                <w:rFonts w:ascii="Arial" w:hAnsi="Arial" w:cs="Arial"/>
                <w:color w:val="000000" w:themeColor="text1"/>
              </w:rPr>
            </w:pPr>
            <w:r w:rsidRPr="00B031A0">
              <w:rPr>
                <w:rFonts w:ascii="Arial" w:hAnsi="Arial" w:cs="Arial"/>
                <w:color w:val="000000" w:themeColor="text1"/>
              </w:rPr>
              <w:t>Non-UK hospitals, community care settings, nursing homes</w:t>
            </w:r>
          </w:p>
        </w:tc>
      </w:tr>
    </w:tbl>
    <w:p w:rsidR="00490CD4" w:rsidP="00490CD4" w:rsidRDefault="00490CD4" w14:paraId="06D45DDE" w14:textId="77777777">
      <w:pPr>
        <w:spacing w:before="280" w:line="240" w:lineRule="auto"/>
        <w:rPr>
          <w:rFonts w:ascii="Arial" w:hAnsi="Arial" w:cs="Arial"/>
          <w:b/>
          <w:bCs/>
          <w:color w:val="000000" w:themeColor="text1"/>
        </w:rPr>
      </w:pPr>
    </w:p>
    <w:p w:rsidRPr="002E1234" w:rsidR="00490CD4" w:rsidP="002E1234" w:rsidRDefault="00490CD4" w14:paraId="5570C081" w14:textId="77777777">
      <w:pPr>
        <w:spacing w:before="280" w:line="240" w:lineRule="auto"/>
        <w:jc w:val="center"/>
        <w:rPr>
          <w:rFonts w:ascii="Arial" w:hAnsi="Arial" w:cs="Arial"/>
          <w:b/>
          <w:bCs/>
          <w:color w:val="000000" w:themeColor="text1"/>
        </w:rPr>
      </w:pPr>
    </w:p>
    <w:p w:rsidRPr="00E12C0B" w:rsidR="00E12C0B" w:rsidP="00E12C0B" w:rsidRDefault="00E12C0B" w14:paraId="62ACFF25" w14:textId="79953128">
      <w:pPr>
        <w:spacing w:before="280" w:line="240" w:lineRule="auto"/>
        <w:jc w:val="center"/>
        <w:rPr>
          <w:rFonts w:ascii="Arial" w:hAnsi="Arial" w:cs="Arial"/>
          <w:b/>
          <w:bCs/>
          <w:color w:val="000000" w:themeColor="text1"/>
        </w:rPr>
      </w:pPr>
      <w:r w:rsidRPr="00B031A0">
        <w:rPr>
          <w:rFonts w:ascii="Arial" w:hAnsi="Arial" w:cs="Arial"/>
          <w:b/>
          <w:bCs/>
          <w:color w:val="000000" w:themeColor="text1"/>
        </w:rPr>
        <w:t xml:space="preserve">Table 3.3: Screening </w:t>
      </w:r>
      <w:r w:rsidR="006005C2">
        <w:rPr>
          <w:rFonts w:ascii="Arial" w:hAnsi="Arial" w:cs="Arial"/>
          <w:b/>
          <w:bCs/>
          <w:color w:val="000000" w:themeColor="text1"/>
        </w:rPr>
        <w:t>Results</w:t>
      </w:r>
    </w:p>
    <w:tbl>
      <w:tblPr>
        <w:tblStyle w:val="a4"/>
        <w:tblpPr w:leftFromText="180" w:rightFromText="180" w:vertAnchor="text" w:horzAnchor="margin" w:tblpXSpec="center" w:tblpY="-24"/>
        <w:tblW w:w="992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1935"/>
        <w:gridCol w:w="1746"/>
        <w:gridCol w:w="1417"/>
        <w:gridCol w:w="1701"/>
        <w:gridCol w:w="1418"/>
        <w:gridCol w:w="1710"/>
      </w:tblGrid>
      <w:tr w:rsidRPr="00B031A0" w:rsidR="00E12C0B" w:rsidTr="00B25273" w14:paraId="7F5884FC" w14:textId="77777777">
        <w:trPr>
          <w:trHeight w:val="557"/>
        </w:trPr>
        <w:tc>
          <w:tcPr>
            <w:tcW w:w="1935" w:type="dxa"/>
          </w:tcPr>
          <w:p w:rsidRPr="00E12C0B" w:rsidR="00E12C0B" w:rsidP="007F0A8D" w:rsidRDefault="00E12C0B" w14:paraId="7CEA383E" w14:textId="77777777">
            <w:pPr>
              <w:widowControl w:val="0"/>
              <w:ind w:left="108"/>
              <w:rPr>
                <w:rFonts w:ascii="Arial" w:hAnsi="Arial" w:cs="Arial"/>
                <w:b/>
                <w:bCs/>
                <w:color w:val="000000" w:themeColor="text1"/>
                <w:sz w:val="20"/>
                <w:szCs w:val="20"/>
              </w:rPr>
            </w:pPr>
            <w:r w:rsidRPr="00E12C0B">
              <w:rPr>
                <w:rFonts w:ascii="Arial" w:hAnsi="Arial" w:cs="Arial"/>
                <w:b/>
                <w:bCs/>
                <w:color w:val="000000" w:themeColor="text1"/>
                <w:sz w:val="20"/>
                <w:szCs w:val="20"/>
              </w:rPr>
              <w:t>Database</w:t>
            </w:r>
          </w:p>
        </w:tc>
        <w:tc>
          <w:tcPr>
            <w:tcW w:w="1746" w:type="dxa"/>
          </w:tcPr>
          <w:p w:rsidRPr="00E12C0B" w:rsidR="00E12C0B" w:rsidP="007F0A8D" w:rsidRDefault="00E12C0B" w14:paraId="407C9BFC" w14:textId="77777777">
            <w:pPr>
              <w:widowControl w:val="0"/>
              <w:ind w:left="107" w:right="492"/>
              <w:rPr>
                <w:rFonts w:ascii="Arial" w:hAnsi="Arial" w:cs="Arial"/>
                <w:b/>
                <w:bCs/>
                <w:color w:val="000000" w:themeColor="text1"/>
                <w:sz w:val="20"/>
                <w:szCs w:val="20"/>
              </w:rPr>
            </w:pPr>
            <w:r w:rsidRPr="00E12C0B">
              <w:rPr>
                <w:rFonts w:ascii="Arial" w:hAnsi="Arial" w:cs="Arial"/>
                <w:b/>
                <w:bCs/>
                <w:color w:val="000000" w:themeColor="text1"/>
                <w:sz w:val="20"/>
                <w:szCs w:val="20"/>
              </w:rPr>
              <w:t>Search Dates</w:t>
            </w:r>
          </w:p>
        </w:tc>
        <w:tc>
          <w:tcPr>
            <w:tcW w:w="1417" w:type="dxa"/>
          </w:tcPr>
          <w:p w:rsidRPr="00E12C0B" w:rsidR="00E12C0B" w:rsidP="007F0A8D" w:rsidRDefault="00E12C0B" w14:paraId="0778D6F6" w14:textId="77777777">
            <w:pPr>
              <w:widowControl w:val="0"/>
              <w:ind w:left="108" w:right="85"/>
              <w:rPr>
                <w:rFonts w:ascii="Arial" w:hAnsi="Arial" w:cs="Arial"/>
                <w:b/>
                <w:bCs/>
                <w:color w:val="000000" w:themeColor="text1"/>
                <w:sz w:val="20"/>
                <w:szCs w:val="20"/>
              </w:rPr>
            </w:pPr>
            <w:r w:rsidRPr="00E12C0B">
              <w:rPr>
                <w:rFonts w:ascii="Arial" w:hAnsi="Arial" w:cs="Arial"/>
                <w:b/>
                <w:bCs/>
                <w:color w:val="000000" w:themeColor="text1"/>
                <w:sz w:val="20"/>
                <w:szCs w:val="20"/>
              </w:rPr>
              <w:t>Inclusion Year</w:t>
            </w:r>
          </w:p>
        </w:tc>
        <w:tc>
          <w:tcPr>
            <w:tcW w:w="1701" w:type="dxa"/>
          </w:tcPr>
          <w:p w:rsidRPr="00E12C0B" w:rsidR="00E12C0B" w:rsidP="007F0A8D" w:rsidRDefault="00E12C0B" w14:paraId="41DB48A0" w14:textId="124B5E9A">
            <w:pPr>
              <w:widowControl w:val="0"/>
              <w:ind w:left="107" w:right="630"/>
              <w:rPr>
                <w:rFonts w:ascii="Arial" w:hAnsi="Arial" w:cs="Arial"/>
                <w:b/>
                <w:bCs/>
                <w:color w:val="000000" w:themeColor="text1"/>
                <w:sz w:val="20"/>
                <w:szCs w:val="20"/>
              </w:rPr>
            </w:pPr>
            <w:r w:rsidRPr="00E12C0B">
              <w:rPr>
                <w:rFonts w:ascii="Arial" w:hAnsi="Arial" w:cs="Arial"/>
                <w:b/>
                <w:bCs/>
                <w:color w:val="000000" w:themeColor="text1"/>
                <w:sz w:val="20"/>
                <w:szCs w:val="20"/>
              </w:rPr>
              <w:t xml:space="preserve">Search </w:t>
            </w:r>
            <w:r w:rsidRPr="00E12C0B" w:rsidR="00CE151E">
              <w:rPr>
                <w:rFonts w:ascii="Arial" w:hAnsi="Arial" w:cs="Arial"/>
                <w:b/>
                <w:bCs/>
                <w:color w:val="000000" w:themeColor="text1"/>
                <w:sz w:val="20"/>
                <w:szCs w:val="20"/>
              </w:rPr>
              <w:t>Results</w:t>
            </w:r>
          </w:p>
        </w:tc>
        <w:tc>
          <w:tcPr>
            <w:tcW w:w="1418" w:type="dxa"/>
          </w:tcPr>
          <w:p w:rsidRPr="00E12C0B" w:rsidR="00E12C0B" w:rsidP="007F0A8D" w:rsidRDefault="00E12C0B" w14:paraId="147DF0E1" w14:textId="77777777">
            <w:pPr>
              <w:widowControl w:val="0"/>
              <w:ind w:left="107"/>
              <w:rPr>
                <w:rFonts w:ascii="Arial" w:hAnsi="Arial" w:cs="Arial"/>
                <w:b/>
                <w:bCs/>
                <w:color w:val="000000" w:themeColor="text1"/>
                <w:sz w:val="20"/>
                <w:szCs w:val="20"/>
              </w:rPr>
            </w:pPr>
            <w:r w:rsidRPr="00E12C0B">
              <w:rPr>
                <w:rFonts w:ascii="Arial" w:hAnsi="Arial" w:cs="Arial"/>
                <w:b/>
                <w:bCs/>
                <w:color w:val="000000" w:themeColor="text1"/>
                <w:sz w:val="20"/>
                <w:szCs w:val="20"/>
              </w:rPr>
              <w:t>Duplicate Removed</w:t>
            </w:r>
          </w:p>
        </w:tc>
        <w:tc>
          <w:tcPr>
            <w:tcW w:w="1710" w:type="dxa"/>
          </w:tcPr>
          <w:p w:rsidRPr="00E12C0B" w:rsidR="00E12C0B" w:rsidP="007F0A8D" w:rsidRDefault="00E12C0B" w14:paraId="3E8E978B" w14:textId="556A51DB">
            <w:pPr>
              <w:widowControl w:val="0"/>
              <w:ind w:left="107"/>
              <w:rPr>
                <w:rFonts w:ascii="Arial" w:hAnsi="Arial" w:cs="Arial"/>
                <w:b/>
                <w:bCs/>
                <w:color w:val="000000" w:themeColor="text1"/>
                <w:sz w:val="20"/>
                <w:szCs w:val="20"/>
              </w:rPr>
            </w:pPr>
            <w:r w:rsidRPr="00E12C0B">
              <w:rPr>
                <w:rFonts w:ascii="Arial" w:hAnsi="Arial" w:cs="Arial"/>
                <w:b/>
                <w:bCs/>
                <w:color w:val="000000" w:themeColor="text1"/>
                <w:sz w:val="20"/>
                <w:szCs w:val="20"/>
              </w:rPr>
              <w:t xml:space="preserve">Exported </w:t>
            </w:r>
            <w:r w:rsidR="006005C2">
              <w:rPr>
                <w:rFonts w:ascii="Arial" w:hAnsi="Arial" w:cs="Arial"/>
                <w:b/>
                <w:bCs/>
                <w:color w:val="000000" w:themeColor="text1"/>
                <w:sz w:val="20"/>
                <w:szCs w:val="20"/>
              </w:rPr>
              <w:t>to RefWorks</w:t>
            </w:r>
          </w:p>
        </w:tc>
      </w:tr>
      <w:tr w:rsidRPr="00B031A0" w:rsidR="00E12C0B" w:rsidTr="00B25273" w14:paraId="028BFC2D" w14:textId="77777777">
        <w:trPr>
          <w:trHeight w:val="277"/>
        </w:trPr>
        <w:tc>
          <w:tcPr>
            <w:tcW w:w="1935" w:type="dxa"/>
          </w:tcPr>
          <w:p w:rsidRPr="00B031A0" w:rsidR="00E12C0B" w:rsidP="007F0A8D" w:rsidRDefault="00E12C0B" w14:paraId="01F2C16B" w14:textId="77777777">
            <w:pPr>
              <w:widowControl w:val="0"/>
              <w:ind w:left="108"/>
              <w:rPr>
                <w:rFonts w:ascii="Arial" w:hAnsi="Arial" w:cs="Arial"/>
                <w:color w:val="000000" w:themeColor="text1"/>
              </w:rPr>
            </w:pPr>
            <w:r w:rsidRPr="00B031A0">
              <w:rPr>
                <w:rFonts w:ascii="Arial" w:hAnsi="Arial" w:cs="Arial"/>
                <w:color w:val="000000" w:themeColor="text1"/>
              </w:rPr>
              <w:t>PubMed</w:t>
            </w:r>
          </w:p>
        </w:tc>
        <w:tc>
          <w:tcPr>
            <w:tcW w:w="1746" w:type="dxa"/>
          </w:tcPr>
          <w:p w:rsidRPr="00B031A0" w:rsidR="00E12C0B" w:rsidP="007F0A8D" w:rsidRDefault="00E12C0B" w14:paraId="58F2E1BD" w14:textId="77777777">
            <w:pPr>
              <w:widowControl w:val="0"/>
              <w:ind w:left="97" w:right="88"/>
              <w:rPr>
                <w:rFonts w:ascii="Arial" w:hAnsi="Arial" w:cs="Arial"/>
                <w:color w:val="000000" w:themeColor="text1"/>
              </w:rPr>
            </w:pPr>
            <w:r w:rsidRPr="00B031A0">
              <w:rPr>
                <w:rFonts w:ascii="Arial" w:hAnsi="Arial" w:cs="Arial"/>
                <w:color w:val="000000" w:themeColor="text1"/>
              </w:rPr>
              <w:t>5-8 June 2026</w:t>
            </w:r>
          </w:p>
        </w:tc>
        <w:tc>
          <w:tcPr>
            <w:tcW w:w="1417" w:type="dxa"/>
          </w:tcPr>
          <w:p w:rsidRPr="00B031A0" w:rsidR="00E12C0B" w:rsidP="007F0A8D" w:rsidRDefault="00E12C0B" w14:paraId="78CAEE85" w14:textId="77777777">
            <w:pPr>
              <w:widowControl w:val="0"/>
              <w:ind w:left="108"/>
              <w:rPr>
                <w:rFonts w:ascii="Arial" w:hAnsi="Arial" w:cs="Arial"/>
                <w:color w:val="000000" w:themeColor="text1"/>
              </w:rPr>
            </w:pPr>
            <w:r w:rsidRPr="00B031A0">
              <w:rPr>
                <w:rFonts w:ascii="Arial" w:hAnsi="Arial" w:cs="Arial"/>
                <w:color w:val="000000" w:themeColor="text1"/>
              </w:rPr>
              <w:t>2016-2026</w:t>
            </w:r>
          </w:p>
        </w:tc>
        <w:tc>
          <w:tcPr>
            <w:tcW w:w="1701" w:type="dxa"/>
          </w:tcPr>
          <w:p w:rsidRPr="00B031A0" w:rsidR="00E12C0B" w:rsidP="007F0A8D" w:rsidRDefault="00E12C0B" w14:paraId="1C2D5383" w14:textId="77777777">
            <w:pPr>
              <w:widowControl w:val="0"/>
              <w:ind w:left="107"/>
              <w:rPr>
                <w:rFonts w:ascii="Arial" w:hAnsi="Arial" w:cs="Arial"/>
                <w:color w:val="000000" w:themeColor="text1"/>
              </w:rPr>
            </w:pPr>
            <w:r w:rsidRPr="00B031A0">
              <w:rPr>
                <w:rFonts w:ascii="Arial" w:hAnsi="Arial" w:cs="Arial"/>
                <w:color w:val="000000" w:themeColor="text1"/>
              </w:rPr>
              <w:t>312</w:t>
            </w:r>
          </w:p>
        </w:tc>
        <w:tc>
          <w:tcPr>
            <w:tcW w:w="1418" w:type="dxa"/>
          </w:tcPr>
          <w:p w:rsidRPr="00B031A0" w:rsidR="00E12C0B" w:rsidP="007F0A8D" w:rsidRDefault="00E12C0B" w14:paraId="11E99159" w14:textId="725E2DFA">
            <w:pPr>
              <w:widowControl w:val="0"/>
              <w:ind w:left="107"/>
              <w:rPr>
                <w:rFonts w:ascii="Arial" w:hAnsi="Arial" w:cs="Arial"/>
                <w:color w:val="000000" w:themeColor="text1"/>
              </w:rPr>
            </w:pPr>
            <w:r w:rsidRPr="00B031A0">
              <w:rPr>
                <w:rFonts w:ascii="Arial" w:hAnsi="Arial" w:cs="Arial"/>
                <w:color w:val="000000" w:themeColor="text1"/>
              </w:rPr>
              <w:t>30</w:t>
            </w:r>
            <w:r w:rsidR="00D63CDD">
              <w:rPr>
                <w:rFonts w:ascii="Arial" w:hAnsi="Arial" w:cs="Arial"/>
                <w:color w:val="000000" w:themeColor="text1"/>
              </w:rPr>
              <w:t>9</w:t>
            </w:r>
          </w:p>
        </w:tc>
        <w:tc>
          <w:tcPr>
            <w:tcW w:w="1710" w:type="dxa"/>
          </w:tcPr>
          <w:p w:rsidRPr="00B031A0" w:rsidR="00E12C0B" w:rsidP="007F0A8D" w:rsidRDefault="00CE151E" w14:paraId="4879C51E" w14:textId="05253BFA">
            <w:pPr>
              <w:widowControl w:val="0"/>
              <w:ind w:left="107"/>
              <w:rPr>
                <w:rFonts w:ascii="Arial" w:hAnsi="Arial" w:cs="Arial"/>
                <w:color w:val="000000" w:themeColor="text1"/>
              </w:rPr>
            </w:pPr>
            <w:r>
              <w:rPr>
                <w:rFonts w:ascii="Arial" w:hAnsi="Arial" w:cs="Arial"/>
                <w:color w:val="000000" w:themeColor="text1"/>
              </w:rPr>
              <w:t>3</w:t>
            </w:r>
          </w:p>
        </w:tc>
      </w:tr>
      <w:tr w:rsidRPr="00B031A0" w:rsidR="00E12C0B" w:rsidTr="00B25273" w14:paraId="73FE1E46" w14:textId="77777777">
        <w:trPr>
          <w:trHeight w:val="557"/>
        </w:trPr>
        <w:tc>
          <w:tcPr>
            <w:tcW w:w="1935" w:type="dxa"/>
          </w:tcPr>
          <w:p w:rsidRPr="00B031A0" w:rsidR="00E12C0B" w:rsidP="007F0A8D" w:rsidRDefault="00E12C0B" w14:paraId="4F55E984" w14:textId="77777777">
            <w:pPr>
              <w:widowControl w:val="0"/>
              <w:ind w:left="108" w:right="619"/>
              <w:rPr>
                <w:rFonts w:ascii="Arial" w:hAnsi="Arial" w:cs="Arial"/>
                <w:color w:val="000000" w:themeColor="text1"/>
              </w:rPr>
            </w:pPr>
            <w:r w:rsidRPr="00B031A0">
              <w:rPr>
                <w:rFonts w:ascii="Arial" w:hAnsi="Arial" w:cs="Arial"/>
                <w:color w:val="000000" w:themeColor="text1"/>
              </w:rPr>
              <w:t>Google Scholar</w:t>
            </w:r>
          </w:p>
        </w:tc>
        <w:tc>
          <w:tcPr>
            <w:tcW w:w="1746" w:type="dxa"/>
          </w:tcPr>
          <w:p w:rsidRPr="00B031A0" w:rsidR="00E12C0B" w:rsidP="007F0A8D" w:rsidRDefault="00E12C0B" w14:paraId="2DEC5C60" w14:textId="77777777">
            <w:pPr>
              <w:widowControl w:val="0"/>
              <w:ind w:left="97" w:right="88"/>
              <w:rPr>
                <w:rFonts w:ascii="Arial" w:hAnsi="Arial" w:cs="Arial"/>
                <w:color w:val="000000" w:themeColor="text1"/>
              </w:rPr>
            </w:pPr>
            <w:r w:rsidRPr="00B031A0">
              <w:rPr>
                <w:rFonts w:ascii="Arial" w:hAnsi="Arial" w:cs="Arial"/>
                <w:color w:val="000000" w:themeColor="text1"/>
              </w:rPr>
              <w:t>14-19 June 2026</w:t>
            </w:r>
          </w:p>
        </w:tc>
        <w:tc>
          <w:tcPr>
            <w:tcW w:w="1417" w:type="dxa"/>
          </w:tcPr>
          <w:p w:rsidRPr="00B031A0" w:rsidR="00E12C0B" w:rsidP="007F0A8D" w:rsidRDefault="00E12C0B" w14:paraId="5FA09D2C" w14:textId="77777777">
            <w:pPr>
              <w:widowControl w:val="0"/>
              <w:ind w:left="108"/>
              <w:rPr>
                <w:rFonts w:ascii="Arial" w:hAnsi="Arial" w:cs="Arial"/>
                <w:color w:val="000000" w:themeColor="text1"/>
              </w:rPr>
            </w:pPr>
            <w:r w:rsidRPr="00B031A0">
              <w:rPr>
                <w:rFonts w:ascii="Arial" w:hAnsi="Arial" w:cs="Arial"/>
                <w:color w:val="000000" w:themeColor="text1"/>
              </w:rPr>
              <w:t>2016-2026</w:t>
            </w:r>
          </w:p>
        </w:tc>
        <w:tc>
          <w:tcPr>
            <w:tcW w:w="1701" w:type="dxa"/>
          </w:tcPr>
          <w:p w:rsidRPr="00B031A0" w:rsidR="00E12C0B" w:rsidP="007F0A8D" w:rsidRDefault="00E12C0B" w14:paraId="2FBA9A12" w14:textId="77777777">
            <w:pPr>
              <w:widowControl w:val="0"/>
              <w:ind w:left="107"/>
              <w:rPr>
                <w:rFonts w:ascii="Arial" w:hAnsi="Arial" w:cs="Arial"/>
                <w:color w:val="000000" w:themeColor="text1"/>
              </w:rPr>
            </w:pPr>
            <w:r w:rsidRPr="00B031A0">
              <w:rPr>
                <w:rFonts w:ascii="Arial" w:hAnsi="Arial" w:cs="Arial"/>
                <w:color w:val="000000" w:themeColor="text1"/>
              </w:rPr>
              <w:t>284</w:t>
            </w:r>
          </w:p>
        </w:tc>
        <w:tc>
          <w:tcPr>
            <w:tcW w:w="1418" w:type="dxa"/>
          </w:tcPr>
          <w:p w:rsidRPr="00B031A0" w:rsidR="00E12C0B" w:rsidP="007F0A8D" w:rsidRDefault="00E12C0B" w14:paraId="24B56C66" w14:textId="77777777">
            <w:pPr>
              <w:widowControl w:val="0"/>
              <w:ind w:left="107"/>
              <w:rPr>
                <w:rFonts w:ascii="Arial" w:hAnsi="Arial" w:cs="Arial"/>
                <w:color w:val="000000" w:themeColor="text1"/>
              </w:rPr>
            </w:pPr>
            <w:r w:rsidRPr="00B031A0">
              <w:rPr>
                <w:rFonts w:ascii="Arial" w:hAnsi="Arial" w:cs="Arial"/>
                <w:color w:val="000000" w:themeColor="text1"/>
              </w:rPr>
              <w:t>279</w:t>
            </w:r>
          </w:p>
        </w:tc>
        <w:tc>
          <w:tcPr>
            <w:tcW w:w="1710" w:type="dxa"/>
          </w:tcPr>
          <w:p w:rsidRPr="00B031A0" w:rsidR="00E12C0B" w:rsidP="007F0A8D" w:rsidRDefault="00CE151E" w14:paraId="5F0C3FF2" w14:textId="7A240C9B">
            <w:pPr>
              <w:widowControl w:val="0"/>
              <w:ind w:left="107"/>
              <w:rPr>
                <w:rFonts w:ascii="Arial" w:hAnsi="Arial" w:cs="Arial"/>
                <w:color w:val="000000" w:themeColor="text1"/>
              </w:rPr>
            </w:pPr>
            <w:r>
              <w:rPr>
                <w:rFonts w:ascii="Arial" w:hAnsi="Arial" w:cs="Arial"/>
                <w:color w:val="000000" w:themeColor="text1"/>
              </w:rPr>
              <w:t>5</w:t>
            </w:r>
          </w:p>
        </w:tc>
      </w:tr>
      <w:tr w:rsidRPr="00B031A0" w:rsidR="00E12C0B" w:rsidTr="00B25273" w14:paraId="198F1784" w14:textId="77777777">
        <w:trPr>
          <w:trHeight w:val="557"/>
        </w:trPr>
        <w:tc>
          <w:tcPr>
            <w:tcW w:w="1935" w:type="dxa"/>
          </w:tcPr>
          <w:p w:rsidRPr="00B031A0" w:rsidR="00E12C0B" w:rsidP="007F0A8D" w:rsidRDefault="00E12C0B" w14:paraId="76DC4AD4" w14:textId="77777777">
            <w:pPr>
              <w:widowControl w:val="0"/>
              <w:ind w:left="108" w:right="619"/>
              <w:rPr>
                <w:rFonts w:ascii="Arial" w:hAnsi="Arial" w:cs="Arial"/>
                <w:color w:val="000000" w:themeColor="text1"/>
              </w:rPr>
            </w:pPr>
            <w:r w:rsidRPr="00B031A0">
              <w:rPr>
                <w:rFonts w:ascii="Arial" w:hAnsi="Arial" w:cs="Arial"/>
                <w:color w:val="000000" w:themeColor="text1"/>
              </w:rPr>
              <w:t>Scopus</w:t>
            </w:r>
          </w:p>
        </w:tc>
        <w:tc>
          <w:tcPr>
            <w:tcW w:w="1746" w:type="dxa"/>
          </w:tcPr>
          <w:p w:rsidRPr="00B031A0" w:rsidR="00E12C0B" w:rsidP="007F0A8D" w:rsidRDefault="00E12C0B" w14:paraId="7C2F9A54" w14:textId="6B0F695C">
            <w:pPr>
              <w:widowControl w:val="0"/>
              <w:ind w:left="97" w:right="88"/>
              <w:rPr>
                <w:rFonts w:ascii="Arial" w:hAnsi="Arial" w:cs="Arial"/>
                <w:color w:val="000000" w:themeColor="text1"/>
              </w:rPr>
            </w:pPr>
            <w:r w:rsidRPr="00B031A0">
              <w:rPr>
                <w:rFonts w:ascii="Arial" w:hAnsi="Arial" w:cs="Arial"/>
                <w:color w:val="000000" w:themeColor="text1"/>
              </w:rPr>
              <w:t>9-13 Ju</w:t>
            </w:r>
            <w:r w:rsidR="00CE151E">
              <w:rPr>
                <w:rFonts w:ascii="Arial" w:hAnsi="Arial" w:cs="Arial"/>
                <w:color w:val="000000" w:themeColor="text1"/>
              </w:rPr>
              <w:t>ly</w:t>
            </w:r>
            <w:r w:rsidRPr="00B031A0">
              <w:rPr>
                <w:rFonts w:ascii="Arial" w:hAnsi="Arial" w:cs="Arial"/>
                <w:color w:val="000000" w:themeColor="text1"/>
              </w:rPr>
              <w:t xml:space="preserve"> 2026</w:t>
            </w:r>
          </w:p>
        </w:tc>
        <w:tc>
          <w:tcPr>
            <w:tcW w:w="1417" w:type="dxa"/>
          </w:tcPr>
          <w:p w:rsidRPr="00B031A0" w:rsidR="00E12C0B" w:rsidP="007F0A8D" w:rsidRDefault="00E12C0B" w14:paraId="49407756" w14:textId="77777777">
            <w:pPr>
              <w:widowControl w:val="0"/>
              <w:ind w:left="108"/>
              <w:rPr>
                <w:rFonts w:ascii="Arial" w:hAnsi="Arial" w:cs="Arial"/>
                <w:color w:val="000000" w:themeColor="text1"/>
              </w:rPr>
            </w:pPr>
            <w:r w:rsidRPr="00B031A0">
              <w:rPr>
                <w:rFonts w:ascii="Arial" w:hAnsi="Arial" w:cs="Arial"/>
                <w:color w:val="000000" w:themeColor="text1"/>
              </w:rPr>
              <w:t>2016-2026</w:t>
            </w:r>
          </w:p>
        </w:tc>
        <w:tc>
          <w:tcPr>
            <w:tcW w:w="1701" w:type="dxa"/>
          </w:tcPr>
          <w:p w:rsidRPr="00B031A0" w:rsidR="00E12C0B" w:rsidP="007F0A8D" w:rsidRDefault="00E12C0B" w14:paraId="492EEA98" w14:textId="77777777">
            <w:pPr>
              <w:widowControl w:val="0"/>
              <w:ind w:left="107"/>
              <w:rPr>
                <w:rFonts w:ascii="Arial" w:hAnsi="Arial" w:cs="Arial"/>
                <w:color w:val="000000" w:themeColor="text1"/>
              </w:rPr>
            </w:pPr>
            <w:r w:rsidRPr="00B031A0">
              <w:rPr>
                <w:rFonts w:ascii="Arial" w:hAnsi="Arial" w:cs="Arial"/>
                <w:color w:val="000000" w:themeColor="text1"/>
              </w:rPr>
              <w:t>779</w:t>
            </w:r>
          </w:p>
        </w:tc>
        <w:tc>
          <w:tcPr>
            <w:tcW w:w="1418" w:type="dxa"/>
          </w:tcPr>
          <w:p w:rsidRPr="00B031A0" w:rsidR="00E12C0B" w:rsidP="007F0A8D" w:rsidRDefault="00E12C0B" w14:paraId="27EAA695" w14:textId="5DB644B1">
            <w:pPr>
              <w:widowControl w:val="0"/>
              <w:ind w:left="107"/>
              <w:rPr>
                <w:rFonts w:ascii="Arial" w:hAnsi="Arial" w:cs="Arial"/>
                <w:color w:val="000000" w:themeColor="text1"/>
              </w:rPr>
            </w:pPr>
            <w:r w:rsidRPr="00B031A0">
              <w:rPr>
                <w:rFonts w:ascii="Arial" w:hAnsi="Arial" w:cs="Arial"/>
                <w:color w:val="000000" w:themeColor="text1"/>
              </w:rPr>
              <w:t>77</w:t>
            </w:r>
            <w:r w:rsidR="00D63CDD">
              <w:rPr>
                <w:rFonts w:ascii="Arial" w:hAnsi="Arial" w:cs="Arial"/>
                <w:color w:val="000000" w:themeColor="text1"/>
              </w:rPr>
              <w:t>5</w:t>
            </w:r>
          </w:p>
        </w:tc>
        <w:tc>
          <w:tcPr>
            <w:tcW w:w="1710" w:type="dxa"/>
          </w:tcPr>
          <w:p w:rsidRPr="00B031A0" w:rsidR="00E12C0B" w:rsidP="007F0A8D" w:rsidRDefault="00CE151E" w14:paraId="7005620A" w14:textId="3CB72561">
            <w:pPr>
              <w:widowControl w:val="0"/>
              <w:ind w:left="107"/>
              <w:rPr>
                <w:rFonts w:ascii="Arial" w:hAnsi="Arial" w:cs="Arial"/>
                <w:color w:val="000000" w:themeColor="text1"/>
              </w:rPr>
            </w:pPr>
            <w:r>
              <w:rPr>
                <w:rFonts w:ascii="Arial" w:hAnsi="Arial" w:cs="Arial"/>
                <w:color w:val="000000" w:themeColor="text1"/>
              </w:rPr>
              <w:t>4</w:t>
            </w:r>
          </w:p>
        </w:tc>
      </w:tr>
      <w:tr w:rsidRPr="00B031A0" w:rsidR="00E12C0B" w:rsidTr="00B25273" w14:paraId="35C34537" w14:textId="77777777">
        <w:trPr>
          <w:trHeight w:val="277"/>
        </w:trPr>
        <w:tc>
          <w:tcPr>
            <w:tcW w:w="1935" w:type="dxa"/>
          </w:tcPr>
          <w:p w:rsidRPr="00B031A0" w:rsidR="00E12C0B" w:rsidP="007F0A8D" w:rsidRDefault="00E12C0B" w14:paraId="2185DC6D" w14:textId="77777777">
            <w:pPr>
              <w:widowControl w:val="0"/>
              <w:rPr>
                <w:rFonts w:ascii="Arial" w:hAnsi="Arial" w:cs="Arial"/>
                <w:color w:val="000000" w:themeColor="text1"/>
              </w:rPr>
            </w:pPr>
            <w:r w:rsidRPr="00B031A0">
              <w:rPr>
                <w:rFonts w:ascii="Arial" w:hAnsi="Arial" w:cs="Arial"/>
                <w:color w:val="000000" w:themeColor="text1"/>
              </w:rPr>
              <w:t>Total Articles</w:t>
            </w:r>
          </w:p>
        </w:tc>
        <w:tc>
          <w:tcPr>
            <w:tcW w:w="1746" w:type="dxa"/>
          </w:tcPr>
          <w:p w:rsidRPr="00B031A0" w:rsidR="00E12C0B" w:rsidP="007F0A8D" w:rsidRDefault="00E12C0B" w14:paraId="2766014A" w14:textId="4D05BD06">
            <w:pPr>
              <w:widowControl w:val="0"/>
              <w:rPr>
                <w:rFonts w:ascii="Arial" w:hAnsi="Arial" w:cs="Arial"/>
                <w:color w:val="000000" w:themeColor="text1"/>
              </w:rPr>
            </w:pPr>
            <w:r w:rsidRPr="00B031A0">
              <w:rPr>
                <w:rFonts w:ascii="Arial" w:hAnsi="Arial" w:cs="Arial"/>
                <w:color w:val="000000" w:themeColor="text1"/>
              </w:rPr>
              <w:t>5-1</w:t>
            </w:r>
            <w:r w:rsidR="00CE151E">
              <w:rPr>
                <w:rFonts w:ascii="Arial" w:hAnsi="Arial" w:cs="Arial"/>
                <w:color w:val="000000" w:themeColor="text1"/>
              </w:rPr>
              <w:t>0</w:t>
            </w:r>
            <w:r w:rsidRPr="00B031A0">
              <w:rPr>
                <w:rFonts w:ascii="Arial" w:hAnsi="Arial" w:cs="Arial"/>
                <w:color w:val="000000" w:themeColor="text1"/>
              </w:rPr>
              <w:t xml:space="preserve"> </w:t>
            </w:r>
            <w:r w:rsidR="00CE151E">
              <w:rPr>
                <w:rFonts w:ascii="Arial" w:hAnsi="Arial" w:cs="Arial"/>
                <w:color w:val="000000" w:themeColor="text1"/>
              </w:rPr>
              <w:t xml:space="preserve">August </w:t>
            </w:r>
            <w:r w:rsidRPr="00B031A0">
              <w:rPr>
                <w:rFonts w:ascii="Arial" w:hAnsi="Arial" w:cs="Arial"/>
                <w:color w:val="000000" w:themeColor="text1"/>
              </w:rPr>
              <w:t>2026</w:t>
            </w:r>
          </w:p>
        </w:tc>
        <w:tc>
          <w:tcPr>
            <w:tcW w:w="1417" w:type="dxa"/>
          </w:tcPr>
          <w:p w:rsidRPr="00B031A0" w:rsidR="00E12C0B" w:rsidP="007F0A8D" w:rsidRDefault="00E12C0B" w14:paraId="0F4C367F" w14:textId="77777777">
            <w:pPr>
              <w:widowControl w:val="0"/>
              <w:ind w:left="108"/>
              <w:rPr>
                <w:rFonts w:ascii="Arial" w:hAnsi="Arial" w:cs="Arial"/>
                <w:color w:val="000000" w:themeColor="text1"/>
              </w:rPr>
            </w:pPr>
            <w:r w:rsidRPr="00B031A0">
              <w:rPr>
                <w:rFonts w:ascii="Arial" w:hAnsi="Arial" w:cs="Arial"/>
                <w:color w:val="000000" w:themeColor="text1"/>
              </w:rPr>
              <w:t>2016-2026</w:t>
            </w:r>
          </w:p>
        </w:tc>
        <w:tc>
          <w:tcPr>
            <w:tcW w:w="1701" w:type="dxa"/>
          </w:tcPr>
          <w:p w:rsidRPr="00B031A0" w:rsidR="00E12C0B" w:rsidP="007F0A8D" w:rsidRDefault="00E12C0B" w14:paraId="79D36BF7" w14:textId="77777777">
            <w:pPr>
              <w:widowControl w:val="0"/>
              <w:ind w:left="107"/>
              <w:rPr>
                <w:rFonts w:ascii="Arial" w:hAnsi="Arial" w:cs="Arial"/>
                <w:color w:val="000000" w:themeColor="text1"/>
              </w:rPr>
            </w:pPr>
            <w:r w:rsidRPr="00B031A0">
              <w:rPr>
                <w:rFonts w:ascii="Arial" w:hAnsi="Arial" w:cs="Arial"/>
                <w:color w:val="000000" w:themeColor="text1"/>
              </w:rPr>
              <w:t>1375</w:t>
            </w:r>
          </w:p>
        </w:tc>
        <w:tc>
          <w:tcPr>
            <w:tcW w:w="1418" w:type="dxa"/>
          </w:tcPr>
          <w:p w:rsidRPr="00B031A0" w:rsidR="00E12C0B" w:rsidP="007F0A8D" w:rsidRDefault="00E12C0B" w14:paraId="3EE1EE06" w14:textId="309C1E80">
            <w:pPr>
              <w:widowControl w:val="0"/>
              <w:ind w:left="107"/>
              <w:rPr>
                <w:rFonts w:ascii="Arial" w:hAnsi="Arial" w:cs="Arial"/>
                <w:color w:val="000000" w:themeColor="text1"/>
              </w:rPr>
            </w:pPr>
            <w:r w:rsidRPr="00B031A0">
              <w:rPr>
                <w:rFonts w:ascii="Arial" w:hAnsi="Arial" w:cs="Arial"/>
                <w:color w:val="000000" w:themeColor="text1"/>
              </w:rPr>
              <w:t>136</w:t>
            </w:r>
            <w:r w:rsidR="00D63CDD">
              <w:rPr>
                <w:rFonts w:ascii="Arial" w:hAnsi="Arial" w:cs="Arial"/>
                <w:color w:val="000000" w:themeColor="text1"/>
              </w:rPr>
              <w:t>3</w:t>
            </w:r>
          </w:p>
        </w:tc>
        <w:tc>
          <w:tcPr>
            <w:tcW w:w="1710" w:type="dxa"/>
          </w:tcPr>
          <w:p w:rsidRPr="00B031A0" w:rsidR="00E12C0B" w:rsidP="007F0A8D" w:rsidRDefault="00E12C0B" w14:paraId="7C75296D" w14:textId="33BBE94C">
            <w:pPr>
              <w:widowControl w:val="0"/>
              <w:ind w:left="107"/>
              <w:rPr>
                <w:rFonts w:ascii="Arial" w:hAnsi="Arial" w:cs="Arial"/>
                <w:color w:val="000000" w:themeColor="text1"/>
              </w:rPr>
            </w:pPr>
            <w:r w:rsidRPr="00B031A0">
              <w:rPr>
                <w:rFonts w:ascii="Arial" w:hAnsi="Arial" w:cs="Arial"/>
                <w:color w:val="000000" w:themeColor="text1"/>
              </w:rPr>
              <w:t>1</w:t>
            </w:r>
            <w:r w:rsidR="00CE151E">
              <w:rPr>
                <w:rFonts w:ascii="Arial" w:hAnsi="Arial" w:cs="Arial"/>
                <w:color w:val="000000" w:themeColor="text1"/>
              </w:rPr>
              <w:t>2</w:t>
            </w:r>
          </w:p>
        </w:tc>
      </w:tr>
    </w:tbl>
    <w:p w:rsidRPr="00B031A0" w:rsidR="00C77BF3" w:rsidP="009000CD" w:rsidRDefault="00115699" w14:paraId="39FFE101" w14:textId="77777777">
      <w:pPr>
        <w:pStyle w:val="Heading1"/>
        <w:ind w:left="0" w:firstLine="0"/>
        <w:jc w:val="both"/>
      </w:pPr>
      <w:bookmarkStart w:name="_Toc240696182" w:id="37"/>
      <w:r w:rsidRPr="00B031A0">
        <w:t>3.13 Study Selection</w:t>
      </w:r>
      <w:bookmarkEnd w:id="37"/>
      <w:r w:rsidRPr="00B031A0">
        <w:t xml:space="preserve"> </w:t>
      </w:r>
    </w:p>
    <w:p w:rsidRPr="00546E69" w:rsidR="00546E69" w:rsidP="002E1234" w:rsidRDefault="00546E69" w14:paraId="00A0A304" w14:textId="77777777">
      <w:pPr>
        <w:rPr>
          <w:rFonts w:ascii="Arial" w:hAnsi="Arial" w:cs="Arial"/>
          <w:color w:val="000000" w:themeColor="text1"/>
        </w:rPr>
      </w:pPr>
      <w:r w:rsidRPr="00546E69">
        <w:rPr>
          <w:rFonts w:ascii="Arial" w:hAnsi="Arial" w:cs="Arial"/>
          <w:color w:val="000000" w:themeColor="text1"/>
        </w:rPr>
        <w:t xml:space="preserve">The study selection process was conducted in three sequential stages to identify studies that met the predefined inclusion and exclusion criteria. First, during the identification stage, 1,375 records were retrieved from PubMed, Scopus and Google Scholar. After the removal of duplicate records, 211 records remained for further screening. </w:t>
      </w:r>
    </w:p>
    <w:p w:rsidRPr="00546E69" w:rsidR="00546E69" w:rsidP="002E1234" w:rsidRDefault="00546E69" w14:paraId="73888FAF" w14:textId="58FD1878">
      <w:pPr>
        <w:rPr>
          <w:rFonts w:ascii="Arial" w:hAnsi="Arial" w:cs="Arial"/>
          <w:color w:val="000000" w:themeColor="text1"/>
        </w:rPr>
      </w:pPr>
      <w:r w:rsidRPr="00546E69">
        <w:rPr>
          <w:rFonts w:ascii="Arial" w:hAnsi="Arial" w:cs="Arial"/>
          <w:color w:val="000000" w:themeColor="text1"/>
        </w:rPr>
        <w:t xml:space="preserve">Second, during the screening stage, the titles and abstracts of the 211 records were examined against the eligibility criteria. Studies that were not related to nurses’ hand hygiene compliance, healthcare-associated infections or UK hospital settings were excluded. </w:t>
      </w:r>
    </w:p>
    <w:p w:rsidRPr="00546E69" w:rsidR="002E1234" w:rsidP="002E1234" w:rsidRDefault="00546E69" w14:paraId="26A8B982" w14:textId="688FE672">
      <w:pPr>
        <w:rPr>
          <w:rFonts w:ascii="Arial" w:hAnsi="Arial" w:cs="Arial"/>
          <w:color w:val="000000" w:themeColor="text1"/>
          <w:lang w:val="en-US"/>
        </w:rPr>
      </w:pPr>
      <w:r w:rsidRPr="00546E69">
        <w:rPr>
          <w:rFonts w:ascii="Arial" w:hAnsi="Arial" w:cs="Arial"/>
          <w:color w:val="000000" w:themeColor="text1"/>
        </w:rPr>
        <w:t>Third, during the eligibility stage, 150 full-text articles were assessed against the predefined inclusion and exclusion criteria. A total of 61 full-text articles were excluded because they did not meet the eligibility requirements. Following the final assessment, 12 articles met the inclusion criteria and were included in the systematic review. The complete study selection process is presented in the PRISMA flow diagram below</w:t>
      </w:r>
      <w:r w:rsidRPr="00546E69" w:rsidR="002E1234">
        <w:rPr>
          <w:rFonts w:ascii="Arial" w:hAnsi="Arial" w:cs="Arial"/>
          <w:color w:val="000000" w:themeColor="text1"/>
          <w:lang w:val="en-US"/>
        </w:rPr>
        <w:t>.</w:t>
      </w:r>
    </w:p>
    <w:p w:rsidRPr="00556E57" w:rsidR="00302E6D" w:rsidP="00302E6D" w:rsidRDefault="00302E6D" w14:paraId="12E4285F" w14:textId="77777777">
      <w:pPr>
        <w:pStyle w:val="Heading1"/>
        <w:jc w:val="both"/>
        <w:rPr>
          <w:color w:val="auto"/>
        </w:rPr>
      </w:pPr>
      <w:bookmarkStart w:name="_Toc240696183" w:id="38"/>
      <w:r w:rsidRPr="00556E57">
        <w:rPr>
          <w:color w:val="auto"/>
        </w:rPr>
        <w:t>PRISMA chart</w:t>
      </w:r>
      <w:bookmarkEnd w:id="38"/>
    </w:p>
    <w:p w:rsidRPr="00E20F08" w:rsidR="00302E6D" w:rsidP="00302E6D" w:rsidRDefault="00302E6D" w14:paraId="55ED81E1" w14:textId="77777777">
      <w:pPr>
        <w:rPr>
          <w:rFonts w:ascii="Arial" w:hAnsi="Arial" w:cs="Arial"/>
          <w:b/>
          <w:bCs/>
        </w:rPr>
      </w:pPr>
      <w:r w:rsidRPr="00E20F08">
        <w:rPr>
          <w:rFonts w:ascii="Arial" w:hAnsi="Arial" w:cs="Arial"/>
          <w:b/>
          <w:bCs/>
        </w:rPr>
        <w:t xml:space="preserve">                                   Identification</w:t>
      </w:r>
    </w:p>
    <w:p w:rsidRPr="00E20F08" w:rsidR="00302E6D" w:rsidP="00302E6D" w:rsidRDefault="00302E6D" w14:paraId="139C6584" w14:textId="77777777">
      <w:pPr>
        <w:rPr>
          <w:rFonts w:ascii="Arial" w:hAnsi="Arial" w:cs="Arial"/>
        </w:rPr>
      </w:pPr>
      <w:r w:rsidRPr="00E20F08">
        <w:rPr>
          <w:rFonts w:ascii="Arial" w:hAnsi="Arial" w:cs="Arial"/>
          <w:noProof/>
        </w:rPr>
        <mc:AlternateContent>
          <mc:Choice Requires="wps">
            <w:drawing>
              <wp:anchor distT="0" distB="0" distL="114300" distR="114300" simplePos="0" relativeHeight="251658240" behindDoc="0" locked="0" layoutInCell="1" allowOverlap="1" wp14:anchorId="4C8E851C" wp14:editId="19FF9976">
                <wp:simplePos x="0" y="0"/>
                <wp:positionH relativeFrom="column">
                  <wp:posOffset>782078</wp:posOffset>
                </wp:positionH>
                <wp:positionV relativeFrom="paragraph">
                  <wp:posOffset>45225</wp:posOffset>
                </wp:positionV>
                <wp:extent cx="2779395" cy="602930"/>
                <wp:effectExtent l="0" t="0" r="40005" b="64135"/>
                <wp:wrapNone/>
                <wp:docPr id="1287862833"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79395" cy="602930"/>
                        </a:xfrm>
                        <a:prstGeom prst="rect">
                          <a:avLst/>
                        </a:prstGeom>
                        <a:solidFill>
                          <a:schemeClr val="bg2">
                            <a:lumMod val="100000"/>
                            <a:lumOff val="0"/>
                          </a:schemeClr>
                        </a:solidFill>
                        <a:ln w="12700">
                          <a:solidFill>
                            <a:schemeClr val="accent5">
                              <a:lumMod val="60000"/>
                              <a:lumOff val="40000"/>
                            </a:schemeClr>
                          </a:solidFill>
                          <a:miter lim="800000"/>
                          <a:headEnd/>
                          <a:tailEnd/>
                        </a:ln>
                        <a:effectLst>
                          <a:outerShdw dist="28398" dir="3806097" algn="ctr" rotWithShape="0">
                            <a:schemeClr val="accent5">
                              <a:lumMod val="50000"/>
                              <a:lumOff val="0"/>
                              <a:alpha val="50000"/>
                            </a:schemeClr>
                          </a:outerShdw>
                        </a:effectLst>
                      </wps:spPr>
                      <wps:txbx>
                        <w:txbxContent>
                          <w:p w:rsidRPr="001F45B5" w:rsidR="00302E6D" w:rsidP="00302E6D" w:rsidRDefault="00302E6D" w14:paraId="1EF6B2D4" w14:textId="595C8737">
                            <w:pPr>
                              <w:jc w:val="center"/>
                            </w:pPr>
                            <w:r>
                              <w:t xml:space="preserve">Records identified through database searching </w:t>
                            </w:r>
                            <w:r w:rsidRPr="001F45B5">
                              <w:t>(</w:t>
                            </w:r>
                            <w:r>
                              <w:t>n</w:t>
                            </w:r>
                            <w:r w:rsidRPr="001F45B5">
                              <w:t xml:space="preserve">= </w:t>
                            </w:r>
                            <w:r>
                              <w:t>1375</w:t>
                            </w:r>
                            <w:r w:rsidRPr="001F45B5">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632F2054">
              <v:shapetype id="_x0000_t202" coordsize="21600,21600" o:spt="202" path="m,l,21600r21600,l21600,xe" w14:anchorId="4C8E851C">
                <v:stroke joinstyle="miter"/>
                <v:path gradientshapeok="t" o:connecttype="rect"/>
              </v:shapetype>
              <v:shape id="Text Box 9" style="position:absolute;left:0;text-align:left;margin-left:61.6pt;margin-top:3.55pt;width:218.85pt;height:47.4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6" fillcolor="#eeece1 [3214]" strokecolor="#92cddc [1944]" strokeweight="1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">
                <v:shadow on="t" color="#205867 [1608]" opacity=".5" offset="1pt"/>
                <v:textbox>
                  <w:txbxContent>
                    <w:p w:rsidRPr="001F45B5" w:rsidR="00302E6D" w:rsidP="00302E6D" w:rsidRDefault="00302E6D" w14:paraId="2CD3B449" w14:textId="595C8737">
                      <w:pPr>
                        <w:jc w:val="center"/>
                      </w:pPr>
                      <w:r>
                        <w:t xml:space="preserve">Records identified through database searching </w:t>
                      </w:r>
                      <w:r w:rsidRPr="001F45B5">
                        <w:t>(</w:t>
                      </w:r>
                      <w:r>
                        <w:t>n</w:t>
                      </w:r>
                      <w:r w:rsidRPr="001F45B5">
                        <w:t xml:space="preserve">= </w:t>
                      </w:r>
                      <w:r>
                        <w:t>1375</w:t>
                      </w:r>
                      <w:r w:rsidRPr="001F45B5">
                        <w:t>)</w:t>
                      </w:r>
                    </w:p>
                  </w:txbxContent>
                </v:textbox>
              </v:shape>
            </w:pict>
          </mc:Fallback>
        </mc:AlternateContent>
      </w:r>
    </w:p>
    <w:p w:rsidRPr="00E20F08" w:rsidR="00302E6D" w:rsidP="00302E6D" w:rsidRDefault="00302E6D" w14:paraId="71EF2515" w14:textId="77777777">
      <w:pPr>
        <w:rPr>
          <w:rFonts w:ascii="Arial" w:hAnsi="Arial" w:cs="Arial"/>
        </w:rPr>
      </w:pPr>
      <w:r w:rsidRPr="00E20F08">
        <w:rPr>
          <w:rFonts w:ascii="Arial" w:hAnsi="Arial" w:cs="Arial"/>
          <w:noProof/>
        </w:rPr>
        <mc:AlternateContent>
          <mc:Choice Requires="wps">
            <w:drawing>
              <wp:anchor distT="0" distB="0" distL="114300" distR="114300" simplePos="0" relativeHeight="251658244" behindDoc="0" locked="0" layoutInCell="1" allowOverlap="1" wp14:anchorId="09F26D2D" wp14:editId="345307AD">
                <wp:simplePos x="0" y="0"/>
                <wp:positionH relativeFrom="column">
                  <wp:posOffset>1821180</wp:posOffset>
                </wp:positionH>
                <wp:positionV relativeFrom="paragraph">
                  <wp:posOffset>276860</wp:posOffset>
                </wp:positionV>
                <wp:extent cx="175895" cy="572770"/>
                <wp:effectExtent l="1905" t="5080" r="12700" b="31750"/>
                <wp:wrapNone/>
                <wp:docPr id="1851064961" name="Arrow: Down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5895" cy="572770"/>
                        </a:xfrm>
                        <a:prstGeom prst="downArrow">
                          <a:avLst>
                            <a:gd name="adj1" fmla="val 50000"/>
                            <a:gd name="adj2" fmla="val 81408"/>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5014300">
              <v:shapetype id="_x0000_t67" coordsize="21600,21600" o:spt="67" adj="16200,5400" path="m0@0l@1@0@1,0@2,0@2@0,21600@0,10800,21600xe" w14:anchorId="68D043AE">
                <v:stroke joinstyle="miter"/>
                <v:formulas>
                  <v:f eqn="val #0"/>
                  <v:f eqn="val #1"/>
                  <v:f eqn="sum height 0 #1"/>
                  <v:f eqn="sum 10800 0 #1"/>
                  <v:f eqn="sum width 0 #0"/>
                  <v:f eqn="prod @4 @3 10800"/>
                  <v:f eqn="sum width 0 @5"/>
                </v:formulas>
                <v:path textboxrect="@1,0,@2,@6" o:connecttype="custom" o:connectlocs="10800,0;0,@0;10800,21600;21600,@0" o:connectangles="270,180,90,0"/>
                <v:handles>
                  <v:h position="#1,#0" xrange="0,10800" yrange="0,21600"/>
                </v:handles>
              </v:shapetype>
              <v:shape id="Arrow: Down 8" style="position:absolute;margin-left:143.4pt;margin-top:21.8pt;width:13.85pt;height:45.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6" fillcolor="#bcbcbc [2369]" stroked="f" strokeweight="0" type="#_x0000_t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">
                <v:fill type="gradientRadial" color2="black [3200]" focus="100%" focussize="" focusposition=".5,.5">
                  <o:fill v:ext="view" type="gradientCenter"/>
                </v:fill>
                <v:shadow on="t" color="#7f7f7f [1601]" offset="1pt"/>
                <v:textbox style="layout-flow:vertical-ideographic"/>
              </v:shape>
            </w:pict>
          </mc:Fallback>
        </mc:AlternateContent>
      </w:r>
    </w:p>
    <w:p w:rsidRPr="00E20F08" w:rsidR="00302E6D" w:rsidP="00302E6D" w:rsidRDefault="00302E6D" w14:paraId="7E6E964E" w14:textId="77777777">
      <w:pPr>
        <w:rPr>
          <w:rFonts w:ascii="Arial" w:hAnsi="Arial" w:cs="Arial"/>
          <w:b/>
          <w:bCs/>
        </w:rPr>
      </w:pPr>
      <w:r w:rsidRPr="00E20F08">
        <w:rPr>
          <w:rFonts w:ascii="Arial" w:hAnsi="Arial" w:cs="Arial"/>
          <w:b/>
          <w:bCs/>
        </w:rPr>
        <w:t xml:space="preserve">                                                       Screening</w:t>
      </w:r>
    </w:p>
    <w:p w:rsidRPr="00E20F08" w:rsidR="00302E6D" w:rsidP="00302E6D" w:rsidRDefault="00302E6D" w14:paraId="73891BF4" w14:textId="77777777">
      <w:pPr>
        <w:rPr>
          <w:rFonts w:ascii="Arial" w:hAnsi="Arial" w:cs="Arial"/>
          <w:b/>
          <w:bCs/>
        </w:rPr>
      </w:pPr>
      <w:r w:rsidRPr="00E20F08">
        <w:rPr>
          <w:rFonts w:ascii="Arial" w:hAnsi="Arial" w:cs="Arial"/>
          <w:noProof/>
        </w:rPr>
        <mc:AlternateContent>
          <mc:Choice Requires="wps">
            <w:drawing>
              <wp:anchor distT="0" distB="0" distL="114300" distR="114300" simplePos="0" relativeHeight="251658241" behindDoc="0" locked="0" layoutInCell="1" allowOverlap="1" wp14:anchorId="705A57C1" wp14:editId="091C4BB9">
                <wp:simplePos x="0" y="0"/>
                <wp:positionH relativeFrom="column">
                  <wp:posOffset>728283</wp:posOffset>
                </wp:positionH>
                <wp:positionV relativeFrom="paragraph">
                  <wp:posOffset>259327</wp:posOffset>
                </wp:positionV>
                <wp:extent cx="2773680" cy="639271"/>
                <wp:effectExtent l="0" t="0" r="45720" b="66040"/>
                <wp:wrapNone/>
                <wp:docPr id="1058036894"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73680" cy="639271"/>
                        </a:xfrm>
                        <a:prstGeom prst="rect">
                          <a:avLst/>
                        </a:prstGeom>
                        <a:solidFill>
                          <a:schemeClr val="bg1">
                            <a:lumMod val="100000"/>
                            <a:lumOff val="0"/>
                          </a:schemeClr>
                        </a:solidFill>
                        <a:ln w="12700">
                          <a:solidFill>
                            <a:schemeClr val="accent3">
                              <a:lumMod val="60000"/>
                              <a:lumOff val="40000"/>
                            </a:schemeClr>
                          </a:solidFill>
                          <a:miter lim="800000"/>
                          <a:headEnd/>
                          <a:tailEnd/>
                        </a:ln>
                        <a:effectLst>
                          <a:outerShdw dist="28398" dir="3806097" algn="ctr" rotWithShape="0">
                            <a:schemeClr val="accent3">
                              <a:lumMod val="50000"/>
                              <a:lumOff val="0"/>
                              <a:alpha val="50000"/>
                            </a:schemeClr>
                          </a:outerShdw>
                        </a:effectLst>
                      </wps:spPr>
                      <wps:txbx>
                        <w:txbxContent>
                          <w:p w:rsidR="00302E6D" w:rsidP="00302E6D" w:rsidRDefault="00302E6D" w14:paraId="712D6A77" w14:textId="77777777">
                            <w:pPr>
                              <w:jc w:val="center"/>
                            </w:pPr>
                            <w:r>
                              <w:t xml:space="preserve">Records after </w:t>
                            </w:r>
                            <w:r w:rsidRPr="001F45B5">
                              <w:t>Duplicates removed</w:t>
                            </w:r>
                            <w:r>
                              <w:t xml:space="preserve">  </w:t>
                            </w:r>
                          </w:p>
                          <w:p w:rsidRPr="001F45B5" w:rsidR="00302E6D" w:rsidP="00302E6D" w:rsidRDefault="00302E6D" w14:paraId="54D99A6F" w14:textId="38A01AB5">
                            <w:pPr>
                              <w:jc w:val="center"/>
                            </w:pPr>
                            <w:r>
                              <w:t xml:space="preserve"> </w:t>
                            </w:r>
                            <w:r w:rsidRPr="001F45B5">
                              <w:t>(</w:t>
                            </w:r>
                            <w:r>
                              <w:t>n</w:t>
                            </w:r>
                            <w:r w:rsidRPr="001F45B5">
                              <w:t xml:space="preserve">= </w:t>
                            </w:r>
                            <w:r>
                              <w:t>211</w:t>
                            </w:r>
                            <w:r w:rsidRPr="001F45B5">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422FD9D5">
              <v:shape id="Text Box 7" style="position:absolute;left:0;text-align:left;margin-left:57.35pt;margin-top:20.4pt;width:218.4pt;height:50.3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7" fillcolor="white [3212]" strokecolor="#c2d69b [1942]" strokeweight="1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" w14:anchorId="705A57C1">
                <v:shadow on="t" color="#4e6128 [1606]" opacity=".5" offset="1pt"/>
                <v:textbox>
                  <w:txbxContent>
                    <w:p w:rsidR="00302E6D" w:rsidP="00302E6D" w:rsidRDefault="00302E6D" w14:paraId="2917A19C" w14:textId="77777777">
                      <w:pPr>
                        <w:jc w:val="center"/>
                      </w:pPr>
                      <w:r>
                        <w:t xml:space="preserve">Records after </w:t>
                      </w:r>
                      <w:r w:rsidRPr="001F45B5">
                        <w:t>Duplicates removed</w:t>
                      </w:r>
                      <w:r>
                        <w:t xml:space="preserve">  </w:t>
                      </w:r>
                    </w:p>
                    <w:p w:rsidRPr="001F45B5" w:rsidR="00302E6D" w:rsidP="00302E6D" w:rsidRDefault="00302E6D" w14:paraId="20BC7BE5" w14:textId="38A01AB5">
                      <w:pPr>
                        <w:jc w:val="center"/>
                      </w:pPr>
                      <w:r>
                        <w:t xml:space="preserve"> </w:t>
                      </w:r>
                      <w:r w:rsidRPr="001F45B5">
                        <w:t>(</w:t>
                      </w:r>
                      <w:r>
                        <w:t>n</w:t>
                      </w:r>
                      <w:r w:rsidRPr="001F45B5">
                        <w:t xml:space="preserve">= </w:t>
                      </w:r>
                      <w:r>
                        <w:t>211</w:t>
                      </w:r>
                      <w:r w:rsidRPr="001F45B5">
                        <w:t>)</w:t>
                      </w:r>
                    </w:p>
                  </w:txbxContent>
                </v:textbox>
              </v:shape>
            </w:pict>
          </mc:Fallback>
        </mc:AlternateContent>
      </w:r>
    </w:p>
    <w:p w:rsidRPr="00E20F08" w:rsidR="00302E6D" w:rsidP="00302E6D" w:rsidRDefault="00302E6D" w14:paraId="6E0255F3" w14:textId="77777777">
      <w:pPr>
        <w:rPr>
          <w:rFonts w:ascii="Arial" w:hAnsi="Arial" w:cs="Arial"/>
          <w:b/>
          <w:bCs/>
        </w:rPr>
      </w:pPr>
    </w:p>
    <w:p w:rsidRPr="00E20F08" w:rsidR="00302E6D" w:rsidP="00302E6D" w:rsidRDefault="00546E69" w14:paraId="6AA84449" w14:textId="01774FBD">
      <w:pPr>
        <w:rPr>
          <w:rFonts w:ascii="Arial" w:hAnsi="Arial" w:cs="Arial"/>
          <w:b/>
          <w:bCs/>
        </w:rPr>
      </w:pPr>
      <w:r w:rsidRPr="00E20F08">
        <w:rPr>
          <w:rFonts w:ascii="Arial" w:hAnsi="Arial" w:cs="Arial"/>
          <w:noProof/>
        </w:rPr>
        <mc:AlternateContent>
          <mc:Choice Requires="wps">
            <w:drawing>
              <wp:anchor distT="0" distB="0" distL="114300" distR="114300" simplePos="0" relativeHeight="251658246" behindDoc="0" locked="0" layoutInCell="1" allowOverlap="1" wp14:anchorId="46195E2A" wp14:editId="5F5615B2">
                <wp:simplePos x="0" y="0"/>
                <wp:positionH relativeFrom="column">
                  <wp:posOffset>4159306</wp:posOffset>
                </wp:positionH>
                <wp:positionV relativeFrom="paragraph">
                  <wp:posOffset>7777</wp:posOffset>
                </wp:positionV>
                <wp:extent cx="2298065" cy="1246174"/>
                <wp:effectExtent l="0" t="0" r="45085" b="49530"/>
                <wp:wrapNone/>
                <wp:docPr id="439294909"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8065" cy="1246174"/>
                        </a:xfrm>
                        <a:prstGeom prst="rect">
                          <a:avLst/>
                        </a:prstGeom>
                        <a:solidFill>
                          <a:schemeClr val="bg1">
                            <a:lumMod val="100000"/>
                            <a:lumOff val="0"/>
                          </a:schemeClr>
                        </a:solidFill>
                        <a:ln w="12700">
                          <a:solidFill>
                            <a:schemeClr val="tx1">
                              <a:lumMod val="100000"/>
                              <a:lumOff val="0"/>
                            </a:schemeClr>
                          </a:solidFill>
                          <a:miter lim="800000"/>
                          <a:headEnd/>
                          <a:tailEnd/>
                        </a:ln>
                        <a:effectLst>
                          <a:outerShdw dist="28398" dir="3806097" algn="ctr" rotWithShape="0">
                            <a:schemeClr val="accent2">
                              <a:lumMod val="50000"/>
                              <a:lumOff val="0"/>
                              <a:alpha val="50000"/>
                            </a:schemeClr>
                          </a:outerShdw>
                        </a:effectLst>
                      </wps:spPr>
                      <wps:txbx>
                        <w:txbxContent>
                          <w:p w:rsidRPr="001F45B5" w:rsidR="00302E6D" w:rsidP="00302E6D" w:rsidRDefault="00302E6D" w14:paraId="609A3EB2" w14:textId="593ABC22">
                            <w:r w:rsidRPr="001F45B5">
                              <w:t>Excluded articles</w:t>
                            </w:r>
                            <w:r>
                              <w:t xml:space="preserve"> which have repeated information, lack adequate details and are not relevant </w:t>
                            </w:r>
                            <w:r w:rsidRPr="001F45B5">
                              <w:t>(</w:t>
                            </w:r>
                            <w:r>
                              <w:t>n</w:t>
                            </w:r>
                            <w:r w:rsidRPr="001F45B5">
                              <w:t>= 1</w:t>
                            </w:r>
                            <w:r>
                              <w:t>38</w:t>
                            </w:r>
                            <w:r w:rsidRPr="001F45B5">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7F6C25C0">
              <v:shape id="Text Box 5" style="position:absolute;left:0;text-align:left;margin-left:327.5pt;margin-top:.6pt;width:180.95pt;height:98.1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8" fillcolor="white [3212]" strokecolor="black [3213]" strokeweight="1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" w14:anchorId="46195E2A">
                <v:shadow on="t" color="#622423 [1605]" opacity=".5" offset="1pt"/>
                <v:textbox>
                  <w:txbxContent>
                    <w:p w:rsidRPr="001F45B5" w:rsidR="00302E6D" w:rsidP="00302E6D" w:rsidRDefault="00302E6D" w14:paraId="0DC4C462" w14:textId="593ABC22">
                      <w:r w:rsidRPr="001F45B5">
                        <w:t>Excluded articles</w:t>
                      </w:r>
                      <w:r>
                        <w:t xml:space="preserve"> which have repeated information, lack adequate details and are not relevant </w:t>
                      </w:r>
                      <w:r w:rsidRPr="001F45B5">
                        <w:t>(</w:t>
                      </w:r>
                      <w:r>
                        <w:t>n</w:t>
                      </w:r>
                      <w:r w:rsidRPr="001F45B5">
                        <w:t>= 1</w:t>
                      </w:r>
                      <w:r>
                        <w:t>38</w:t>
                      </w:r>
                      <w:r w:rsidRPr="001F45B5">
                        <w:t>)</w:t>
                      </w:r>
                    </w:p>
                  </w:txbxContent>
                </v:textbox>
              </v:shape>
            </w:pict>
          </mc:Fallback>
        </mc:AlternateContent>
      </w:r>
      <w:r w:rsidRPr="00E20F08" w:rsidR="00302E6D">
        <w:rPr>
          <w:rFonts w:ascii="Arial" w:hAnsi="Arial" w:cs="Arial"/>
          <w:noProof/>
        </w:rPr>
        <mc:AlternateContent>
          <mc:Choice Requires="wps">
            <w:drawing>
              <wp:anchor distT="0" distB="0" distL="114300" distR="114300" simplePos="0" relativeHeight="251658247" behindDoc="0" locked="0" layoutInCell="1" allowOverlap="1" wp14:anchorId="01A52149" wp14:editId="36FA9455">
                <wp:simplePos x="0" y="0"/>
                <wp:positionH relativeFrom="column">
                  <wp:posOffset>1829435</wp:posOffset>
                </wp:positionH>
                <wp:positionV relativeFrom="paragraph">
                  <wp:posOffset>149860</wp:posOffset>
                </wp:positionV>
                <wp:extent cx="175895" cy="572770"/>
                <wp:effectExtent l="635" t="2540" r="13970" b="34290"/>
                <wp:wrapNone/>
                <wp:docPr id="64679076" name="Arrow: Down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5895" cy="572770"/>
                        </a:xfrm>
                        <a:prstGeom prst="downArrow">
                          <a:avLst>
                            <a:gd name="adj1" fmla="val 50000"/>
                            <a:gd name="adj2" fmla="val 81408"/>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6E8E815B">
              <v:shape id="Arrow: Down 6" style="position:absolute;margin-left:144.05pt;margin-top:11.8pt;width:13.85pt;height:45.1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6" fillcolor="#bcbcbc [2369]" stroked="f" strokeweight="0" type="#_x0000_t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" w14:anchorId="71A6C6C9">
                <v:fill type="gradientRadial" color2="black [3200]" focus="100%" focussize="" focusposition=".5,.5">
                  <o:fill v:ext="view" type="gradientCenter"/>
                </v:fill>
                <v:shadow on="t" color="#7f7f7f [1601]" offset="1pt"/>
                <v:textbox style="layout-flow:vertical-ideographic"/>
              </v:shape>
            </w:pict>
          </mc:Fallback>
        </mc:AlternateContent>
      </w:r>
      <w:r w:rsidRPr="00E20F08" w:rsidR="00302E6D">
        <w:rPr>
          <w:rFonts w:ascii="Arial" w:hAnsi="Arial" w:cs="Arial"/>
          <w:b/>
          <w:bCs/>
        </w:rPr>
        <w:t xml:space="preserve">                                </w:t>
      </w:r>
    </w:p>
    <w:p w:rsidRPr="00E20F08" w:rsidR="00302E6D" w:rsidP="00302E6D" w:rsidRDefault="00302E6D" w14:paraId="54508BD8" w14:textId="5BF20D4F">
      <w:pPr>
        <w:tabs>
          <w:tab w:val="left" w:pos="3853"/>
        </w:tabs>
        <w:rPr>
          <w:rFonts w:ascii="Arial" w:hAnsi="Arial" w:cs="Arial"/>
          <w:b/>
          <w:bCs/>
        </w:rPr>
      </w:pPr>
      <w:r w:rsidRPr="00E20F08">
        <w:rPr>
          <w:rFonts w:ascii="Arial" w:hAnsi="Arial" w:cs="Arial"/>
          <w:b/>
          <w:bCs/>
        </w:rPr>
        <w:t xml:space="preserve">      </w:t>
      </w:r>
      <w:r w:rsidRPr="00E20F08">
        <w:rPr>
          <w:rFonts w:ascii="Arial" w:hAnsi="Arial" w:cs="Arial"/>
          <w:b/>
          <w:bCs/>
        </w:rPr>
        <w:tab/>
      </w:r>
      <w:r w:rsidRPr="00E20F08">
        <w:rPr>
          <w:rFonts w:ascii="Arial" w:hAnsi="Arial" w:cs="Arial"/>
          <w:b/>
          <w:bCs/>
        </w:rPr>
        <w:t>Eligibility</w:t>
      </w:r>
    </w:p>
    <w:p w:rsidRPr="00E20F08" w:rsidR="00302E6D" w:rsidP="00302E6D" w:rsidRDefault="00302E6D" w14:paraId="3111C9D1" w14:textId="4057C041">
      <w:pPr>
        <w:rPr>
          <w:rFonts w:ascii="Arial" w:hAnsi="Arial" w:cs="Arial"/>
        </w:rPr>
      </w:pPr>
      <w:r w:rsidRPr="00E20F08">
        <w:rPr>
          <w:rFonts w:ascii="Arial" w:hAnsi="Arial" w:cs="Arial"/>
          <w:noProof/>
        </w:rPr>
        <mc:AlternateContent>
          <mc:Choice Requires="wps">
            <w:drawing>
              <wp:anchor distT="0" distB="0" distL="114300" distR="114300" simplePos="0" relativeHeight="251658242" behindDoc="0" locked="0" layoutInCell="1" allowOverlap="1" wp14:anchorId="315D7287" wp14:editId="0F0F43E5">
                <wp:simplePos x="0" y="0"/>
                <wp:positionH relativeFrom="column">
                  <wp:posOffset>477430</wp:posOffset>
                </wp:positionH>
                <wp:positionV relativeFrom="paragraph">
                  <wp:posOffset>15173</wp:posOffset>
                </wp:positionV>
                <wp:extent cx="3100705" cy="1014516"/>
                <wp:effectExtent l="0" t="0" r="42545" b="52705"/>
                <wp:wrapNone/>
                <wp:docPr id="649547107"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00705" cy="1014516"/>
                        </a:xfrm>
                        <a:prstGeom prst="rect">
                          <a:avLst/>
                        </a:prstGeom>
                        <a:solidFill>
                          <a:schemeClr val="bg2">
                            <a:lumMod val="100000"/>
                            <a:lumOff val="0"/>
                          </a:schemeClr>
                        </a:solidFill>
                        <a:ln w="12700">
                          <a:solidFill>
                            <a:schemeClr val="accent5">
                              <a:lumMod val="60000"/>
                              <a:lumOff val="40000"/>
                            </a:schemeClr>
                          </a:solidFill>
                          <a:miter lim="800000"/>
                          <a:headEnd/>
                          <a:tailEnd/>
                        </a:ln>
                        <a:effectLst>
                          <a:outerShdw dist="28398" dir="3806097" algn="ctr" rotWithShape="0">
                            <a:schemeClr val="accent5">
                              <a:lumMod val="50000"/>
                              <a:lumOff val="0"/>
                              <a:alpha val="50000"/>
                            </a:schemeClr>
                          </a:outerShdw>
                        </a:effectLst>
                      </wps:spPr>
                      <wps:txbx>
                        <w:txbxContent>
                          <w:p w:rsidR="00302E6D" w:rsidP="00302E6D" w:rsidRDefault="00302E6D" w14:paraId="553D0BA0" w14:textId="2DEA9E4C">
                            <w:pPr>
                              <w:jc w:val="center"/>
                            </w:pPr>
                            <w:r>
                              <w:t xml:space="preserve">Full-text </w:t>
                            </w:r>
                            <w:r w:rsidR="00D63CDD">
                              <w:t>article</w:t>
                            </w:r>
                            <w:r>
                              <w:t xml:space="preserve"> access eligibility (n=150)</w:t>
                            </w:r>
                          </w:p>
                          <w:p w:rsidR="00D63CDD" w:rsidP="00302E6D" w:rsidRDefault="00302E6D" w14:paraId="5F58E52C" w14:textId="77777777">
                            <w:pPr>
                              <w:jc w:val="center"/>
                            </w:pPr>
                            <w:r>
                              <w:t xml:space="preserve">Full-text articles excluded, with reasons    </w:t>
                            </w:r>
                            <w:r w:rsidR="00D63CDD">
                              <w:t xml:space="preserve"> </w:t>
                            </w:r>
                          </w:p>
                          <w:p w:rsidR="00302E6D" w:rsidP="00302E6D" w:rsidRDefault="00D63CDD" w14:paraId="21F3EAA5" w14:textId="465C55EB">
                            <w:pPr>
                              <w:jc w:val="center"/>
                            </w:pPr>
                            <w:r>
                              <w:t xml:space="preserve"> (</w:t>
                            </w:r>
                            <w:r w:rsidR="00302E6D">
                              <w:t>n= 61)</w:t>
                            </w:r>
                          </w:p>
                          <w:p w:rsidRPr="001F45B5" w:rsidR="00302E6D" w:rsidP="00302E6D" w:rsidRDefault="00302E6D" w14:paraId="257D768A" w14:textId="77777777">
                            <w:pPr>
                              <w:jc w:val="center"/>
                            </w:pPr>
                          </w:p>
                          <w:p w:rsidRPr="001F45B5" w:rsidR="00302E6D" w:rsidP="00302E6D" w:rsidRDefault="00302E6D" w14:paraId="59394141" w14:textId="77777777">
                            <w:pPr>
                              <w:jc w:val="center"/>
                            </w:pPr>
                            <w:r w:rsidRPr="001F45B5">
                              <w:t>(N</w:t>
                            </w:r>
                          </w:p>
                          <w:p w:rsidR="00302E6D" w:rsidP="00302E6D" w:rsidRDefault="00302E6D" w14:paraId="04895281" w14:textId="7777777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48DF0DFE">
              <v:shape id="Text Box 4" style="position:absolute;left:0;text-align:left;margin-left:37.6pt;margin-top:1.2pt;width:244.15pt;height:79.9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9" fillcolor="#eeece1 [3214]" strokecolor="#92cddc [1944]" strokeweight="1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" w14:anchorId="315D7287">
                <v:shadow on="t" color="#205867 [1608]" opacity=".5" offset="1pt"/>
                <v:textbox>
                  <w:txbxContent>
                    <w:p w:rsidR="00302E6D" w:rsidP="00302E6D" w:rsidRDefault="00302E6D" w14:paraId="4EB5B98F" w14:textId="2DEA9E4C">
                      <w:pPr>
                        <w:jc w:val="center"/>
                      </w:pPr>
                      <w:r>
                        <w:t xml:space="preserve">Full-text </w:t>
                      </w:r>
                      <w:r w:rsidR="00D63CDD">
                        <w:t>article</w:t>
                      </w:r>
                      <w:r>
                        <w:t xml:space="preserve"> access eligibility (n=150)</w:t>
                      </w:r>
                    </w:p>
                    <w:p w:rsidR="00D63CDD" w:rsidP="00302E6D" w:rsidRDefault="00302E6D" w14:paraId="0EF723D6" w14:textId="77777777">
                      <w:pPr>
                        <w:jc w:val="center"/>
                      </w:pPr>
                      <w:r>
                        <w:t xml:space="preserve">Full-text articles excluded, with reasons    </w:t>
                      </w:r>
                      <w:r w:rsidR="00D63CDD">
                        <w:t xml:space="preserve"> </w:t>
                      </w:r>
                    </w:p>
                    <w:p w:rsidR="00302E6D" w:rsidP="00302E6D" w:rsidRDefault="00D63CDD" w14:paraId="5A55F6C7" w14:textId="465C55EB">
                      <w:pPr>
                        <w:jc w:val="center"/>
                      </w:pPr>
                      <w:r>
                        <w:t xml:space="preserve"> (</w:t>
                      </w:r>
                      <w:r w:rsidR="00302E6D">
                        <w:t>n= 61)</w:t>
                      </w:r>
                    </w:p>
                    <w:p w:rsidRPr="001F45B5" w:rsidR="00302E6D" w:rsidP="00302E6D" w:rsidRDefault="00302E6D" w14:paraId="672A6659" w14:textId="77777777">
                      <w:pPr>
                        <w:jc w:val="center"/>
                      </w:pPr>
                    </w:p>
                    <w:p w:rsidRPr="001F45B5" w:rsidR="00302E6D" w:rsidP="00302E6D" w:rsidRDefault="00302E6D" w14:paraId="29B83521" w14:textId="77777777">
                      <w:pPr>
                        <w:jc w:val="center"/>
                      </w:pPr>
                      <w:r w:rsidRPr="001F45B5">
                        <w:t>(N</w:t>
                      </w:r>
                    </w:p>
                    <w:p w:rsidR="00302E6D" w:rsidP="00302E6D" w:rsidRDefault="00302E6D" w14:paraId="0A37501D" w14:textId="77777777">
                      <w:pPr>
                        <w:jc w:val="center"/>
                      </w:pPr>
                    </w:p>
                  </w:txbxContent>
                </v:textbox>
              </v:shape>
            </w:pict>
          </mc:Fallback>
        </mc:AlternateContent>
      </w:r>
    </w:p>
    <w:p w:rsidRPr="00E20F08" w:rsidR="00302E6D" w:rsidP="00302E6D" w:rsidRDefault="00302E6D" w14:paraId="1278236E" w14:textId="77777777">
      <w:pPr>
        <w:rPr>
          <w:rFonts w:ascii="Arial" w:hAnsi="Arial" w:cs="Arial"/>
        </w:rPr>
      </w:pPr>
      <w:r w:rsidRPr="00E20F08">
        <w:rPr>
          <w:rFonts w:ascii="Arial" w:hAnsi="Arial" w:cs="Arial"/>
          <w:noProof/>
        </w:rPr>
        <mc:AlternateContent>
          <mc:Choice Requires="wps">
            <w:drawing>
              <wp:anchor distT="0" distB="0" distL="114300" distR="114300" simplePos="0" relativeHeight="251658245" behindDoc="0" locked="0" layoutInCell="1" allowOverlap="1" wp14:anchorId="2B0A08EA" wp14:editId="3B04CE80">
                <wp:simplePos x="0" y="0"/>
                <wp:positionH relativeFrom="column">
                  <wp:posOffset>3606800</wp:posOffset>
                </wp:positionH>
                <wp:positionV relativeFrom="paragraph">
                  <wp:posOffset>119380</wp:posOffset>
                </wp:positionV>
                <wp:extent cx="541020" cy="152400"/>
                <wp:effectExtent l="6350" t="7620" r="14605" b="30480"/>
                <wp:wrapNone/>
                <wp:docPr id="440115672" name="Arrow: Right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1020" cy="152400"/>
                        </a:xfrm>
                        <a:prstGeom prst="rightArrow">
                          <a:avLst>
                            <a:gd name="adj1" fmla="val 50000"/>
                            <a:gd name="adj2" fmla="val 88750"/>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193C6A3E">
              <v:shapetype id="_x0000_t13" coordsize="21600,21600" o:spt="13" adj="16200,5400" path="m@0,l@0@1,0@1,0@2@0@2@0,21600,21600,10800xe" w14:anchorId="5A7EE4ED">
                <v:stroke joinstyle="miter"/>
                <v:formulas>
                  <v:f eqn="val #0"/>
                  <v:f eqn="val #1"/>
                  <v:f eqn="sum height 0 #1"/>
                  <v:f eqn="sum 10800 0 #1"/>
                  <v:f eqn="sum width 0 #0"/>
                  <v:f eqn="prod @4 @3 10800"/>
                  <v:f eqn="sum width 0 @5"/>
                </v:formulas>
                <v:path textboxrect="0,@1,@6,@2" o:connecttype="custom" o:connectlocs="@0,0;0,10800;@0,21600;21600,10800" o:connectangles="270,180,90,0"/>
                <v:handles>
                  <v:h position="#0,#1" xrange="0,21600" yrange="0,10800"/>
                </v:handles>
              </v:shapetype>
              <v:shape id="Arrow: Right 3" style="position:absolute;margin-left:284pt;margin-top:9.4pt;width:42.6pt;height:1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6" fillcolor="#bcbcbc [2369]" stroked="f" strokeweight="0" type="#_x0000_t1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">
                <v:fill type="gradientRadial" color2="black [3200]" focus="100%" focussize="" focusposition=".5,.5">
                  <o:fill v:ext="view" type="gradientCenter"/>
                </v:fill>
                <v:shadow on="t" color="#7f7f7f [1601]" offset="1pt"/>
              </v:shape>
            </w:pict>
          </mc:Fallback>
        </mc:AlternateContent>
      </w:r>
    </w:p>
    <w:p w:rsidRPr="00E20F08" w:rsidR="00302E6D" w:rsidP="00302E6D" w:rsidRDefault="00302E6D" w14:paraId="25F3F7E6" w14:textId="77777777">
      <w:pPr>
        <w:rPr>
          <w:rFonts w:ascii="Arial" w:hAnsi="Arial" w:cs="Arial"/>
        </w:rPr>
      </w:pPr>
      <w:r w:rsidRPr="00E20F08">
        <w:rPr>
          <w:rFonts w:ascii="Arial" w:hAnsi="Arial" w:cs="Arial"/>
          <w:noProof/>
        </w:rPr>
        <mc:AlternateContent>
          <mc:Choice Requires="wps">
            <w:drawing>
              <wp:anchor distT="0" distB="0" distL="114300" distR="114300" simplePos="0" relativeHeight="251658248" behindDoc="0" locked="0" layoutInCell="1" allowOverlap="1" wp14:anchorId="4272E801" wp14:editId="62B85012">
                <wp:simplePos x="0" y="0"/>
                <wp:positionH relativeFrom="column">
                  <wp:posOffset>1925416</wp:posOffset>
                </wp:positionH>
                <wp:positionV relativeFrom="paragraph">
                  <wp:posOffset>329773</wp:posOffset>
                </wp:positionV>
                <wp:extent cx="175895" cy="572770"/>
                <wp:effectExtent l="3810" t="1905" r="20320" b="25400"/>
                <wp:wrapNone/>
                <wp:docPr id="756993520" name="Arrow: Down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5895" cy="572770"/>
                        </a:xfrm>
                        <a:prstGeom prst="downArrow">
                          <a:avLst>
                            <a:gd name="adj1" fmla="val 50000"/>
                            <a:gd name="adj2" fmla="val 81408"/>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63995DBF">
              <v:shape id="Arrow: Down 2" style="position:absolute;margin-left:151.6pt;margin-top:25.95pt;width:13.85pt;height:45.1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6" fillcolor="#bcbcbc [2369]" stroked="f" strokeweight="0" type="#_x0000_t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" w14:anchorId="126C446B">
                <v:fill type="gradientRadial" color2="black [3200]" focus="100%" focussize="" focusposition=".5,.5">
                  <o:fill v:ext="view" type="gradientCenter"/>
                </v:fill>
                <v:shadow on="t" color="#7f7f7f [1601]" offset="1pt"/>
                <v:textbox style="layout-flow:vertical-ideographic"/>
              </v:shape>
            </w:pict>
          </mc:Fallback>
        </mc:AlternateContent>
      </w:r>
    </w:p>
    <w:p w:rsidRPr="00E20F08" w:rsidR="00302E6D" w:rsidP="00302E6D" w:rsidRDefault="00302E6D" w14:paraId="1B79EA3B" w14:textId="77777777">
      <w:pPr>
        <w:tabs>
          <w:tab w:val="left" w:pos="3653"/>
        </w:tabs>
        <w:rPr>
          <w:rFonts w:ascii="Arial" w:hAnsi="Arial" w:cs="Arial"/>
          <w:b/>
          <w:bCs/>
        </w:rPr>
      </w:pPr>
      <w:r w:rsidRPr="00E20F08">
        <w:rPr>
          <w:rFonts w:ascii="Arial" w:hAnsi="Arial" w:cs="Arial"/>
        </w:rPr>
        <w:tab/>
      </w:r>
      <w:r w:rsidRPr="00E20F08">
        <w:rPr>
          <w:rFonts w:ascii="Arial" w:hAnsi="Arial" w:cs="Arial"/>
          <w:b/>
          <w:bCs/>
        </w:rPr>
        <w:t>Included</w:t>
      </w:r>
    </w:p>
    <w:p w:rsidRPr="00E20F08" w:rsidR="00302E6D" w:rsidP="00302E6D" w:rsidRDefault="00302E6D" w14:paraId="2F1B8B56" w14:textId="77777777">
      <w:pPr>
        <w:rPr>
          <w:rFonts w:ascii="Arial" w:hAnsi="Arial" w:cs="Arial"/>
        </w:rPr>
      </w:pPr>
      <w:r w:rsidRPr="00E20F08">
        <w:rPr>
          <w:rFonts w:ascii="Arial" w:hAnsi="Arial" w:cs="Arial"/>
          <w:noProof/>
        </w:rPr>
        <mc:AlternateContent>
          <mc:Choice Requires="wps">
            <w:drawing>
              <wp:anchor distT="0" distB="0" distL="114300" distR="114300" simplePos="0" relativeHeight="251658243" behindDoc="0" locked="0" layoutInCell="1" allowOverlap="1" wp14:anchorId="778FB613" wp14:editId="258AF075">
                <wp:simplePos x="0" y="0"/>
                <wp:positionH relativeFrom="column">
                  <wp:posOffset>689464</wp:posOffset>
                </wp:positionH>
                <wp:positionV relativeFrom="paragraph">
                  <wp:posOffset>178188</wp:posOffset>
                </wp:positionV>
                <wp:extent cx="2858135" cy="351155"/>
                <wp:effectExtent l="8890" t="8890" r="9525" b="20955"/>
                <wp:wrapNone/>
                <wp:docPr id="161040486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8135" cy="351155"/>
                        </a:xfrm>
                        <a:prstGeom prst="rect">
                          <a:avLst/>
                        </a:prstGeom>
                        <a:solidFill>
                          <a:schemeClr val="bg1">
                            <a:lumMod val="100000"/>
                            <a:lumOff val="0"/>
                          </a:schemeClr>
                        </a:solidFill>
                        <a:ln w="12700">
                          <a:solidFill>
                            <a:schemeClr val="accent3">
                              <a:lumMod val="60000"/>
                              <a:lumOff val="40000"/>
                            </a:schemeClr>
                          </a:solidFill>
                          <a:miter lim="800000"/>
                          <a:headEnd/>
                          <a:tailEnd/>
                        </a:ln>
                        <a:effectLst>
                          <a:outerShdw dist="28398" dir="3806097" algn="ctr" rotWithShape="0">
                            <a:schemeClr val="accent3">
                              <a:lumMod val="50000"/>
                              <a:lumOff val="0"/>
                              <a:alpha val="50000"/>
                            </a:schemeClr>
                          </a:outerShdw>
                        </a:effectLst>
                      </wps:spPr>
                      <wps:txbx>
                        <w:txbxContent>
                          <w:p w:rsidRPr="001F45B5" w:rsidR="00302E6D" w:rsidP="00302E6D" w:rsidRDefault="00302E6D" w14:paraId="54203E1B" w14:textId="05E36998">
                            <w:pPr>
                              <w:jc w:val="center"/>
                            </w:pPr>
                            <w:r w:rsidRPr="001F45B5">
                              <w:t>Article meeting inclusion criteria</w:t>
                            </w:r>
                            <w:r>
                              <w:t xml:space="preserve"> </w:t>
                            </w:r>
                            <w:r w:rsidRPr="001F45B5">
                              <w:t>(</w:t>
                            </w:r>
                            <w:r>
                              <w:t>n</w:t>
                            </w:r>
                            <w:r w:rsidRPr="001F45B5">
                              <w:t>=</w:t>
                            </w:r>
                            <w:r>
                              <w:t>12)</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EBF062C">
              <v:shape id="Text Box 1" style="position:absolute;left:0;text-align:left;margin-left:54.3pt;margin-top:14.05pt;width:225.05pt;height:27.6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30" fillcolor="white [3212]" strokecolor="#c2d69b [1942]" strokeweight="1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" w14:anchorId="778FB613">
                <v:shadow on="t" color="#4e6128 [1606]" opacity=".5" offset="1pt"/>
                <v:textbox>
                  <w:txbxContent>
                    <w:p w:rsidRPr="001F45B5" w:rsidR="00302E6D" w:rsidP="00302E6D" w:rsidRDefault="00302E6D" w14:paraId="5E1E5053" w14:textId="05E36998">
                      <w:pPr>
                        <w:jc w:val="center"/>
                      </w:pPr>
                      <w:r w:rsidRPr="001F45B5">
                        <w:t>Article meeting inclusion criteria</w:t>
                      </w:r>
                      <w:r>
                        <w:t xml:space="preserve"> </w:t>
                      </w:r>
                      <w:r w:rsidRPr="001F45B5">
                        <w:t>(</w:t>
                      </w:r>
                      <w:r>
                        <w:t>n</w:t>
                      </w:r>
                      <w:r w:rsidRPr="001F45B5">
                        <w:t>=</w:t>
                      </w:r>
                      <w:r>
                        <w:t>12)</w:t>
                      </w:r>
                    </w:p>
                  </w:txbxContent>
                </v:textbox>
              </v:shape>
            </w:pict>
          </mc:Fallback>
        </mc:AlternateContent>
      </w:r>
    </w:p>
    <w:p w:rsidRPr="00E20F08" w:rsidR="00302E6D" w:rsidP="00302E6D" w:rsidRDefault="00302E6D" w14:paraId="4EBD3B08" w14:textId="77777777">
      <w:pPr>
        <w:rPr>
          <w:rFonts w:ascii="Arial" w:hAnsi="Arial" w:cs="Arial"/>
        </w:rPr>
      </w:pPr>
    </w:p>
    <w:p w:rsidRPr="00B3038C" w:rsidR="00B3038C" w:rsidP="00C668C4" w:rsidRDefault="00B3038C" w14:paraId="02A78D8F" w14:textId="77777777">
      <w:pPr>
        <w:pStyle w:val="Heading1"/>
        <w:jc w:val="both"/>
        <w:rPr>
          <w:lang w:val="en-US"/>
        </w:rPr>
      </w:pPr>
      <w:bookmarkStart w:name="_Toc240696184" w:id="39"/>
      <w:r w:rsidRPr="00B3038C">
        <w:rPr>
          <w:lang w:val="en-US"/>
        </w:rPr>
        <w:t>3.14 Quality Assessment</w:t>
      </w:r>
      <w:bookmarkEnd w:id="39"/>
    </w:p>
    <w:p w:rsidRPr="00B3038C" w:rsidR="00B3038C" w:rsidP="00B3038C" w:rsidRDefault="00B3038C" w14:paraId="70EE4E0F" w14:textId="4297C900">
      <w:pPr>
        <w:rPr>
          <w:rFonts w:ascii="Arial" w:hAnsi="Arial" w:cs="Arial"/>
          <w:color w:val="000000" w:themeColor="text1"/>
          <w:lang w:val="en-US"/>
        </w:rPr>
      </w:pPr>
      <w:r w:rsidRPr="00B3038C">
        <w:rPr>
          <w:rFonts w:ascii="Arial" w:hAnsi="Arial" w:cs="Arial"/>
          <w:color w:val="000000" w:themeColor="text1"/>
          <w:lang w:val="en-US"/>
        </w:rPr>
        <w:t>The methodological quality of the studies included in this systematic review was assessed using an appropriate critical appraisal checklist to determine their reliability, validity and relevance to the research question</w:t>
      </w:r>
      <w:r w:rsidR="001231E4">
        <w:rPr>
          <w:rFonts w:ascii="Arial" w:hAnsi="Arial" w:cs="Arial"/>
          <w:color w:val="000000" w:themeColor="text1"/>
          <w:lang w:val="en-US"/>
        </w:rPr>
        <w:t xml:space="preserve"> (</w:t>
      </w:r>
      <w:r w:rsidRPr="001231E4" w:rsidR="001231E4">
        <w:rPr>
          <w:rFonts w:ascii="Arial" w:hAnsi="Arial" w:cs="Arial"/>
          <w:color w:val="000000" w:themeColor="text1"/>
        </w:rPr>
        <w:t>Mandrik</w:t>
      </w:r>
      <w:r w:rsidR="001231E4">
        <w:rPr>
          <w:rFonts w:ascii="Arial" w:hAnsi="Arial" w:cs="Arial"/>
          <w:color w:val="000000" w:themeColor="text1"/>
        </w:rPr>
        <w:t xml:space="preserve"> et al, 2021)</w:t>
      </w:r>
      <w:r w:rsidRPr="00B3038C">
        <w:rPr>
          <w:rFonts w:ascii="Arial" w:hAnsi="Arial" w:cs="Arial"/>
          <w:color w:val="000000" w:themeColor="text1"/>
          <w:lang w:val="en-US"/>
        </w:rPr>
        <w:t>. Each included study was assessed systematically against criteria related to the clarity of the research design, appropriateness of the methodology, participant selection, data collection, analysis and reporting of findings</w:t>
      </w:r>
      <w:r w:rsidR="00D03C69">
        <w:rPr>
          <w:rFonts w:ascii="Arial" w:hAnsi="Arial" w:cs="Arial"/>
          <w:color w:val="000000" w:themeColor="text1"/>
          <w:lang w:val="en-US"/>
        </w:rPr>
        <w:t xml:space="preserve"> (</w:t>
      </w:r>
      <w:r w:rsidRPr="00D03C69" w:rsidR="00D03C69">
        <w:rPr>
          <w:rFonts w:ascii="Arial" w:hAnsi="Arial" w:cs="Arial"/>
          <w:color w:val="000000" w:themeColor="text1"/>
        </w:rPr>
        <w:t>Migliavaca</w:t>
      </w:r>
      <w:r w:rsidR="00D03C69">
        <w:rPr>
          <w:rFonts w:ascii="Arial" w:hAnsi="Arial" w:cs="Arial"/>
          <w:color w:val="000000" w:themeColor="text1"/>
        </w:rPr>
        <w:t xml:space="preserve"> et al, 2020)</w:t>
      </w:r>
      <w:r w:rsidRPr="00B3038C">
        <w:rPr>
          <w:rFonts w:ascii="Arial" w:hAnsi="Arial" w:cs="Arial"/>
          <w:color w:val="000000" w:themeColor="text1"/>
          <w:lang w:val="en-US"/>
        </w:rPr>
        <w:t>. The quality assessment helped identify potential methodological limitations and sources of bias within the selected studies</w:t>
      </w:r>
      <w:r w:rsidR="003C4667">
        <w:rPr>
          <w:rFonts w:ascii="Arial" w:hAnsi="Arial" w:cs="Arial"/>
          <w:color w:val="000000" w:themeColor="text1"/>
          <w:lang w:val="en-US"/>
        </w:rPr>
        <w:t xml:space="preserve"> (</w:t>
      </w:r>
      <w:r w:rsidRPr="001231E4" w:rsidR="003C4667">
        <w:rPr>
          <w:rFonts w:ascii="Arial" w:hAnsi="Arial" w:cs="Arial"/>
          <w:color w:val="000000" w:themeColor="text1"/>
        </w:rPr>
        <w:t>Mandrik</w:t>
      </w:r>
      <w:r w:rsidR="003C4667">
        <w:rPr>
          <w:rFonts w:ascii="Arial" w:hAnsi="Arial" w:cs="Arial"/>
          <w:color w:val="000000" w:themeColor="text1"/>
        </w:rPr>
        <w:t xml:space="preserve"> et al, 2021)</w:t>
      </w:r>
      <w:r w:rsidRPr="00B3038C">
        <w:rPr>
          <w:rFonts w:ascii="Arial" w:hAnsi="Arial" w:cs="Arial"/>
          <w:color w:val="000000" w:themeColor="text1"/>
          <w:lang w:val="en-US"/>
        </w:rPr>
        <w:t>. Studies were not excluded solely because of minor methodological weaknesses; instead, the appraisal findings were considered when interpreting and synthesising the evidence</w:t>
      </w:r>
      <w:r w:rsidR="003C4667">
        <w:rPr>
          <w:rFonts w:ascii="Arial" w:hAnsi="Arial" w:cs="Arial"/>
          <w:color w:val="000000" w:themeColor="text1"/>
          <w:lang w:val="en-US"/>
        </w:rPr>
        <w:t xml:space="preserve"> (</w:t>
      </w:r>
      <w:r w:rsidRPr="00D03C69" w:rsidR="003C4667">
        <w:rPr>
          <w:rFonts w:ascii="Arial" w:hAnsi="Arial" w:cs="Arial"/>
          <w:color w:val="000000" w:themeColor="text1"/>
        </w:rPr>
        <w:t>Migliavaca</w:t>
      </w:r>
      <w:r w:rsidR="003C4667">
        <w:rPr>
          <w:rFonts w:ascii="Arial" w:hAnsi="Arial" w:cs="Arial"/>
          <w:color w:val="000000" w:themeColor="text1"/>
        </w:rPr>
        <w:t xml:space="preserve"> et al, 2020)</w:t>
      </w:r>
      <w:r w:rsidRPr="00B3038C">
        <w:rPr>
          <w:rFonts w:ascii="Arial" w:hAnsi="Arial" w:cs="Arial"/>
          <w:color w:val="000000" w:themeColor="text1"/>
          <w:lang w:val="en-US"/>
        </w:rPr>
        <w:t>. Applying a consistent quality assessment process strengthened the transparency and credibility of the review and helped ensure that conclusions were based on evidence of appropriate methodological quality</w:t>
      </w:r>
      <w:r w:rsidR="003C4667">
        <w:rPr>
          <w:rFonts w:ascii="Arial" w:hAnsi="Arial" w:cs="Arial"/>
          <w:color w:val="000000" w:themeColor="text1"/>
          <w:lang w:val="en-US"/>
        </w:rPr>
        <w:t xml:space="preserve"> (</w:t>
      </w:r>
      <w:r w:rsidRPr="00D03C69" w:rsidR="003C4667">
        <w:rPr>
          <w:rFonts w:ascii="Arial" w:hAnsi="Arial" w:cs="Arial"/>
          <w:color w:val="000000" w:themeColor="text1"/>
        </w:rPr>
        <w:t>Migliavaca</w:t>
      </w:r>
      <w:r w:rsidR="003C4667">
        <w:rPr>
          <w:rFonts w:ascii="Arial" w:hAnsi="Arial" w:cs="Arial"/>
          <w:color w:val="000000" w:themeColor="text1"/>
        </w:rPr>
        <w:t xml:space="preserve"> et al, 2020)</w:t>
      </w:r>
      <w:r w:rsidRPr="00B3038C">
        <w:rPr>
          <w:rFonts w:ascii="Arial" w:hAnsi="Arial" w:cs="Arial"/>
          <w:color w:val="000000" w:themeColor="text1"/>
          <w:lang w:val="en-US"/>
        </w:rPr>
        <w:t>.</w:t>
      </w:r>
    </w:p>
    <w:p w:rsidRPr="00C83A0C" w:rsidR="00C83A0C" w:rsidP="00C83A0C" w:rsidRDefault="00C83A0C" w14:paraId="0D03AF0C" w14:textId="53E52E54">
      <w:pPr>
        <w:rPr>
          <w:rFonts w:ascii="Arial" w:hAnsi="Arial" w:cs="Arial"/>
          <w:b/>
          <w:bCs/>
          <w:color w:val="000000" w:themeColor="text1"/>
          <w:lang w:val="en-US"/>
        </w:rPr>
      </w:pPr>
      <w:r w:rsidRPr="00C83A0C">
        <w:rPr>
          <w:rFonts w:ascii="Arial" w:hAnsi="Arial" w:cs="Arial"/>
          <w:b/>
          <w:bCs/>
          <w:color w:val="000000" w:themeColor="text1"/>
          <w:lang w:val="en-US"/>
        </w:rPr>
        <w:t>Table 3</w:t>
      </w:r>
      <w:r w:rsidR="00F95AA4">
        <w:rPr>
          <w:rFonts w:ascii="Arial" w:hAnsi="Arial" w:cs="Arial"/>
          <w:b/>
          <w:bCs/>
          <w:color w:val="000000" w:themeColor="text1"/>
          <w:lang w:val="en-US"/>
        </w:rPr>
        <w:t>.4</w:t>
      </w:r>
      <w:r w:rsidRPr="00C83A0C">
        <w:rPr>
          <w:rFonts w:ascii="Arial" w:hAnsi="Arial" w:cs="Arial"/>
          <w:b/>
          <w:bCs/>
          <w:color w:val="000000" w:themeColor="text1"/>
          <w:lang w:val="en-US"/>
        </w:rPr>
        <w:t>: JBI Checklist Tool for Cross-Sectional Studies</w:t>
      </w:r>
    </w:p>
    <w:tbl>
      <w:tblPr>
        <w:tblStyle w:val="TableGrid"/>
        <w:tblW w:w="10619" w:type="dxa"/>
        <w:tblInd w:w="-772" w:type="dxa"/>
        <w:tblLook w:val="04A0" w:firstRow="1" w:lastRow="0" w:firstColumn="1" w:lastColumn="0" w:noHBand="0" w:noVBand="1"/>
      </w:tblPr>
      <w:tblGrid>
        <w:gridCol w:w="1187"/>
        <w:gridCol w:w="1007"/>
        <w:gridCol w:w="907"/>
        <w:gridCol w:w="1387"/>
        <w:gridCol w:w="1097"/>
        <w:gridCol w:w="1336"/>
        <w:gridCol w:w="1036"/>
        <w:gridCol w:w="997"/>
        <w:gridCol w:w="1067"/>
        <w:gridCol w:w="717"/>
      </w:tblGrid>
      <w:tr w:rsidRPr="00C83A0C" w:rsidR="00C83A0C" w:rsidTr="00C83A0C" w14:paraId="2723EF60" w14:textId="77777777">
        <w:trPr>
          <w:trHeight w:val="1487"/>
        </w:trPr>
        <w:tc>
          <w:tcPr>
            <w:tcW w:w="0" w:type="auto"/>
            <w:hideMark/>
          </w:tcPr>
          <w:p w:rsidRPr="00C83A0C" w:rsidR="00C83A0C" w:rsidP="00C83A0C" w:rsidRDefault="00C83A0C" w14:paraId="615F2856" w14:textId="77777777">
            <w:pPr>
              <w:spacing w:after="160" w:line="360" w:lineRule="auto"/>
              <w:rPr>
                <w:rFonts w:ascii="Arial" w:hAnsi="Arial" w:cs="Arial"/>
                <w:b/>
                <w:bCs/>
                <w:color w:val="000000" w:themeColor="text1"/>
                <w:sz w:val="18"/>
                <w:szCs w:val="18"/>
                <w:lang w:val="en-US"/>
              </w:rPr>
            </w:pPr>
            <w:r w:rsidRPr="00C83A0C">
              <w:rPr>
                <w:rFonts w:ascii="Arial" w:hAnsi="Arial" w:cs="Arial"/>
                <w:b/>
                <w:bCs/>
                <w:color w:val="000000" w:themeColor="text1"/>
                <w:sz w:val="18"/>
                <w:szCs w:val="18"/>
                <w:lang w:val="en-US"/>
              </w:rPr>
              <w:t>References</w:t>
            </w:r>
          </w:p>
        </w:tc>
        <w:tc>
          <w:tcPr>
            <w:tcW w:w="0" w:type="auto"/>
            <w:hideMark/>
          </w:tcPr>
          <w:p w:rsidRPr="00C83A0C" w:rsidR="00C83A0C" w:rsidP="00C83A0C" w:rsidRDefault="00C83A0C" w14:paraId="1A9B684D" w14:textId="77777777">
            <w:pPr>
              <w:spacing w:after="160" w:line="360" w:lineRule="auto"/>
              <w:rPr>
                <w:rFonts w:ascii="Arial" w:hAnsi="Arial" w:cs="Arial"/>
                <w:b/>
                <w:bCs/>
                <w:color w:val="000000" w:themeColor="text1"/>
                <w:sz w:val="18"/>
                <w:szCs w:val="18"/>
                <w:lang w:val="en-US"/>
              </w:rPr>
            </w:pPr>
            <w:r w:rsidRPr="00C83A0C">
              <w:rPr>
                <w:rFonts w:ascii="Arial" w:hAnsi="Arial" w:cs="Arial"/>
                <w:b/>
                <w:bCs/>
                <w:color w:val="000000" w:themeColor="text1"/>
                <w:sz w:val="18"/>
                <w:szCs w:val="18"/>
                <w:lang w:val="en-US"/>
              </w:rPr>
              <w:t>Inclusion criteria</w:t>
            </w:r>
          </w:p>
        </w:tc>
        <w:tc>
          <w:tcPr>
            <w:tcW w:w="0" w:type="auto"/>
            <w:hideMark/>
          </w:tcPr>
          <w:p w:rsidRPr="00C83A0C" w:rsidR="00C83A0C" w:rsidP="00C83A0C" w:rsidRDefault="00C83A0C" w14:paraId="56FD0B84" w14:textId="77777777">
            <w:pPr>
              <w:spacing w:after="160" w:line="360" w:lineRule="auto"/>
              <w:rPr>
                <w:rFonts w:ascii="Arial" w:hAnsi="Arial" w:cs="Arial"/>
                <w:b/>
                <w:bCs/>
                <w:color w:val="000000" w:themeColor="text1"/>
                <w:sz w:val="18"/>
                <w:szCs w:val="18"/>
                <w:lang w:val="en-US"/>
              </w:rPr>
            </w:pPr>
            <w:r w:rsidRPr="00C83A0C">
              <w:rPr>
                <w:rFonts w:ascii="Arial" w:hAnsi="Arial" w:cs="Arial"/>
                <w:b/>
                <w:bCs/>
                <w:color w:val="000000" w:themeColor="text1"/>
                <w:sz w:val="18"/>
                <w:szCs w:val="18"/>
                <w:lang w:val="en-US"/>
              </w:rPr>
              <w:t>Study settings</w:t>
            </w:r>
          </w:p>
        </w:tc>
        <w:tc>
          <w:tcPr>
            <w:tcW w:w="0" w:type="auto"/>
            <w:hideMark/>
          </w:tcPr>
          <w:p w:rsidRPr="00C83A0C" w:rsidR="00C83A0C" w:rsidP="00C83A0C" w:rsidRDefault="00C83A0C" w14:paraId="44AFB3F9" w14:textId="77777777">
            <w:pPr>
              <w:spacing w:after="160" w:line="360" w:lineRule="auto"/>
              <w:rPr>
                <w:rFonts w:ascii="Arial" w:hAnsi="Arial" w:cs="Arial"/>
                <w:b/>
                <w:bCs/>
                <w:color w:val="000000" w:themeColor="text1"/>
                <w:sz w:val="18"/>
                <w:szCs w:val="18"/>
                <w:lang w:val="en-US"/>
              </w:rPr>
            </w:pPr>
            <w:r w:rsidRPr="00C83A0C">
              <w:rPr>
                <w:rFonts w:ascii="Arial" w:hAnsi="Arial" w:cs="Arial"/>
                <w:b/>
                <w:bCs/>
                <w:color w:val="000000" w:themeColor="text1"/>
                <w:sz w:val="18"/>
                <w:szCs w:val="18"/>
                <w:lang w:val="en-US"/>
              </w:rPr>
              <w:t>Exposure measurement</w:t>
            </w:r>
          </w:p>
        </w:tc>
        <w:tc>
          <w:tcPr>
            <w:tcW w:w="0" w:type="auto"/>
            <w:hideMark/>
          </w:tcPr>
          <w:p w:rsidRPr="00C83A0C" w:rsidR="00C83A0C" w:rsidP="00C83A0C" w:rsidRDefault="00C83A0C" w14:paraId="23983C50" w14:textId="77777777">
            <w:pPr>
              <w:spacing w:after="160" w:line="360" w:lineRule="auto"/>
              <w:rPr>
                <w:rFonts w:ascii="Arial" w:hAnsi="Arial" w:cs="Arial"/>
                <w:b/>
                <w:bCs/>
                <w:color w:val="000000" w:themeColor="text1"/>
                <w:sz w:val="18"/>
                <w:szCs w:val="18"/>
                <w:lang w:val="en-US"/>
              </w:rPr>
            </w:pPr>
            <w:r w:rsidRPr="00C83A0C">
              <w:rPr>
                <w:rFonts w:ascii="Arial" w:hAnsi="Arial" w:cs="Arial"/>
                <w:b/>
                <w:bCs/>
                <w:color w:val="000000" w:themeColor="text1"/>
                <w:sz w:val="18"/>
                <w:szCs w:val="18"/>
                <w:lang w:val="en-US"/>
              </w:rPr>
              <w:t>Standard procedure</w:t>
            </w:r>
          </w:p>
        </w:tc>
        <w:tc>
          <w:tcPr>
            <w:tcW w:w="0" w:type="auto"/>
            <w:hideMark/>
          </w:tcPr>
          <w:p w:rsidRPr="00C83A0C" w:rsidR="00C83A0C" w:rsidP="00C83A0C" w:rsidRDefault="00C83A0C" w14:paraId="224E8F46" w14:textId="77777777">
            <w:pPr>
              <w:spacing w:after="160" w:line="360" w:lineRule="auto"/>
              <w:rPr>
                <w:rFonts w:ascii="Arial" w:hAnsi="Arial" w:cs="Arial"/>
                <w:b/>
                <w:bCs/>
                <w:color w:val="000000" w:themeColor="text1"/>
                <w:sz w:val="18"/>
                <w:szCs w:val="18"/>
                <w:lang w:val="en-US"/>
              </w:rPr>
            </w:pPr>
            <w:r w:rsidRPr="00C83A0C">
              <w:rPr>
                <w:rFonts w:ascii="Arial" w:hAnsi="Arial" w:cs="Arial"/>
                <w:b/>
                <w:bCs/>
                <w:color w:val="000000" w:themeColor="text1"/>
                <w:sz w:val="18"/>
                <w:szCs w:val="18"/>
                <w:lang w:val="en-US"/>
              </w:rPr>
              <w:t>Confounding factors</w:t>
            </w:r>
          </w:p>
        </w:tc>
        <w:tc>
          <w:tcPr>
            <w:tcW w:w="0" w:type="auto"/>
            <w:hideMark/>
          </w:tcPr>
          <w:p w:rsidRPr="00C83A0C" w:rsidR="00C83A0C" w:rsidP="00C83A0C" w:rsidRDefault="00C83A0C" w14:paraId="3ADB2B79" w14:textId="77777777">
            <w:pPr>
              <w:spacing w:after="160" w:line="360" w:lineRule="auto"/>
              <w:rPr>
                <w:rFonts w:ascii="Arial" w:hAnsi="Arial" w:cs="Arial"/>
                <w:b/>
                <w:bCs/>
                <w:color w:val="000000" w:themeColor="text1"/>
                <w:sz w:val="18"/>
                <w:szCs w:val="18"/>
                <w:lang w:val="en-US"/>
              </w:rPr>
            </w:pPr>
            <w:r w:rsidRPr="00C83A0C">
              <w:rPr>
                <w:rFonts w:ascii="Arial" w:hAnsi="Arial" w:cs="Arial"/>
                <w:b/>
                <w:bCs/>
                <w:color w:val="000000" w:themeColor="text1"/>
                <w:sz w:val="18"/>
                <w:szCs w:val="18"/>
                <w:lang w:val="en-US"/>
              </w:rPr>
              <w:t>Strategy to deal confound factors</w:t>
            </w:r>
          </w:p>
        </w:tc>
        <w:tc>
          <w:tcPr>
            <w:tcW w:w="0" w:type="auto"/>
            <w:hideMark/>
          </w:tcPr>
          <w:p w:rsidRPr="00C83A0C" w:rsidR="00C83A0C" w:rsidP="00C83A0C" w:rsidRDefault="00C83A0C" w14:paraId="051F9FE5" w14:textId="77777777">
            <w:pPr>
              <w:spacing w:after="160" w:line="360" w:lineRule="auto"/>
              <w:rPr>
                <w:rFonts w:ascii="Arial" w:hAnsi="Arial" w:cs="Arial"/>
                <w:b/>
                <w:bCs/>
                <w:color w:val="000000" w:themeColor="text1"/>
                <w:sz w:val="18"/>
                <w:szCs w:val="18"/>
                <w:lang w:val="en-US"/>
              </w:rPr>
            </w:pPr>
            <w:r w:rsidRPr="00C83A0C">
              <w:rPr>
                <w:rFonts w:ascii="Arial" w:hAnsi="Arial" w:cs="Arial"/>
                <w:b/>
                <w:bCs/>
                <w:color w:val="000000" w:themeColor="text1"/>
                <w:sz w:val="18"/>
                <w:szCs w:val="18"/>
                <w:lang w:val="en-US"/>
              </w:rPr>
              <w:t>Outcome</w:t>
            </w:r>
          </w:p>
        </w:tc>
        <w:tc>
          <w:tcPr>
            <w:tcW w:w="0" w:type="auto"/>
            <w:hideMark/>
          </w:tcPr>
          <w:p w:rsidRPr="00C83A0C" w:rsidR="00C83A0C" w:rsidP="00C83A0C" w:rsidRDefault="00C83A0C" w14:paraId="2945CCFD" w14:textId="77777777">
            <w:pPr>
              <w:spacing w:after="160" w:line="360" w:lineRule="auto"/>
              <w:rPr>
                <w:rFonts w:ascii="Arial" w:hAnsi="Arial" w:cs="Arial"/>
                <w:b/>
                <w:bCs/>
                <w:color w:val="000000" w:themeColor="text1"/>
                <w:sz w:val="18"/>
                <w:szCs w:val="18"/>
                <w:lang w:val="en-US"/>
              </w:rPr>
            </w:pPr>
            <w:r w:rsidRPr="00C83A0C">
              <w:rPr>
                <w:rFonts w:ascii="Arial" w:hAnsi="Arial" w:cs="Arial"/>
                <w:b/>
                <w:bCs/>
                <w:color w:val="000000" w:themeColor="text1"/>
                <w:sz w:val="18"/>
                <w:szCs w:val="18"/>
                <w:lang w:val="en-US"/>
              </w:rPr>
              <w:t>Statistical analysis</w:t>
            </w:r>
          </w:p>
        </w:tc>
        <w:tc>
          <w:tcPr>
            <w:tcW w:w="0" w:type="auto"/>
            <w:hideMark/>
          </w:tcPr>
          <w:p w:rsidRPr="00C83A0C" w:rsidR="00C83A0C" w:rsidP="00C83A0C" w:rsidRDefault="00C83A0C" w14:paraId="75D5D39C" w14:textId="77777777">
            <w:pPr>
              <w:spacing w:after="160" w:line="360" w:lineRule="auto"/>
              <w:rPr>
                <w:rFonts w:ascii="Arial" w:hAnsi="Arial" w:cs="Arial"/>
                <w:b/>
                <w:bCs/>
                <w:color w:val="000000" w:themeColor="text1"/>
                <w:sz w:val="18"/>
                <w:szCs w:val="18"/>
                <w:lang w:val="en-US"/>
              </w:rPr>
            </w:pPr>
            <w:r w:rsidRPr="00C83A0C">
              <w:rPr>
                <w:rFonts w:ascii="Arial" w:hAnsi="Arial" w:cs="Arial"/>
                <w:b/>
                <w:bCs/>
                <w:color w:val="000000" w:themeColor="text1"/>
                <w:sz w:val="18"/>
                <w:szCs w:val="18"/>
                <w:lang w:val="en-US"/>
              </w:rPr>
              <w:t>Score /8</w:t>
            </w:r>
          </w:p>
        </w:tc>
      </w:tr>
      <w:tr w:rsidRPr="00C83A0C" w:rsidR="00C83A0C" w:rsidTr="00C83A0C" w14:paraId="2E82F7FB" w14:textId="77777777">
        <w:trPr>
          <w:trHeight w:val="676"/>
        </w:trPr>
        <w:tc>
          <w:tcPr>
            <w:tcW w:w="0" w:type="auto"/>
            <w:hideMark/>
          </w:tcPr>
          <w:p w:rsidRPr="00C83A0C" w:rsidR="00C83A0C" w:rsidP="00C83A0C" w:rsidRDefault="00C83A0C" w14:paraId="28A2F857" w14:textId="77777777">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Burns et al. (2021)</w:t>
            </w:r>
          </w:p>
        </w:tc>
        <w:tc>
          <w:tcPr>
            <w:tcW w:w="0" w:type="auto"/>
            <w:hideMark/>
          </w:tcPr>
          <w:p w:rsidRPr="00C83A0C" w:rsidR="00C83A0C" w:rsidP="00C83A0C" w:rsidRDefault="00C83A0C" w14:paraId="0F1DD981" w14:textId="77777777">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rsidRPr="00C83A0C" w:rsidR="00C83A0C" w:rsidP="00C83A0C" w:rsidRDefault="00C83A0C" w14:paraId="072DF0AD" w14:textId="77777777">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rsidRPr="00C83A0C" w:rsidR="00C83A0C" w:rsidP="00C83A0C" w:rsidRDefault="00C83A0C" w14:paraId="0876C2EA" w14:textId="77777777">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rsidRPr="00C83A0C" w:rsidR="00C83A0C" w:rsidP="00C83A0C" w:rsidRDefault="00C83A0C" w14:paraId="4F2048F9" w14:textId="77777777">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rsidRPr="00C83A0C" w:rsidR="00C83A0C" w:rsidP="00C83A0C" w:rsidRDefault="00C83A0C" w14:paraId="249C5A9D" w14:textId="77777777">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NO</w:t>
            </w:r>
          </w:p>
        </w:tc>
        <w:tc>
          <w:tcPr>
            <w:tcW w:w="0" w:type="auto"/>
            <w:hideMark/>
          </w:tcPr>
          <w:p w:rsidRPr="00C83A0C" w:rsidR="00C83A0C" w:rsidP="00C83A0C" w:rsidRDefault="00C83A0C" w14:paraId="1D4D10EE" w14:textId="77777777">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NO</w:t>
            </w:r>
          </w:p>
        </w:tc>
        <w:tc>
          <w:tcPr>
            <w:tcW w:w="0" w:type="auto"/>
            <w:hideMark/>
          </w:tcPr>
          <w:p w:rsidRPr="00C83A0C" w:rsidR="00C83A0C" w:rsidP="00C83A0C" w:rsidRDefault="00C83A0C" w14:paraId="308F3069" w14:textId="77777777">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rsidRPr="00C83A0C" w:rsidR="00C83A0C" w:rsidP="00C83A0C" w:rsidRDefault="00C83A0C" w14:paraId="0040FD99" w14:textId="77777777">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rsidRPr="00C83A0C" w:rsidR="00C83A0C" w:rsidP="00C83A0C" w:rsidRDefault="00C83A0C" w14:paraId="584D74B4" w14:textId="7BE93C7C">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6</w:t>
            </w:r>
          </w:p>
        </w:tc>
      </w:tr>
      <w:tr w:rsidRPr="00C83A0C" w:rsidR="00C83A0C" w:rsidTr="00C83A0C" w14:paraId="1000011C" w14:textId="77777777">
        <w:trPr>
          <w:trHeight w:val="954"/>
        </w:trPr>
        <w:tc>
          <w:tcPr>
            <w:tcW w:w="0" w:type="auto"/>
            <w:hideMark/>
          </w:tcPr>
          <w:p w:rsidRPr="00C83A0C" w:rsidR="00C83A0C" w:rsidP="00C83A0C" w:rsidRDefault="00C83A0C" w14:paraId="71703132" w14:textId="641C0AF4">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 xml:space="preserve">Cawthorne </w:t>
            </w:r>
            <w:r>
              <w:rPr>
                <w:rFonts w:ascii="Arial" w:hAnsi="Arial" w:cs="Arial"/>
                <w:color w:val="000000" w:themeColor="text1"/>
                <w:sz w:val="18"/>
                <w:szCs w:val="18"/>
                <w:lang w:val="en-US"/>
              </w:rPr>
              <w:t>and</w:t>
            </w:r>
            <w:r w:rsidRPr="00C83A0C">
              <w:rPr>
                <w:rFonts w:ascii="Arial" w:hAnsi="Arial" w:cs="Arial"/>
                <w:color w:val="000000" w:themeColor="text1"/>
                <w:sz w:val="18"/>
                <w:szCs w:val="18"/>
                <w:lang w:val="en-US"/>
              </w:rPr>
              <w:t xml:space="preserve"> Cooke (2020)</w:t>
            </w:r>
          </w:p>
        </w:tc>
        <w:tc>
          <w:tcPr>
            <w:tcW w:w="0" w:type="auto"/>
            <w:hideMark/>
          </w:tcPr>
          <w:p w:rsidRPr="00C83A0C" w:rsidR="00C83A0C" w:rsidP="00C83A0C" w:rsidRDefault="00C83A0C" w14:paraId="781C4345" w14:textId="77777777">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rsidRPr="00C83A0C" w:rsidR="00C83A0C" w:rsidP="00C83A0C" w:rsidRDefault="00C83A0C" w14:paraId="6F4DB4DC" w14:textId="77777777">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rsidRPr="00C83A0C" w:rsidR="00C83A0C" w:rsidP="00C83A0C" w:rsidRDefault="00C83A0C" w14:paraId="13205370" w14:textId="77777777">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rsidRPr="00C83A0C" w:rsidR="00C83A0C" w:rsidP="00C83A0C" w:rsidRDefault="00C83A0C" w14:paraId="5A2D985F" w14:textId="77777777">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rsidRPr="00C83A0C" w:rsidR="00C83A0C" w:rsidP="00C83A0C" w:rsidRDefault="00C83A0C" w14:paraId="223B668E" w14:textId="77777777">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NO</w:t>
            </w:r>
          </w:p>
        </w:tc>
        <w:tc>
          <w:tcPr>
            <w:tcW w:w="0" w:type="auto"/>
            <w:hideMark/>
          </w:tcPr>
          <w:p w:rsidRPr="00C83A0C" w:rsidR="00C83A0C" w:rsidP="00C83A0C" w:rsidRDefault="00C83A0C" w14:paraId="5BDA1A98" w14:textId="77777777">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NO</w:t>
            </w:r>
          </w:p>
        </w:tc>
        <w:tc>
          <w:tcPr>
            <w:tcW w:w="0" w:type="auto"/>
            <w:hideMark/>
          </w:tcPr>
          <w:p w:rsidRPr="00C83A0C" w:rsidR="00C83A0C" w:rsidP="00C83A0C" w:rsidRDefault="00C83A0C" w14:paraId="593B1E39" w14:textId="77777777">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rsidRPr="00C83A0C" w:rsidR="00C83A0C" w:rsidP="00C83A0C" w:rsidRDefault="00C83A0C" w14:paraId="4C0344DA" w14:textId="77777777">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rsidRPr="00C83A0C" w:rsidR="00C83A0C" w:rsidP="00C83A0C" w:rsidRDefault="00C83A0C" w14:paraId="3475385C" w14:textId="64C9299E">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6</w:t>
            </w:r>
          </w:p>
        </w:tc>
      </w:tr>
      <w:tr w:rsidRPr="00C83A0C" w:rsidR="00C83A0C" w:rsidTr="00C83A0C" w14:paraId="19E11995" w14:textId="77777777">
        <w:trPr>
          <w:trHeight w:val="687"/>
        </w:trPr>
        <w:tc>
          <w:tcPr>
            <w:tcW w:w="0" w:type="auto"/>
            <w:hideMark/>
          </w:tcPr>
          <w:p w:rsidRPr="00C83A0C" w:rsidR="00C83A0C" w:rsidP="00C83A0C" w:rsidRDefault="00C83A0C" w14:paraId="6B3740EC" w14:textId="77777777">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King et al. (2016)</w:t>
            </w:r>
          </w:p>
        </w:tc>
        <w:tc>
          <w:tcPr>
            <w:tcW w:w="0" w:type="auto"/>
            <w:hideMark/>
          </w:tcPr>
          <w:p w:rsidRPr="00C83A0C" w:rsidR="00C83A0C" w:rsidP="00C83A0C" w:rsidRDefault="00C83A0C" w14:paraId="41C28EF4" w14:textId="77777777">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rsidRPr="00C83A0C" w:rsidR="00C83A0C" w:rsidP="00C83A0C" w:rsidRDefault="00C83A0C" w14:paraId="5FF2EBCC" w14:textId="77777777">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rsidRPr="00C83A0C" w:rsidR="00C83A0C" w:rsidP="00C83A0C" w:rsidRDefault="00C83A0C" w14:paraId="054CE40E" w14:textId="77777777">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rsidRPr="00C83A0C" w:rsidR="00C83A0C" w:rsidP="00C83A0C" w:rsidRDefault="00C83A0C" w14:paraId="71D5929F" w14:textId="77777777">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rsidRPr="00C83A0C" w:rsidR="00C83A0C" w:rsidP="00C83A0C" w:rsidRDefault="00C83A0C" w14:paraId="2966DE0A" w14:textId="77777777">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rsidRPr="00C83A0C" w:rsidR="00C83A0C" w:rsidP="00C83A0C" w:rsidRDefault="00C83A0C" w14:paraId="6A60FE45" w14:textId="77777777">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rsidRPr="00C83A0C" w:rsidR="00C83A0C" w:rsidP="00C83A0C" w:rsidRDefault="00C83A0C" w14:paraId="260798B3" w14:textId="77777777">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rsidRPr="00C83A0C" w:rsidR="00C83A0C" w:rsidP="00C83A0C" w:rsidRDefault="00C83A0C" w14:paraId="0C79D9A1" w14:textId="77777777">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rsidRPr="00C83A0C" w:rsidR="00C83A0C" w:rsidP="00C83A0C" w:rsidRDefault="00C83A0C" w14:paraId="399EBDB8" w14:textId="20A0C611">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8</w:t>
            </w:r>
          </w:p>
        </w:tc>
      </w:tr>
      <w:tr w:rsidRPr="00C83A0C" w:rsidR="00C83A0C" w:rsidTr="00C83A0C" w14:paraId="30921BAE" w14:textId="77777777">
        <w:trPr>
          <w:trHeight w:val="676"/>
        </w:trPr>
        <w:tc>
          <w:tcPr>
            <w:tcW w:w="0" w:type="auto"/>
            <w:hideMark/>
          </w:tcPr>
          <w:p w:rsidRPr="00C83A0C" w:rsidR="00C83A0C" w:rsidP="00C83A0C" w:rsidRDefault="00C83A0C" w14:paraId="6B9F2585" w14:textId="77777777">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Gould et al. (2020)</w:t>
            </w:r>
          </w:p>
        </w:tc>
        <w:tc>
          <w:tcPr>
            <w:tcW w:w="0" w:type="auto"/>
            <w:hideMark/>
          </w:tcPr>
          <w:p w:rsidRPr="00C83A0C" w:rsidR="00C83A0C" w:rsidP="00C83A0C" w:rsidRDefault="00C83A0C" w14:paraId="536F4897" w14:textId="77777777">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rsidRPr="00C83A0C" w:rsidR="00C83A0C" w:rsidP="00C83A0C" w:rsidRDefault="00C83A0C" w14:paraId="6F40AAA2" w14:textId="77777777">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rsidRPr="00C83A0C" w:rsidR="00C83A0C" w:rsidP="00C83A0C" w:rsidRDefault="00C83A0C" w14:paraId="1EDF0AA1" w14:textId="77777777">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rsidRPr="00C83A0C" w:rsidR="00C83A0C" w:rsidP="00C83A0C" w:rsidRDefault="00C83A0C" w14:paraId="6DA78D0A" w14:textId="77777777">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rsidRPr="00C83A0C" w:rsidR="00C83A0C" w:rsidP="00C83A0C" w:rsidRDefault="00C83A0C" w14:paraId="4FDAAE92" w14:textId="77777777">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rsidRPr="00C83A0C" w:rsidR="00C83A0C" w:rsidP="00C83A0C" w:rsidRDefault="00C83A0C" w14:paraId="1367ED49" w14:textId="77777777">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rsidRPr="00C83A0C" w:rsidR="00C83A0C" w:rsidP="00C83A0C" w:rsidRDefault="00C83A0C" w14:paraId="1506BF9F" w14:textId="77777777">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rsidRPr="00C83A0C" w:rsidR="00C83A0C" w:rsidP="00C83A0C" w:rsidRDefault="00C83A0C" w14:paraId="3EF1EFC8" w14:textId="77777777">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YES</w:t>
            </w:r>
          </w:p>
        </w:tc>
        <w:tc>
          <w:tcPr>
            <w:tcW w:w="0" w:type="auto"/>
            <w:hideMark/>
          </w:tcPr>
          <w:p w:rsidRPr="00C83A0C" w:rsidR="00C83A0C" w:rsidP="00C83A0C" w:rsidRDefault="00C83A0C" w14:paraId="6288AE43" w14:textId="3EAC833E">
            <w:pPr>
              <w:spacing w:after="160" w:line="360" w:lineRule="auto"/>
              <w:rPr>
                <w:rFonts w:ascii="Arial" w:hAnsi="Arial" w:cs="Arial"/>
                <w:color w:val="000000" w:themeColor="text1"/>
                <w:sz w:val="18"/>
                <w:szCs w:val="18"/>
                <w:lang w:val="en-US"/>
              </w:rPr>
            </w:pPr>
            <w:r w:rsidRPr="00C83A0C">
              <w:rPr>
                <w:rFonts w:ascii="Arial" w:hAnsi="Arial" w:cs="Arial"/>
                <w:color w:val="000000" w:themeColor="text1"/>
                <w:sz w:val="18"/>
                <w:szCs w:val="18"/>
                <w:lang w:val="en-US"/>
              </w:rPr>
              <w:t>8</w:t>
            </w:r>
          </w:p>
        </w:tc>
      </w:tr>
    </w:tbl>
    <w:p w:rsidR="00C83A0C" w:rsidP="00C83A0C" w:rsidRDefault="00C83A0C" w14:paraId="224FB4F0" w14:textId="77777777">
      <w:pPr>
        <w:rPr>
          <w:rFonts w:ascii="Arial" w:hAnsi="Arial" w:cs="Arial"/>
          <w:b/>
          <w:bCs/>
          <w:color w:val="000000" w:themeColor="text1"/>
          <w:lang w:val="en-US"/>
        </w:rPr>
      </w:pPr>
    </w:p>
    <w:p w:rsidRPr="00C83A0C" w:rsidR="00C83A0C" w:rsidP="00C83A0C" w:rsidRDefault="00C83A0C" w14:paraId="4177E381" w14:textId="41259656">
      <w:pPr>
        <w:rPr>
          <w:rFonts w:ascii="Arial" w:hAnsi="Arial" w:cs="Arial"/>
          <w:b/>
          <w:bCs/>
          <w:color w:val="000000" w:themeColor="text1"/>
          <w:lang w:val="en-US"/>
        </w:rPr>
      </w:pPr>
      <w:r w:rsidRPr="00C83A0C">
        <w:rPr>
          <w:rFonts w:ascii="Arial" w:hAnsi="Arial" w:cs="Arial"/>
          <w:b/>
          <w:bCs/>
          <w:color w:val="000000" w:themeColor="text1"/>
          <w:lang w:val="en-US"/>
        </w:rPr>
        <w:t xml:space="preserve">Table </w:t>
      </w:r>
      <w:r w:rsidR="00F95AA4">
        <w:rPr>
          <w:rFonts w:ascii="Arial" w:hAnsi="Arial" w:cs="Arial"/>
          <w:b/>
          <w:bCs/>
          <w:color w:val="000000" w:themeColor="text1"/>
          <w:lang w:val="en-US"/>
        </w:rPr>
        <w:t>3.5</w:t>
      </w:r>
      <w:r w:rsidRPr="00C83A0C">
        <w:rPr>
          <w:rFonts w:ascii="Arial" w:hAnsi="Arial" w:cs="Arial"/>
          <w:b/>
          <w:bCs/>
          <w:color w:val="000000" w:themeColor="text1"/>
          <w:lang w:val="en-US"/>
        </w:rPr>
        <w:t>: CASP Checklist Tool for Cohort/Observational Studies</w:t>
      </w:r>
    </w:p>
    <w:tbl>
      <w:tblPr>
        <w:tblStyle w:val="TableGrid"/>
        <w:tblW w:w="11269" w:type="dxa"/>
        <w:tblInd w:w="-1139" w:type="dxa"/>
        <w:tblLayout w:type="fixed"/>
        <w:tblLook w:val="04A0" w:firstRow="1" w:lastRow="0" w:firstColumn="1" w:lastColumn="0" w:noHBand="0" w:noVBand="1"/>
      </w:tblPr>
      <w:tblGrid>
        <w:gridCol w:w="1174"/>
        <w:gridCol w:w="889"/>
        <w:gridCol w:w="871"/>
        <w:gridCol w:w="779"/>
        <w:gridCol w:w="889"/>
        <w:gridCol w:w="889"/>
        <w:gridCol w:w="889"/>
        <w:gridCol w:w="761"/>
        <w:gridCol w:w="656"/>
        <w:gridCol w:w="567"/>
        <w:gridCol w:w="708"/>
        <w:gridCol w:w="709"/>
        <w:gridCol w:w="756"/>
        <w:gridCol w:w="732"/>
      </w:tblGrid>
      <w:tr w:rsidRPr="00C83A0C" w:rsidR="00C83A0C" w:rsidTr="00C83A0C" w14:paraId="2B539B1D" w14:textId="77777777">
        <w:trPr>
          <w:trHeight w:val="1691"/>
        </w:trPr>
        <w:tc>
          <w:tcPr>
            <w:tcW w:w="1174" w:type="dxa"/>
            <w:hideMark/>
          </w:tcPr>
          <w:p w:rsidRPr="00C83A0C" w:rsidR="00C83A0C" w:rsidP="00C83A0C" w:rsidRDefault="00C83A0C" w14:paraId="2F5F9D9D" w14:textId="77777777">
            <w:pPr>
              <w:spacing w:after="160" w:line="360" w:lineRule="auto"/>
              <w:rPr>
                <w:rFonts w:ascii="Arial" w:hAnsi="Arial" w:cs="Arial"/>
                <w:b/>
                <w:bCs/>
                <w:color w:val="000000" w:themeColor="text1"/>
                <w:sz w:val="16"/>
                <w:szCs w:val="16"/>
                <w:lang w:val="en-US"/>
              </w:rPr>
            </w:pPr>
            <w:r w:rsidRPr="00C83A0C">
              <w:rPr>
                <w:rFonts w:ascii="Arial" w:hAnsi="Arial" w:cs="Arial"/>
                <w:b/>
                <w:bCs/>
                <w:color w:val="000000" w:themeColor="text1"/>
                <w:sz w:val="16"/>
                <w:szCs w:val="16"/>
                <w:lang w:val="en-US"/>
              </w:rPr>
              <w:t>References</w:t>
            </w:r>
          </w:p>
        </w:tc>
        <w:tc>
          <w:tcPr>
            <w:tcW w:w="889" w:type="dxa"/>
            <w:hideMark/>
          </w:tcPr>
          <w:p w:rsidRPr="00C83A0C" w:rsidR="00C83A0C" w:rsidP="00C83A0C" w:rsidRDefault="00C83A0C" w14:paraId="022E4A09" w14:textId="77777777">
            <w:pPr>
              <w:spacing w:after="160" w:line="360" w:lineRule="auto"/>
              <w:rPr>
                <w:rFonts w:ascii="Arial" w:hAnsi="Arial" w:cs="Arial"/>
                <w:b/>
                <w:bCs/>
                <w:color w:val="000000" w:themeColor="text1"/>
                <w:sz w:val="16"/>
                <w:szCs w:val="16"/>
                <w:lang w:val="en-US"/>
              </w:rPr>
            </w:pPr>
            <w:r w:rsidRPr="00C83A0C">
              <w:rPr>
                <w:rFonts w:ascii="Arial" w:hAnsi="Arial" w:cs="Arial"/>
                <w:b/>
                <w:bCs/>
                <w:color w:val="000000" w:themeColor="text1"/>
                <w:sz w:val="16"/>
                <w:szCs w:val="16"/>
                <w:lang w:val="en-US"/>
              </w:rPr>
              <w:t>Focused issue addressed</w:t>
            </w:r>
          </w:p>
        </w:tc>
        <w:tc>
          <w:tcPr>
            <w:tcW w:w="871" w:type="dxa"/>
            <w:hideMark/>
          </w:tcPr>
          <w:p w:rsidRPr="00C83A0C" w:rsidR="00C83A0C" w:rsidP="00C83A0C" w:rsidRDefault="00C83A0C" w14:paraId="44DADF03" w14:textId="7F6F090E">
            <w:pPr>
              <w:spacing w:after="160" w:line="360" w:lineRule="auto"/>
              <w:rPr>
                <w:rFonts w:ascii="Arial" w:hAnsi="Arial" w:cs="Arial"/>
                <w:b/>
                <w:bCs/>
                <w:color w:val="000000" w:themeColor="text1"/>
                <w:sz w:val="16"/>
                <w:szCs w:val="16"/>
                <w:lang w:val="en-US"/>
              </w:rPr>
            </w:pPr>
            <w:r w:rsidRPr="00C83A0C">
              <w:rPr>
                <w:rFonts w:ascii="Arial" w:hAnsi="Arial" w:cs="Arial"/>
                <w:b/>
                <w:bCs/>
                <w:color w:val="000000" w:themeColor="text1"/>
                <w:sz w:val="16"/>
                <w:szCs w:val="16"/>
                <w:lang w:val="en-US"/>
              </w:rPr>
              <w:t>Cohort recruited in an acceptable way</w:t>
            </w:r>
          </w:p>
        </w:tc>
        <w:tc>
          <w:tcPr>
            <w:tcW w:w="779" w:type="dxa"/>
            <w:hideMark/>
          </w:tcPr>
          <w:p w:rsidRPr="00C83A0C" w:rsidR="00C83A0C" w:rsidP="00C83A0C" w:rsidRDefault="00C83A0C" w14:paraId="1BAA4239" w14:textId="77777777">
            <w:pPr>
              <w:spacing w:after="160" w:line="360" w:lineRule="auto"/>
              <w:rPr>
                <w:rFonts w:ascii="Arial" w:hAnsi="Arial" w:cs="Arial"/>
                <w:b/>
                <w:bCs/>
                <w:color w:val="000000" w:themeColor="text1"/>
                <w:sz w:val="16"/>
                <w:szCs w:val="16"/>
                <w:lang w:val="en-US"/>
              </w:rPr>
            </w:pPr>
            <w:r w:rsidRPr="00C83A0C">
              <w:rPr>
                <w:rFonts w:ascii="Arial" w:hAnsi="Arial" w:cs="Arial"/>
                <w:b/>
                <w:bCs/>
                <w:color w:val="000000" w:themeColor="text1"/>
                <w:sz w:val="16"/>
                <w:szCs w:val="16"/>
                <w:lang w:val="en-US"/>
              </w:rPr>
              <w:t>Exposure measurement</w:t>
            </w:r>
          </w:p>
        </w:tc>
        <w:tc>
          <w:tcPr>
            <w:tcW w:w="889" w:type="dxa"/>
            <w:hideMark/>
          </w:tcPr>
          <w:p w:rsidRPr="00C83A0C" w:rsidR="00C83A0C" w:rsidP="00C83A0C" w:rsidRDefault="00C83A0C" w14:paraId="6DBB3DCD" w14:textId="77777777">
            <w:pPr>
              <w:spacing w:after="160" w:line="360" w:lineRule="auto"/>
              <w:rPr>
                <w:rFonts w:ascii="Arial" w:hAnsi="Arial" w:cs="Arial"/>
                <w:b/>
                <w:bCs/>
                <w:color w:val="000000" w:themeColor="text1"/>
                <w:sz w:val="16"/>
                <w:szCs w:val="16"/>
                <w:lang w:val="en-US"/>
              </w:rPr>
            </w:pPr>
            <w:r w:rsidRPr="00C83A0C">
              <w:rPr>
                <w:rFonts w:ascii="Arial" w:hAnsi="Arial" w:cs="Arial"/>
                <w:b/>
                <w:bCs/>
                <w:color w:val="000000" w:themeColor="text1"/>
                <w:sz w:val="16"/>
                <w:szCs w:val="16"/>
                <w:lang w:val="en-US"/>
              </w:rPr>
              <w:t>Outcome measurement</w:t>
            </w:r>
          </w:p>
        </w:tc>
        <w:tc>
          <w:tcPr>
            <w:tcW w:w="889" w:type="dxa"/>
            <w:hideMark/>
          </w:tcPr>
          <w:p w:rsidRPr="00C83A0C" w:rsidR="00C83A0C" w:rsidP="00C83A0C" w:rsidRDefault="00C83A0C" w14:paraId="433ECB0C" w14:textId="77777777">
            <w:pPr>
              <w:spacing w:after="160" w:line="360" w:lineRule="auto"/>
              <w:rPr>
                <w:rFonts w:ascii="Arial" w:hAnsi="Arial" w:cs="Arial"/>
                <w:b/>
                <w:bCs/>
                <w:color w:val="000000" w:themeColor="text1"/>
                <w:sz w:val="16"/>
                <w:szCs w:val="16"/>
                <w:lang w:val="en-US"/>
              </w:rPr>
            </w:pPr>
            <w:r w:rsidRPr="00C83A0C">
              <w:rPr>
                <w:rFonts w:ascii="Arial" w:hAnsi="Arial" w:cs="Arial"/>
                <w:b/>
                <w:bCs/>
                <w:color w:val="000000" w:themeColor="text1"/>
                <w:sz w:val="16"/>
                <w:szCs w:val="16"/>
                <w:lang w:val="en-US"/>
              </w:rPr>
              <w:t>Confounding factors</w:t>
            </w:r>
          </w:p>
        </w:tc>
        <w:tc>
          <w:tcPr>
            <w:tcW w:w="889" w:type="dxa"/>
            <w:hideMark/>
          </w:tcPr>
          <w:p w:rsidRPr="00C83A0C" w:rsidR="00C83A0C" w:rsidP="00C83A0C" w:rsidRDefault="00C83A0C" w14:paraId="5B0062A6" w14:textId="77777777">
            <w:pPr>
              <w:spacing w:after="160" w:line="360" w:lineRule="auto"/>
              <w:rPr>
                <w:rFonts w:ascii="Arial" w:hAnsi="Arial" w:cs="Arial"/>
                <w:b/>
                <w:bCs/>
                <w:color w:val="000000" w:themeColor="text1"/>
                <w:sz w:val="16"/>
                <w:szCs w:val="16"/>
                <w:lang w:val="en-US"/>
              </w:rPr>
            </w:pPr>
            <w:r w:rsidRPr="00C83A0C">
              <w:rPr>
                <w:rFonts w:ascii="Arial" w:hAnsi="Arial" w:cs="Arial"/>
                <w:b/>
                <w:bCs/>
                <w:color w:val="000000" w:themeColor="text1"/>
                <w:sz w:val="16"/>
                <w:szCs w:val="16"/>
                <w:lang w:val="en-US"/>
              </w:rPr>
              <w:t>Strategy to deal confound factors</w:t>
            </w:r>
          </w:p>
        </w:tc>
        <w:tc>
          <w:tcPr>
            <w:tcW w:w="761" w:type="dxa"/>
            <w:hideMark/>
          </w:tcPr>
          <w:p w:rsidRPr="00C83A0C" w:rsidR="00C83A0C" w:rsidP="00C83A0C" w:rsidRDefault="00C83A0C" w14:paraId="38D56B99" w14:textId="77777777">
            <w:pPr>
              <w:spacing w:after="160" w:line="360" w:lineRule="auto"/>
              <w:rPr>
                <w:rFonts w:ascii="Arial" w:hAnsi="Arial" w:cs="Arial"/>
                <w:b/>
                <w:bCs/>
                <w:color w:val="000000" w:themeColor="text1"/>
                <w:sz w:val="16"/>
                <w:szCs w:val="16"/>
                <w:lang w:val="en-US"/>
              </w:rPr>
            </w:pPr>
            <w:r w:rsidRPr="00C83A0C">
              <w:rPr>
                <w:rFonts w:ascii="Arial" w:hAnsi="Arial" w:cs="Arial"/>
                <w:b/>
                <w:bCs/>
                <w:color w:val="000000" w:themeColor="text1"/>
                <w:sz w:val="16"/>
                <w:szCs w:val="16"/>
                <w:lang w:val="en-US"/>
              </w:rPr>
              <w:t>Follow up subject</w:t>
            </w:r>
          </w:p>
        </w:tc>
        <w:tc>
          <w:tcPr>
            <w:tcW w:w="656" w:type="dxa"/>
            <w:hideMark/>
          </w:tcPr>
          <w:p w:rsidRPr="00C83A0C" w:rsidR="00C83A0C" w:rsidP="00C83A0C" w:rsidRDefault="00C83A0C" w14:paraId="6E8D98A2" w14:textId="77777777">
            <w:pPr>
              <w:spacing w:after="160" w:line="360" w:lineRule="auto"/>
              <w:rPr>
                <w:rFonts w:ascii="Arial" w:hAnsi="Arial" w:cs="Arial"/>
                <w:b/>
                <w:bCs/>
                <w:color w:val="000000" w:themeColor="text1"/>
                <w:sz w:val="16"/>
                <w:szCs w:val="16"/>
                <w:lang w:val="en-US"/>
              </w:rPr>
            </w:pPr>
            <w:r w:rsidRPr="00C83A0C">
              <w:rPr>
                <w:rFonts w:ascii="Arial" w:hAnsi="Arial" w:cs="Arial"/>
                <w:b/>
                <w:bCs/>
                <w:color w:val="000000" w:themeColor="text1"/>
                <w:sz w:val="16"/>
                <w:szCs w:val="16"/>
                <w:lang w:val="en-US"/>
              </w:rPr>
              <w:t>Results</w:t>
            </w:r>
          </w:p>
        </w:tc>
        <w:tc>
          <w:tcPr>
            <w:tcW w:w="567" w:type="dxa"/>
            <w:hideMark/>
          </w:tcPr>
          <w:p w:rsidRPr="00C83A0C" w:rsidR="00C83A0C" w:rsidP="00C83A0C" w:rsidRDefault="00C83A0C" w14:paraId="492566B4" w14:textId="77777777">
            <w:pPr>
              <w:spacing w:after="160" w:line="360" w:lineRule="auto"/>
              <w:rPr>
                <w:rFonts w:ascii="Arial" w:hAnsi="Arial" w:cs="Arial"/>
                <w:b/>
                <w:bCs/>
                <w:color w:val="000000" w:themeColor="text1"/>
                <w:sz w:val="16"/>
                <w:szCs w:val="16"/>
                <w:lang w:val="en-US"/>
              </w:rPr>
            </w:pPr>
            <w:r w:rsidRPr="00C83A0C">
              <w:rPr>
                <w:rFonts w:ascii="Arial" w:hAnsi="Arial" w:cs="Arial"/>
                <w:b/>
                <w:bCs/>
                <w:color w:val="000000" w:themeColor="text1"/>
                <w:sz w:val="16"/>
                <w:szCs w:val="16"/>
                <w:lang w:val="en-US"/>
              </w:rPr>
              <w:t>Result precision</w:t>
            </w:r>
          </w:p>
        </w:tc>
        <w:tc>
          <w:tcPr>
            <w:tcW w:w="708" w:type="dxa"/>
            <w:hideMark/>
          </w:tcPr>
          <w:p w:rsidRPr="00C83A0C" w:rsidR="00C83A0C" w:rsidP="00C83A0C" w:rsidRDefault="00C83A0C" w14:paraId="3AE1D7F0" w14:textId="77777777">
            <w:pPr>
              <w:spacing w:after="160" w:line="360" w:lineRule="auto"/>
              <w:rPr>
                <w:rFonts w:ascii="Arial" w:hAnsi="Arial" w:cs="Arial"/>
                <w:b/>
                <w:bCs/>
                <w:color w:val="000000" w:themeColor="text1"/>
                <w:sz w:val="16"/>
                <w:szCs w:val="16"/>
                <w:lang w:val="en-US"/>
              </w:rPr>
            </w:pPr>
            <w:r w:rsidRPr="00C83A0C">
              <w:rPr>
                <w:rFonts w:ascii="Arial" w:hAnsi="Arial" w:cs="Arial"/>
                <w:b/>
                <w:bCs/>
                <w:color w:val="000000" w:themeColor="text1"/>
                <w:sz w:val="16"/>
                <w:szCs w:val="16"/>
                <w:lang w:val="en-US"/>
              </w:rPr>
              <w:t>Do you believe the result</w:t>
            </w:r>
          </w:p>
        </w:tc>
        <w:tc>
          <w:tcPr>
            <w:tcW w:w="709" w:type="dxa"/>
            <w:hideMark/>
          </w:tcPr>
          <w:p w:rsidRPr="00C83A0C" w:rsidR="00C83A0C" w:rsidP="00C83A0C" w:rsidRDefault="00C83A0C" w14:paraId="0525F625" w14:textId="77777777">
            <w:pPr>
              <w:spacing w:after="160" w:line="360" w:lineRule="auto"/>
              <w:rPr>
                <w:rFonts w:ascii="Arial" w:hAnsi="Arial" w:cs="Arial"/>
                <w:b/>
                <w:bCs/>
                <w:color w:val="000000" w:themeColor="text1"/>
                <w:sz w:val="16"/>
                <w:szCs w:val="16"/>
                <w:lang w:val="en-US"/>
              </w:rPr>
            </w:pPr>
            <w:r w:rsidRPr="00C83A0C">
              <w:rPr>
                <w:rFonts w:ascii="Arial" w:hAnsi="Arial" w:cs="Arial"/>
                <w:b/>
                <w:bCs/>
                <w:color w:val="000000" w:themeColor="text1"/>
                <w:sz w:val="16"/>
                <w:szCs w:val="16"/>
                <w:lang w:val="en-US"/>
              </w:rPr>
              <w:t>Applicability to Local Context</w:t>
            </w:r>
          </w:p>
        </w:tc>
        <w:tc>
          <w:tcPr>
            <w:tcW w:w="756" w:type="dxa"/>
            <w:hideMark/>
          </w:tcPr>
          <w:p w:rsidRPr="00C83A0C" w:rsidR="00C83A0C" w:rsidP="00C83A0C" w:rsidRDefault="00C83A0C" w14:paraId="1C60A8C2" w14:textId="77777777">
            <w:pPr>
              <w:spacing w:after="160" w:line="360" w:lineRule="auto"/>
              <w:rPr>
                <w:rFonts w:ascii="Arial" w:hAnsi="Arial" w:cs="Arial"/>
                <w:b/>
                <w:bCs/>
                <w:color w:val="000000" w:themeColor="text1"/>
                <w:sz w:val="16"/>
                <w:szCs w:val="16"/>
                <w:lang w:val="en-US"/>
              </w:rPr>
            </w:pPr>
            <w:r w:rsidRPr="00C83A0C">
              <w:rPr>
                <w:rFonts w:ascii="Arial" w:hAnsi="Arial" w:cs="Arial"/>
                <w:b/>
                <w:bCs/>
                <w:color w:val="000000" w:themeColor="text1"/>
                <w:sz w:val="16"/>
                <w:szCs w:val="16"/>
                <w:lang w:val="en-US"/>
              </w:rPr>
              <w:t>Fit other evidence</w:t>
            </w:r>
          </w:p>
        </w:tc>
        <w:tc>
          <w:tcPr>
            <w:tcW w:w="732" w:type="dxa"/>
            <w:hideMark/>
          </w:tcPr>
          <w:p w:rsidRPr="00C83A0C" w:rsidR="00C83A0C" w:rsidP="00C83A0C" w:rsidRDefault="00C83A0C" w14:paraId="4336E09C" w14:textId="77777777">
            <w:pPr>
              <w:spacing w:after="160" w:line="360" w:lineRule="auto"/>
              <w:rPr>
                <w:rFonts w:ascii="Arial" w:hAnsi="Arial" w:cs="Arial"/>
                <w:b/>
                <w:bCs/>
                <w:color w:val="000000" w:themeColor="text1"/>
                <w:sz w:val="16"/>
                <w:szCs w:val="16"/>
                <w:lang w:val="en-US"/>
              </w:rPr>
            </w:pPr>
            <w:r w:rsidRPr="00C83A0C">
              <w:rPr>
                <w:rFonts w:ascii="Arial" w:hAnsi="Arial" w:cs="Arial"/>
                <w:b/>
                <w:bCs/>
                <w:color w:val="000000" w:themeColor="text1"/>
                <w:sz w:val="16"/>
                <w:szCs w:val="16"/>
                <w:lang w:val="en-US"/>
              </w:rPr>
              <w:t>Score /12</w:t>
            </w:r>
          </w:p>
        </w:tc>
      </w:tr>
      <w:tr w:rsidRPr="00C83A0C" w:rsidR="00C83A0C" w:rsidTr="00C83A0C" w14:paraId="549D4135" w14:textId="77777777">
        <w:trPr>
          <w:trHeight w:val="801"/>
        </w:trPr>
        <w:tc>
          <w:tcPr>
            <w:tcW w:w="1174" w:type="dxa"/>
            <w:hideMark/>
          </w:tcPr>
          <w:p w:rsidRPr="00792247" w:rsidR="00C83A0C" w:rsidP="00C83A0C" w:rsidRDefault="00C83A0C" w14:paraId="4172643A" w14:textId="1600DEB7">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Kaye and Marais (2025)</w:t>
            </w:r>
          </w:p>
        </w:tc>
        <w:tc>
          <w:tcPr>
            <w:tcW w:w="889" w:type="dxa"/>
            <w:hideMark/>
          </w:tcPr>
          <w:p w:rsidRPr="00792247" w:rsidR="00C83A0C" w:rsidP="00C83A0C" w:rsidRDefault="00C83A0C" w14:paraId="5C7BE3DA" w14:textId="77777777">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871" w:type="dxa"/>
            <w:hideMark/>
          </w:tcPr>
          <w:p w:rsidRPr="00792247" w:rsidR="00C83A0C" w:rsidP="00C83A0C" w:rsidRDefault="00C83A0C" w14:paraId="17E119C9" w14:textId="77777777">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779" w:type="dxa"/>
            <w:hideMark/>
          </w:tcPr>
          <w:p w:rsidRPr="00792247" w:rsidR="00C83A0C" w:rsidP="00C83A0C" w:rsidRDefault="00C83A0C" w14:paraId="31A6E39A" w14:textId="77777777">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889" w:type="dxa"/>
            <w:hideMark/>
          </w:tcPr>
          <w:p w:rsidRPr="00792247" w:rsidR="00C83A0C" w:rsidP="00C83A0C" w:rsidRDefault="00C83A0C" w14:paraId="6A764B88" w14:textId="77777777">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889" w:type="dxa"/>
            <w:hideMark/>
          </w:tcPr>
          <w:p w:rsidRPr="00792247" w:rsidR="00C83A0C" w:rsidP="00C83A0C" w:rsidRDefault="00C83A0C" w14:paraId="573C9046" w14:textId="77777777">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889" w:type="dxa"/>
            <w:hideMark/>
          </w:tcPr>
          <w:p w:rsidRPr="00792247" w:rsidR="00C83A0C" w:rsidP="00C83A0C" w:rsidRDefault="00C83A0C" w14:paraId="4977AE89" w14:textId="77777777">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761" w:type="dxa"/>
            <w:hideMark/>
          </w:tcPr>
          <w:p w:rsidRPr="00792247" w:rsidR="00C83A0C" w:rsidP="00C83A0C" w:rsidRDefault="00C83A0C" w14:paraId="0F6FA732" w14:textId="77777777">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656" w:type="dxa"/>
            <w:hideMark/>
          </w:tcPr>
          <w:p w:rsidRPr="00792247" w:rsidR="00C83A0C" w:rsidP="00C83A0C" w:rsidRDefault="00C83A0C" w14:paraId="496DF272" w14:textId="77777777">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567" w:type="dxa"/>
            <w:hideMark/>
          </w:tcPr>
          <w:p w:rsidRPr="00792247" w:rsidR="00C83A0C" w:rsidP="00C83A0C" w:rsidRDefault="00C83A0C" w14:paraId="19FACB9E" w14:textId="77777777">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708" w:type="dxa"/>
            <w:hideMark/>
          </w:tcPr>
          <w:p w:rsidRPr="00792247" w:rsidR="00C83A0C" w:rsidP="00C83A0C" w:rsidRDefault="00C83A0C" w14:paraId="45623BD3" w14:textId="77777777">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709" w:type="dxa"/>
            <w:hideMark/>
          </w:tcPr>
          <w:p w:rsidRPr="00792247" w:rsidR="00C83A0C" w:rsidP="00C83A0C" w:rsidRDefault="00C83A0C" w14:paraId="649DD5CE" w14:textId="77777777">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756" w:type="dxa"/>
            <w:hideMark/>
          </w:tcPr>
          <w:p w:rsidRPr="00792247" w:rsidR="00C83A0C" w:rsidP="00C83A0C" w:rsidRDefault="00C83A0C" w14:paraId="16203CF8" w14:textId="77777777">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732" w:type="dxa"/>
            <w:hideMark/>
          </w:tcPr>
          <w:p w:rsidRPr="00792247" w:rsidR="00C83A0C" w:rsidP="00C83A0C" w:rsidRDefault="00C83A0C" w14:paraId="6DCFB69B" w14:textId="777E7854">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12</w:t>
            </w:r>
          </w:p>
        </w:tc>
      </w:tr>
      <w:tr w:rsidRPr="00C83A0C" w:rsidR="00C83A0C" w:rsidTr="00C83A0C" w14:paraId="4F77930B" w14:textId="77777777">
        <w:trPr>
          <w:trHeight w:val="801"/>
        </w:trPr>
        <w:tc>
          <w:tcPr>
            <w:tcW w:w="1174" w:type="dxa"/>
            <w:hideMark/>
          </w:tcPr>
          <w:p w:rsidRPr="00792247" w:rsidR="00C83A0C" w:rsidP="00C83A0C" w:rsidRDefault="00C83A0C" w14:paraId="2FDB737C" w14:textId="77777777">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Jeanes et al. (2018)</w:t>
            </w:r>
          </w:p>
        </w:tc>
        <w:tc>
          <w:tcPr>
            <w:tcW w:w="889" w:type="dxa"/>
            <w:hideMark/>
          </w:tcPr>
          <w:p w:rsidRPr="00792247" w:rsidR="00C83A0C" w:rsidP="00C83A0C" w:rsidRDefault="00C83A0C" w14:paraId="10EA1EBC" w14:textId="77777777">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871" w:type="dxa"/>
            <w:hideMark/>
          </w:tcPr>
          <w:p w:rsidRPr="00792247" w:rsidR="00C83A0C" w:rsidP="00C83A0C" w:rsidRDefault="00C83A0C" w14:paraId="00A9DF1A" w14:textId="77777777">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779" w:type="dxa"/>
            <w:hideMark/>
          </w:tcPr>
          <w:p w:rsidRPr="00792247" w:rsidR="00C83A0C" w:rsidP="00C83A0C" w:rsidRDefault="00C83A0C" w14:paraId="0FE0A2E5" w14:textId="77777777">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889" w:type="dxa"/>
            <w:hideMark/>
          </w:tcPr>
          <w:p w:rsidRPr="00792247" w:rsidR="00C83A0C" w:rsidP="00C83A0C" w:rsidRDefault="00C83A0C" w14:paraId="37D5D262" w14:textId="77777777">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889" w:type="dxa"/>
            <w:hideMark/>
          </w:tcPr>
          <w:p w:rsidRPr="00792247" w:rsidR="00C83A0C" w:rsidP="00C83A0C" w:rsidRDefault="00C83A0C" w14:paraId="20F4B882" w14:textId="77777777">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889" w:type="dxa"/>
            <w:hideMark/>
          </w:tcPr>
          <w:p w:rsidRPr="00792247" w:rsidR="00C83A0C" w:rsidP="00C83A0C" w:rsidRDefault="00C83A0C" w14:paraId="6757062D" w14:textId="77777777">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NO</w:t>
            </w:r>
          </w:p>
        </w:tc>
        <w:tc>
          <w:tcPr>
            <w:tcW w:w="761" w:type="dxa"/>
            <w:hideMark/>
          </w:tcPr>
          <w:p w:rsidRPr="00792247" w:rsidR="00C83A0C" w:rsidP="00C83A0C" w:rsidRDefault="00C83A0C" w14:paraId="1094D9F9" w14:textId="77777777">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656" w:type="dxa"/>
            <w:hideMark/>
          </w:tcPr>
          <w:p w:rsidRPr="00792247" w:rsidR="00C83A0C" w:rsidP="00C83A0C" w:rsidRDefault="00C83A0C" w14:paraId="397ACEF8" w14:textId="77777777">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567" w:type="dxa"/>
            <w:hideMark/>
          </w:tcPr>
          <w:p w:rsidRPr="00792247" w:rsidR="00C83A0C" w:rsidP="00C83A0C" w:rsidRDefault="00C83A0C" w14:paraId="3762CBB2" w14:textId="77777777">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708" w:type="dxa"/>
            <w:hideMark/>
          </w:tcPr>
          <w:p w:rsidRPr="00792247" w:rsidR="00C83A0C" w:rsidP="00C83A0C" w:rsidRDefault="00C83A0C" w14:paraId="642D5011" w14:textId="77777777">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709" w:type="dxa"/>
            <w:hideMark/>
          </w:tcPr>
          <w:p w:rsidRPr="00792247" w:rsidR="00C83A0C" w:rsidP="00C83A0C" w:rsidRDefault="00C83A0C" w14:paraId="3965854D" w14:textId="77777777">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756" w:type="dxa"/>
            <w:hideMark/>
          </w:tcPr>
          <w:p w:rsidRPr="00792247" w:rsidR="00C83A0C" w:rsidP="00C83A0C" w:rsidRDefault="00C83A0C" w14:paraId="06B7AEBF" w14:textId="77777777">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732" w:type="dxa"/>
            <w:hideMark/>
          </w:tcPr>
          <w:p w:rsidRPr="00792247" w:rsidR="00C83A0C" w:rsidP="00C83A0C" w:rsidRDefault="00C83A0C" w14:paraId="4FB78BB6" w14:textId="547A65ED">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10</w:t>
            </w:r>
          </w:p>
        </w:tc>
      </w:tr>
      <w:tr w:rsidRPr="00C83A0C" w:rsidR="00C83A0C" w:rsidTr="00C83A0C" w14:paraId="5EB3B20A" w14:textId="77777777">
        <w:trPr>
          <w:trHeight w:val="1239"/>
        </w:trPr>
        <w:tc>
          <w:tcPr>
            <w:tcW w:w="1174" w:type="dxa"/>
            <w:hideMark/>
          </w:tcPr>
          <w:p w:rsidRPr="00792247" w:rsidR="00C83A0C" w:rsidP="00C83A0C" w:rsidRDefault="00C83A0C" w14:paraId="3950E33D" w14:textId="34E63AEB">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Mohammadi-Zaniani and Wales (2020)</w:t>
            </w:r>
          </w:p>
        </w:tc>
        <w:tc>
          <w:tcPr>
            <w:tcW w:w="889" w:type="dxa"/>
            <w:hideMark/>
          </w:tcPr>
          <w:p w:rsidRPr="00792247" w:rsidR="00C83A0C" w:rsidP="00C83A0C" w:rsidRDefault="00C83A0C" w14:paraId="6F2A779E" w14:textId="77777777">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871" w:type="dxa"/>
            <w:hideMark/>
          </w:tcPr>
          <w:p w:rsidRPr="00792247" w:rsidR="00C83A0C" w:rsidP="00C83A0C" w:rsidRDefault="00C83A0C" w14:paraId="4B3BEE25" w14:textId="77777777">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779" w:type="dxa"/>
            <w:hideMark/>
          </w:tcPr>
          <w:p w:rsidRPr="00792247" w:rsidR="00C83A0C" w:rsidP="00C83A0C" w:rsidRDefault="00C83A0C" w14:paraId="552BE41F" w14:textId="77777777">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889" w:type="dxa"/>
            <w:hideMark/>
          </w:tcPr>
          <w:p w:rsidRPr="00792247" w:rsidR="00C83A0C" w:rsidP="00C83A0C" w:rsidRDefault="00C83A0C" w14:paraId="0FDB5B92" w14:textId="77777777">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889" w:type="dxa"/>
            <w:hideMark/>
          </w:tcPr>
          <w:p w:rsidRPr="00792247" w:rsidR="00C83A0C" w:rsidP="00C83A0C" w:rsidRDefault="00C83A0C" w14:paraId="6D54AF80" w14:textId="77777777">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889" w:type="dxa"/>
            <w:hideMark/>
          </w:tcPr>
          <w:p w:rsidRPr="00792247" w:rsidR="00C83A0C" w:rsidP="00C83A0C" w:rsidRDefault="00C83A0C" w14:paraId="64DDBBEE" w14:textId="77777777">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761" w:type="dxa"/>
            <w:hideMark/>
          </w:tcPr>
          <w:p w:rsidRPr="00792247" w:rsidR="00C83A0C" w:rsidP="00C83A0C" w:rsidRDefault="00C83A0C" w14:paraId="297F922C" w14:textId="77777777">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656" w:type="dxa"/>
            <w:hideMark/>
          </w:tcPr>
          <w:p w:rsidRPr="00792247" w:rsidR="00C83A0C" w:rsidP="00C83A0C" w:rsidRDefault="00C83A0C" w14:paraId="1E176D5D" w14:textId="77777777">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567" w:type="dxa"/>
            <w:hideMark/>
          </w:tcPr>
          <w:p w:rsidRPr="00792247" w:rsidR="00C83A0C" w:rsidP="00C83A0C" w:rsidRDefault="00C83A0C" w14:paraId="03CB584A" w14:textId="77777777">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708" w:type="dxa"/>
            <w:hideMark/>
          </w:tcPr>
          <w:p w:rsidRPr="00792247" w:rsidR="00C83A0C" w:rsidP="00C83A0C" w:rsidRDefault="00C83A0C" w14:paraId="2B06B7A5" w14:textId="77777777">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709" w:type="dxa"/>
            <w:hideMark/>
          </w:tcPr>
          <w:p w:rsidRPr="00792247" w:rsidR="00C83A0C" w:rsidP="00C83A0C" w:rsidRDefault="00C83A0C" w14:paraId="3BC00797" w14:textId="77777777">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756" w:type="dxa"/>
            <w:hideMark/>
          </w:tcPr>
          <w:p w:rsidRPr="00792247" w:rsidR="00C83A0C" w:rsidP="00C83A0C" w:rsidRDefault="00C83A0C" w14:paraId="50EFECBE" w14:textId="77777777">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YES</w:t>
            </w:r>
          </w:p>
        </w:tc>
        <w:tc>
          <w:tcPr>
            <w:tcW w:w="732" w:type="dxa"/>
            <w:hideMark/>
          </w:tcPr>
          <w:p w:rsidRPr="00792247" w:rsidR="00C83A0C" w:rsidP="00C83A0C" w:rsidRDefault="00C83A0C" w14:paraId="1F5A1A67" w14:textId="69850316">
            <w:pPr>
              <w:spacing w:after="160" w:line="360" w:lineRule="auto"/>
              <w:rPr>
                <w:rFonts w:ascii="Arial" w:hAnsi="Arial" w:cs="Arial"/>
                <w:color w:val="000000" w:themeColor="text1"/>
                <w:sz w:val="16"/>
                <w:szCs w:val="16"/>
                <w:lang w:val="en-US"/>
              </w:rPr>
            </w:pPr>
            <w:r w:rsidRPr="00792247">
              <w:rPr>
                <w:rFonts w:ascii="Arial" w:hAnsi="Arial" w:cs="Arial"/>
                <w:color w:val="000000" w:themeColor="text1"/>
                <w:sz w:val="16"/>
                <w:szCs w:val="16"/>
                <w:lang w:val="en-US"/>
              </w:rPr>
              <w:t>12</w:t>
            </w:r>
          </w:p>
        </w:tc>
      </w:tr>
    </w:tbl>
    <w:p w:rsidRPr="00C83A0C" w:rsidR="00C83A0C" w:rsidP="00C83A0C" w:rsidRDefault="00C83A0C" w14:paraId="73B6EAF2" w14:textId="270DD280">
      <w:pPr>
        <w:rPr>
          <w:rFonts w:ascii="Arial" w:hAnsi="Arial" w:cs="Arial"/>
          <w:color w:val="000000" w:themeColor="text1"/>
          <w:lang w:val="en-US"/>
        </w:rPr>
      </w:pPr>
    </w:p>
    <w:p w:rsidRPr="00C83A0C" w:rsidR="00C83A0C" w:rsidP="00C83A0C" w:rsidRDefault="00C83A0C" w14:paraId="4B604332" w14:textId="1FF57EE2">
      <w:pPr>
        <w:rPr>
          <w:rFonts w:ascii="Arial" w:hAnsi="Arial" w:cs="Arial"/>
          <w:b/>
          <w:bCs/>
          <w:color w:val="000000" w:themeColor="text1"/>
          <w:lang w:val="en-US"/>
        </w:rPr>
      </w:pPr>
      <w:r w:rsidRPr="00C83A0C">
        <w:rPr>
          <w:rFonts w:ascii="Arial" w:hAnsi="Arial" w:cs="Arial"/>
          <w:b/>
          <w:bCs/>
          <w:color w:val="000000" w:themeColor="text1"/>
          <w:lang w:val="en-US"/>
        </w:rPr>
        <w:t xml:space="preserve">Table </w:t>
      </w:r>
      <w:r w:rsidR="00F95AA4">
        <w:rPr>
          <w:rFonts w:ascii="Arial" w:hAnsi="Arial" w:cs="Arial"/>
          <w:b/>
          <w:bCs/>
          <w:color w:val="000000" w:themeColor="text1"/>
          <w:lang w:val="en-US"/>
        </w:rPr>
        <w:t>3.6</w:t>
      </w:r>
      <w:r w:rsidRPr="00C83A0C">
        <w:rPr>
          <w:rFonts w:ascii="Arial" w:hAnsi="Arial" w:cs="Arial"/>
          <w:b/>
          <w:bCs/>
          <w:color w:val="000000" w:themeColor="text1"/>
          <w:lang w:val="en-US"/>
        </w:rPr>
        <w:t>: Newcastle–Ottawa Checklist Tool for Longitudinal</w:t>
      </w:r>
      <w:r w:rsidR="00A64866">
        <w:rPr>
          <w:rFonts w:ascii="Arial" w:hAnsi="Arial" w:cs="Arial"/>
          <w:b/>
          <w:bCs/>
          <w:color w:val="000000" w:themeColor="text1"/>
          <w:lang w:val="en-US"/>
        </w:rPr>
        <w:t xml:space="preserve"> Studies</w:t>
      </w:r>
    </w:p>
    <w:tbl>
      <w:tblPr>
        <w:tblStyle w:val="TableGrid"/>
        <w:tblW w:w="10869" w:type="dxa"/>
        <w:tblInd w:w="-847" w:type="dxa"/>
        <w:tblLook w:val="04A0" w:firstRow="1" w:lastRow="0" w:firstColumn="1" w:lastColumn="0" w:noHBand="0" w:noVBand="1"/>
      </w:tblPr>
      <w:tblGrid>
        <w:gridCol w:w="1079"/>
        <w:gridCol w:w="1728"/>
        <w:gridCol w:w="928"/>
        <w:gridCol w:w="1328"/>
        <w:gridCol w:w="999"/>
        <w:gridCol w:w="1417"/>
        <w:gridCol w:w="723"/>
        <w:gridCol w:w="1159"/>
        <w:gridCol w:w="981"/>
        <w:gridCol w:w="661"/>
      </w:tblGrid>
      <w:tr w:rsidRPr="00C83A0C" w:rsidR="00A64866" w:rsidTr="00A64866" w14:paraId="59312B3B" w14:textId="77777777">
        <w:trPr>
          <w:trHeight w:val="325"/>
        </w:trPr>
        <w:tc>
          <w:tcPr>
            <w:tcW w:w="0" w:type="auto"/>
          </w:tcPr>
          <w:p w:rsidRPr="00C83A0C" w:rsidR="00A64866" w:rsidP="00C83A0C" w:rsidRDefault="00A64866" w14:paraId="10B589CF" w14:textId="77777777">
            <w:pPr>
              <w:rPr>
                <w:rFonts w:ascii="Arial" w:hAnsi="Arial" w:cs="Arial"/>
                <w:b/>
                <w:bCs/>
                <w:color w:val="000000" w:themeColor="text1"/>
                <w:sz w:val="16"/>
                <w:szCs w:val="16"/>
                <w:lang w:val="en-US"/>
              </w:rPr>
            </w:pPr>
          </w:p>
        </w:tc>
        <w:tc>
          <w:tcPr>
            <w:tcW w:w="0" w:type="auto"/>
            <w:gridSpan w:val="4"/>
          </w:tcPr>
          <w:p w:rsidRPr="00A64866" w:rsidR="00A64866" w:rsidP="00A64866" w:rsidRDefault="00A64866" w14:paraId="08EACE40" w14:textId="6016C47A">
            <w:pPr>
              <w:jc w:val="center"/>
              <w:rPr>
                <w:rFonts w:ascii="Arial" w:hAnsi="Arial" w:cs="Arial"/>
                <w:b/>
                <w:bCs/>
                <w:color w:val="000000" w:themeColor="text1"/>
                <w:sz w:val="18"/>
                <w:szCs w:val="18"/>
                <w:lang w:val="en-US"/>
              </w:rPr>
            </w:pPr>
            <w:r w:rsidRPr="00A64866">
              <w:rPr>
                <w:rFonts w:ascii="Arial" w:hAnsi="Arial" w:cs="Arial"/>
                <w:b/>
                <w:bCs/>
                <w:color w:val="000000" w:themeColor="text1"/>
                <w:sz w:val="18"/>
                <w:szCs w:val="18"/>
              </w:rPr>
              <w:t>Selection</w:t>
            </w:r>
          </w:p>
        </w:tc>
        <w:tc>
          <w:tcPr>
            <w:tcW w:w="0" w:type="auto"/>
          </w:tcPr>
          <w:p w:rsidRPr="00A64866" w:rsidR="00A64866" w:rsidP="00A64866" w:rsidRDefault="00A64866" w14:paraId="32F7223A" w14:textId="7976C778">
            <w:pPr>
              <w:jc w:val="center"/>
              <w:rPr>
                <w:rFonts w:ascii="Arial" w:hAnsi="Arial" w:cs="Arial"/>
                <w:b/>
                <w:bCs/>
                <w:color w:val="000000" w:themeColor="text1"/>
                <w:sz w:val="18"/>
                <w:szCs w:val="18"/>
                <w:lang w:val="en-US"/>
              </w:rPr>
            </w:pPr>
            <w:r w:rsidRPr="00A64866">
              <w:rPr>
                <w:rFonts w:ascii="Arial" w:hAnsi="Arial" w:cs="Arial"/>
                <w:b/>
                <w:bCs/>
                <w:color w:val="000000" w:themeColor="text1"/>
                <w:sz w:val="18"/>
                <w:szCs w:val="18"/>
              </w:rPr>
              <w:t>Comparability</w:t>
            </w:r>
          </w:p>
        </w:tc>
        <w:tc>
          <w:tcPr>
            <w:tcW w:w="0" w:type="auto"/>
            <w:gridSpan w:val="3"/>
          </w:tcPr>
          <w:p w:rsidRPr="00A64866" w:rsidR="00A64866" w:rsidP="00A64866" w:rsidRDefault="00A64866" w14:paraId="790EF18A" w14:textId="4CB09DD2">
            <w:pPr>
              <w:jc w:val="center"/>
              <w:rPr>
                <w:rFonts w:ascii="Arial" w:hAnsi="Arial" w:cs="Arial"/>
                <w:b/>
                <w:bCs/>
                <w:color w:val="000000" w:themeColor="text1"/>
                <w:sz w:val="18"/>
                <w:szCs w:val="18"/>
                <w:lang w:val="en-US"/>
              </w:rPr>
            </w:pPr>
            <w:r w:rsidRPr="00A64866">
              <w:rPr>
                <w:rFonts w:ascii="Arial" w:hAnsi="Arial" w:cs="Arial"/>
                <w:b/>
                <w:bCs/>
                <w:color w:val="000000" w:themeColor="text1"/>
                <w:sz w:val="18"/>
                <w:szCs w:val="18"/>
              </w:rPr>
              <w:t>Outcome</w:t>
            </w:r>
          </w:p>
        </w:tc>
        <w:tc>
          <w:tcPr>
            <w:tcW w:w="0" w:type="auto"/>
          </w:tcPr>
          <w:p w:rsidRPr="00C83A0C" w:rsidR="00A64866" w:rsidP="00C83A0C" w:rsidRDefault="00A64866" w14:paraId="4D553723" w14:textId="77777777">
            <w:pPr>
              <w:rPr>
                <w:rFonts w:ascii="Arial" w:hAnsi="Arial" w:cs="Arial"/>
                <w:b/>
                <w:bCs/>
                <w:color w:val="000000" w:themeColor="text1"/>
                <w:sz w:val="16"/>
                <w:szCs w:val="16"/>
                <w:lang w:val="en-US"/>
              </w:rPr>
            </w:pPr>
          </w:p>
        </w:tc>
      </w:tr>
      <w:tr w:rsidRPr="00C83A0C" w:rsidR="00C83A0C" w:rsidTr="00A64866" w14:paraId="14522C77" w14:textId="77777777">
        <w:trPr>
          <w:trHeight w:val="1530"/>
        </w:trPr>
        <w:tc>
          <w:tcPr>
            <w:tcW w:w="0" w:type="auto"/>
            <w:hideMark/>
          </w:tcPr>
          <w:p w:rsidRPr="00C83A0C" w:rsidR="00C83A0C" w:rsidP="00C83A0C" w:rsidRDefault="00C83A0C" w14:paraId="46FEA39D" w14:textId="77777777">
            <w:pPr>
              <w:spacing w:after="160" w:line="360" w:lineRule="auto"/>
              <w:rPr>
                <w:rFonts w:ascii="Arial" w:hAnsi="Arial" w:cs="Arial"/>
                <w:b/>
                <w:bCs/>
                <w:color w:val="000000" w:themeColor="text1"/>
                <w:sz w:val="16"/>
                <w:szCs w:val="16"/>
                <w:lang w:val="en-US"/>
              </w:rPr>
            </w:pPr>
            <w:r w:rsidRPr="00C83A0C">
              <w:rPr>
                <w:rFonts w:ascii="Arial" w:hAnsi="Arial" w:cs="Arial"/>
                <w:b/>
                <w:bCs/>
                <w:color w:val="000000" w:themeColor="text1"/>
                <w:sz w:val="16"/>
                <w:szCs w:val="16"/>
                <w:lang w:val="en-US"/>
              </w:rPr>
              <w:t>References</w:t>
            </w:r>
          </w:p>
        </w:tc>
        <w:tc>
          <w:tcPr>
            <w:tcW w:w="0" w:type="auto"/>
            <w:hideMark/>
          </w:tcPr>
          <w:p w:rsidRPr="00C83A0C" w:rsidR="00C83A0C" w:rsidP="00C83A0C" w:rsidRDefault="00C83A0C" w14:paraId="31D79EB2" w14:textId="77777777">
            <w:pPr>
              <w:spacing w:after="160" w:line="360" w:lineRule="auto"/>
              <w:rPr>
                <w:rFonts w:ascii="Arial" w:hAnsi="Arial" w:cs="Arial"/>
                <w:b/>
                <w:bCs/>
                <w:color w:val="000000" w:themeColor="text1"/>
                <w:sz w:val="16"/>
                <w:szCs w:val="16"/>
                <w:lang w:val="en-US"/>
              </w:rPr>
            </w:pPr>
            <w:r w:rsidRPr="00C83A0C">
              <w:rPr>
                <w:rFonts w:ascii="Arial" w:hAnsi="Arial" w:cs="Arial"/>
                <w:b/>
                <w:bCs/>
                <w:color w:val="000000" w:themeColor="text1"/>
                <w:sz w:val="16"/>
                <w:szCs w:val="16"/>
                <w:lang w:val="en-US"/>
              </w:rPr>
              <w:t>Representativeness of exposed cohort</w:t>
            </w:r>
          </w:p>
        </w:tc>
        <w:tc>
          <w:tcPr>
            <w:tcW w:w="0" w:type="auto"/>
            <w:hideMark/>
          </w:tcPr>
          <w:p w:rsidRPr="00C83A0C" w:rsidR="00C83A0C" w:rsidP="00C83A0C" w:rsidRDefault="00C83A0C" w14:paraId="37EFD247" w14:textId="77777777">
            <w:pPr>
              <w:spacing w:after="160" w:line="360" w:lineRule="auto"/>
              <w:rPr>
                <w:rFonts w:ascii="Arial" w:hAnsi="Arial" w:cs="Arial"/>
                <w:b/>
                <w:bCs/>
                <w:color w:val="000000" w:themeColor="text1"/>
                <w:sz w:val="16"/>
                <w:szCs w:val="16"/>
                <w:lang w:val="en-US"/>
              </w:rPr>
            </w:pPr>
            <w:r w:rsidRPr="00C83A0C">
              <w:rPr>
                <w:rFonts w:ascii="Arial" w:hAnsi="Arial" w:cs="Arial"/>
                <w:b/>
                <w:bCs/>
                <w:color w:val="000000" w:themeColor="text1"/>
                <w:sz w:val="16"/>
                <w:szCs w:val="16"/>
                <w:lang w:val="en-US"/>
              </w:rPr>
              <w:t>Selection of non-exposed cohort</w:t>
            </w:r>
          </w:p>
        </w:tc>
        <w:tc>
          <w:tcPr>
            <w:tcW w:w="0" w:type="auto"/>
            <w:hideMark/>
          </w:tcPr>
          <w:p w:rsidRPr="00C83A0C" w:rsidR="00C83A0C" w:rsidP="00C83A0C" w:rsidRDefault="00C83A0C" w14:paraId="0662CFCE" w14:textId="77777777">
            <w:pPr>
              <w:spacing w:after="160" w:line="360" w:lineRule="auto"/>
              <w:rPr>
                <w:rFonts w:ascii="Arial" w:hAnsi="Arial" w:cs="Arial"/>
                <w:b/>
                <w:bCs/>
                <w:color w:val="000000" w:themeColor="text1"/>
                <w:sz w:val="16"/>
                <w:szCs w:val="16"/>
                <w:lang w:val="en-US"/>
              </w:rPr>
            </w:pPr>
            <w:r w:rsidRPr="00C83A0C">
              <w:rPr>
                <w:rFonts w:ascii="Arial" w:hAnsi="Arial" w:cs="Arial"/>
                <w:b/>
                <w:bCs/>
                <w:color w:val="000000" w:themeColor="text1"/>
                <w:sz w:val="16"/>
                <w:szCs w:val="16"/>
                <w:lang w:val="en-US"/>
              </w:rPr>
              <w:t>Ascertainment of exposure</w:t>
            </w:r>
          </w:p>
        </w:tc>
        <w:tc>
          <w:tcPr>
            <w:tcW w:w="0" w:type="auto"/>
            <w:hideMark/>
          </w:tcPr>
          <w:p w:rsidRPr="00C83A0C" w:rsidR="00C83A0C" w:rsidP="00C83A0C" w:rsidRDefault="00C83A0C" w14:paraId="17CAB56E" w14:textId="77777777">
            <w:pPr>
              <w:spacing w:after="160" w:line="360" w:lineRule="auto"/>
              <w:rPr>
                <w:rFonts w:ascii="Arial" w:hAnsi="Arial" w:cs="Arial"/>
                <w:b/>
                <w:bCs/>
                <w:color w:val="000000" w:themeColor="text1"/>
                <w:sz w:val="16"/>
                <w:szCs w:val="16"/>
                <w:lang w:val="en-US"/>
              </w:rPr>
            </w:pPr>
            <w:r w:rsidRPr="00C83A0C">
              <w:rPr>
                <w:rFonts w:ascii="Arial" w:hAnsi="Arial" w:cs="Arial"/>
                <w:b/>
                <w:bCs/>
                <w:color w:val="000000" w:themeColor="text1"/>
                <w:sz w:val="16"/>
                <w:szCs w:val="16"/>
                <w:lang w:val="en-US"/>
              </w:rPr>
              <w:t>Outcomes absent at start of study</w:t>
            </w:r>
          </w:p>
        </w:tc>
        <w:tc>
          <w:tcPr>
            <w:tcW w:w="0" w:type="auto"/>
            <w:hideMark/>
          </w:tcPr>
          <w:p w:rsidRPr="00C83A0C" w:rsidR="00C83A0C" w:rsidP="00C83A0C" w:rsidRDefault="00C83A0C" w14:paraId="569EFB26" w14:textId="77777777">
            <w:pPr>
              <w:spacing w:after="160" w:line="360" w:lineRule="auto"/>
              <w:rPr>
                <w:rFonts w:ascii="Arial" w:hAnsi="Arial" w:cs="Arial"/>
                <w:b/>
                <w:bCs/>
                <w:color w:val="000000" w:themeColor="text1"/>
                <w:sz w:val="16"/>
                <w:szCs w:val="16"/>
                <w:lang w:val="en-US"/>
              </w:rPr>
            </w:pPr>
            <w:r w:rsidRPr="00C83A0C">
              <w:rPr>
                <w:rFonts w:ascii="Arial" w:hAnsi="Arial" w:cs="Arial"/>
                <w:b/>
                <w:bCs/>
                <w:color w:val="000000" w:themeColor="text1"/>
                <w:sz w:val="16"/>
                <w:szCs w:val="16"/>
                <w:lang w:val="en-US"/>
              </w:rPr>
              <w:t>Comparability of cohorts</w:t>
            </w:r>
          </w:p>
        </w:tc>
        <w:tc>
          <w:tcPr>
            <w:tcW w:w="0" w:type="auto"/>
            <w:hideMark/>
          </w:tcPr>
          <w:p w:rsidRPr="00C83A0C" w:rsidR="00C83A0C" w:rsidP="00C83A0C" w:rsidRDefault="00C83A0C" w14:paraId="2C15D7DE" w14:textId="77777777">
            <w:pPr>
              <w:spacing w:after="160" w:line="360" w:lineRule="auto"/>
              <w:rPr>
                <w:rFonts w:ascii="Arial" w:hAnsi="Arial" w:cs="Arial"/>
                <w:b/>
                <w:bCs/>
                <w:color w:val="000000" w:themeColor="text1"/>
                <w:sz w:val="16"/>
                <w:szCs w:val="16"/>
                <w:lang w:val="en-US"/>
              </w:rPr>
            </w:pPr>
            <w:r w:rsidRPr="00C83A0C">
              <w:rPr>
                <w:rFonts w:ascii="Arial" w:hAnsi="Arial" w:cs="Arial"/>
                <w:b/>
                <w:bCs/>
                <w:color w:val="000000" w:themeColor="text1"/>
                <w:sz w:val="16"/>
                <w:szCs w:val="16"/>
                <w:lang w:val="en-US"/>
              </w:rPr>
              <w:t>Follow up</w:t>
            </w:r>
          </w:p>
        </w:tc>
        <w:tc>
          <w:tcPr>
            <w:tcW w:w="0" w:type="auto"/>
            <w:hideMark/>
          </w:tcPr>
          <w:p w:rsidRPr="00C83A0C" w:rsidR="00C83A0C" w:rsidP="00C83A0C" w:rsidRDefault="00C83A0C" w14:paraId="5D072B2D" w14:textId="77777777">
            <w:pPr>
              <w:spacing w:after="160" w:line="360" w:lineRule="auto"/>
              <w:rPr>
                <w:rFonts w:ascii="Arial" w:hAnsi="Arial" w:cs="Arial"/>
                <w:b/>
                <w:bCs/>
                <w:color w:val="000000" w:themeColor="text1"/>
                <w:sz w:val="16"/>
                <w:szCs w:val="16"/>
                <w:lang w:val="en-US"/>
              </w:rPr>
            </w:pPr>
            <w:r w:rsidRPr="00C83A0C">
              <w:rPr>
                <w:rFonts w:ascii="Arial" w:hAnsi="Arial" w:cs="Arial"/>
                <w:b/>
                <w:bCs/>
                <w:color w:val="000000" w:themeColor="text1"/>
                <w:sz w:val="16"/>
                <w:szCs w:val="16"/>
                <w:lang w:val="en-US"/>
              </w:rPr>
              <w:t>Assessment of outcome</w:t>
            </w:r>
          </w:p>
        </w:tc>
        <w:tc>
          <w:tcPr>
            <w:tcW w:w="0" w:type="auto"/>
            <w:hideMark/>
          </w:tcPr>
          <w:p w:rsidRPr="00C83A0C" w:rsidR="00C83A0C" w:rsidP="00C83A0C" w:rsidRDefault="00C83A0C" w14:paraId="77103AC8" w14:textId="44ADAADE">
            <w:pPr>
              <w:spacing w:after="160" w:line="360" w:lineRule="auto"/>
              <w:rPr>
                <w:rFonts w:ascii="Arial" w:hAnsi="Arial" w:cs="Arial"/>
                <w:b/>
                <w:bCs/>
                <w:color w:val="000000" w:themeColor="text1"/>
                <w:sz w:val="16"/>
                <w:szCs w:val="16"/>
                <w:lang w:val="en-US"/>
              </w:rPr>
            </w:pPr>
            <w:r w:rsidRPr="00C83A0C">
              <w:rPr>
                <w:rFonts w:ascii="Arial" w:hAnsi="Arial" w:cs="Arial"/>
                <w:b/>
                <w:bCs/>
                <w:color w:val="000000" w:themeColor="text1"/>
                <w:sz w:val="16"/>
                <w:szCs w:val="16"/>
                <w:lang w:val="en-US"/>
              </w:rPr>
              <w:t xml:space="preserve">Adequacy of </w:t>
            </w:r>
            <w:r w:rsidR="00A64866">
              <w:rPr>
                <w:rFonts w:ascii="Arial" w:hAnsi="Arial" w:cs="Arial"/>
                <w:b/>
                <w:bCs/>
                <w:color w:val="000000" w:themeColor="text1"/>
                <w:sz w:val="16"/>
                <w:szCs w:val="16"/>
                <w:lang w:val="en-US"/>
              </w:rPr>
              <w:t>follow-up</w:t>
            </w:r>
          </w:p>
        </w:tc>
        <w:tc>
          <w:tcPr>
            <w:tcW w:w="0" w:type="auto"/>
            <w:hideMark/>
          </w:tcPr>
          <w:p w:rsidRPr="00C83A0C" w:rsidR="00C83A0C" w:rsidP="00C83A0C" w:rsidRDefault="00C83A0C" w14:paraId="44ABF7E7" w14:textId="77777777">
            <w:pPr>
              <w:spacing w:after="160" w:line="360" w:lineRule="auto"/>
              <w:rPr>
                <w:rFonts w:ascii="Arial" w:hAnsi="Arial" w:cs="Arial"/>
                <w:b/>
                <w:bCs/>
                <w:color w:val="000000" w:themeColor="text1"/>
                <w:sz w:val="16"/>
                <w:szCs w:val="16"/>
                <w:lang w:val="en-US"/>
              </w:rPr>
            </w:pPr>
            <w:r w:rsidRPr="00C83A0C">
              <w:rPr>
                <w:rFonts w:ascii="Arial" w:hAnsi="Arial" w:cs="Arial"/>
                <w:b/>
                <w:bCs/>
                <w:color w:val="000000" w:themeColor="text1"/>
                <w:sz w:val="16"/>
                <w:szCs w:val="16"/>
                <w:lang w:val="en-US"/>
              </w:rPr>
              <w:t>Score /8</w:t>
            </w:r>
          </w:p>
        </w:tc>
      </w:tr>
      <w:tr w:rsidRPr="00C83A0C" w:rsidR="00C83A0C" w:rsidTr="00A64866" w14:paraId="0424C0BE" w14:textId="77777777">
        <w:trPr>
          <w:trHeight w:val="696"/>
        </w:trPr>
        <w:tc>
          <w:tcPr>
            <w:tcW w:w="0" w:type="auto"/>
            <w:hideMark/>
          </w:tcPr>
          <w:p w:rsidRPr="003D7433" w:rsidR="00C83A0C" w:rsidP="00C83A0C" w:rsidRDefault="00C83A0C" w14:paraId="2F809903" w14:textId="77777777">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Blair et al. (2024)</w:t>
            </w:r>
          </w:p>
        </w:tc>
        <w:tc>
          <w:tcPr>
            <w:tcW w:w="0" w:type="auto"/>
            <w:hideMark/>
          </w:tcPr>
          <w:p w:rsidRPr="003D7433" w:rsidR="00C83A0C" w:rsidP="00C83A0C" w:rsidRDefault="00C83A0C" w14:paraId="737AE260" w14:textId="77777777">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rsidRPr="003D7433" w:rsidR="00C83A0C" w:rsidP="00C83A0C" w:rsidRDefault="00BE4A7F" w14:paraId="4C4B785B" w14:textId="7162B9D3">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rsidRPr="003D7433" w:rsidR="00C83A0C" w:rsidP="00C83A0C" w:rsidRDefault="00C83A0C" w14:paraId="06552217" w14:textId="77777777">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rsidRPr="003D7433" w:rsidR="00C83A0C" w:rsidP="00C83A0C" w:rsidRDefault="00C83A0C" w14:paraId="0B097678" w14:textId="77777777">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rsidRPr="003D7433" w:rsidR="00C83A0C" w:rsidP="00C83A0C" w:rsidRDefault="00BE4A7F" w14:paraId="05129038" w14:textId="12F9CEA0">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rsidRPr="003D7433" w:rsidR="00C83A0C" w:rsidP="00C83A0C" w:rsidRDefault="00C83A0C" w14:paraId="343377C8" w14:textId="77777777">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rsidRPr="003D7433" w:rsidR="00C83A0C" w:rsidP="00C83A0C" w:rsidRDefault="00C83A0C" w14:paraId="3586F96A" w14:textId="77777777">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rsidRPr="003D7433" w:rsidR="00C83A0C" w:rsidP="00C83A0C" w:rsidRDefault="00C83A0C" w14:paraId="161B3579" w14:textId="77777777">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NO</w:t>
            </w:r>
          </w:p>
        </w:tc>
        <w:tc>
          <w:tcPr>
            <w:tcW w:w="0" w:type="auto"/>
            <w:hideMark/>
          </w:tcPr>
          <w:p w:rsidRPr="003D7433" w:rsidR="00C83A0C" w:rsidP="00C83A0C" w:rsidRDefault="00BE4A7F" w14:paraId="2CDF0DE4" w14:textId="21C68B2E">
            <w:pPr>
              <w:spacing w:after="160" w:line="360" w:lineRule="auto"/>
              <w:rPr>
                <w:rFonts w:ascii="Arial" w:hAnsi="Arial" w:cs="Arial"/>
                <w:color w:val="000000" w:themeColor="text1"/>
                <w:sz w:val="16"/>
                <w:szCs w:val="16"/>
                <w:lang w:val="en-US"/>
              </w:rPr>
            </w:pPr>
            <w:r>
              <w:rPr>
                <w:rFonts w:ascii="Arial" w:hAnsi="Arial" w:cs="Arial"/>
                <w:color w:val="000000" w:themeColor="text1"/>
                <w:sz w:val="16"/>
                <w:szCs w:val="16"/>
                <w:lang w:val="en-US"/>
              </w:rPr>
              <w:t>7</w:t>
            </w:r>
          </w:p>
        </w:tc>
      </w:tr>
      <w:tr w:rsidRPr="00C83A0C" w:rsidR="00C83A0C" w:rsidTr="00A64866" w14:paraId="38646763" w14:textId="77777777">
        <w:trPr>
          <w:trHeight w:val="707"/>
        </w:trPr>
        <w:tc>
          <w:tcPr>
            <w:tcW w:w="0" w:type="auto"/>
            <w:hideMark/>
          </w:tcPr>
          <w:p w:rsidRPr="003D7433" w:rsidR="00C83A0C" w:rsidP="00C83A0C" w:rsidRDefault="00C83A0C" w14:paraId="1102F57E" w14:textId="77777777">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Mandal et al. (2025)</w:t>
            </w:r>
          </w:p>
        </w:tc>
        <w:tc>
          <w:tcPr>
            <w:tcW w:w="0" w:type="auto"/>
            <w:hideMark/>
          </w:tcPr>
          <w:p w:rsidRPr="003D7433" w:rsidR="00C83A0C" w:rsidP="00C83A0C" w:rsidRDefault="00C83A0C" w14:paraId="3990ACA7" w14:textId="77777777">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rsidRPr="003D7433" w:rsidR="00C83A0C" w:rsidP="00C83A0C" w:rsidRDefault="00C83A0C" w14:paraId="7E3C6040" w14:textId="77777777">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NO</w:t>
            </w:r>
          </w:p>
        </w:tc>
        <w:tc>
          <w:tcPr>
            <w:tcW w:w="0" w:type="auto"/>
            <w:hideMark/>
          </w:tcPr>
          <w:p w:rsidRPr="003D7433" w:rsidR="00C83A0C" w:rsidP="00C83A0C" w:rsidRDefault="00C83A0C" w14:paraId="6D45726E" w14:textId="77777777">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rsidRPr="003D7433" w:rsidR="00C83A0C" w:rsidP="00C83A0C" w:rsidRDefault="00C83A0C" w14:paraId="1C43D77B" w14:textId="77777777">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rsidRPr="003D7433" w:rsidR="00C83A0C" w:rsidP="00C83A0C" w:rsidRDefault="00C83A0C" w14:paraId="71AE445A" w14:textId="77777777">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NO</w:t>
            </w:r>
          </w:p>
        </w:tc>
        <w:tc>
          <w:tcPr>
            <w:tcW w:w="0" w:type="auto"/>
            <w:hideMark/>
          </w:tcPr>
          <w:p w:rsidRPr="003D7433" w:rsidR="00C83A0C" w:rsidP="00C83A0C" w:rsidRDefault="00C83A0C" w14:paraId="45811327" w14:textId="77777777">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rsidRPr="003D7433" w:rsidR="00C83A0C" w:rsidP="00C83A0C" w:rsidRDefault="00C83A0C" w14:paraId="03C88CB9" w14:textId="77777777">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rsidRPr="003D7433" w:rsidR="00C83A0C" w:rsidP="00C83A0C" w:rsidRDefault="00C83A0C" w14:paraId="3FCB489C" w14:textId="77777777">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rsidRPr="003D7433" w:rsidR="00C83A0C" w:rsidP="00C83A0C" w:rsidRDefault="00C83A0C" w14:paraId="74AD535F" w14:textId="2944329A">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6</w:t>
            </w:r>
          </w:p>
        </w:tc>
      </w:tr>
      <w:tr w:rsidRPr="00C83A0C" w:rsidR="00C83A0C" w:rsidTr="00A64866" w14:paraId="0CD54E39" w14:textId="77777777">
        <w:trPr>
          <w:trHeight w:val="707"/>
        </w:trPr>
        <w:tc>
          <w:tcPr>
            <w:tcW w:w="0" w:type="auto"/>
            <w:hideMark/>
          </w:tcPr>
          <w:p w:rsidRPr="003D7433" w:rsidR="00C83A0C" w:rsidP="00C83A0C" w:rsidRDefault="00C83A0C" w14:paraId="7EDF0ED0" w14:textId="77777777">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Batalla et al. (2026)</w:t>
            </w:r>
          </w:p>
        </w:tc>
        <w:tc>
          <w:tcPr>
            <w:tcW w:w="0" w:type="auto"/>
            <w:hideMark/>
          </w:tcPr>
          <w:p w:rsidRPr="003D7433" w:rsidR="00C83A0C" w:rsidP="00C83A0C" w:rsidRDefault="00C83A0C" w14:paraId="4E483733" w14:textId="77777777">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rsidRPr="003D7433" w:rsidR="00C83A0C" w:rsidP="00C83A0C" w:rsidRDefault="00C83A0C" w14:paraId="437A8043" w14:textId="77777777">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rsidRPr="003D7433" w:rsidR="00C83A0C" w:rsidP="00C83A0C" w:rsidRDefault="00C83A0C" w14:paraId="4D9750EC" w14:textId="77777777">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rsidRPr="003D7433" w:rsidR="00C83A0C" w:rsidP="00C83A0C" w:rsidRDefault="00C83A0C" w14:paraId="41084B9F" w14:textId="77777777">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rsidRPr="003D7433" w:rsidR="00C83A0C" w:rsidP="00C83A0C" w:rsidRDefault="00C83A0C" w14:paraId="7649DD16" w14:textId="77777777">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rsidRPr="003D7433" w:rsidR="00C83A0C" w:rsidP="00C83A0C" w:rsidRDefault="00C83A0C" w14:paraId="0AB39C64" w14:textId="77777777">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rsidRPr="003D7433" w:rsidR="00C83A0C" w:rsidP="00C83A0C" w:rsidRDefault="00C83A0C" w14:paraId="2783647F" w14:textId="77777777">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rsidRPr="003D7433" w:rsidR="00C83A0C" w:rsidP="00C83A0C" w:rsidRDefault="00C83A0C" w14:paraId="76B33081" w14:textId="77777777">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rsidRPr="003D7433" w:rsidR="00C83A0C" w:rsidP="00C83A0C" w:rsidRDefault="00C83A0C" w14:paraId="5358B2EF" w14:textId="56911195">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8</w:t>
            </w:r>
          </w:p>
        </w:tc>
      </w:tr>
      <w:tr w:rsidRPr="00C83A0C" w:rsidR="00C83A0C" w:rsidTr="00A64866" w14:paraId="5A70226F" w14:textId="77777777">
        <w:trPr>
          <w:trHeight w:val="696"/>
        </w:trPr>
        <w:tc>
          <w:tcPr>
            <w:tcW w:w="0" w:type="auto"/>
            <w:hideMark/>
          </w:tcPr>
          <w:p w:rsidRPr="003D7433" w:rsidR="00C83A0C" w:rsidP="00C83A0C" w:rsidRDefault="00C83A0C" w14:paraId="6E269A8D" w14:textId="77777777">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Guest et al. (2019)</w:t>
            </w:r>
          </w:p>
        </w:tc>
        <w:tc>
          <w:tcPr>
            <w:tcW w:w="0" w:type="auto"/>
            <w:hideMark/>
          </w:tcPr>
          <w:p w:rsidRPr="003D7433" w:rsidR="00C83A0C" w:rsidP="00C83A0C" w:rsidRDefault="003D7433" w14:paraId="5A03F5C1" w14:textId="3884C820">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rsidRPr="003D7433" w:rsidR="00C83A0C" w:rsidP="00C83A0C" w:rsidRDefault="003D7433" w14:paraId="64F7C18E" w14:textId="174058DE">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rsidRPr="003D7433" w:rsidR="00C83A0C" w:rsidP="00C83A0C" w:rsidRDefault="00C83A0C" w14:paraId="0FC959A1" w14:textId="77777777">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rsidRPr="003D7433" w:rsidR="00C83A0C" w:rsidP="00C83A0C" w:rsidRDefault="00C83A0C" w14:paraId="3A801E53" w14:textId="77777777">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rsidRPr="003D7433" w:rsidR="00C83A0C" w:rsidP="00C83A0C" w:rsidRDefault="003D7433" w14:paraId="60182FC4" w14:textId="428767A5">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rsidRPr="003D7433" w:rsidR="00C83A0C" w:rsidP="00C83A0C" w:rsidRDefault="00C83A0C" w14:paraId="1AED5556" w14:textId="77777777">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rsidRPr="003D7433" w:rsidR="00C83A0C" w:rsidP="00C83A0C" w:rsidRDefault="00C83A0C" w14:paraId="1DEF83A2" w14:textId="77777777">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rsidRPr="003D7433" w:rsidR="00C83A0C" w:rsidP="00C83A0C" w:rsidRDefault="00C83A0C" w14:paraId="0899AAF5" w14:textId="77777777">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NO</w:t>
            </w:r>
          </w:p>
        </w:tc>
        <w:tc>
          <w:tcPr>
            <w:tcW w:w="0" w:type="auto"/>
            <w:hideMark/>
          </w:tcPr>
          <w:p w:rsidRPr="003D7433" w:rsidR="00C83A0C" w:rsidP="00C83A0C" w:rsidRDefault="003D7433" w14:paraId="0A4028F6" w14:textId="72C3EF1D">
            <w:pPr>
              <w:spacing w:after="160" w:line="360" w:lineRule="auto"/>
              <w:rPr>
                <w:rFonts w:ascii="Arial" w:hAnsi="Arial" w:cs="Arial"/>
                <w:color w:val="000000" w:themeColor="text1"/>
                <w:sz w:val="16"/>
                <w:szCs w:val="16"/>
                <w:lang w:val="en-US"/>
              </w:rPr>
            </w:pPr>
            <w:r>
              <w:rPr>
                <w:rFonts w:ascii="Arial" w:hAnsi="Arial" w:cs="Arial"/>
                <w:color w:val="000000" w:themeColor="text1"/>
                <w:sz w:val="16"/>
                <w:szCs w:val="16"/>
                <w:lang w:val="en-US"/>
              </w:rPr>
              <w:t>7</w:t>
            </w:r>
          </w:p>
        </w:tc>
      </w:tr>
      <w:tr w:rsidRPr="00C83A0C" w:rsidR="00C83A0C" w:rsidTr="00A64866" w14:paraId="22065B56" w14:textId="77777777">
        <w:trPr>
          <w:trHeight w:val="707"/>
        </w:trPr>
        <w:tc>
          <w:tcPr>
            <w:tcW w:w="0" w:type="auto"/>
            <w:hideMark/>
          </w:tcPr>
          <w:p w:rsidRPr="003D7433" w:rsidR="00C83A0C" w:rsidP="00C83A0C" w:rsidRDefault="00C83A0C" w14:paraId="1AE5D797" w14:textId="77777777">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Kelly et al. (2021)</w:t>
            </w:r>
          </w:p>
        </w:tc>
        <w:tc>
          <w:tcPr>
            <w:tcW w:w="0" w:type="auto"/>
            <w:hideMark/>
          </w:tcPr>
          <w:p w:rsidRPr="003D7433" w:rsidR="00C83A0C" w:rsidP="00C83A0C" w:rsidRDefault="003D7433" w14:paraId="7E8C7878" w14:textId="17878752">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rsidRPr="003D7433" w:rsidR="00C83A0C" w:rsidP="00C83A0C" w:rsidRDefault="00C83A0C" w14:paraId="6DF691C5" w14:textId="77777777">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NO</w:t>
            </w:r>
          </w:p>
        </w:tc>
        <w:tc>
          <w:tcPr>
            <w:tcW w:w="0" w:type="auto"/>
            <w:hideMark/>
          </w:tcPr>
          <w:p w:rsidRPr="003D7433" w:rsidR="00C83A0C" w:rsidP="00C83A0C" w:rsidRDefault="00C83A0C" w14:paraId="27432E46" w14:textId="77777777">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rsidRPr="003D7433" w:rsidR="00C83A0C" w:rsidP="00C83A0C" w:rsidRDefault="00C83A0C" w14:paraId="57530912" w14:textId="77777777">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rsidRPr="003D7433" w:rsidR="00C83A0C" w:rsidP="00C83A0C" w:rsidRDefault="003D7433" w14:paraId="278FE8FB" w14:textId="3071C4F5">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rsidRPr="003D7433" w:rsidR="00C83A0C" w:rsidP="00C83A0C" w:rsidRDefault="00C83A0C" w14:paraId="56E9BF2C" w14:textId="77777777">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rsidRPr="003D7433" w:rsidR="00C83A0C" w:rsidP="00C83A0C" w:rsidRDefault="00C83A0C" w14:paraId="6057DA97" w14:textId="77777777">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rsidRPr="003D7433" w:rsidR="00C83A0C" w:rsidP="00C83A0C" w:rsidRDefault="003D7433" w14:paraId="2569CA5E" w14:textId="23A536E4">
            <w:pPr>
              <w:spacing w:after="160" w:line="360" w:lineRule="auto"/>
              <w:rPr>
                <w:rFonts w:ascii="Arial" w:hAnsi="Arial" w:cs="Arial"/>
                <w:color w:val="000000" w:themeColor="text1"/>
                <w:sz w:val="16"/>
                <w:szCs w:val="16"/>
                <w:lang w:val="en-US"/>
              </w:rPr>
            </w:pPr>
            <w:r w:rsidRPr="003D7433">
              <w:rPr>
                <w:rFonts w:ascii="Arial" w:hAnsi="Arial" w:cs="Arial"/>
                <w:color w:val="000000" w:themeColor="text1"/>
                <w:sz w:val="16"/>
                <w:szCs w:val="16"/>
                <w:lang w:val="en-US"/>
              </w:rPr>
              <w:t>YES</w:t>
            </w:r>
          </w:p>
        </w:tc>
        <w:tc>
          <w:tcPr>
            <w:tcW w:w="0" w:type="auto"/>
            <w:hideMark/>
          </w:tcPr>
          <w:p w:rsidRPr="003D7433" w:rsidR="00C83A0C" w:rsidP="00C83A0C" w:rsidRDefault="003D7433" w14:paraId="6685471F" w14:textId="151B02A7">
            <w:pPr>
              <w:spacing w:after="160" w:line="360" w:lineRule="auto"/>
              <w:rPr>
                <w:rFonts w:ascii="Arial" w:hAnsi="Arial" w:cs="Arial"/>
                <w:color w:val="000000" w:themeColor="text1"/>
                <w:sz w:val="16"/>
                <w:szCs w:val="16"/>
                <w:lang w:val="en-US"/>
              </w:rPr>
            </w:pPr>
            <w:r>
              <w:rPr>
                <w:rFonts w:ascii="Arial" w:hAnsi="Arial" w:cs="Arial"/>
                <w:color w:val="000000" w:themeColor="text1"/>
                <w:sz w:val="16"/>
                <w:szCs w:val="16"/>
                <w:lang w:val="en-US"/>
              </w:rPr>
              <w:t>7</w:t>
            </w:r>
          </w:p>
        </w:tc>
      </w:tr>
    </w:tbl>
    <w:p w:rsidR="00C83A0C" w:rsidP="00C83A0C" w:rsidRDefault="00C83A0C" w14:paraId="2408C2CC" w14:textId="29CC9090">
      <w:pPr>
        <w:rPr>
          <w:rFonts w:ascii="Arial" w:hAnsi="Arial" w:cs="Arial"/>
          <w:color w:val="000000" w:themeColor="text1"/>
          <w:lang w:val="en-US"/>
        </w:rPr>
      </w:pPr>
    </w:p>
    <w:p w:rsidR="00E44D37" w:rsidP="00C83A0C" w:rsidRDefault="00E44D37" w14:paraId="44EBF20F" w14:textId="77777777">
      <w:pPr>
        <w:rPr>
          <w:rFonts w:ascii="Arial" w:hAnsi="Arial" w:cs="Arial"/>
          <w:color w:val="000000" w:themeColor="text1"/>
          <w:lang w:val="en-US"/>
        </w:rPr>
      </w:pPr>
    </w:p>
    <w:p w:rsidR="00B3038C" w:rsidP="002E1234" w:rsidRDefault="00B3038C" w14:paraId="6FA8EFCD" w14:textId="77777777">
      <w:pPr>
        <w:rPr>
          <w:rFonts w:ascii="Arial" w:hAnsi="Arial" w:cs="Arial"/>
          <w:color w:val="000000" w:themeColor="text1"/>
          <w:lang w:val="en-US"/>
        </w:rPr>
      </w:pPr>
    </w:p>
    <w:p w:rsidRPr="00B3038C" w:rsidR="00B3038C" w:rsidP="00C668C4" w:rsidRDefault="00B3038C" w14:paraId="7BF1555C" w14:textId="77777777">
      <w:pPr>
        <w:pStyle w:val="Heading1"/>
        <w:jc w:val="both"/>
        <w:rPr>
          <w:lang w:val="en-US"/>
        </w:rPr>
      </w:pPr>
      <w:bookmarkStart w:name="_Toc240696185" w:id="40"/>
      <w:r w:rsidRPr="00B3038C">
        <w:rPr>
          <w:lang w:val="en-US"/>
        </w:rPr>
        <w:t>3.15 Data Extraction</w:t>
      </w:r>
      <w:bookmarkEnd w:id="40"/>
    </w:p>
    <w:p w:rsidRPr="00B3038C" w:rsidR="00B3038C" w:rsidP="00B3038C" w:rsidRDefault="00B3038C" w14:paraId="7464B1AA" w14:textId="69A369B8">
      <w:pPr>
        <w:rPr>
          <w:rFonts w:ascii="Arial" w:hAnsi="Arial" w:cs="Arial"/>
          <w:color w:val="000000" w:themeColor="text1"/>
          <w:lang w:val="en-US"/>
        </w:rPr>
      </w:pPr>
      <w:r w:rsidRPr="00B3038C">
        <w:rPr>
          <w:rFonts w:ascii="Arial" w:hAnsi="Arial" w:cs="Arial"/>
          <w:color w:val="000000" w:themeColor="text1"/>
          <w:lang w:val="en-US"/>
        </w:rPr>
        <w:t>Data extraction was undertaken systematically to collect relevant information from the studies included in the review</w:t>
      </w:r>
      <w:r w:rsidR="00506C1E">
        <w:rPr>
          <w:rFonts w:ascii="Arial" w:hAnsi="Arial" w:cs="Arial"/>
          <w:color w:val="000000" w:themeColor="text1"/>
          <w:lang w:val="en-US"/>
        </w:rPr>
        <w:t xml:space="preserve"> (</w:t>
      </w:r>
      <w:r w:rsidRPr="00506C1E" w:rsidR="00506C1E">
        <w:rPr>
          <w:rFonts w:ascii="Arial" w:hAnsi="Arial" w:cs="Arial"/>
          <w:color w:val="000000" w:themeColor="text1"/>
        </w:rPr>
        <w:t>Johnston</w:t>
      </w:r>
      <w:r w:rsidR="00506C1E">
        <w:rPr>
          <w:rFonts w:ascii="Arial" w:hAnsi="Arial" w:cs="Arial"/>
          <w:color w:val="000000" w:themeColor="text1"/>
        </w:rPr>
        <w:t xml:space="preserve"> et al, 2019)</w:t>
      </w:r>
      <w:r w:rsidRPr="00B3038C">
        <w:rPr>
          <w:rFonts w:ascii="Arial" w:hAnsi="Arial" w:cs="Arial"/>
          <w:color w:val="000000" w:themeColor="text1"/>
          <w:lang w:val="en-US"/>
        </w:rPr>
        <w:t>. A standardised data extraction form was used to ensure consistency and accuracy throughout the process</w:t>
      </w:r>
      <w:r w:rsidR="00406D36">
        <w:rPr>
          <w:rFonts w:ascii="Arial" w:hAnsi="Arial" w:cs="Arial"/>
          <w:color w:val="000000" w:themeColor="text1"/>
          <w:lang w:val="en-US"/>
        </w:rPr>
        <w:t xml:space="preserve"> (</w:t>
      </w:r>
      <w:r w:rsidRPr="00E76548" w:rsidR="00406D36">
        <w:rPr>
          <w:rFonts w:ascii="Arial" w:hAnsi="Arial" w:cs="Arial"/>
          <w:color w:val="000000" w:themeColor="text1"/>
        </w:rPr>
        <w:t>Büchter</w:t>
      </w:r>
      <w:r w:rsidR="00406D36">
        <w:rPr>
          <w:rFonts w:ascii="Arial" w:hAnsi="Arial" w:cs="Arial"/>
          <w:color w:val="000000" w:themeColor="text1"/>
        </w:rPr>
        <w:t xml:space="preserve"> et al, 2020)</w:t>
      </w:r>
      <w:r w:rsidRPr="00B3038C">
        <w:rPr>
          <w:rFonts w:ascii="Arial" w:hAnsi="Arial" w:cs="Arial"/>
          <w:color w:val="000000" w:themeColor="text1"/>
          <w:lang w:val="en-US"/>
        </w:rPr>
        <w:t>. Information extracted from each study included the author and publication year, study location, research design, sample characteristics, hand hygiene compliance measures, factors influencing compliance, healthcare-associated infection outcomes, interventions used, and key findings. The extracted data were reviewed carefully to identify similarities and differences between studies</w:t>
      </w:r>
      <w:r w:rsidR="00E76548">
        <w:rPr>
          <w:rFonts w:ascii="Arial" w:hAnsi="Arial" w:cs="Arial"/>
          <w:color w:val="000000" w:themeColor="text1"/>
          <w:lang w:val="en-US"/>
        </w:rPr>
        <w:t xml:space="preserve"> (</w:t>
      </w:r>
      <w:r w:rsidRPr="00E76548" w:rsidR="00E76548">
        <w:rPr>
          <w:rFonts w:ascii="Arial" w:hAnsi="Arial" w:cs="Arial"/>
          <w:color w:val="000000" w:themeColor="text1"/>
        </w:rPr>
        <w:t>Büchter</w:t>
      </w:r>
      <w:r w:rsidR="00E76548">
        <w:rPr>
          <w:rFonts w:ascii="Arial" w:hAnsi="Arial" w:cs="Arial"/>
          <w:color w:val="000000" w:themeColor="text1"/>
        </w:rPr>
        <w:t xml:space="preserve"> et al, 2020)</w:t>
      </w:r>
      <w:r w:rsidRPr="00B3038C">
        <w:rPr>
          <w:rFonts w:ascii="Arial" w:hAnsi="Arial" w:cs="Arial"/>
          <w:color w:val="000000" w:themeColor="text1"/>
          <w:lang w:val="en-US"/>
        </w:rPr>
        <w:t>. This process helped organise the evidence in a structured manner and facilitated comparison and synthesis of findings across the included studies. Consistent data extraction also improved the transparency and reliability of the systematic review process</w:t>
      </w:r>
      <w:r w:rsidR="00E76548">
        <w:rPr>
          <w:rFonts w:ascii="Arial" w:hAnsi="Arial" w:cs="Arial"/>
          <w:color w:val="000000" w:themeColor="text1"/>
          <w:lang w:val="en-US"/>
        </w:rPr>
        <w:t xml:space="preserve"> (</w:t>
      </w:r>
      <w:r w:rsidRPr="00506C1E" w:rsidR="00E76548">
        <w:rPr>
          <w:rFonts w:ascii="Arial" w:hAnsi="Arial" w:cs="Arial"/>
          <w:color w:val="000000" w:themeColor="text1"/>
        </w:rPr>
        <w:t>Johnston</w:t>
      </w:r>
      <w:r w:rsidR="00E76548">
        <w:rPr>
          <w:rFonts w:ascii="Arial" w:hAnsi="Arial" w:cs="Arial"/>
          <w:color w:val="000000" w:themeColor="text1"/>
        </w:rPr>
        <w:t xml:space="preserve"> et al, 2019)</w:t>
      </w:r>
      <w:r w:rsidRPr="00B3038C">
        <w:rPr>
          <w:rFonts w:ascii="Arial" w:hAnsi="Arial" w:cs="Arial"/>
          <w:color w:val="000000" w:themeColor="text1"/>
          <w:lang w:val="en-US"/>
        </w:rPr>
        <w:t>.</w:t>
      </w:r>
    </w:p>
    <w:p w:rsidRPr="003A68B1" w:rsidR="00B3038C" w:rsidP="002E1234" w:rsidRDefault="003A68B1" w14:paraId="29FF79BC" w14:textId="71A5BE91">
      <w:pPr>
        <w:rPr>
          <w:rFonts w:ascii="Arial" w:hAnsi="Arial" w:cs="Arial"/>
          <w:b/>
          <w:bCs/>
          <w:color w:val="000000" w:themeColor="text1"/>
          <w:lang w:val="en-US"/>
        </w:rPr>
      </w:pPr>
      <w:r w:rsidRPr="003A68B1">
        <w:rPr>
          <w:rFonts w:ascii="Arial" w:hAnsi="Arial" w:cs="Arial"/>
          <w:b/>
          <w:bCs/>
          <w:color w:val="000000" w:themeColor="text1"/>
          <w:lang w:val="en-US"/>
        </w:rPr>
        <w:t>Table 3.7: Data extraction table</w:t>
      </w:r>
    </w:p>
    <w:tbl>
      <w:tblPr>
        <w:tblpPr w:leftFromText="180" w:rightFromText="180" w:bottomFromText="160" w:vertAnchor="text" w:horzAnchor="page" w:tblpXSpec="center" w:tblpY="370"/>
        <w:tblW w:w="6244" w:type="pc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4A0" w:firstRow="1" w:lastRow="0" w:firstColumn="1" w:lastColumn="0" w:noHBand="0" w:noVBand="1"/>
      </w:tblPr>
      <w:tblGrid>
        <w:gridCol w:w="903"/>
        <w:gridCol w:w="1279"/>
        <w:gridCol w:w="1356"/>
        <w:gridCol w:w="1560"/>
        <w:gridCol w:w="1416"/>
        <w:gridCol w:w="1419"/>
        <w:gridCol w:w="1700"/>
        <w:gridCol w:w="1626"/>
      </w:tblGrid>
      <w:tr w:rsidRPr="00207AC1" w:rsidR="00675D93" w:rsidTr="00207AC1" w14:paraId="74E41324" w14:textId="77777777">
        <w:trPr>
          <w:trHeight w:val="304"/>
        </w:trPr>
        <w:tc>
          <w:tcPr>
            <w:tcW w:w="401" w:type="pct"/>
            <w:tcBorders>
              <w:top w:val="single" w:color="000000" w:themeColor="text1" w:sz="4" w:space="0"/>
              <w:left w:val="single" w:color="000000" w:themeColor="text1" w:sz="4" w:space="0"/>
              <w:bottom w:val="single" w:color="000000" w:themeColor="text1" w:sz="4" w:space="0"/>
              <w:right w:val="single" w:color="000000" w:themeColor="text1" w:sz="4" w:space="0"/>
            </w:tcBorders>
            <w:hideMark/>
          </w:tcPr>
          <w:p w:rsidRPr="00207AC1" w:rsidR="00675D93" w:rsidP="00207AC1" w:rsidRDefault="00675D93" w14:paraId="5D9C50BB" w14:textId="77777777">
            <w:pPr>
              <w:pStyle w:val="TableParagraph"/>
              <w:spacing w:line="360" w:lineRule="auto"/>
              <w:jc w:val="center"/>
              <w:rPr>
                <w:b/>
                <w:color w:val="000000" w:themeColor="text1"/>
                <w:spacing w:val="-2"/>
                <w:kern w:val="2"/>
                <w:sz w:val="18"/>
                <w:szCs w:val="18"/>
                <w:lang w:eastAsia="en-US"/>
              </w:rPr>
            </w:pPr>
            <w:bookmarkStart w:name="_Hlk186816627" w:id="41"/>
            <w:r w:rsidRPr="00207AC1">
              <w:rPr>
                <w:b/>
                <w:color w:val="000000" w:themeColor="text1"/>
                <w:spacing w:val="-2"/>
                <w:kern w:val="2"/>
                <w:sz w:val="18"/>
                <w:szCs w:val="18"/>
                <w:lang w:eastAsia="en-US"/>
              </w:rPr>
              <w:t>Study Author’s name/ year</w:t>
            </w:r>
          </w:p>
        </w:tc>
        <w:tc>
          <w:tcPr>
            <w:tcW w:w="568" w:type="pct"/>
            <w:tcBorders>
              <w:top w:val="single" w:color="000000" w:themeColor="text1" w:sz="4" w:space="0"/>
              <w:left w:val="single" w:color="000000" w:themeColor="text1" w:sz="4" w:space="0"/>
              <w:bottom w:val="single" w:color="000000" w:themeColor="text1" w:sz="4" w:space="0"/>
              <w:right w:val="single" w:color="000000" w:themeColor="text1" w:sz="4" w:space="0"/>
            </w:tcBorders>
            <w:hideMark/>
          </w:tcPr>
          <w:p w:rsidR="005B7976" w:rsidP="00207AC1" w:rsidRDefault="00675D93" w14:paraId="1C4C4067" w14:textId="77777777">
            <w:pPr>
              <w:pStyle w:val="TableParagraph"/>
              <w:spacing w:line="360" w:lineRule="auto"/>
              <w:ind w:left="107"/>
              <w:jc w:val="center"/>
              <w:rPr>
                <w:b/>
                <w:color w:val="000000" w:themeColor="text1"/>
                <w:spacing w:val="-2"/>
                <w:kern w:val="2"/>
                <w:sz w:val="18"/>
                <w:szCs w:val="18"/>
                <w:lang w:eastAsia="en-US"/>
              </w:rPr>
            </w:pPr>
            <w:r w:rsidRPr="00207AC1">
              <w:rPr>
                <w:b/>
                <w:color w:val="000000" w:themeColor="text1"/>
                <w:spacing w:val="-2"/>
                <w:kern w:val="2"/>
                <w:sz w:val="18"/>
                <w:szCs w:val="18"/>
                <w:lang w:eastAsia="en-US"/>
              </w:rPr>
              <w:t>Objective/</w:t>
            </w:r>
          </w:p>
          <w:p w:rsidRPr="00207AC1" w:rsidR="00675D93" w:rsidP="00207AC1" w:rsidRDefault="00675D93" w14:paraId="50D20F18" w14:textId="76364D9C">
            <w:pPr>
              <w:pStyle w:val="TableParagraph"/>
              <w:spacing w:line="360" w:lineRule="auto"/>
              <w:ind w:left="107"/>
              <w:jc w:val="center"/>
              <w:rPr>
                <w:b/>
                <w:color w:val="000000" w:themeColor="text1"/>
                <w:kern w:val="2"/>
                <w:sz w:val="18"/>
                <w:szCs w:val="18"/>
                <w:lang w:eastAsia="en-US"/>
              </w:rPr>
            </w:pPr>
            <w:r w:rsidRPr="00207AC1">
              <w:rPr>
                <w:b/>
                <w:color w:val="000000" w:themeColor="text1"/>
                <w:spacing w:val="-2"/>
                <w:kern w:val="2"/>
                <w:sz w:val="18"/>
                <w:szCs w:val="18"/>
                <w:lang w:eastAsia="en-US"/>
              </w:rPr>
              <w:t>purpose</w:t>
            </w:r>
          </w:p>
        </w:tc>
        <w:tc>
          <w:tcPr>
            <w:tcW w:w="602" w:type="pct"/>
            <w:tcBorders>
              <w:top w:val="single" w:color="000000" w:themeColor="text1" w:sz="4" w:space="0"/>
              <w:left w:val="single" w:color="000000" w:themeColor="text1" w:sz="4" w:space="0"/>
              <w:bottom w:val="single" w:color="000000" w:themeColor="text1" w:sz="4" w:space="0"/>
              <w:right w:val="single" w:color="000000" w:themeColor="text1" w:sz="4" w:space="0"/>
            </w:tcBorders>
            <w:hideMark/>
          </w:tcPr>
          <w:p w:rsidRPr="00207AC1" w:rsidR="00207AC1" w:rsidP="00207AC1" w:rsidRDefault="00675D93" w14:paraId="04947270" w14:textId="77777777">
            <w:pPr>
              <w:pStyle w:val="TableParagraph"/>
              <w:spacing w:line="360" w:lineRule="auto"/>
              <w:ind w:left="107"/>
              <w:jc w:val="center"/>
              <w:rPr>
                <w:b/>
                <w:color w:val="000000" w:themeColor="text1"/>
                <w:spacing w:val="-2"/>
                <w:kern w:val="2"/>
                <w:sz w:val="18"/>
                <w:szCs w:val="18"/>
                <w:lang w:eastAsia="en-US"/>
              </w:rPr>
            </w:pPr>
            <w:r w:rsidRPr="00207AC1">
              <w:rPr>
                <w:b/>
                <w:color w:val="000000" w:themeColor="text1"/>
                <w:spacing w:val="-2"/>
                <w:kern w:val="2"/>
                <w:sz w:val="18"/>
                <w:szCs w:val="18"/>
                <w:lang w:eastAsia="en-US"/>
              </w:rPr>
              <w:t>Setting/</w:t>
            </w:r>
          </w:p>
          <w:p w:rsidRPr="00207AC1" w:rsidR="00675D93" w:rsidP="00207AC1" w:rsidRDefault="00675D93" w14:paraId="2599DA8C" w14:textId="4061D77B">
            <w:pPr>
              <w:pStyle w:val="TableParagraph"/>
              <w:spacing w:line="360" w:lineRule="auto"/>
              <w:ind w:left="107"/>
              <w:jc w:val="center"/>
              <w:rPr>
                <w:b/>
                <w:color w:val="000000" w:themeColor="text1"/>
                <w:spacing w:val="-2"/>
                <w:kern w:val="2"/>
                <w:sz w:val="18"/>
                <w:szCs w:val="18"/>
                <w:lang w:eastAsia="en-US"/>
              </w:rPr>
            </w:pPr>
            <w:r w:rsidRPr="00207AC1">
              <w:rPr>
                <w:b/>
                <w:color w:val="000000" w:themeColor="text1"/>
                <w:spacing w:val="-2"/>
                <w:kern w:val="2"/>
                <w:sz w:val="18"/>
                <w:szCs w:val="18"/>
                <w:lang w:eastAsia="en-US"/>
              </w:rPr>
              <w:t>sample</w:t>
            </w:r>
          </w:p>
        </w:tc>
        <w:tc>
          <w:tcPr>
            <w:tcW w:w="693" w:type="pct"/>
            <w:tcBorders>
              <w:top w:val="single" w:color="000000" w:themeColor="text1" w:sz="4" w:space="0"/>
              <w:left w:val="single" w:color="000000" w:themeColor="text1" w:sz="4" w:space="0"/>
              <w:bottom w:val="single" w:color="000000" w:themeColor="text1" w:sz="4" w:space="0"/>
              <w:right w:val="single" w:color="000000" w:themeColor="text1" w:sz="4" w:space="0"/>
            </w:tcBorders>
            <w:hideMark/>
          </w:tcPr>
          <w:p w:rsidRPr="00207AC1" w:rsidR="00675D93" w:rsidP="00207AC1" w:rsidRDefault="00675D93" w14:paraId="1A61E3A2" w14:textId="77777777">
            <w:pPr>
              <w:pStyle w:val="TableParagraph"/>
              <w:spacing w:line="360" w:lineRule="auto"/>
              <w:ind w:left="107"/>
              <w:jc w:val="center"/>
              <w:rPr>
                <w:b/>
                <w:color w:val="000000" w:themeColor="text1"/>
                <w:spacing w:val="-2"/>
                <w:kern w:val="2"/>
                <w:sz w:val="18"/>
                <w:szCs w:val="18"/>
                <w:lang w:eastAsia="en-US"/>
              </w:rPr>
            </w:pPr>
            <w:r w:rsidRPr="00207AC1">
              <w:rPr>
                <w:b/>
                <w:color w:val="000000" w:themeColor="text1"/>
                <w:spacing w:val="-2"/>
                <w:kern w:val="2"/>
                <w:sz w:val="18"/>
                <w:szCs w:val="18"/>
                <w:lang w:eastAsia="en-US"/>
              </w:rPr>
              <w:t>Methodology /Study design</w:t>
            </w:r>
          </w:p>
        </w:tc>
        <w:tc>
          <w:tcPr>
            <w:tcW w:w="629"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675D93" w14:paraId="38668F39" w14:textId="7A0DDED9">
            <w:pPr>
              <w:pStyle w:val="TableParagraph"/>
              <w:spacing w:line="360" w:lineRule="auto"/>
              <w:jc w:val="center"/>
              <w:rPr>
                <w:b/>
                <w:color w:val="000000" w:themeColor="text1"/>
                <w:spacing w:val="-2"/>
                <w:kern w:val="2"/>
                <w:sz w:val="18"/>
                <w:szCs w:val="18"/>
                <w:lang w:eastAsia="en-US"/>
              </w:rPr>
            </w:pPr>
            <w:r w:rsidRPr="00207AC1">
              <w:rPr>
                <w:b/>
                <w:color w:val="000000" w:themeColor="text1"/>
                <w:spacing w:val="-2"/>
                <w:kern w:val="2"/>
                <w:sz w:val="18"/>
                <w:szCs w:val="18"/>
                <w:lang w:eastAsia="en-US"/>
              </w:rPr>
              <w:t>Strength</w:t>
            </w:r>
          </w:p>
        </w:tc>
        <w:tc>
          <w:tcPr>
            <w:tcW w:w="630"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675D93" w14:paraId="15DBBB4D" w14:textId="486BD6B9">
            <w:pPr>
              <w:pStyle w:val="TableParagraph"/>
              <w:spacing w:line="360" w:lineRule="auto"/>
              <w:jc w:val="center"/>
              <w:rPr>
                <w:b/>
                <w:color w:val="000000" w:themeColor="text1"/>
                <w:spacing w:val="-2"/>
                <w:kern w:val="2"/>
                <w:sz w:val="18"/>
                <w:szCs w:val="18"/>
                <w:lang w:eastAsia="en-US"/>
              </w:rPr>
            </w:pPr>
            <w:r w:rsidRPr="00207AC1">
              <w:rPr>
                <w:b/>
                <w:color w:val="000000" w:themeColor="text1"/>
                <w:spacing w:val="-2"/>
                <w:kern w:val="2"/>
                <w:sz w:val="18"/>
                <w:szCs w:val="18"/>
                <w:lang w:eastAsia="en-US"/>
              </w:rPr>
              <w:t>Weakness</w:t>
            </w:r>
          </w:p>
        </w:tc>
        <w:tc>
          <w:tcPr>
            <w:tcW w:w="755" w:type="pct"/>
            <w:tcBorders>
              <w:top w:val="single" w:color="000000" w:themeColor="text1" w:sz="4" w:space="0"/>
              <w:left w:val="single" w:color="000000" w:themeColor="text1" w:sz="4" w:space="0"/>
              <w:bottom w:val="single" w:color="000000" w:themeColor="text1" w:sz="4" w:space="0"/>
              <w:right w:val="single" w:color="000000" w:themeColor="text1" w:sz="4" w:space="0"/>
            </w:tcBorders>
            <w:hideMark/>
          </w:tcPr>
          <w:p w:rsidR="005B7976" w:rsidP="00207AC1" w:rsidRDefault="00675D93" w14:paraId="64BFBACB" w14:textId="77777777">
            <w:pPr>
              <w:pStyle w:val="TableParagraph"/>
              <w:spacing w:line="360" w:lineRule="auto"/>
              <w:jc w:val="center"/>
              <w:rPr>
                <w:b/>
                <w:color w:val="000000" w:themeColor="text1"/>
                <w:spacing w:val="-2"/>
                <w:kern w:val="2"/>
                <w:sz w:val="18"/>
                <w:szCs w:val="18"/>
                <w:lang w:eastAsia="en-US"/>
              </w:rPr>
            </w:pPr>
            <w:r w:rsidRPr="00207AC1">
              <w:rPr>
                <w:b/>
                <w:color w:val="000000" w:themeColor="text1"/>
                <w:spacing w:val="-2"/>
                <w:kern w:val="2"/>
                <w:sz w:val="18"/>
                <w:szCs w:val="18"/>
                <w:lang w:eastAsia="en-US"/>
              </w:rPr>
              <w:t>Results /</w:t>
            </w:r>
          </w:p>
          <w:p w:rsidRPr="00207AC1" w:rsidR="00675D93" w:rsidP="00207AC1" w:rsidRDefault="00675D93" w14:paraId="51916196" w14:textId="344F6418">
            <w:pPr>
              <w:pStyle w:val="TableParagraph"/>
              <w:spacing w:line="360" w:lineRule="auto"/>
              <w:jc w:val="center"/>
              <w:rPr>
                <w:b/>
                <w:color w:val="000000" w:themeColor="text1"/>
                <w:spacing w:val="-2"/>
                <w:kern w:val="2"/>
                <w:sz w:val="18"/>
                <w:szCs w:val="18"/>
                <w:lang w:eastAsia="en-US"/>
              </w:rPr>
            </w:pPr>
            <w:r w:rsidRPr="00207AC1">
              <w:rPr>
                <w:b/>
                <w:color w:val="000000" w:themeColor="text1"/>
                <w:spacing w:val="-2"/>
                <w:kern w:val="2"/>
                <w:sz w:val="18"/>
                <w:szCs w:val="18"/>
                <w:lang w:eastAsia="en-US"/>
              </w:rPr>
              <w:t>outcomes</w:t>
            </w:r>
          </w:p>
        </w:tc>
        <w:tc>
          <w:tcPr>
            <w:tcW w:w="722"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675D93" w14:paraId="51599633" w14:textId="77777777">
            <w:pPr>
              <w:pStyle w:val="TableParagraph"/>
              <w:spacing w:line="360" w:lineRule="auto"/>
              <w:jc w:val="center"/>
              <w:rPr>
                <w:b/>
                <w:color w:val="000000" w:themeColor="text1"/>
                <w:spacing w:val="-2"/>
                <w:kern w:val="2"/>
                <w:sz w:val="18"/>
                <w:szCs w:val="18"/>
                <w:lang w:eastAsia="en-US"/>
              </w:rPr>
            </w:pPr>
            <w:r w:rsidRPr="00207AC1">
              <w:rPr>
                <w:b/>
                <w:color w:val="000000" w:themeColor="text1"/>
                <w:spacing w:val="-2"/>
                <w:kern w:val="2"/>
                <w:sz w:val="18"/>
                <w:szCs w:val="18"/>
                <w:lang w:eastAsia="en-US"/>
              </w:rPr>
              <w:t>Conclusion</w:t>
            </w:r>
          </w:p>
        </w:tc>
      </w:tr>
      <w:tr w:rsidRPr="00207AC1" w:rsidR="00675D93" w:rsidTr="00207AC1" w14:paraId="408C21BD" w14:textId="77777777">
        <w:trPr>
          <w:trHeight w:val="304"/>
        </w:trPr>
        <w:tc>
          <w:tcPr>
            <w:tcW w:w="401"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520027" w14:paraId="6CBF4C81" w14:textId="0A6A738C">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King et al (2016)</w:t>
            </w:r>
          </w:p>
        </w:tc>
        <w:tc>
          <w:tcPr>
            <w:tcW w:w="568"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520027" w14:paraId="01E6D798" w14:textId="7DBE9042">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To examine the relationship between hand hygiene and the frequency of surface contacts made by healthcare workers in patient rooms.</w:t>
            </w:r>
          </w:p>
        </w:tc>
        <w:tc>
          <w:tcPr>
            <w:tcW w:w="602"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520027" w14:paraId="0FE996E6" w14:textId="7DFA43C7">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A single-bed UK hospital ward. Healthcare workers were observed across six different types of care.</w:t>
            </w:r>
          </w:p>
        </w:tc>
        <w:tc>
          <w:tcPr>
            <w:tcW w:w="693"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520027" w14:paraId="0F4E9D46" w14:textId="0FBE7F34">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Observational study measuring healthcare workers’ surface contacts and hand hygiene behaviour during patient care.</w:t>
            </w:r>
          </w:p>
        </w:tc>
        <w:tc>
          <w:tcPr>
            <w:tcW w:w="629"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520027" w14:paraId="0E6E9F8D" w14:textId="2372738C">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The study used direct observations of hand hygiene and surface contacts, providing real-world information about healthcare workers’ behaviour.</w:t>
            </w:r>
          </w:p>
        </w:tc>
        <w:tc>
          <w:tcPr>
            <w:tcW w:w="630"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520027" w14:paraId="775A9DBC" w14:textId="6E5BCC17">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It was conducted in only one UK hospital ward, which may limit how widely the findings can be applied to other hospitals</w:t>
            </w:r>
          </w:p>
        </w:tc>
        <w:tc>
          <w:tcPr>
            <w:tcW w:w="755"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520027" w14:paraId="44EB8F62" w14:textId="04E1931C">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Hand hygiene behaviour varied significantly according to the type of care provided (P=0.001). Hand hygiene likelihood was associated with the number of surface contacts (95% CI 1.1–5.8; P=0.002), but not with the time spent in the room.</w:t>
            </w:r>
          </w:p>
        </w:tc>
        <w:tc>
          <w:tcPr>
            <w:tcW w:w="722"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520027" w14:paraId="1BE8798F" w14:textId="22C0AC0F">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Healthcare workers’ hand hygiene may be influenced by their pattern of surface contacts. This suggests that some hand hygiene behaviour may occur subconsciously and could be considered when developing future hand hygiene education programmes.</w:t>
            </w:r>
          </w:p>
        </w:tc>
      </w:tr>
      <w:tr w:rsidRPr="00207AC1" w:rsidR="00675D93" w:rsidTr="00207AC1" w14:paraId="16C16273" w14:textId="77777777">
        <w:trPr>
          <w:trHeight w:val="304"/>
        </w:trPr>
        <w:tc>
          <w:tcPr>
            <w:tcW w:w="401"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5C43B6" w14:paraId="5AF731BD" w14:textId="7028D399">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Jeanes et al, (2018)</w:t>
            </w:r>
          </w:p>
        </w:tc>
        <w:tc>
          <w:tcPr>
            <w:tcW w:w="568"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0855C9" w14:paraId="583C16F2" w14:textId="2038FCDD">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To identify, remove and reduce barriers affecting hand hygiene compliance in an emergency department.</w:t>
            </w:r>
          </w:p>
        </w:tc>
        <w:tc>
          <w:tcPr>
            <w:tcW w:w="602"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0855C9" w14:paraId="1449225A" w14:textId="717D3CAB">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A busy emergency department in a UK hospital, involving clinicians and other healthcare staff.</w:t>
            </w:r>
          </w:p>
        </w:tc>
        <w:tc>
          <w:tcPr>
            <w:tcW w:w="693"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0855C9" w14:paraId="54B78167" w14:textId="646FB7D2">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Quality improvement study using a barrier identification tool, staff-agreed hand hygiene expectations, and a monitoring framework to improve compliance.</w:t>
            </w:r>
          </w:p>
        </w:tc>
        <w:tc>
          <w:tcPr>
            <w:tcW w:w="629"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0855C9" w14:paraId="1EEC3ACA" w14:textId="23A33893">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The study involved staff in identifying barriers and developing practical solutions, making the intervention relevant to the emergency care setting.</w:t>
            </w:r>
          </w:p>
        </w:tc>
        <w:tc>
          <w:tcPr>
            <w:tcW w:w="630"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0855C9" w14:paraId="52D3D675" w14:textId="792EA666">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 xml:space="preserve">The emergency department remained challenging during </w:t>
            </w:r>
            <w:r w:rsidRPr="00207AC1" w:rsidR="005C43B6">
              <w:rPr>
                <w:bCs/>
                <w:color w:val="000000" w:themeColor="text1"/>
                <w:spacing w:val="-2"/>
                <w:kern w:val="2"/>
                <w:sz w:val="16"/>
                <w:szCs w:val="16"/>
                <w:lang w:eastAsia="en-US"/>
              </w:rPr>
              <w:t>emergencies</w:t>
            </w:r>
            <w:r w:rsidRPr="00207AC1">
              <w:rPr>
                <w:bCs/>
                <w:color w:val="000000" w:themeColor="text1"/>
                <w:spacing w:val="-2"/>
                <w:kern w:val="2"/>
                <w:sz w:val="16"/>
                <w:szCs w:val="16"/>
                <w:lang w:eastAsia="en-US"/>
              </w:rPr>
              <w:t>, and improvement was not achieved equally across all areas.</w:t>
            </w:r>
          </w:p>
        </w:tc>
        <w:tc>
          <w:tcPr>
            <w:tcW w:w="755"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0855C9" w14:paraId="67982036" w14:textId="390FA25E">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 xml:space="preserve">Main barriers included uncertainty about when to clean hands, work pressure, urgent care, environmental and operational problems, and sore hands. Compliance gradually improved in most areas, except during </w:t>
            </w:r>
            <w:r w:rsidRPr="00207AC1" w:rsidR="005C43B6">
              <w:rPr>
                <w:bCs/>
                <w:color w:val="000000" w:themeColor="text1"/>
                <w:spacing w:val="-2"/>
                <w:kern w:val="2"/>
                <w:sz w:val="16"/>
                <w:szCs w:val="16"/>
                <w:lang w:eastAsia="en-US"/>
              </w:rPr>
              <w:t>emergencies</w:t>
            </w:r>
            <w:r w:rsidRPr="00207AC1">
              <w:rPr>
                <w:bCs/>
                <w:color w:val="000000" w:themeColor="text1"/>
                <w:spacing w:val="-2"/>
                <w:kern w:val="2"/>
                <w:sz w:val="16"/>
                <w:szCs w:val="16"/>
                <w:lang w:eastAsia="en-US"/>
              </w:rPr>
              <w:t>.</w:t>
            </w:r>
          </w:p>
        </w:tc>
        <w:tc>
          <w:tcPr>
            <w:tcW w:w="722"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0855C9" w14:paraId="5218A6BC" w14:textId="2164706E">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Hand hygiene expectations should consider the care setting and practical barriers. In emergencies, urgent life-saving care may take priority over routine hand hygiene requirements.</w:t>
            </w:r>
          </w:p>
        </w:tc>
      </w:tr>
      <w:tr w:rsidRPr="00207AC1" w:rsidR="00675D93" w:rsidTr="00207AC1" w14:paraId="0718A9D3" w14:textId="77777777">
        <w:trPr>
          <w:trHeight w:val="304"/>
        </w:trPr>
        <w:tc>
          <w:tcPr>
            <w:tcW w:w="401"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E541A1" w14:paraId="13EA9BB0" w14:textId="7E733D38">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Guest et al, (2019)</w:t>
            </w:r>
          </w:p>
        </w:tc>
        <w:tc>
          <w:tcPr>
            <w:tcW w:w="568"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C114B7" w14:paraId="2A637479" w14:textId="609053FF">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To assess the potential clinical and economic impact of an electronic audit and feedback system for improving hand hygiene compliance and reducing HCAIs.</w:t>
            </w:r>
          </w:p>
        </w:tc>
        <w:tc>
          <w:tcPr>
            <w:tcW w:w="602"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C114B7" w14:paraId="44780F03" w14:textId="792FDA48">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A hypothetical general hospital in England, focusing on adult inpatients and front-line healthcare practitioners.</w:t>
            </w:r>
          </w:p>
        </w:tc>
        <w:tc>
          <w:tcPr>
            <w:tcW w:w="693"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C114B7" w14:paraId="4CE4C3C0" w14:textId="5F5361CA">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Decision-analysis modelling was used to estimate the clinical and economic effects of introducing an electronic hand hygiene audit and feedback system.</w:t>
            </w:r>
          </w:p>
        </w:tc>
        <w:tc>
          <w:tcPr>
            <w:tcW w:w="629"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C114B7" w14:paraId="7F367889" w14:textId="307C47A2">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The study considered both health outcomes and costs, providing useful evidence about the potential value of electronic hand hygiene monitoring for the NHS.</w:t>
            </w:r>
          </w:p>
        </w:tc>
        <w:tc>
          <w:tcPr>
            <w:tcW w:w="630"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C114B7" w14:paraId="0DC74FBE" w14:textId="63863D57">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The study used a hypothetical hospital and modelled assumptions rather than real-world intervention data, so the findings may not directly reflect actual hospital outcomes.</w:t>
            </w:r>
          </w:p>
        </w:tc>
        <w:tc>
          <w:tcPr>
            <w:tcW w:w="755"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C114B7" w14:paraId="67BB0D2A" w14:textId="7F6031A5">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A 5–25% reduction in HCAIs could avoid approximately 184–921 infections and 6–31 deaths per hospital each year. Up to 7,794 hospital bed days could be released, while HCAI-related costs could decrease by 3–23%.</w:t>
            </w:r>
          </w:p>
        </w:tc>
        <w:tc>
          <w:tcPr>
            <w:tcW w:w="722"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C114B7" w14:paraId="0DF4E598" w14:textId="3CD48B0B">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An electronic audit and feedback system could be cost-effective for the NHS if it improves hand hygiene compliance enough to reduce HCAIs by at least 15%.</w:t>
            </w:r>
          </w:p>
        </w:tc>
      </w:tr>
      <w:tr w:rsidRPr="00207AC1" w:rsidR="00675D93" w:rsidTr="00207AC1" w14:paraId="573F3611" w14:textId="77777777">
        <w:trPr>
          <w:trHeight w:val="304"/>
        </w:trPr>
        <w:tc>
          <w:tcPr>
            <w:tcW w:w="401"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544EAC" w14:paraId="5837C091" w14:textId="3137168F">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Burns et al, 2021</w:t>
            </w:r>
          </w:p>
        </w:tc>
        <w:tc>
          <w:tcPr>
            <w:tcW w:w="568"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FB0293" w14:paraId="6DE36E5D" w14:textId="7694E7EC">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To investigate skin damage and its effects on the wellbeing of healthcare staff caused by frequent handwashing and mask use during COVID-19.</w:t>
            </w:r>
          </w:p>
        </w:tc>
        <w:tc>
          <w:tcPr>
            <w:tcW w:w="602"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FB0293" w14:paraId="490DD102" w14:textId="4D8E74F5">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NHS healthcare staff in the UK. A total of 211 staff responded to the survey between April and May 2020.</w:t>
            </w:r>
          </w:p>
        </w:tc>
        <w:tc>
          <w:tcPr>
            <w:tcW w:w="693"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FB0293" w14:paraId="321810DF" w14:textId="145AA3F3">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Retrospective cross-sectional study using a survey that assessed handwashing frequency, skin damage, wellbeing, and access to occupational health services and moisturisers.</w:t>
            </w:r>
          </w:p>
        </w:tc>
        <w:tc>
          <w:tcPr>
            <w:tcW w:w="629"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FB0293" w14:paraId="19DD55CC" w14:textId="5CC977E6">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The study included NHS staff and collected information directly from healthcare workers during the COVID-19 pandemic, providing useful real-world evidence.</w:t>
            </w:r>
          </w:p>
        </w:tc>
        <w:tc>
          <w:tcPr>
            <w:tcW w:w="630"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FB0293" w14:paraId="7BAF7737" w14:textId="14B0DC55">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The study relied on self-reported survey responses, which may introduce reporting or recall bias. It also did not directly measure hand hygiene compliance or HCAI rates.</w:t>
            </w:r>
          </w:p>
        </w:tc>
        <w:tc>
          <w:tcPr>
            <w:tcW w:w="755"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FB0293" w14:paraId="5B31259C" w14:textId="405211B2">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Of 211 respondents, 167 washed their hands more than 10 times per shift. Around three-quarters reported cracks or fissures on their hands. 36% reported a substantial impact on wellbeing, while only 7% had received specialist advice.</w:t>
            </w:r>
          </w:p>
        </w:tc>
        <w:tc>
          <w:tcPr>
            <w:tcW w:w="722"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FB0293" w14:paraId="077CBBD9" w14:textId="62CA2D20">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Frequent handwashing caused skin damage and affected the wellbeing of healthcare workers. NHS services should provide measures to prevent and treat skin damage and improve access to specialist support.</w:t>
            </w:r>
          </w:p>
        </w:tc>
      </w:tr>
      <w:tr w:rsidRPr="00207AC1" w:rsidR="00675D93" w:rsidTr="00207AC1" w14:paraId="10E106C9" w14:textId="77777777">
        <w:trPr>
          <w:trHeight w:val="304"/>
        </w:trPr>
        <w:tc>
          <w:tcPr>
            <w:tcW w:w="401"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DC566B" w14:paraId="2F0A19E5" w14:textId="354F7146">
            <w:pPr>
              <w:pStyle w:val="TableParagraph"/>
              <w:spacing w:line="360" w:lineRule="auto"/>
              <w:rPr>
                <w:bCs/>
                <w:color w:val="000000" w:themeColor="text1"/>
                <w:sz w:val="16"/>
                <w:szCs w:val="16"/>
                <w:shd w:val="clear" w:color="auto" w:fill="FFFFFF"/>
              </w:rPr>
            </w:pPr>
            <w:r w:rsidRPr="00207AC1">
              <w:rPr>
                <w:bCs/>
                <w:color w:val="000000" w:themeColor="text1"/>
                <w:sz w:val="16"/>
                <w:szCs w:val="16"/>
                <w:shd w:val="clear" w:color="auto" w:fill="FFFFFF"/>
              </w:rPr>
              <w:t>Blair et al, (2024)</w:t>
            </w:r>
          </w:p>
        </w:tc>
        <w:tc>
          <w:tcPr>
            <w:tcW w:w="568"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DC566B" w14:paraId="3190395D" w14:textId="5E02C7C1">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To co-design and evaluate a behavioural science-informed intervention to improve hand hygiene compliance among healthcare staff.</w:t>
            </w:r>
          </w:p>
        </w:tc>
        <w:tc>
          <w:tcPr>
            <w:tcW w:w="602"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DC566B" w14:paraId="04F57018" w14:textId="02185D40">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Three inpatient wards within a London NHS Trust. Hand hygiene behaviour was observed for 18 hours before and 18 hours after the intervention.</w:t>
            </w:r>
          </w:p>
        </w:tc>
        <w:tc>
          <w:tcPr>
            <w:tcW w:w="693"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DC566B" w14:paraId="56D9EAE3" w14:textId="7FBABCA3">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Before-and-after intervention study. Baseline and follow-up observations focused on Moments 1 and 5 of the WHO Five Moments for Hand Hygiene. A Chi-squared test was used to compare compliance before and after the intervention.</w:t>
            </w:r>
          </w:p>
        </w:tc>
        <w:tc>
          <w:tcPr>
            <w:tcW w:w="629"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DC566B" w14:paraId="0114D9B7" w14:textId="6EE86808">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The intervention was co-designed with clinical staff and used behavioural science to provide practical motivational “nudges” at points where hand hygiene commonly failed.</w:t>
            </w:r>
          </w:p>
        </w:tc>
        <w:tc>
          <w:tcPr>
            <w:tcW w:w="630"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DC566B" w14:paraId="078B09D3" w14:textId="27A5E2FB">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The study involved only three wards in one London NHS Trust and had a short six-week follow-up period, which may limit the generalisability and assessment of long-term effects.</w:t>
            </w:r>
          </w:p>
        </w:tc>
        <w:tc>
          <w:tcPr>
            <w:tcW w:w="755"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DC566B" w14:paraId="17F0ED64" w14:textId="077BD14F">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Overall hand hygiene compliance increased by 11% after the intervention (P &lt; 0.001). Compliance for Moment 1 increased by 15%, while Moment 5 increased by 11%.</w:t>
            </w:r>
          </w:p>
        </w:tc>
        <w:tc>
          <w:tcPr>
            <w:tcW w:w="722"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DC566B" w14:paraId="10CFD9BE" w14:textId="05987F49">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Behavioural science-based visual reminders can improve hand hygiene compliance. Co-design with clinical staff can increase engagement and support the effectiveness of hand hygiene interventions.</w:t>
            </w:r>
          </w:p>
        </w:tc>
      </w:tr>
      <w:tr w:rsidRPr="00207AC1" w:rsidR="00675D93" w:rsidTr="00207AC1" w14:paraId="337EAFA4" w14:textId="77777777">
        <w:trPr>
          <w:trHeight w:val="304"/>
        </w:trPr>
        <w:tc>
          <w:tcPr>
            <w:tcW w:w="401"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654037" w14:paraId="23CE040E" w14:textId="4BC9FDED">
            <w:pPr>
              <w:pStyle w:val="TableParagraph"/>
              <w:spacing w:line="360" w:lineRule="auto"/>
              <w:rPr>
                <w:bCs/>
                <w:color w:val="000000" w:themeColor="text1"/>
                <w:sz w:val="16"/>
                <w:szCs w:val="16"/>
                <w:shd w:val="clear" w:color="auto" w:fill="FFFFFF"/>
              </w:rPr>
            </w:pPr>
            <w:r w:rsidRPr="00207AC1">
              <w:rPr>
                <w:bCs/>
                <w:color w:val="000000" w:themeColor="text1"/>
                <w:sz w:val="16"/>
                <w:szCs w:val="16"/>
                <w:shd w:val="clear" w:color="auto" w:fill="FFFFFF"/>
              </w:rPr>
              <w:t>Kaye  and Marais, (2025)</w:t>
            </w:r>
          </w:p>
        </w:tc>
        <w:tc>
          <w:tcPr>
            <w:tcW w:w="568"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1C4918" w14:paraId="317E63AB" w14:textId="578D5C98">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To identify factors that facilitate or hinder staff compliance with hand hygiene and PPE standards and policies.</w:t>
            </w:r>
          </w:p>
        </w:tc>
        <w:tc>
          <w:tcPr>
            <w:tcW w:w="602"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1C4918" w14:paraId="58C25965" w14:textId="13BF88D8">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An acute UK Trust covering all inpatient wards (approximately 750 beds). Two wards were selected for qualitative investigation, with four staff participants from each ward (8 participants in total), representing different staff grades.</w:t>
            </w:r>
          </w:p>
        </w:tc>
        <w:tc>
          <w:tcPr>
            <w:tcW w:w="693"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1C4918" w14:paraId="32EC57B7" w14:textId="2E9AA41A">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A mixed-methods sequential explanatory design was used. Quantitative data on COVID-19 cases, hand hygiene and PPE compliance were collected over 10 months. Qualitative interviews were then conducted with staff, and thematic analysis was used to identify barriers and facilitators.</w:t>
            </w:r>
          </w:p>
        </w:tc>
        <w:tc>
          <w:tcPr>
            <w:tcW w:w="629"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1C4918" w14:paraId="5E3FD691" w14:textId="5A4624A5">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The mixed-methods design combined compliance data with staff experiences, providing both measurable evidence and explanations for why compliance may be poor. The study also covered a large acute Trust and a 10-month period.</w:t>
            </w:r>
          </w:p>
        </w:tc>
        <w:tc>
          <w:tcPr>
            <w:tcW w:w="630"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1C4918" w14:paraId="58712FC9" w14:textId="66B26A73">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Only eight staff members were interviewed, and the qualitative findings came from two wards, which may limit generalisability. The study also examined PPE alongside hand hygiene, making some findings less specific to hand hygiene alone.</w:t>
            </w:r>
          </w:p>
        </w:tc>
        <w:tc>
          <w:tcPr>
            <w:tcW w:w="755"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1C4918" w14:paraId="52177402" w14:textId="4A70AECD">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Hand hygiene and PPE compliance showed a downward trend over the 10-month study period. Key barriers and facilitators were time, information, training, safety and accessibility. Time was the most commonly identified barrier, with staff considering compliance procedures too time-consuming. Patient safety was the strongest factor encouraging compliance.</w:t>
            </w:r>
          </w:p>
        </w:tc>
        <w:tc>
          <w:tcPr>
            <w:tcW w:w="722"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1C4918" w14:paraId="68CA49D0" w14:textId="1A80807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Patient safety was the most influential factor supporting staff compliance, while lack of time was the main factor contributing to non-compliance. Improving accessibility, training, information and the efficiency of hand hygiene procedures may help improve compliance.</w:t>
            </w:r>
          </w:p>
        </w:tc>
      </w:tr>
      <w:tr w:rsidRPr="00207AC1" w:rsidR="00675D93" w:rsidTr="00207AC1" w14:paraId="68F789FE" w14:textId="77777777">
        <w:trPr>
          <w:trHeight w:val="304"/>
        </w:trPr>
        <w:tc>
          <w:tcPr>
            <w:tcW w:w="401"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3B4837" w14:paraId="7FD2EBFE" w14:textId="516BFDBD">
            <w:pPr>
              <w:pStyle w:val="TableParagraph"/>
              <w:spacing w:line="360" w:lineRule="auto"/>
              <w:rPr>
                <w:bCs/>
                <w:color w:val="000000" w:themeColor="text1"/>
                <w:sz w:val="16"/>
                <w:szCs w:val="16"/>
                <w:shd w:val="clear" w:color="auto" w:fill="FFFFFF"/>
              </w:rPr>
            </w:pPr>
            <w:r w:rsidRPr="00207AC1">
              <w:rPr>
                <w:bCs/>
                <w:color w:val="000000" w:themeColor="text1"/>
                <w:sz w:val="16"/>
                <w:szCs w:val="16"/>
                <w:shd w:val="clear" w:color="auto" w:fill="FFFFFF"/>
              </w:rPr>
              <w:t>Mandal et al, (2025)</w:t>
            </w:r>
          </w:p>
        </w:tc>
        <w:tc>
          <w:tcPr>
            <w:tcW w:w="568"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96190A" w14:paraId="59B47E3C" w14:textId="0FCBCA4D">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To assess practitioners’ adherence to the six-step Ayliffe hand hygiene technique and evaluate whether an instructional video and an additional seventh step could improve hand cleansing.</w:t>
            </w:r>
          </w:p>
        </w:tc>
        <w:tc>
          <w:tcPr>
            <w:tcW w:w="602"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96190A" w14:paraId="7C5BB383" w14:textId="1DCB2DC0">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Healthcare practitioners in the study setting. The abstract does not specify the exact sample size or setting, so these details should be confirmed from the full text.</w:t>
            </w:r>
          </w:p>
        </w:tc>
        <w:tc>
          <w:tcPr>
            <w:tcW w:w="693"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96190A" w14:paraId="6502A21F" w14:textId="17766DEE">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An intervention-based pre- and post-assessment study was conducted. Participants’ hand hygiene technique was assessed using a lotion visible under ultraviolet light. They then watched a short instructional video and were taught an additional seventh step. Technique was reassessed immediately and again after 3–4 weeks.</w:t>
            </w:r>
          </w:p>
        </w:tc>
        <w:tc>
          <w:tcPr>
            <w:tcW w:w="629"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96190A" w14:paraId="31127114" w14:textId="6A3E45A4">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The use of ultraviolet lotion provided an objective method for identifying areas of the hands that were not adequately cleansed. Reassessment after 3–4 weeks also provided evidence of whether improvements were maintained.</w:t>
            </w:r>
          </w:p>
        </w:tc>
        <w:tc>
          <w:tcPr>
            <w:tcW w:w="630"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96190A" w14:paraId="6FD3DE6E" w14:textId="6CCD8ED2">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The abstract does not provide information about the sample size, participant selection or exact setting. The follow-up period was relatively short, so the long-term effectiveness of the intervention is uncertain.</w:t>
            </w:r>
          </w:p>
        </w:tc>
        <w:tc>
          <w:tcPr>
            <w:tcW w:w="755"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96190A" w14:paraId="2B88E2BC" w14:textId="40BC534F">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Initially, only 43% of participants correctly performed all six steps of the Ayliffe technique. This increased to 97% following the instructional video. Initially, 59% failed to adequately clean the dorsal hands, which decreased to 13% at the third assessment after introducing the seventh step.</w:t>
            </w:r>
          </w:p>
        </w:tc>
        <w:tc>
          <w:tcPr>
            <w:tcW w:w="722"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96190A" w14:paraId="3D6F114D" w14:textId="44917FD0">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The instructional video was effective in improving hand hygiene technique. Adding a seventh step to the Ayliffe technique improved cleansing of the dorsal hand and may increase the effectiveness of hand hygiene protocols.</w:t>
            </w:r>
          </w:p>
        </w:tc>
      </w:tr>
      <w:tr w:rsidRPr="00207AC1" w:rsidR="00675D93" w:rsidTr="00207AC1" w14:paraId="0ED14B14" w14:textId="77777777">
        <w:trPr>
          <w:trHeight w:val="304"/>
        </w:trPr>
        <w:tc>
          <w:tcPr>
            <w:tcW w:w="401"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037F15" w14:paraId="52E7E6CB" w14:textId="07E1B2F1">
            <w:pPr>
              <w:pStyle w:val="TableParagraph"/>
              <w:spacing w:line="360" w:lineRule="auto"/>
              <w:rPr>
                <w:bCs/>
                <w:color w:val="000000" w:themeColor="text1"/>
                <w:sz w:val="16"/>
                <w:szCs w:val="16"/>
                <w:shd w:val="clear" w:color="auto" w:fill="FFFFFF"/>
              </w:rPr>
            </w:pPr>
            <w:r w:rsidRPr="00207AC1">
              <w:rPr>
                <w:bCs/>
                <w:color w:val="000000" w:themeColor="text1"/>
                <w:sz w:val="16"/>
                <w:szCs w:val="16"/>
                <w:shd w:val="clear" w:color="auto" w:fill="FFFFFF"/>
              </w:rPr>
              <w:t>Cawthorne and Cooke, (2020)</w:t>
            </w:r>
          </w:p>
        </w:tc>
        <w:tc>
          <w:tcPr>
            <w:tcW w:w="568"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5E387E" w14:paraId="258DDB01" w14:textId="2F947FEB">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To explore healthcare workers’ perspectives on direct observation as the standard method for monitoring hand hygiene compliance and assess their views on innovative technologies for hand hygiene monitoring.</w:t>
            </w:r>
          </w:p>
        </w:tc>
        <w:tc>
          <w:tcPr>
            <w:tcW w:w="602"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5E387E" w14:paraId="4E17865C" w14:textId="1B7EE26C">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Two NHS Trusts in the UK. A total of 1,120 healthcare workers responded to the survey, with nursing staff and doctors accounting for the largest groups of respondents.</w:t>
            </w:r>
          </w:p>
        </w:tc>
        <w:tc>
          <w:tcPr>
            <w:tcW w:w="693"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5E387E" w14:paraId="778A5ED2" w14:textId="5A927B9C">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A cross-sectional survey study was conducted. An online questionnaire was emailed to healthcare workers across two NHS Trusts to assess their attitudes towards direct observation and alternative technologies for monitoring hand hygiene compliance.</w:t>
            </w:r>
          </w:p>
        </w:tc>
        <w:tc>
          <w:tcPr>
            <w:tcW w:w="629"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5E387E" w14:paraId="1264919B" w14:textId="61DA2B6E">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The study included a large sample of 1,120 healthcare workers from two NHS Trusts. Including a substantial number of nursing staff provides useful evidence about staff attitudes towards hand hygiene monitoring.</w:t>
            </w:r>
          </w:p>
        </w:tc>
        <w:tc>
          <w:tcPr>
            <w:tcW w:w="630"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5E387E" w14:paraId="2F427913" w14:textId="6DBD1309">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The study relied on self-reported opinions rather than directly measuring actual hand hygiene compliance. The survey response rate and exact number of nursing respondents are not provided in the abstract.</w:t>
            </w:r>
          </w:p>
        </w:tc>
        <w:tc>
          <w:tcPr>
            <w:tcW w:w="755"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5E387E" w14:paraId="3732AFC4" w14:textId="3B428315">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58% of healthcare workers did not strongly support direct observation as a method of assessing hand hygiene compliance. Staff were generally willing to consider alternative and innovative technologies for monitoring hand hygiene.</w:t>
            </w:r>
          </w:p>
        </w:tc>
        <w:tc>
          <w:tcPr>
            <w:tcW w:w="722"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5E387E" w14:paraId="2E8DBE7B" w14:textId="3B9CC188">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Healthcare workers may have concerns about direct observation as a method of monitoring hand hygiene. Greater staff engagement and the use of innovative monitoring technologies may help improve acceptance of hand hygiene compliance monitoring</w:t>
            </w:r>
          </w:p>
        </w:tc>
      </w:tr>
      <w:tr w:rsidRPr="00207AC1" w:rsidR="00675D93" w:rsidTr="00207AC1" w14:paraId="6E86802A" w14:textId="77777777">
        <w:trPr>
          <w:trHeight w:val="304"/>
        </w:trPr>
        <w:tc>
          <w:tcPr>
            <w:tcW w:w="401"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DB1FF7" w14:paraId="3A122001" w14:textId="139F6E51">
            <w:pPr>
              <w:pStyle w:val="TableParagraph"/>
              <w:spacing w:line="360" w:lineRule="auto"/>
              <w:rPr>
                <w:bCs/>
                <w:color w:val="000000" w:themeColor="text1"/>
                <w:sz w:val="16"/>
                <w:szCs w:val="16"/>
                <w:shd w:val="clear" w:color="auto" w:fill="FFFFFF"/>
              </w:rPr>
            </w:pPr>
            <w:r w:rsidRPr="00207AC1">
              <w:rPr>
                <w:bCs/>
                <w:color w:val="000000" w:themeColor="text1"/>
                <w:sz w:val="16"/>
                <w:szCs w:val="16"/>
                <w:shd w:val="clear" w:color="auto" w:fill="FFFFFF"/>
              </w:rPr>
              <w:t>Mohammadi-Zaniani and Wales, (2020)</w:t>
            </w:r>
          </w:p>
        </w:tc>
        <w:tc>
          <w:tcPr>
            <w:tcW w:w="568"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DB1FF7" w14:paraId="6462A957" w14:textId="3CF4482C">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To improve hand hygiene adherence in a surgical department identified as an MSSA healthcare-associated infection hotspot and achieve sustainable improvements through education, monitoring and feedback.</w:t>
            </w:r>
          </w:p>
        </w:tc>
        <w:tc>
          <w:tcPr>
            <w:tcW w:w="602"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DB1FF7" w14:paraId="38076CC9" w14:textId="00125C68">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A surgical department/inpatient ward in a hospital. Hand hygiene adherence was monitored among staff during registrar-led and consultant-led clinical rounds.</w:t>
            </w:r>
          </w:p>
        </w:tc>
        <w:tc>
          <w:tcPr>
            <w:tcW w:w="693"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B16B37" w:rsidP="00207AC1" w:rsidRDefault="00DB1FF7" w14:paraId="0FE5305E" w14:textId="7D9E278A">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Quality Improvement (QI) study using WHO hand hygiene checklists. Baseline auditing was followed by departmental education, weekly auditing, feedback and verbal reminders over four months. A PDSA cycle was used to address variation, followed by a long-term multidisciplinary monitoring strategy.</w:t>
            </w:r>
          </w:p>
        </w:tc>
        <w:tc>
          <w:tcPr>
            <w:tcW w:w="629"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DB1FF7" w14:paraId="667D355A" w14:textId="68E26D1D">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Repeated audits and feedback were used over four months, allowing changes in hand hygiene adherence to be monitored over time. The use of WHO checklists and a multidisciplinary team provided a structured approach to improving practice.</w:t>
            </w:r>
          </w:p>
        </w:tc>
        <w:tc>
          <w:tcPr>
            <w:tcW w:w="630"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DB1FF7" w14:paraId="392B1D11" w14:textId="7DBBB809">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The study was conducted in one surgical department/ward, limiting generalisability. The abstract does not report actual MSSA infection rates after the intervention, so the direct effect of improved hand hygiene on HAI incidence cannot be confirmed.</w:t>
            </w:r>
          </w:p>
        </w:tc>
        <w:tc>
          <w:tcPr>
            <w:tcW w:w="755"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DB1FF7" w14:paraId="6C74A82B" w14:textId="01BF653A">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Baseline adherence ranged from 10–52% during registrar-led rounds and 22–62% during consultant-led rounds across the five hand hygiene moments. Following education, initial adherence remained low (6–38%), but improved to 74–93% the following month. During the final two months, adherence ranged from 50–100%.</w:t>
            </w:r>
          </w:p>
        </w:tc>
        <w:tc>
          <w:tcPr>
            <w:tcW w:w="722"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DB1FF7" w14:paraId="526457BB" w14:textId="456BEA68">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A multidisciplinary programme involving education, regular monitoring, feedback and reminders improved hand hygiene adherence. Continued MDT monitoring and the use of PDSA cycles may help maintain improvements in inpatient settings.</w:t>
            </w:r>
          </w:p>
        </w:tc>
      </w:tr>
      <w:tr w:rsidRPr="00207AC1" w:rsidR="00675D93" w:rsidTr="00207AC1" w14:paraId="108C7129" w14:textId="77777777">
        <w:trPr>
          <w:trHeight w:val="304"/>
        </w:trPr>
        <w:tc>
          <w:tcPr>
            <w:tcW w:w="401"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B16B37" w14:paraId="4AADECD0" w14:textId="0027592F">
            <w:pPr>
              <w:pStyle w:val="TableParagraph"/>
              <w:spacing w:line="360" w:lineRule="auto"/>
              <w:rPr>
                <w:bCs/>
                <w:color w:val="000000" w:themeColor="text1"/>
                <w:sz w:val="16"/>
                <w:szCs w:val="16"/>
                <w:shd w:val="clear" w:color="auto" w:fill="FFFFFF"/>
              </w:rPr>
            </w:pPr>
            <w:r w:rsidRPr="00207AC1">
              <w:rPr>
                <w:bCs/>
                <w:color w:val="000000" w:themeColor="text1"/>
                <w:sz w:val="16"/>
                <w:szCs w:val="16"/>
                <w:shd w:val="clear" w:color="auto" w:fill="FFFFFF"/>
              </w:rPr>
              <w:t>Batalla et al, 2026</w:t>
            </w:r>
          </w:p>
        </w:tc>
        <w:tc>
          <w:tcPr>
            <w:tcW w:w="568"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B16B37" w14:paraId="0D62CBF8" w14:textId="284A14BB">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To implement a hand-hygiene champion (HHC) role and determine whether it could improve hand hygiene compliance rates in intensive care units.</w:t>
            </w:r>
          </w:p>
        </w:tc>
        <w:tc>
          <w:tcPr>
            <w:tcW w:w="602"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B16B37" w14:paraId="2237ABDB" w14:textId="6D2474C3">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Critical care directorates across two tertiary hospital sites in the UK. The study focused on ICU staff and compared an intervention group with HHCs against a control group.</w:t>
            </w:r>
          </w:p>
        </w:tc>
        <w:tc>
          <w:tcPr>
            <w:tcW w:w="693"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B16B37" w14:paraId="4CC8C454" w14:textId="55610938">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Quality Improvement (QI) project using the Plan-Do-Study-Act (PDSA) cycle. The HHC role was implemented between February 2025 and February 2026, with hand hygiene compliance compared between intervention and control groups and monitored over time</w:t>
            </w:r>
          </w:p>
        </w:tc>
        <w:tc>
          <w:tcPr>
            <w:tcW w:w="629"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B16B37" w14:paraId="4D20A734" w14:textId="4DF740FE">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Conducted across two UK tertiary hospitals and used a control group, allowing comparison between units with and without HHCs. The 12-month implementation period also allowed changes in compliance to be assessed over time.</w:t>
            </w:r>
          </w:p>
        </w:tc>
        <w:tc>
          <w:tcPr>
            <w:tcW w:w="630"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B16B37" w14:paraId="13B016C2" w14:textId="5014E3B0">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The abstract does not provide the sample size, exact compliance percentages or effect size. As a quality improvement project, other changes occurring during the study period may also have influenced compliance.</w:t>
            </w:r>
          </w:p>
        </w:tc>
        <w:tc>
          <w:tcPr>
            <w:tcW w:w="755"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B16B37" w14:paraId="78BB43D0" w14:textId="74255C08">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Hand hygiene compliance was significantly higher in the intervention group where HHCs were implemented compared with the control group. Compliance also increased significantly over time following implementation of the HHC role.</w:t>
            </w:r>
          </w:p>
        </w:tc>
        <w:tc>
          <w:tcPr>
            <w:tcW w:w="722"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B16B37" w14:paraId="43257F2B" w14:textId="78D5921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Introducing hand-hygiene champions can potentially improve hand hygiene compliance in ICU settings. Peer support, active monitoring and staff engagement may be effective strategies for improving compliance in high-risk hospital areas.</w:t>
            </w:r>
          </w:p>
        </w:tc>
      </w:tr>
      <w:tr w:rsidRPr="00207AC1" w:rsidR="00675D93" w:rsidTr="00207AC1" w14:paraId="3700D528" w14:textId="77777777">
        <w:trPr>
          <w:trHeight w:val="304"/>
        </w:trPr>
        <w:tc>
          <w:tcPr>
            <w:tcW w:w="401"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04283E" w14:paraId="1E2502D1" w14:textId="46B40C77">
            <w:pPr>
              <w:pStyle w:val="TableParagraph"/>
              <w:spacing w:line="360" w:lineRule="auto"/>
              <w:rPr>
                <w:bCs/>
                <w:color w:val="000000" w:themeColor="text1"/>
                <w:sz w:val="16"/>
                <w:szCs w:val="16"/>
                <w:shd w:val="clear" w:color="auto" w:fill="FFFFFF"/>
              </w:rPr>
            </w:pPr>
            <w:r w:rsidRPr="00207AC1">
              <w:rPr>
                <w:bCs/>
                <w:color w:val="000000" w:themeColor="text1"/>
                <w:sz w:val="16"/>
                <w:szCs w:val="16"/>
                <w:shd w:val="clear" w:color="auto" w:fill="FFFFFF"/>
              </w:rPr>
              <w:t>Gould et al, (2020)</w:t>
            </w:r>
          </w:p>
        </w:tc>
        <w:tc>
          <w:tcPr>
            <w:tcW w:w="568"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FA1376" w14:paraId="0CE9D668" w14:textId="6C18C8F6">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To evaluate a type five electronic monitoring system (EMS) for hand hygiene adherence, particularly its accuracy and ability to avoid the Hawthorne effect associated with manual observation.</w:t>
            </w:r>
          </w:p>
        </w:tc>
        <w:tc>
          <w:tcPr>
            <w:tcW w:w="602"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FA1376" w14:paraId="01D31C64" w14:textId="6A26FFC6">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An acute 31-bed medical ward in an NHS Trust in London, UK. Participants were healthcare staff working or attached to the ward.</w:t>
            </w:r>
          </w:p>
        </w:tc>
        <w:tc>
          <w:tcPr>
            <w:tcW w:w="693"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FA1376" w14:paraId="1AF4DC2E" w14:textId="3DDA3A84">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Comparative observational study. Hand hygiene events were assessed both manually and electronically, and agreement between the two methods was examined. Continuous electronic monitoring was conducted using an EMS that measured disinfectant dispenser use and healthcare worker movements.</w:t>
            </w:r>
          </w:p>
        </w:tc>
        <w:tc>
          <w:tcPr>
            <w:tcW w:w="629"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FA1376" w14:paraId="3EAF9EDD" w14:textId="1B2468DF">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The study directly compared electronic and manual monitoring methods and used continuous electronic measurement. It also examined the Hawthorne effect, providing useful evidence about the reliability of traditional direct observation.</w:t>
            </w:r>
          </w:p>
        </w:tc>
        <w:tc>
          <w:tcPr>
            <w:tcW w:w="630"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FA1376" w14:paraId="0B54E23D" w14:textId="79A94B5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The study was conducted on only one 31-bed medical ward, which limits generalisability. Only 294 hand hygiene events were manually observed across five sessions, and the study evaluated monitoring accuracy rather than directly measuring reductions in HCAIs.</w:t>
            </w:r>
          </w:p>
        </w:tc>
        <w:tc>
          <w:tcPr>
            <w:tcW w:w="755"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FA1376" w14:paraId="726E6012" w14:textId="5BCCCB47">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A total of 294 hand hygiene events were observed. Manual observation and EMS measurements showed 84% agreement (95% CI 79.1–89.9%). Manually observed compliance increased from 24% to 76% across the five sessions, while EMS measurements remained stable when the observer was absent. This demonstrated a clear Hawthorne effect.</w:t>
            </w:r>
          </w:p>
        </w:tc>
        <w:tc>
          <w:tcPr>
            <w:tcW w:w="722"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FA1376" w14:paraId="0F687FF0" w14:textId="74FD01F6">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The EMS demonstrated good accuracy and was able to reduce the influence of the Hawthorne effect. Electronic monitoring may therefore provide a more reliable method of assessing hand hygiene adherence than direct observation alone.</w:t>
            </w:r>
          </w:p>
        </w:tc>
      </w:tr>
      <w:tr w:rsidRPr="00207AC1" w:rsidR="00675D93" w:rsidTr="00207AC1" w14:paraId="6DC5DAA9" w14:textId="77777777">
        <w:trPr>
          <w:trHeight w:val="304"/>
        </w:trPr>
        <w:tc>
          <w:tcPr>
            <w:tcW w:w="401"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AC13F2" w14:paraId="35FE377F" w14:textId="485974E7">
            <w:pPr>
              <w:pStyle w:val="TableParagraph"/>
              <w:spacing w:line="360" w:lineRule="auto"/>
              <w:rPr>
                <w:bCs/>
                <w:color w:val="000000" w:themeColor="text1"/>
                <w:sz w:val="16"/>
                <w:szCs w:val="16"/>
                <w:shd w:val="clear" w:color="auto" w:fill="FFFFFF"/>
              </w:rPr>
            </w:pPr>
            <w:r w:rsidRPr="00207AC1">
              <w:rPr>
                <w:bCs/>
                <w:sz w:val="16"/>
                <w:szCs w:val="16"/>
              </w:rPr>
              <w:t>Kelly et al, (2021)</w:t>
            </w:r>
          </w:p>
        </w:tc>
        <w:tc>
          <w:tcPr>
            <w:tcW w:w="568"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0D25BF" w14:paraId="74A3E66A" w14:textId="15E2776E">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To evaluate the acceptability of a new type five electronic hand hygiene monitoring system among frontline healthcare workers in an NHS Trust in the UK.</w:t>
            </w:r>
          </w:p>
        </w:tc>
        <w:tc>
          <w:tcPr>
            <w:tcW w:w="602"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0D25BF" w14:paraId="4ECB6432" w14:textId="59BB534C">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A National Health Service Trust in the UK. Qualitative interviews were conducted with 11 healthcare workers after they had used the electronic monitoring system for 12 months.</w:t>
            </w:r>
          </w:p>
        </w:tc>
        <w:tc>
          <w:tcPr>
            <w:tcW w:w="693"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0D25BF" w14:paraId="6BCFBD62" w14:textId="60890AF8">
            <w:pPr>
              <w:pStyle w:val="TableParagraph"/>
              <w:spacing w:line="360" w:lineRule="auto"/>
              <w:ind w:left="107"/>
              <w:rPr>
                <w:bCs/>
                <w:color w:val="000000" w:themeColor="text1"/>
                <w:spacing w:val="-2"/>
                <w:kern w:val="2"/>
                <w:sz w:val="16"/>
                <w:szCs w:val="16"/>
                <w:lang w:eastAsia="en-US"/>
              </w:rPr>
            </w:pPr>
            <w:r w:rsidRPr="00207AC1">
              <w:rPr>
                <w:bCs/>
                <w:color w:val="000000" w:themeColor="text1"/>
                <w:spacing w:val="-2"/>
                <w:kern w:val="2"/>
                <w:sz w:val="16"/>
                <w:szCs w:val="16"/>
                <w:lang w:eastAsia="en-US"/>
              </w:rPr>
              <w:t>Qualitative study using interviews with healthcare workers following 12 months of experience with an electronic hand hygiene monitoring system. Thematic analysis was used to explore perceptions, barriers and experiences related to the system.</w:t>
            </w:r>
          </w:p>
        </w:tc>
        <w:tc>
          <w:tcPr>
            <w:tcW w:w="629"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0D25BF" w14:paraId="7D9DCE66" w14:textId="22B9DE17">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The study provides detailed staff perspectives after prolonged exposure to the technology. It identifies practical barriers and differences in how healthcare workers perceive monitoring and feedback.</w:t>
            </w:r>
          </w:p>
        </w:tc>
        <w:tc>
          <w:tcPr>
            <w:tcW w:w="630"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0D25BF" w14:paraId="60CB1160" w14:textId="425B7C41">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The sample was small (11 participants), limiting generalisability. The study focused mainly on acceptability of electronic monitoring rather than measuring actual changes in hand hygiene compliance or HCAI rates.</w:t>
            </w:r>
          </w:p>
        </w:tc>
        <w:tc>
          <w:tcPr>
            <w:tcW w:w="755"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0D25BF" w14:paraId="2F7356CA" w14:textId="5383DAFD">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 xml:space="preserve">Staff recognised the importance of hand hygiene and generally accepted technology </w:t>
            </w:r>
            <w:r w:rsidRPr="00207AC1" w:rsidR="00207AC1">
              <w:rPr>
                <w:bCs/>
                <w:color w:val="000000" w:themeColor="text1"/>
                <w:spacing w:val="-2"/>
                <w:kern w:val="2"/>
                <w:sz w:val="16"/>
                <w:szCs w:val="16"/>
                <w:lang w:eastAsia="en-US"/>
              </w:rPr>
              <w:t>to</w:t>
            </w:r>
            <w:r w:rsidRPr="00207AC1">
              <w:rPr>
                <w:bCs/>
                <w:color w:val="000000" w:themeColor="text1"/>
                <w:spacing w:val="-2"/>
                <w:kern w:val="2"/>
                <w:sz w:val="16"/>
                <w:szCs w:val="16"/>
                <w:lang w:eastAsia="en-US"/>
              </w:rPr>
              <w:t xml:space="preserve"> improve adherence. Key barriers included heavy workload, emergencies and poor placement of alcohol dispensers. Views about the accuracy of automated readings and feedback varied. Some staff felt the system increased personal accountability, whereas others ignored feedback or data.</w:t>
            </w:r>
          </w:p>
        </w:tc>
        <w:tc>
          <w:tcPr>
            <w:tcW w:w="722" w:type="pc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Pr="00207AC1" w:rsidR="00675D93" w:rsidP="00207AC1" w:rsidRDefault="000D25BF" w14:paraId="76D53E59" w14:textId="08CE65E0">
            <w:pPr>
              <w:pStyle w:val="TableParagraph"/>
              <w:spacing w:line="360" w:lineRule="auto"/>
              <w:rPr>
                <w:bCs/>
                <w:color w:val="000000" w:themeColor="text1"/>
                <w:spacing w:val="-2"/>
                <w:kern w:val="2"/>
                <w:sz w:val="16"/>
                <w:szCs w:val="16"/>
                <w:lang w:eastAsia="en-US"/>
              </w:rPr>
            </w:pPr>
            <w:r w:rsidRPr="00207AC1">
              <w:rPr>
                <w:bCs/>
                <w:color w:val="000000" w:themeColor="text1"/>
                <w:spacing w:val="-2"/>
                <w:kern w:val="2"/>
                <w:sz w:val="16"/>
                <w:szCs w:val="16"/>
                <w:lang w:eastAsia="en-US"/>
              </w:rPr>
              <w:t>Electronic monitoring can be well tolerated by healthcare workers, but its effectiveness may depend on the quality of feedback and the clinical context. Electronic and manual auditing can provide complementary approaches to monitoring hand hygiene.</w:t>
            </w:r>
          </w:p>
        </w:tc>
      </w:tr>
      <w:bookmarkEnd w:id="41"/>
    </w:tbl>
    <w:p w:rsidR="003A68B1" w:rsidP="000855C9" w:rsidRDefault="003A68B1" w14:paraId="751BB429" w14:textId="77777777">
      <w:pPr>
        <w:rPr>
          <w:rFonts w:ascii="Arial" w:hAnsi="Arial" w:cs="Arial"/>
          <w:color w:val="000000" w:themeColor="text1"/>
        </w:rPr>
      </w:pPr>
    </w:p>
    <w:p w:rsidRPr="00B031A0" w:rsidR="00C35735" w:rsidP="00C668C4" w:rsidRDefault="00C35735" w14:paraId="3BF27CF9" w14:textId="130F3EF9">
      <w:pPr>
        <w:pStyle w:val="Heading1"/>
        <w:jc w:val="both"/>
      </w:pPr>
      <w:bookmarkStart w:name="_Toc240696186" w:id="42"/>
      <w:r>
        <w:t xml:space="preserve">3.16 </w:t>
      </w:r>
      <w:r w:rsidRPr="00B031A0">
        <w:t>Summary</w:t>
      </w:r>
      <w:bookmarkEnd w:id="42"/>
      <w:r w:rsidRPr="00B031A0">
        <w:t xml:space="preserve"> </w:t>
      </w:r>
    </w:p>
    <w:p w:rsidR="003A68B1" w:rsidP="000855C9" w:rsidRDefault="00C35735" w14:paraId="78F9AEEA" w14:textId="184D3B77">
      <w:pPr>
        <w:rPr>
          <w:rFonts w:ascii="Arial" w:hAnsi="Arial" w:cs="Arial"/>
          <w:color w:val="000000" w:themeColor="text1"/>
        </w:rPr>
      </w:pPr>
      <w:r w:rsidRPr="00C35735">
        <w:rPr>
          <w:rFonts w:ascii="Arial" w:hAnsi="Arial" w:cs="Arial"/>
          <w:color w:val="000000" w:themeColor="text1"/>
        </w:rPr>
        <w:t>Chapter 3 described the methodology adopted for this systematic review on nurses’ hand hygiene compliance and its impact on healthcare-associated infections (HCAIs) in UK hospitals. The review followed a structured and transparent systematic review design supported by an appropriate research philosophy, ethical principles, and an inductive research strategy. Data were collected through comprehensive searches of PubMed, Scopus, and Google Scholar, alongside hand searching and grey literature sources. The PICO framework guided the development of search terms, while predefined inclusion and exclusion criteria ensured consistency in study selection. PRISMA was used to document the screening process, and JBI, CASP, and Newcastle–Ottawa tools were applied to assess study quality and strengthen the reliability of the findings.</w:t>
      </w:r>
    </w:p>
    <w:p w:rsidR="004764CC" w:rsidP="000855C9" w:rsidRDefault="004764CC" w14:paraId="76D70313" w14:textId="77777777">
      <w:pPr>
        <w:rPr>
          <w:rFonts w:ascii="Arial" w:hAnsi="Arial" w:cs="Arial"/>
          <w:color w:val="000000" w:themeColor="text1"/>
        </w:rPr>
      </w:pPr>
    </w:p>
    <w:p w:rsidR="004764CC" w:rsidP="000855C9" w:rsidRDefault="004764CC" w14:paraId="1156617A" w14:textId="77777777">
      <w:pPr>
        <w:rPr>
          <w:rFonts w:ascii="Arial" w:hAnsi="Arial" w:cs="Arial"/>
          <w:color w:val="000000" w:themeColor="text1"/>
        </w:rPr>
      </w:pPr>
    </w:p>
    <w:p w:rsidRPr="004764CC" w:rsidR="004764CC" w:rsidP="002066A1" w:rsidRDefault="004764CC" w14:paraId="700C4EDA" w14:textId="77777777">
      <w:pPr>
        <w:pStyle w:val="Heading1"/>
        <w:rPr>
          <w:lang w:val="en-US"/>
        </w:rPr>
      </w:pPr>
      <w:bookmarkStart w:name="_Toc240696187" w:id="43"/>
      <w:r w:rsidRPr="004764CC">
        <w:rPr>
          <w:lang w:val="en-US"/>
        </w:rPr>
        <w:t>Chapter 4: Results</w:t>
      </w:r>
      <w:bookmarkEnd w:id="43"/>
    </w:p>
    <w:p w:rsidRPr="004764CC" w:rsidR="004764CC" w:rsidP="002066A1" w:rsidRDefault="004764CC" w14:paraId="2339E60D" w14:textId="77777777">
      <w:pPr>
        <w:pStyle w:val="Heading1"/>
        <w:jc w:val="both"/>
        <w:rPr>
          <w:lang w:val="en-US"/>
        </w:rPr>
      </w:pPr>
      <w:bookmarkStart w:name="_Toc240696188" w:id="44"/>
      <w:r w:rsidRPr="004764CC">
        <w:rPr>
          <w:lang w:val="en-US"/>
        </w:rPr>
        <w:t>4.1 Introduction</w:t>
      </w:r>
      <w:bookmarkEnd w:id="44"/>
    </w:p>
    <w:p w:rsidR="004764CC" w:rsidP="004764CC" w:rsidRDefault="004764CC" w14:paraId="7F3B4714" w14:textId="77777777">
      <w:pPr>
        <w:rPr>
          <w:rFonts w:ascii="Arial" w:hAnsi="Arial" w:cs="Arial"/>
          <w:color w:val="000000" w:themeColor="text1"/>
          <w:lang w:val="en-US"/>
        </w:rPr>
      </w:pPr>
      <w:r w:rsidRPr="002066A1">
        <w:rPr>
          <w:rFonts w:ascii="Arial" w:hAnsi="Arial" w:cs="Arial"/>
          <w:color w:val="000000" w:themeColor="text1"/>
          <w:lang w:val="en-US"/>
        </w:rPr>
        <w:t>This chapter presents the findings of the systematic review examining the impact of nurses’ and healthcare workers’ hand hygiene compliance on healthcare-associated infections (HCAIs) in UK hospitals. Twelve studies meeting the predefined inclusion criteria were included in the final synthesis. The studies used different methodological approaches, including observational, cross-sectional, quality-improvement, intervention, mixed-methods, qualitative and modelling designs. The findings were synthesised thematically according to the research objectives. Four themes were developed: factors influencing hand hygiene compliance, patterns and barriers affecting compliance, effectiveness of interventions and monitoring approaches, and implications of improved compliance for infection prevention and patient safety. The thematic synthesis identifies similarities, differences and important evidence gaps across the included studies.</w:t>
      </w:r>
    </w:p>
    <w:p w:rsidRPr="00C668C4" w:rsidR="00C668C4" w:rsidP="00C668C4" w:rsidRDefault="00C668C4" w14:paraId="2305724B" w14:textId="762A32A1">
      <w:pPr>
        <w:pStyle w:val="Heading1"/>
        <w:jc w:val="both"/>
        <w:rPr>
          <w:lang w:val="en-US"/>
        </w:rPr>
      </w:pPr>
      <w:bookmarkStart w:name="_Toc240696189" w:id="45"/>
      <w:r w:rsidRPr="00C668C4">
        <w:rPr>
          <w:lang w:val="en-US"/>
        </w:rPr>
        <w:t>4.</w:t>
      </w:r>
      <w:r w:rsidR="00A93DF9">
        <w:rPr>
          <w:lang w:val="en-US"/>
        </w:rPr>
        <w:t>2</w:t>
      </w:r>
      <w:r w:rsidRPr="00C668C4">
        <w:rPr>
          <w:lang w:val="en-US"/>
        </w:rPr>
        <w:t xml:space="preserve"> PRISMA Flow of Study Selection</w:t>
      </w:r>
      <w:bookmarkEnd w:id="45"/>
    </w:p>
    <w:p w:rsidRPr="00C668C4" w:rsidR="00C668C4" w:rsidP="004764CC" w:rsidRDefault="00C668C4" w14:paraId="1544867C" w14:textId="6ABFA5EB">
      <w:pPr>
        <w:rPr>
          <w:rFonts w:ascii="Arial" w:hAnsi="Arial" w:cs="Arial"/>
          <w:color w:val="000000" w:themeColor="text1"/>
          <w:lang w:val="en-US"/>
        </w:rPr>
      </w:pPr>
      <w:r w:rsidRPr="00C668C4">
        <w:rPr>
          <w:rFonts w:ascii="Arial" w:hAnsi="Arial" w:cs="Arial"/>
          <w:color w:val="000000" w:themeColor="text1"/>
          <w:lang w:val="en-US"/>
        </w:rPr>
        <w:t>The study selection process was presented using the Preferred Reporting Items for Systematic Reviews and Meta-Analyses (PRISMA) framework to provide a transparent overview of identification, screening, eligibility and inclusion. A total of 1,375 records were identified from PubMed, Google Scholar and Scopus. Following the removal of duplicates, 211 records remained for screening. Titles and abstracts were assessed against the predefined inclusion and exclusion criteria, after which potentially relevant studies progressed to full-text assessment. A total of 150 full-text articles were assessed for eligibility, and 61 articles were excluded because they did not meet the eligibility criteria. Finally, 12 studies were included in the systematic review and thematic synthesis. The PRISMA flow diagram illustrates the overall selection process and provides a clear record of how the final evidence base was established.</w:t>
      </w:r>
    </w:p>
    <w:p w:rsidRPr="002066A1" w:rsidR="004764CC" w:rsidP="002066A1" w:rsidRDefault="004764CC" w14:paraId="2022B99D" w14:textId="3289C6DA">
      <w:pPr>
        <w:pStyle w:val="Heading1"/>
        <w:jc w:val="both"/>
        <w:rPr>
          <w:lang w:val="en-US"/>
        </w:rPr>
      </w:pPr>
      <w:bookmarkStart w:name="_Toc240696190" w:id="46"/>
      <w:r w:rsidRPr="002066A1">
        <w:rPr>
          <w:lang w:val="en-US"/>
        </w:rPr>
        <w:t>4.</w:t>
      </w:r>
      <w:r w:rsidR="00A93DF9">
        <w:rPr>
          <w:lang w:val="en-US"/>
        </w:rPr>
        <w:t>3</w:t>
      </w:r>
      <w:r w:rsidRPr="002066A1">
        <w:rPr>
          <w:lang w:val="en-US"/>
        </w:rPr>
        <w:t xml:space="preserve"> Thematic Analysis</w:t>
      </w:r>
      <w:bookmarkEnd w:id="46"/>
    </w:p>
    <w:p w:rsidRPr="002066A1" w:rsidR="004764CC" w:rsidP="004764CC" w:rsidRDefault="004764CC" w14:paraId="6F376C83" w14:textId="60D8D1BE">
      <w:pPr>
        <w:rPr>
          <w:rFonts w:ascii="Arial" w:hAnsi="Arial" w:cs="Arial"/>
          <w:color w:val="000000" w:themeColor="text1"/>
          <w:lang w:val="en-US"/>
        </w:rPr>
      </w:pPr>
      <w:r w:rsidRPr="002066A1">
        <w:rPr>
          <w:rFonts w:ascii="Arial" w:hAnsi="Arial" w:cs="Arial"/>
          <w:color w:val="000000" w:themeColor="text1"/>
          <w:lang w:val="en-US"/>
        </w:rPr>
        <w:t>Thematic analysis was undertaken to identify common patterns across the findings of the 12 included studies. The research objectives and research question concerning the relationship between hand hygiene compliance and HCAIs in UK hospitals guided the analysis. Four themes were developed from the evidence: Theme 1 – Factors influencing hand hygiene compliance; Theme 2 – Barriers and facilitators affecting compliance; Theme 3 – Effectiveness of interventions, education and monitoring; and Theme 4 – Implications for HCAI prevention and patient safety. Studies were compared according to their findings, methodological characteristics and relevance to the review question. The themes collectively demonstrate that hand hygiene behaviour is influenced by clinical circumstances, staff behaviour, organisational factors, monitoring systems and interventions.</w:t>
      </w:r>
    </w:p>
    <w:p w:rsidRPr="002066A1" w:rsidR="0057059A" w:rsidP="002066A1" w:rsidRDefault="0057059A" w14:paraId="15432ADF" w14:textId="77777777">
      <w:pPr>
        <w:pStyle w:val="Heading2"/>
        <w:rPr>
          <w:lang w:val="en-US"/>
        </w:rPr>
      </w:pPr>
      <w:bookmarkStart w:name="_Toc240696191" w:id="47"/>
      <w:r w:rsidRPr="002066A1">
        <w:rPr>
          <w:lang w:val="en-US"/>
        </w:rPr>
        <w:t>Theme 1: Factors Influencing Hand Hygiene Compliance</w:t>
      </w:r>
      <w:bookmarkEnd w:id="47"/>
    </w:p>
    <w:p w:rsidRPr="002066A1" w:rsidR="0057059A" w:rsidP="0057059A" w:rsidRDefault="0057059A" w14:paraId="4CD07086" w14:textId="77777777">
      <w:pPr>
        <w:rPr>
          <w:rFonts w:ascii="Arial" w:hAnsi="Arial" w:cs="Arial"/>
          <w:color w:val="000000" w:themeColor="text1"/>
          <w:lang w:val="en-US"/>
        </w:rPr>
      </w:pPr>
      <w:r w:rsidRPr="002066A1">
        <w:rPr>
          <w:rFonts w:ascii="Arial" w:hAnsi="Arial" w:cs="Arial"/>
          <w:color w:val="000000" w:themeColor="text1"/>
          <w:lang w:val="en-US"/>
        </w:rPr>
        <w:t>The first theme identified clinical and behavioural factors influencing hand hygiene compliance among healthcare workers in UK hospitals. King et al. (2016) found that compliance varied significantly according to the type of care delivered (P=0.001) and was associated with the number of surface contacts rather than time spent in patient rooms. This suggests that the nature and complexity of clinical activity influence opportunities to perform hand hygiene. Similarly, Kaye and Marais (2025) identified workload, time, information, training, safety and accessibility as important influences, with lack of time being the most frequently reported barrier. Together, these findings indicate that compliance is shaped by both clinical demands and organisational conditions rather than individual behaviour alone.</w:t>
      </w:r>
    </w:p>
    <w:p w:rsidRPr="002066A1" w:rsidR="0057059A" w:rsidP="0057059A" w:rsidRDefault="0057059A" w14:paraId="73799167" w14:textId="77777777">
      <w:pPr>
        <w:rPr>
          <w:rFonts w:ascii="Arial" w:hAnsi="Arial" w:cs="Arial"/>
          <w:color w:val="000000" w:themeColor="text1"/>
          <w:lang w:val="en-US"/>
        </w:rPr>
      </w:pPr>
      <w:r w:rsidRPr="002066A1">
        <w:rPr>
          <w:rFonts w:ascii="Arial" w:hAnsi="Arial" w:cs="Arial"/>
          <w:color w:val="000000" w:themeColor="text1"/>
          <w:lang w:val="en-US"/>
        </w:rPr>
        <w:t>Physical wellbeing also represents an important consideration when maintaining regular hand hygiene. Burns et al. (2021) found that 167 of 211 NHS healthcare workers washed their hands more than ten times per shift, while approximately three-quarters reported cracks or fissures. Furthermore, 36% reported a substantial impact on wellbeing, although only 7% had received specialist advice. These findings highlight a potential tension between infection prevention and staff wellbeing, as frequent handwashing may cause skin damage and discomfort. If these problems are not appropriately managed, they could affect healthcare workers’ ability or willingness to maintain recommended practices. Therefore, occupational support and suitable skin-care measures should form part of hand hygiene programmes.</w:t>
      </w:r>
    </w:p>
    <w:p w:rsidRPr="002066A1" w:rsidR="004764CC" w:rsidP="004764CC" w:rsidRDefault="0057059A" w14:paraId="57C0C60A" w14:textId="30C4F634">
      <w:pPr>
        <w:rPr>
          <w:rFonts w:ascii="Arial" w:hAnsi="Arial" w:cs="Arial"/>
          <w:color w:val="000000" w:themeColor="text1"/>
          <w:lang w:val="en-US"/>
        </w:rPr>
      </w:pPr>
      <w:r w:rsidRPr="002066A1">
        <w:rPr>
          <w:rFonts w:ascii="Arial" w:hAnsi="Arial" w:cs="Arial"/>
          <w:color w:val="000000" w:themeColor="text1"/>
          <w:lang w:val="en-US"/>
        </w:rPr>
        <w:t xml:space="preserve">Overall, the evidence demonstrates that hand hygiene compliance is influenced by clinical activity, workload, time pressures and physical </w:t>
      </w:r>
      <w:r w:rsidR="00B51FD1">
        <w:rPr>
          <w:rFonts w:ascii="Arial" w:hAnsi="Arial" w:cs="Arial"/>
          <w:color w:val="000000" w:themeColor="text1"/>
          <w:lang w:val="en-US"/>
        </w:rPr>
        <w:t>well-being</w:t>
      </w:r>
      <w:r w:rsidRPr="002066A1">
        <w:rPr>
          <w:rFonts w:ascii="Arial" w:hAnsi="Arial" w:cs="Arial"/>
          <w:color w:val="000000" w:themeColor="text1"/>
          <w:lang w:val="en-US"/>
        </w:rPr>
        <w:t>. Kaye and Marais (2025) further identified patient safety as the strongest facilitator, suggesting that understanding the consequences of poor compliance can encourage safer behaviour. The findings imply that improving compliance requires more than education alone. Healthcare organisations should provide accessible facilities, adequate training, sufficient time and appropriate support for staff experiencing skin problems. Such organisational measures can reduce practical difficulties and create conditions in which healthcare workers are better able to maintain consistent hand hygiene during routine patient care.</w:t>
      </w:r>
    </w:p>
    <w:p w:rsidRPr="002066A1" w:rsidR="0057059A" w:rsidP="002066A1" w:rsidRDefault="0057059A" w14:paraId="0A2E1999" w14:textId="77777777">
      <w:pPr>
        <w:pStyle w:val="Heading2"/>
        <w:rPr>
          <w:lang w:val="en-US"/>
        </w:rPr>
      </w:pPr>
      <w:bookmarkStart w:name="_Toc240696192" w:id="48"/>
      <w:r w:rsidRPr="002066A1">
        <w:rPr>
          <w:lang w:val="en-US"/>
        </w:rPr>
        <w:t>Theme 2: Barriers and Facilitators to Hand Hygiene Compliance</w:t>
      </w:r>
      <w:bookmarkEnd w:id="48"/>
    </w:p>
    <w:p w:rsidRPr="002066A1" w:rsidR="0057059A" w:rsidP="0057059A" w:rsidRDefault="0057059A" w14:paraId="2598CBF0" w14:textId="0182AA2A">
      <w:pPr>
        <w:rPr>
          <w:rFonts w:ascii="Arial" w:hAnsi="Arial" w:cs="Arial"/>
          <w:color w:val="000000" w:themeColor="text1"/>
          <w:lang w:val="en-US"/>
        </w:rPr>
      </w:pPr>
      <w:r w:rsidRPr="002066A1">
        <w:rPr>
          <w:rFonts w:ascii="Arial" w:hAnsi="Arial" w:cs="Arial"/>
          <w:color w:val="000000" w:themeColor="text1"/>
          <w:lang w:val="en-US"/>
        </w:rPr>
        <w:t xml:space="preserve">The second theme identified practical and clinical barriers that influence hand hygiene compliance in UK hospitals. Jeanes et al. (2018) found that uncertainty about when to perform hand hygiene, work pressure, urgent clinical care, environmental difficulties and sore hands affected compliance in an emergency department. Improvement was achieved through staff involvement, agreed expectations and monitoring, although compliance remained less consistent during emergencies. Kelly et al. (2021) similarly identified heavy workload, </w:t>
      </w:r>
      <w:r w:rsidR="00B51FD1">
        <w:rPr>
          <w:rFonts w:ascii="Arial" w:hAnsi="Arial" w:cs="Arial"/>
          <w:color w:val="000000" w:themeColor="text1"/>
          <w:lang w:val="en-US"/>
        </w:rPr>
        <w:t>emergencies</w:t>
      </w:r>
      <w:r w:rsidRPr="002066A1">
        <w:rPr>
          <w:rFonts w:ascii="Arial" w:hAnsi="Arial" w:cs="Arial"/>
          <w:color w:val="000000" w:themeColor="text1"/>
          <w:lang w:val="en-US"/>
        </w:rPr>
        <w:t xml:space="preserve"> and poor placement of alcohol hand-rub dispensers as barriers. Together, these findings suggest that compliance is strongly influenced by the clinical environment and workload, particularly when healthcare workers must prioritise immediate patient care.</w:t>
      </w:r>
    </w:p>
    <w:p w:rsidRPr="002066A1" w:rsidR="0057059A" w:rsidP="0057059A" w:rsidRDefault="0057059A" w14:paraId="71D4895B" w14:textId="77777777">
      <w:pPr>
        <w:rPr>
          <w:rFonts w:ascii="Arial" w:hAnsi="Arial" w:cs="Arial"/>
          <w:color w:val="000000" w:themeColor="text1"/>
          <w:lang w:val="en-US"/>
        </w:rPr>
      </w:pPr>
      <w:r w:rsidRPr="002066A1">
        <w:rPr>
          <w:rFonts w:ascii="Arial" w:hAnsi="Arial" w:cs="Arial"/>
          <w:color w:val="000000" w:themeColor="text1"/>
          <w:lang w:val="en-US"/>
        </w:rPr>
        <w:t>Staff perceptions and acceptance of monitoring also influenced compliance. Cawthorne and Cooke (2020) found that 58% of healthcare workers did not strongly support direct observation, although participants were generally open to innovative monitoring technologies. This suggests that monitoring may become less effective when staff perceive observation as intrusive or judgemental. Kelly et al. (2021) further reported mixed opinions about electronic feedback, with some staff viewing monitoring as increasing accountability while others paid limited attention to automated results. Therefore, technological monitoring alone may not change behaviour unless healthcare workers understand its purpose and receive meaningful feedback that relates to clinical practice.</w:t>
      </w:r>
    </w:p>
    <w:p w:rsidRPr="002066A1" w:rsidR="004764CC" w:rsidP="004764CC" w:rsidRDefault="0057059A" w14:paraId="3370CAA2" w14:textId="7ABBF522">
      <w:pPr>
        <w:rPr>
          <w:rFonts w:ascii="Arial" w:hAnsi="Arial" w:cs="Arial"/>
          <w:color w:val="000000" w:themeColor="text1"/>
          <w:lang w:val="en-US"/>
        </w:rPr>
      </w:pPr>
      <w:r w:rsidRPr="002066A1">
        <w:rPr>
          <w:rFonts w:ascii="Arial" w:hAnsi="Arial" w:cs="Arial"/>
          <w:color w:val="000000" w:themeColor="text1"/>
          <w:lang w:val="en-US"/>
        </w:rPr>
        <w:t>Overall, the evidence indicates that barriers include workload, emergencies, uncertainty, poor accessibility and concerns about monitoring, whereas facilitators include staff involvement, clear expectations, accessible facilities and supportive feedback. The findings from Jeanes et al. (2018), Cawthorne and Cooke (2020) and Kelly et al. (2021) suggest that sustainable improvement requires both organisational and behavioural strategies. Hospitals should therefore ensure convenient hand hygiene facilities, involve staff in developing interventions and use monitoring approaches that encourage rather than discourage engagement. Addressing these factors may improve compliance while making infection-prevention practices more practical within routine clinical care.</w:t>
      </w:r>
    </w:p>
    <w:p w:rsidRPr="002066A1" w:rsidR="0057059A" w:rsidP="002066A1" w:rsidRDefault="0057059A" w14:paraId="7185FA1F" w14:textId="77777777">
      <w:pPr>
        <w:pStyle w:val="Heading2"/>
        <w:rPr>
          <w:lang w:val="en-US"/>
        </w:rPr>
      </w:pPr>
      <w:bookmarkStart w:name="_Toc240696193" w:id="49"/>
      <w:r w:rsidRPr="002066A1">
        <w:rPr>
          <w:lang w:val="en-US"/>
        </w:rPr>
        <w:t>Theme 3: Effectiveness of Hand Hygiene Interventions and Monitoring</w:t>
      </w:r>
      <w:bookmarkEnd w:id="49"/>
    </w:p>
    <w:p w:rsidRPr="002066A1" w:rsidR="0057059A" w:rsidP="0057059A" w:rsidRDefault="0057059A" w14:paraId="3BD972BE" w14:textId="43D1927B">
      <w:pPr>
        <w:rPr>
          <w:rFonts w:ascii="Arial" w:hAnsi="Arial" w:cs="Arial"/>
          <w:color w:val="000000" w:themeColor="text1"/>
          <w:lang w:val="en-US"/>
        </w:rPr>
      </w:pPr>
      <w:r w:rsidRPr="002066A1">
        <w:rPr>
          <w:rFonts w:ascii="Arial" w:hAnsi="Arial" w:cs="Arial"/>
          <w:color w:val="000000" w:themeColor="text1"/>
          <w:lang w:val="en-US"/>
        </w:rPr>
        <w:t xml:space="preserve">The third theme demonstrates that multifaceted interventions can improve hand hygiene compliance among healthcare workers. Behavioural and educational approaches were particularly effective when they were adapted to clinical practice. Blair et al. (2024) reported an 11% increase in overall compliance (P&lt;0.001) following a behavioural science-informed intervention across three London NHS inpatient wards, with Moment 1 increasing by 15% and Moment 5 by 11%. Similarly, Mandal et al. (2025) found that correct performance of the six-step Ayliffe technique increased from 43% to 97% following an instructional video and </w:t>
      </w:r>
      <w:r w:rsidR="00B51FD1">
        <w:rPr>
          <w:rFonts w:ascii="Arial" w:hAnsi="Arial" w:cs="Arial"/>
          <w:color w:val="000000" w:themeColor="text1"/>
          <w:lang w:val="en-US"/>
        </w:rPr>
        <w:t xml:space="preserve">an </w:t>
      </w:r>
      <w:r w:rsidRPr="002066A1">
        <w:rPr>
          <w:rFonts w:ascii="Arial" w:hAnsi="Arial" w:cs="Arial"/>
          <w:color w:val="000000" w:themeColor="text1"/>
          <w:lang w:val="en-US"/>
        </w:rPr>
        <w:t>additional seventh step. These findings suggest that interventions addressing both behaviour and practical technique can produce measurable improvements. However, Blair et al. (2024) was limited by its small number of wards and short follow-up, while Mandal et al. (2025) provides limited evidence regarding longer-term retention of improved technique.</w:t>
      </w:r>
    </w:p>
    <w:p w:rsidRPr="002066A1" w:rsidR="0057059A" w:rsidP="0057059A" w:rsidRDefault="0057059A" w14:paraId="2013CA0D" w14:textId="77777777">
      <w:pPr>
        <w:rPr>
          <w:rFonts w:ascii="Arial" w:hAnsi="Arial" w:cs="Arial"/>
          <w:color w:val="000000" w:themeColor="text1"/>
          <w:lang w:val="en-US"/>
        </w:rPr>
      </w:pPr>
      <w:r w:rsidRPr="002066A1">
        <w:rPr>
          <w:rFonts w:ascii="Arial" w:hAnsi="Arial" w:cs="Arial"/>
          <w:color w:val="000000" w:themeColor="text1"/>
          <w:lang w:val="en-US"/>
        </w:rPr>
        <w:t>The evidence also indicates that continuous monitoring and feedback can strengthen the effects of education. Mohammadi-Zaniani and Wales (2020) implemented education alongside auditing, feedback, reminders and PDSA cycles, resulting in compliance reaching 74–93% during the month following intervention and 50–100% during the final two months. This suggests that repeated reinforcement may be more effective than one-off educational training because healthcare workers receive ongoing reminders about expected practice. Batalla et al. (2026) similarly found significantly higher compliance in critical-care areas using hand-hygiene champions compared with control areas, with compliance increasing significantly over time. The use of peer champions may strengthen accountability and encourage shared responsibility for infection prevention. However, differences in intervention components, clinical settings and outcome measurement make direct comparison between studies difficult.</w:t>
      </w:r>
    </w:p>
    <w:p w:rsidRPr="002066A1" w:rsidR="0057059A" w:rsidP="0057059A" w:rsidRDefault="0057059A" w14:paraId="323B2532" w14:textId="26D4899A">
      <w:pPr>
        <w:rPr>
          <w:rFonts w:ascii="Arial" w:hAnsi="Arial" w:cs="Arial"/>
          <w:color w:val="000000" w:themeColor="text1"/>
          <w:lang w:val="en-US"/>
        </w:rPr>
      </w:pPr>
      <w:r w:rsidRPr="002066A1">
        <w:rPr>
          <w:rFonts w:ascii="Arial" w:hAnsi="Arial" w:cs="Arial"/>
          <w:color w:val="000000" w:themeColor="text1"/>
          <w:lang w:val="en-US"/>
        </w:rPr>
        <w:t xml:space="preserve">Overall, the findings indicate that successful hand hygiene improvement requires a combination of education, behavioural support, monitoring and staff engagement rather than reliance on a single intervention. The positive results reported by Blair et al. (2024), Mandal et al. (2025), Mohammadi-Zaniani and Wales (2020) and Batalla et al. (2026) provide consistent evidence that compliance can be improved through structured interventions. Nevertheless, the evidence remains limited because most studies assessed hand hygiene behaviour rather than subsequent HCAI incidence. Improvements in compliance therefore cannot automatically be interpreted as reductions in infection rates. In addition, variation in follow-up periods makes it difficult to determine whether </w:t>
      </w:r>
      <w:r w:rsidRPr="002066A1" w:rsidR="00BA2396">
        <w:rPr>
          <w:rFonts w:ascii="Arial" w:hAnsi="Arial" w:cs="Arial"/>
          <w:color w:val="000000" w:themeColor="text1"/>
          <w:lang w:val="en-US"/>
        </w:rPr>
        <w:t>the improvements observed</w:t>
      </w:r>
      <w:r w:rsidRPr="002066A1">
        <w:rPr>
          <w:rFonts w:ascii="Arial" w:hAnsi="Arial" w:cs="Arial"/>
          <w:color w:val="000000" w:themeColor="text1"/>
          <w:lang w:val="en-US"/>
        </w:rPr>
        <w:t xml:space="preserve"> can be sustained. Future UK research should evaluate longer-term interventions and link objective compliance measurements with HCAI outcomes to establish whether improved hand hygiene produces measurable patient-safety benefits.</w:t>
      </w:r>
    </w:p>
    <w:p w:rsidRPr="002066A1" w:rsidR="004764CC" w:rsidP="002066A1" w:rsidRDefault="004764CC" w14:paraId="31146999" w14:textId="77777777">
      <w:pPr>
        <w:pStyle w:val="Heading2"/>
        <w:rPr>
          <w:lang w:val="en-US"/>
        </w:rPr>
      </w:pPr>
      <w:bookmarkStart w:name="_Toc240696194" w:id="50"/>
      <w:r w:rsidRPr="002066A1">
        <w:rPr>
          <w:lang w:val="en-US"/>
        </w:rPr>
        <w:t>Theme 4: Hand Hygiene, HCAI Prevention and Patient Safety</w:t>
      </w:r>
      <w:bookmarkEnd w:id="50"/>
    </w:p>
    <w:p w:rsidRPr="002066A1" w:rsidR="004764CC" w:rsidP="004764CC" w:rsidRDefault="004764CC" w14:paraId="6D1E487C" w14:textId="77777777">
      <w:pPr>
        <w:rPr>
          <w:rFonts w:ascii="Arial" w:hAnsi="Arial" w:cs="Arial"/>
          <w:color w:val="000000" w:themeColor="text1"/>
          <w:lang w:val="en-US"/>
        </w:rPr>
      </w:pPr>
      <w:r w:rsidRPr="002066A1">
        <w:rPr>
          <w:rFonts w:ascii="Arial" w:hAnsi="Arial" w:cs="Arial"/>
          <w:color w:val="000000" w:themeColor="text1"/>
          <w:lang w:val="en-US"/>
        </w:rPr>
        <w:t>The fourth theme examined the implications of hand hygiene compliance for healthcare-associated infection (HCAI) prevention and patient safety. Guest et al. (2019) provided important evidence through decision-analysis modelling of electronic audit and feedback for hand hygiene. The study estimated that a 5–25% reduction in HCAIs could potentially prevent approximately 184–921 infections and 6–31 deaths per general hospital annually. It also estimated that up to 7,794 hospital bed days could be released, while HCAI-related costs could decrease by approximately 3–23%. The findings suggest that improving hand hygiene monitoring may provide substantial clinical and economic benefits. However, the study was based on modelling rather than direct measurement of infection outcomes. Therefore, the estimated reductions should be interpreted cautiously because they depend on assumptions rather than observed changes in HCAI rates.</w:t>
      </w:r>
    </w:p>
    <w:p w:rsidR="004764CC" w:rsidP="004764CC" w:rsidRDefault="004764CC" w14:paraId="2B3AD579" w14:textId="29A1E608">
      <w:pPr>
        <w:rPr>
          <w:rFonts w:ascii="Arial" w:hAnsi="Arial" w:cs="Arial"/>
          <w:color w:val="000000" w:themeColor="text1"/>
          <w:lang w:val="en-US"/>
        </w:rPr>
      </w:pPr>
      <w:r w:rsidRPr="002066A1">
        <w:rPr>
          <w:rFonts w:ascii="Arial" w:hAnsi="Arial" w:cs="Arial"/>
          <w:color w:val="000000" w:themeColor="text1"/>
          <w:lang w:val="en-US"/>
        </w:rPr>
        <w:t>Gould et al. (2020) examined electronic monitoring as an alternative to direct observation and found 84% concordance between the two methods across 294 observed hand hygiene events. Manual compliance increased from 24% to 76% across five observation sessions, whereas electronic monitoring remained relatively stable when observers were absent, demonstrating a potential Hawthorne effect. This suggests that electronic monitoring may provide a more reliable assessment of routine compliance and support infection-control decision-making. Together, the findings indicate that effective monitoring and improved hand hygiene have important implications for patient safety and HCAI prevention. However, neither study directly established a causal relationship between improved compliance and reduced HCAI incidence. Future UK research should therefore combine objective hand hygiene</w:t>
      </w:r>
      <w:r w:rsidRPr="004764CC">
        <w:rPr>
          <w:rFonts w:ascii="Arial" w:hAnsi="Arial" w:cs="Arial"/>
          <w:color w:val="000000" w:themeColor="text1"/>
          <w:lang w:val="en-US"/>
        </w:rPr>
        <w:t xml:space="preserve"> monitoring with HCAI surveillance to determine whether improvements in compliance produce measurable reductions in infections and strengthen evidence for NHS infection-prevention strategies.</w:t>
      </w:r>
    </w:p>
    <w:p w:rsidRPr="002066A1" w:rsidR="002066A1" w:rsidP="002066A1" w:rsidRDefault="002066A1" w14:paraId="14EA098E" w14:textId="577442B2">
      <w:pPr>
        <w:pStyle w:val="Heading1"/>
        <w:jc w:val="both"/>
        <w:rPr>
          <w:lang w:val="en-US"/>
        </w:rPr>
      </w:pPr>
      <w:bookmarkStart w:name="_Toc240696195" w:id="51"/>
      <w:r w:rsidRPr="002066A1">
        <w:rPr>
          <w:lang w:val="en-US"/>
        </w:rPr>
        <w:t>4.</w:t>
      </w:r>
      <w:r w:rsidR="00A93DF9">
        <w:rPr>
          <w:lang w:val="en-US"/>
        </w:rPr>
        <w:t>4</w:t>
      </w:r>
      <w:r w:rsidRPr="002066A1">
        <w:rPr>
          <w:lang w:val="en-US"/>
        </w:rPr>
        <w:t xml:space="preserve"> Homogeneity and Heterogeneity Between Studies</w:t>
      </w:r>
      <w:bookmarkEnd w:id="51"/>
    </w:p>
    <w:p w:rsidRPr="002066A1" w:rsidR="002066A1" w:rsidP="002066A1" w:rsidRDefault="002066A1" w14:paraId="717D53D7" w14:textId="77777777">
      <w:pPr>
        <w:rPr>
          <w:rFonts w:ascii="Arial" w:hAnsi="Arial" w:cs="Arial"/>
          <w:b/>
          <w:bCs/>
          <w:color w:val="000000" w:themeColor="text1"/>
          <w:lang w:val="en-US"/>
        </w:rPr>
      </w:pPr>
      <w:r w:rsidRPr="002066A1">
        <w:rPr>
          <w:rFonts w:ascii="Arial" w:hAnsi="Arial" w:cs="Arial"/>
          <w:b/>
          <w:bCs/>
          <w:color w:val="000000" w:themeColor="text1"/>
          <w:lang w:val="en-US"/>
        </w:rPr>
        <w:t>Homogeneity</w:t>
      </w:r>
    </w:p>
    <w:p w:rsidRPr="002066A1" w:rsidR="002066A1" w:rsidP="002066A1" w:rsidRDefault="002066A1" w14:paraId="70065557" w14:textId="77777777">
      <w:pPr>
        <w:rPr>
          <w:rFonts w:ascii="Arial" w:hAnsi="Arial" w:cs="Arial"/>
          <w:color w:val="000000" w:themeColor="text1"/>
          <w:lang w:val="en-US"/>
        </w:rPr>
      </w:pPr>
      <w:r w:rsidRPr="002066A1">
        <w:rPr>
          <w:rFonts w:ascii="Arial" w:hAnsi="Arial" w:cs="Arial"/>
          <w:color w:val="000000" w:themeColor="text1"/>
          <w:lang w:val="en-US"/>
        </w:rPr>
        <w:t>The included studies demonstrated some homogeneity because they focused on hand hygiene compliance among healthcare workers within UK hospital settings. Most examined factors affecting compliance, barriers, interventions, monitoring or infection prevention. Similar outcomes, particularly hand hygiene adherence, were assessed across studies. The shared UK healthcare context also provided consistency in understanding organisational and clinical influences on compliance, supporting thematic comparison of findings.</w:t>
      </w:r>
    </w:p>
    <w:p w:rsidRPr="002066A1" w:rsidR="002066A1" w:rsidP="002066A1" w:rsidRDefault="002066A1" w14:paraId="3E04DCB9" w14:textId="77777777">
      <w:pPr>
        <w:rPr>
          <w:rFonts w:ascii="Arial" w:hAnsi="Arial" w:cs="Arial"/>
          <w:b/>
          <w:bCs/>
          <w:color w:val="000000" w:themeColor="text1"/>
          <w:lang w:val="en-US"/>
        </w:rPr>
      </w:pPr>
      <w:r w:rsidRPr="002066A1">
        <w:rPr>
          <w:rFonts w:ascii="Arial" w:hAnsi="Arial" w:cs="Arial"/>
          <w:b/>
          <w:bCs/>
          <w:color w:val="000000" w:themeColor="text1"/>
          <w:lang w:val="en-US"/>
        </w:rPr>
        <w:t>Heterogeneity</w:t>
      </w:r>
    </w:p>
    <w:p w:rsidRPr="002066A1" w:rsidR="002066A1" w:rsidP="002066A1" w:rsidRDefault="002066A1" w14:paraId="5B947142" w14:textId="77777777">
      <w:pPr>
        <w:rPr>
          <w:rFonts w:ascii="Arial" w:hAnsi="Arial" w:cs="Arial"/>
          <w:color w:val="000000" w:themeColor="text1"/>
          <w:lang w:val="en-US"/>
        </w:rPr>
      </w:pPr>
      <w:r w:rsidRPr="002066A1">
        <w:rPr>
          <w:rFonts w:ascii="Arial" w:hAnsi="Arial" w:cs="Arial"/>
          <w:color w:val="000000" w:themeColor="text1"/>
          <w:lang w:val="en-US"/>
        </w:rPr>
        <w:t>Considerable heterogeneity was identified in study designs, populations, settings, interventions and outcome measurements. The studies included observational, cross-sectional, qualitative, mixed-methods, quality-improvement, intervention and modelling approaches. Settings ranged from emergency departments and medical wards to surgical departments and intensive care units. Measurement methods also varied, including direct observation, electronic monitoring, surveys and ultraviolet assessment. Differences in follow-up periods and reported outcomes limited direct comparison and prevented meaningful statistical pooling of findings across the included studies.</w:t>
      </w:r>
    </w:p>
    <w:p w:rsidRPr="002066A1" w:rsidR="002066A1" w:rsidP="002066A1" w:rsidRDefault="002066A1" w14:paraId="68C9D8D3" w14:textId="162D6656">
      <w:pPr>
        <w:pStyle w:val="Heading1"/>
        <w:jc w:val="both"/>
        <w:rPr>
          <w:lang w:val="en-US"/>
        </w:rPr>
      </w:pPr>
      <w:bookmarkStart w:name="_Toc240696196" w:id="52"/>
      <w:r>
        <w:rPr>
          <w:lang w:val="en-US"/>
        </w:rPr>
        <w:t>4.</w:t>
      </w:r>
      <w:r w:rsidR="00A93DF9">
        <w:rPr>
          <w:lang w:val="en-US"/>
        </w:rPr>
        <w:t>5</w:t>
      </w:r>
      <w:r>
        <w:rPr>
          <w:lang w:val="en-US"/>
        </w:rPr>
        <w:t xml:space="preserve"> </w:t>
      </w:r>
      <w:r w:rsidRPr="002066A1">
        <w:rPr>
          <w:lang w:val="en-US"/>
        </w:rPr>
        <w:t>Summary</w:t>
      </w:r>
      <w:bookmarkEnd w:id="52"/>
    </w:p>
    <w:p w:rsidRPr="002066A1" w:rsidR="002066A1" w:rsidP="002066A1" w:rsidRDefault="002066A1" w14:paraId="22900D6A" w14:textId="77777777">
      <w:pPr>
        <w:rPr>
          <w:rFonts w:ascii="Arial" w:hAnsi="Arial" w:cs="Arial"/>
          <w:color w:val="000000" w:themeColor="text1"/>
          <w:lang w:val="en-US"/>
        </w:rPr>
      </w:pPr>
      <w:r w:rsidRPr="002066A1">
        <w:rPr>
          <w:rFonts w:ascii="Arial" w:hAnsi="Arial" w:cs="Arial"/>
          <w:color w:val="000000" w:themeColor="text1"/>
          <w:lang w:val="en-US"/>
        </w:rPr>
        <w:t>This chapter presented the findings from the 12 studies included in the systematic review. Four themes were developed: factors influencing hand hygiene compliance, barriers and facilitators, effectiveness of interventions and monitoring, and implications for HCAI prevention and patient safety. The findings showed that compliance is influenced by clinical workload, accessibility, staff wellbeing and organisational factors. Education, behavioural interventions, feedback and monitoring generally improved compliance. However, heterogeneity between studies and limited direct measurement of HCAI outcomes indicate an important evidence gap. The following chapter discusses these findings in relation to existing literature and the research objectives.</w:t>
      </w:r>
    </w:p>
    <w:p w:rsidR="003C53B6" w:rsidP="4653C3F7" w:rsidRDefault="003C53B6" w14:paraId="27854933" w14:textId="3EC611B7">
      <w:pPr>
        <w:rPr>
          <w:rFonts w:ascii="Arial" w:hAnsi="Arial" w:cs="Arial"/>
          <w:color w:val="000000" w:themeColor="text1"/>
          <w:lang w:val="en-US"/>
        </w:rPr>
      </w:pPr>
    </w:p>
    <w:p w:rsidR="003C53B6" w:rsidP="00A6289C" w:rsidRDefault="00A6289C" w14:paraId="5EA72308" w14:textId="0CD449BC">
      <w:pPr>
        <w:pStyle w:val="Heading1"/>
        <w:rPr>
          <w:lang w:val="en-US"/>
        </w:rPr>
      </w:pPr>
      <w:bookmarkStart w:name="_Toc240696197" w:id="53"/>
      <w:r>
        <w:rPr>
          <w:lang w:val="en-US"/>
        </w:rPr>
        <w:t>Chapter 5: Discussion</w:t>
      </w:r>
      <w:bookmarkEnd w:id="53"/>
    </w:p>
    <w:p w:rsidRPr="003C53B6" w:rsidR="003C53B6" w:rsidP="00A6289C" w:rsidRDefault="003C53B6" w14:paraId="086D8D49" w14:textId="77777777">
      <w:pPr>
        <w:pStyle w:val="Heading1"/>
        <w:jc w:val="both"/>
        <w:rPr>
          <w:lang w:val="en-US"/>
        </w:rPr>
      </w:pPr>
      <w:bookmarkStart w:name="_Toc240696198" w:id="54"/>
      <w:r w:rsidRPr="003C53B6">
        <w:rPr>
          <w:lang w:val="en-US"/>
        </w:rPr>
        <w:t>5.1 Introduction</w:t>
      </w:r>
      <w:bookmarkEnd w:id="54"/>
    </w:p>
    <w:p w:rsidR="003C53B6" w:rsidP="003C53B6" w:rsidRDefault="003C53B6" w14:paraId="6DD1E4B6" w14:textId="77777777">
      <w:pPr>
        <w:rPr>
          <w:rFonts w:ascii="Arial" w:hAnsi="Arial" w:cs="Arial"/>
          <w:color w:val="000000" w:themeColor="text1"/>
          <w:lang w:val="en-US"/>
        </w:rPr>
      </w:pPr>
      <w:r w:rsidRPr="003C53B6">
        <w:rPr>
          <w:rFonts w:ascii="Arial" w:hAnsi="Arial" w:cs="Arial"/>
          <w:color w:val="000000" w:themeColor="text1"/>
          <w:lang w:val="en-US"/>
        </w:rPr>
        <w:t>This chapter discusses and critically interprets the findings of the systematic review on the impact of nurses’ hand hygiene compliance on healthcare-associated infections (HCAIs) in UK hospitals. The discussion relates the findings from the 12 included studies to the research question, aim and objectives of the review. Key areas considered include factors influencing hand hygiene compliance, barriers faced by healthcare workers, monitoring approaches, and the effectiveness of interventions designed to improve compliance. The findings are compared across different study designs to identify areas of agreement and difference. The chapter also considers the implications of the evidence for clinical practice, infection prevention and patient safety.</w:t>
      </w:r>
    </w:p>
    <w:p w:rsidRPr="003C53B6" w:rsidR="003D6F4A" w:rsidP="003D6F4A" w:rsidRDefault="003D6F4A" w14:paraId="49227DB0" w14:textId="15D5CDCA">
      <w:pPr>
        <w:pStyle w:val="Heading1"/>
        <w:jc w:val="both"/>
        <w:rPr>
          <w:lang w:val="en-US"/>
        </w:rPr>
      </w:pPr>
      <w:bookmarkStart w:name="_Toc240696199" w:id="55"/>
      <w:r>
        <w:rPr>
          <w:lang w:val="en-US"/>
        </w:rPr>
        <w:t>5.2 Discussion of Result</w:t>
      </w:r>
      <w:bookmarkEnd w:id="55"/>
    </w:p>
    <w:p w:rsidRPr="00AE5573" w:rsidR="00AE5573" w:rsidP="00AE5573" w:rsidRDefault="00AE5573" w14:paraId="18DACBC6" w14:textId="77777777">
      <w:pPr>
        <w:rPr>
          <w:rFonts w:ascii="Arial" w:hAnsi="Arial" w:cs="Arial"/>
          <w:b/>
          <w:bCs/>
          <w:color w:val="000000" w:themeColor="text1"/>
          <w:lang w:val="en-US"/>
        </w:rPr>
      </w:pPr>
      <w:r w:rsidRPr="00AE5573">
        <w:rPr>
          <w:rFonts w:ascii="Arial" w:hAnsi="Arial" w:cs="Arial"/>
          <w:b/>
          <w:bCs/>
          <w:color w:val="000000" w:themeColor="text1"/>
          <w:lang w:val="en-US"/>
        </w:rPr>
        <w:t>Theme 1: Factors Influencing Hand Hygiene Compliance</w:t>
      </w:r>
    </w:p>
    <w:p w:rsidRPr="00AE5573" w:rsidR="00AE5573" w:rsidP="00AE5573" w:rsidRDefault="00AE5573" w14:paraId="1CC81FD5" w14:textId="77777777">
      <w:pPr>
        <w:rPr>
          <w:rFonts w:ascii="Arial" w:hAnsi="Arial" w:cs="Arial"/>
          <w:color w:val="000000" w:themeColor="text1"/>
          <w:lang w:val="en-US"/>
        </w:rPr>
      </w:pPr>
      <w:r w:rsidRPr="00AE5573">
        <w:rPr>
          <w:rFonts w:ascii="Arial" w:hAnsi="Arial" w:cs="Arial"/>
          <w:color w:val="000000" w:themeColor="text1"/>
          <w:lang w:val="en-US"/>
        </w:rPr>
        <w:t>The findings of this review indicate that hand hygiene compliance is influenced by the clinical context in which healthcare workers provide care. King et al. (2016) found significant variation according to care type and the number of surface contacts, while Kaye and Marais (2025) identified workload and lack of time as major barriers. These findings are consistent with Srigley et al. (2015), who described hand hygiene as a complex behaviour influenced by psychological and environmental factors rather than knowledge alone. However, Srigley et al. focused more strongly on behavioural theories, whereas the present findings demonstrate how practical clinical pressures can directly affect compliance.</w:t>
      </w:r>
    </w:p>
    <w:p w:rsidRPr="00AE5573" w:rsidR="00AE5573" w:rsidP="00AE5573" w:rsidRDefault="00AE5573" w14:paraId="4479EAFF" w14:textId="77777777">
      <w:pPr>
        <w:rPr>
          <w:rFonts w:ascii="Arial" w:hAnsi="Arial" w:cs="Arial"/>
          <w:color w:val="000000" w:themeColor="text1"/>
          <w:lang w:val="en-US"/>
        </w:rPr>
      </w:pPr>
      <w:r w:rsidRPr="00AE5573">
        <w:rPr>
          <w:rFonts w:ascii="Arial" w:hAnsi="Arial" w:cs="Arial"/>
          <w:color w:val="000000" w:themeColor="text1"/>
          <w:lang w:val="en-US"/>
        </w:rPr>
        <w:t>The importance of organisational and behavioural factors is further supported by Fuller et al. (2012), whose large cluster randomised trial across 16 English and Welsh hospitals showed that feedback and personalised action planning significantly improved compliance. Their intervention produced a 7–9% absolute improvement in intensive therapy units and larger increases among wards implementing the intervention as planned. This supports the present finding that compliance cannot be improved through education alone. In contrast, King et al. (2016) showed that compliance was affected by the pattern of clinical activity, suggesting that interventions should be adapted to different care situations. Therefore, behavioural strategies and organisational support should work together.</w:t>
      </w:r>
    </w:p>
    <w:p w:rsidRPr="00AE5573" w:rsidR="00AE5573" w:rsidP="00AE5573" w:rsidRDefault="00AE5573" w14:paraId="14391075" w14:textId="77777777">
      <w:pPr>
        <w:rPr>
          <w:rFonts w:ascii="Arial" w:hAnsi="Arial" w:cs="Arial"/>
          <w:color w:val="000000" w:themeColor="text1"/>
          <w:lang w:val="en-US"/>
        </w:rPr>
      </w:pPr>
      <w:r w:rsidRPr="00AE5573">
        <w:rPr>
          <w:rFonts w:ascii="Arial" w:hAnsi="Arial" w:cs="Arial"/>
          <w:color w:val="000000" w:themeColor="text1"/>
          <w:lang w:val="en-US"/>
        </w:rPr>
        <w:t>Physical wellbeing adds another important dimension. Burns et al. (2021) identified substantial skin damage among NHS staff undertaking frequent handwashing, which may create an additional barrier to sustained compliance. This complements Kaye and Marais (2025), where time and accessibility were important barriers, but extends the discussion by showing that staff wellbeing can also influence practice. Overall, the evidence suggests that sustainable compliance requires behavioural support, practical resources, feedback, adequate time and protection of staff skin health.</w:t>
      </w:r>
    </w:p>
    <w:p w:rsidRPr="000F0265" w:rsidR="000F0265" w:rsidP="000F0265" w:rsidRDefault="000F0265" w14:paraId="479FB863" w14:textId="77777777">
      <w:pPr>
        <w:rPr>
          <w:rFonts w:ascii="Arial" w:hAnsi="Arial" w:cs="Arial"/>
          <w:b/>
          <w:bCs/>
          <w:color w:val="000000" w:themeColor="text1"/>
          <w:lang w:val="en-US"/>
        </w:rPr>
      </w:pPr>
      <w:r w:rsidRPr="000F0265">
        <w:rPr>
          <w:rFonts w:ascii="Arial" w:hAnsi="Arial" w:cs="Arial"/>
          <w:b/>
          <w:bCs/>
          <w:color w:val="000000" w:themeColor="text1"/>
          <w:lang w:val="en-US"/>
        </w:rPr>
        <w:t>Theme 2: Barriers and Facilitators to Hand Hygiene Compliance</w:t>
      </w:r>
    </w:p>
    <w:p w:rsidRPr="000F0265" w:rsidR="000F0265" w:rsidP="000F0265" w:rsidRDefault="000F0265" w14:paraId="55718EFF" w14:textId="77777777">
      <w:pPr>
        <w:rPr>
          <w:rFonts w:ascii="Arial" w:hAnsi="Arial" w:cs="Arial"/>
          <w:color w:val="000000" w:themeColor="text1"/>
          <w:lang w:val="en-US"/>
        </w:rPr>
      </w:pPr>
      <w:r w:rsidRPr="000F0265">
        <w:rPr>
          <w:rFonts w:ascii="Arial" w:hAnsi="Arial" w:cs="Arial"/>
          <w:color w:val="000000" w:themeColor="text1"/>
          <w:lang w:val="en-US"/>
        </w:rPr>
        <w:t>The findings of this review show that practical pressures, workload and the clinical environment can make consistent hand hygiene difficult. Jeanes et al. (2018) identified work pressure, emergencies, uncertainty and sore hands, while Kelly et al. (2021) similarly reported workload, emergencies and poor dispenser placement. These findings closely agree with Winship and McClunie-Trust (2016), who identified time constraints and busyness as major barriers among qualified nurses. Issac et al. (2026) further supports this interpretation by identifying workload, time pressure, competing priorities and environmental factors as important barriers. However, Issac et al. provide a broader explanation by showing that professional identity, social norms and risk perceptions also influence compliance.</w:t>
      </w:r>
    </w:p>
    <w:p w:rsidRPr="000F0265" w:rsidR="000F0265" w:rsidP="000F0265" w:rsidRDefault="000F0265" w14:paraId="0087AF19" w14:textId="77777777">
      <w:pPr>
        <w:rPr>
          <w:rFonts w:ascii="Arial" w:hAnsi="Arial" w:cs="Arial"/>
          <w:color w:val="000000" w:themeColor="text1"/>
          <w:lang w:val="en-US"/>
        </w:rPr>
      </w:pPr>
      <w:r w:rsidRPr="000F0265">
        <w:rPr>
          <w:rFonts w:ascii="Arial" w:hAnsi="Arial" w:cs="Arial"/>
          <w:color w:val="000000" w:themeColor="text1"/>
          <w:lang w:val="en-US"/>
        </w:rPr>
        <w:t>The role of staff involvement and social influence is also evident across the evidence. Jeanes et al. (2018) showed that involving staff in identifying barriers and establishing clear expectations supported improvement, while Cawthorne and Cooke (2020) found concerns about direct observation. This is consistent with Winship and McClunie-Trust (2016), who identified awareness of being watched and social pressure as factors affecting nurses’ behaviour. Alzyood et al. (2018) adds another perspective by showing that patients were generally willing to remind healthcare professionals about hand hygiene, although staff responses varied according to how reminders were communicated. Therefore, supportive relationships and positive communication may be more effective than approaches perceived as judgemental.</w:t>
      </w:r>
    </w:p>
    <w:p w:rsidRPr="000F0265" w:rsidR="000F0265" w:rsidP="000F0265" w:rsidRDefault="000F0265" w14:paraId="7054F91E" w14:textId="7ACDEFFD">
      <w:pPr>
        <w:rPr>
          <w:rFonts w:ascii="Arial" w:hAnsi="Arial" w:cs="Arial"/>
          <w:color w:val="000000" w:themeColor="text1"/>
          <w:lang w:val="en-US"/>
        </w:rPr>
      </w:pPr>
      <w:r w:rsidRPr="000F0265">
        <w:rPr>
          <w:rFonts w:ascii="Arial" w:hAnsi="Arial" w:cs="Arial"/>
          <w:color w:val="000000" w:themeColor="text1"/>
          <w:lang w:val="en-US"/>
        </w:rPr>
        <w:t xml:space="preserve">Overall, the evidence suggests that barriers and facilitators operate at several levels rather than being caused by individual knowledge alone. Issac et al. (2026) specifically </w:t>
      </w:r>
      <w:r w:rsidR="00AA0674">
        <w:rPr>
          <w:rFonts w:ascii="Arial" w:hAnsi="Arial" w:cs="Arial"/>
          <w:color w:val="000000" w:themeColor="text1"/>
          <w:lang w:val="en-US"/>
        </w:rPr>
        <w:t>demonstrate</w:t>
      </w:r>
      <w:r w:rsidRPr="000F0265">
        <w:rPr>
          <w:rFonts w:ascii="Arial" w:hAnsi="Arial" w:cs="Arial"/>
          <w:color w:val="000000" w:themeColor="text1"/>
          <w:lang w:val="en-US"/>
        </w:rPr>
        <w:t xml:space="preserve"> this through the Social Ecological Model, linking individual, interpersonal and environmental influences. This complements the present findings on workload, accessibility and monitoring. However, the mixed responses to electronic feedback reported by Kelly et al. (2021) and concerns about observation identified by Cawthorne and Cooke (2020) indicate that monitoring must be supportive. Sustainable improvement therefore requires accessible facilities, staff involvement, positive role modelling, clear communication and meaningful feedback, while also recognising patients as potential partners in promoting safer hand hygiene practice.</w:t>
      </w:r>
    </w:p>
    <w:p w:rsidRPr="00EA3140" w:rsidR="00EA3140" w:rsidP="00EA3140" w:rsidRDefault="00EA3140" w14:paraId="19414DF4" w14:textId="7DB45324">
      <w:pPr>
        <w:rPr>
          <w:rFonts w:ascii="Arial" w:hAnsi="Arial" w:cs="Arial"/>
          <w:b/>
          <w:bCs/>
          <w:color w:val="000000" w:themeColor="text1"/>
          <w:lang w:val="en-US"/>
        </w:rPr>
      </w:pPr>
      <w:r>
        <w:rPr>
          <w:rFonts w:ascii="Arial" w:hAnsi="Arial" w:cs="Arial"/>
          <w:b/>
          <w:bCs/>
          <w:color w:val="000000" w:themeColor="text1"/>
          <w:lang w:val="en-US"/>
        </w:rPr>
        <w:t>T</w:t>
      </w:r>
      <w:r w:rsidRPr="00EA3140">
        <w:rPr>
          <w:rFonts w:ascii="Arial" w:hAnsi="Arial" w:cs="Arial"/>
          <w:b/>
          <w:bCs/>
          <w:color w:val="000000" w:themeColor="text1"/>
          <w:lang w:val="en-US"/>
        </w:rPr>
        <w:t>heme 3: Effectiveness of Hand Hygiene Interventions and Monitoring</w:t>
      </w:r>
    </w:p>
    <w:p w:rsidRPr="00EA3140" w:rsidR="00EA3140" w:rsidP="00EA3140" w:rsidRDefault="00EA3140" w14:paraId="795837B8" w14:textId="77777777">
      <w:pPr>
        <w:rPr>
          <w:rFonts w:ascii="Arial" w:hAnsi="Arial" w:cs="Arial"/>
          <w:color w:val="000000" w:themeColor="text1"/>
          <w:lang w:val="en-US"/>
        </w:rPr>
      </w:pPr>
      <w:r w:rsidRPr="00EA3140">
        <w:rPr>
          <w:rFonts w:ascii="Arial" w:hAnsi="Arial" w:cs="Arial"/>
          <w:color w:val="000000" w:themeColor="text1"/>
          <w:lang w:val="en-US"/>
        </w:rPr>
        <w:t>The findings of this review demonstrate that structured and multifaceted interventions can improve hand hygiene compliance. Blair et al. (2024) and Mandal et al. (2025) showed improvements through behavioural support and practical education, while Mohammadi-Zaniani and Wales (2020) and Batalla et al. (2026) demonstrated the value of repeated monitoring, feedback and peer support. These findings are consistent with Lotfinejad et al. (2021), who argued that effective hand hygiene improvement requires system change, education, monitoring, feedback, workplace reminders and a positive safety climate. However, the present review shows that interventions may need to be adapted to specific clinical environments rather than applied as a single standard approach.</w:t>
      </w:r>
    </w:p>
    <w:p w:rsidRPr="00EA3140" w:rsidR="00EA3140" w:rsidP="00EA3140" w:rsidRDefault="00EA3140" w14:paraId="485E82E2" w14:textId="77777777">
      <w:pPr>
        <w:rPr>
          <w:rFonts w:ascii="Arial" w:hAnsi="Arial" w:cs="Arial"/>
          <w:color w:val="000000" w:themeColor="text1"/>
          <w:lang w:val="en-US"/>
        </w:rPr>
      </w:pPr>
      <w:r w:rsidRPr="00EA3140">
        <w:rPr>
          <w:rFonts w:ascii="Arial" w:hAnsi="Arial" w:cs="Arial"/>
          <w:color w:val="000000" w:themeColor="text1"/>
          <w:lang w:val="en-US"/>
        </w:rPr>
        <w:t>The findings also support Luangasanatip et al. (2015), whose systematic review and network meta-analysis found that the WHO multimodal strategy improved compliance and that additional goal setting, rewards and accountability could produce further improvements. This complements the present findings from Batalla et al. (2026), where hand-hygiene champions strengthened peer accountability, and Mohammadi-Zaniani and Wales (2020), where repeated audit and feedback supported improvement. Similarly, Laskar et al. (2018) reported a substantial increase in complete compliance following a multidimensional intervention, particularly among nurses. However, unlike Laskar et al., which measured several thousand opportunities, some UK studies in the present review had smaller samples or shorter follow-up, limiting confidence in long-term effectiveness.</w:t>
      </w:r>
    </w:p>
    <w:p w:rsidRPr="00EA3140" w:rsidR="00EA3140" w:rsidP="00EA3140" w:rsidRDefault="00EA3140" w14:paraId="6CCFE773" w14:textId="77777777">
      <w:pPr>
        <w:rPr>
          <w:rFonts w:ascii="Arial" w:hAnsi="Arial" w:cs="Arial"/>
          <w:color w:val="000000" w:themeColor="text1"/>
          <w:lang w:val="en-US"/>
        </w:rPr>
      </w:pPr>
      <w:r w:rsidRPr="00EA3140">
        <w:rPr>
          <w:rFonts w:ascii="Arial" w:hAnsi="Arial" w:cs="Arial"/>
          <w:color w:val="000000" w:themeColor="text1"/>
          <w:lang w:val="en-US"/>
        </w:rPr>
        <w:t>Importantly, the evidence suggests that improved compliance does not automatically confirm reduced HCAIs. Luangasanatip et al. (2015) found evidence of clinically important reductions in some infection outcomes, although results were not consistent across all pathogens. Lotfinejad et al. (2021) similarly linked improved hand hygiene with reduced HCAIs and cross-transmission, but emphasised the importance of organisational and sociocultural adaptation. Therefore, the present findings provide stronger evidence for improving hand hygiene behaviour than for directly reducing HCAIs. Longer-term UK studies should combine objective compliance monitoring with infection outcomes to establish whether improvements in practice lead to sustained patient-safety benefits.</w:t>
      </w:r>
    </w:p>
    <w:p w:rsidRPr="008D347C" w:rsidR="008D347C" w:rsidP="008D347C" w:rsidRDefault="008D347C" w14:paraId="67FDE3D9" w14:textId="77777777">
      <w:pPr>
        <w:rPr>
          <w:rFonts w:ascii="Arial" w:hAnsi="Arial" w:cs="Arial"/>
          <w:b/>
          <w:bCs/>
          <w:color w:val="000000" w:themeColor="text1"/>
          <w:lang w:val="en-US"/>
        </w:rPr>
      </w:pPr>
      <w:r w:rsidRPr="008D347C">
        <w:rPr>
          <w:rFonts w:ascii="Arial" w:hAnsi="Arial" w:cs="Arial"/>
          <w:b/>
          <w:bCs/>
          <w:color w:val="000000" w:themeColor="text1"/>
          <w:lang w:val="en-US"/>
        </w:rPr>
        <w:t>Theme 4: Hand Hygiene, HCAI Prevention and Patient Safety</w:t>
      </w:r>
    </w:p>
    <w:p w:rsidRPr="008D347C" w:rsidR="008D347C" w:rsidP="008D347C" w:rsidRDefault="008D347C" w14:paraId="121AE556" w14:textId="77777777">
      <w:pPr>
        <w:rPr>
          <w:rFonts w:ascii="Arial" w:hAnsi="Arial" w:cs="Arial"/>
          <w:color w:val="000000" w:themeColor="text1"/>
          <w:lang w:val="en-US"/>
        </w:rPr>
      </w:pPr>
      <w:r w:rsidRPr="008D347C">
        <w:rPr>
          <w:rFonts w:ascii="Arial" w:hAnsi="Arial" w:cs="Arial"/>
          <w:color w:val="000000" w:themeColor="text1"/>
          <w:lang w:val="en-US"/>
        </w:rPr>
        <w:t>The findings indicate that hand hygiene has an important role in preventing HCAIs and protecting patient safety, although the strength of this relationship depends on the quality of evidence. Guest et al. (2019) estimated substantial reductions in infections, deaths, bed days and costs when hand hygiene compliance improves, but these were modelled rather than directly observed outcomes. This supports Haque et al. (2020), who identified hand hygiene as a primary strategy for preventing transmission of microorganisms and multidrug-resistant organisms. However, Haque et al. considered hand hygiene as part of a wider infection-prevention bundle, whereas Guest et al. focused specifically on electronic audit and feedback.</w:t>
      </w:r>
    </w:p>
    <w:p w:rsidRPr="008D347C" w:rsidR="008D347C" w:rsidP="008D347C" w:rsidRDefault="008D347C" w14:paraId="2CDCBE21" w14:textId="77777777">
      <w:pPr>
        <w:rPr>
          <w:rFonts w:ascii="Arial" w:hAnsi="Arial" w:cs="Arial"/>
          <w:color w:val="000000" w:themeColor="text1"/>
          <w:lang w:val="en-US"/>
        </w:rPr>
      </w:pPr>
      <w:r w:rsidRPr="008D347C">
        <w:rPr>
          <w:rFonts w:ascii="Arial" w:hAnsi="Arial" w:cs="Arial"/>
          <w:color w:val="000000" w:themeColor="text1"/>
          <w:lang w:val="en-US"/>
        </w:rPr>
        <w:t>Mouajou et al. (2022) provide stronger comparative evidence that higher hand hygiene compliance is generally associated with lower HAI incidence. Their review found that most studies reported compliance around 60–70% and suggested that HAI incidence was lower at approximately 60% compliance. However, they also highlighted that causality could not be established because many studies were not originally designed to examine this relationship. This is consistent with the present findings from Gould et al. (2020), where electronic monitoring provided more stable measurement than direct observation because manual observation appeared to produce a Hawthorne effect. Therefore, reliable monitoring may be necessary to understand the true relationship between compliance and HCAIs.</w:t>
      </w:r>
    </w:p>
    <w:p w:rsidRPr="008D347C" w:rsidR="008D347C" w:rsidP="008D347C" w:rsidRDefault="008D347C" w14:paraId="2B76C012" w14:textId="77777777">
      <w:pPr>
        <w:rPr>
          <w:rFonts w:ascii="Arial" w:hAnsi="Arial" w:cs="Arial"/>
          <w:color w:val="000000" w:themeColor="text1"/>
          <w:lang w:val="en-US"/>
        </w:rPr>
      </w:pPr>
      <w:r w:rsidRPr="008D347C">
        <w:rPr>
          <w:rFonts w:ascii="Arial" w:hAnsi="Arial" w:cs="Arial"/>
          <w:color w:val="000000" w:themeColor="text1"/>
          <w:lang w:val="en-US"/>
        </w:rPr>
        <w:t>Ghafouri et al. (2026) further demonstrate the complexity of improving patient safety. Their combined intervention involving hand hygiene, antibiotic stewardship and infection surveillance improved hand hygiene compliance, while infection and mortality rates decreased but not significantly. This contrasts with the stronger potential benefits estimated by Guest et al. (2019) and illustrates that better compliance does not necessarily produce an immediate measurable reduction in HCAIs. Overall, the evidence supports hand hygiene as an essential component of infection prevention, but HCAI outcomes are influenced by multiple factors. Future UK research should therefore combine objective compliance monitoring, HCAI surveillance and other infection-control measures to establish clearer causal relationships.</w:t>
      </w:r>
    </w:p>
    <w:p w:rsidRPr="004B537B" w:rsidR="004B537B" w:rsidP="003D6F4A" w:rsidRDefault="003D6F4A" w14:paraId="782B8C48" w14:textId="79E88BFF">
      <w:pPr>
        <w:pStyle w:val="Heading1"/>
        <w:jc w:val="both"/>
        <w:rPr>
          <w:lang w:val="en-US"/>
        </w:rPr>
      </w:pPr>
      <w:bookmarkStart w:name="_Toc240696200" w:id="56"/>
      <w:r>
        <w:rPr>
          <w:lang w:val="en-US"/>
        </w:rPr>
        <w:t xml:space="preserve">5.3 </w:t>
      </w:r>
      <w:r w:rsidRPr="004B537B" w:rsidR="004B537B">
        <w:rPr>
          <w:lang w:val="en-US"/>
        </w:rPr>
        <w:t>Implications and Future Research Needs</w:t>
      </w:r>
      <w:bookmarkEnd w:id="56"/>
    </w:p>
    <w:p w:rsidRPr="004B537B" w:rsidR="004B537B" w:rsidP="004B537B" w:rsidRDefault="004B537B" w14:paraId="39B19DF8" w14:textId="77777777">
      <w:pPr>
        <w:rPr>
          <w:rFonts w:ascii="Arial" w:hAnsi="Arial" w:cs="Arial"/>
          <w:color w:val="000000" w:themeColor="text1"/>
          <w:lang w:val="en-US"/>
        </w:rPr>
      </w:pPr>
      <w:r w:rsidRPr="004B537B">
        <w:rPr>
          <w:rFonts w:ascii="Arial" w:hAnsi="Arial" w:cs="Arial"/>
          <w:color w:val="000000" w:themeColor="text1"/>
          <w:lang w:val="en-US"/>
        </w:rPr>
        <w:t>The findings have important implications for infection prevention and clinical practice in UK hospitals. Hand hygiene compliance should be supported through a combination of staff education, behavioural interventions, regular monitoring, feedback and accessible hand hygiene facilities. Hospitals should also address practical barriers such as workload, emergencies, dispenser placement and skin problems. Staff involvement and hand-hygiene champions may improve engagement and accountability, while electronic monitoring could provide more reliable assessment than direct observation. Future interventions should therefore be adapted to different clinical settings and should focus on long-term improvement rather than short-term increases in compliance.</w:t>
      </w:r>
    </w:p>
    <w:p w:rsidRPr="004B537B" w:rsidR="004B537B" w:rsidP="004B537B" w:rsidRDefault="004B537B" w14:paraId="6E060331" w14:textId="77777777">
      <w:pPr>
        <w:rPr>
          <w:rFonts w:ascii="Arial" w:hAnsi="Arial" w:cs="Arial"/>
          <w:color w:val="000000" w:themeColor="text1"/>
          <w:lang w:val="en-US"/>
        </w:rPr>
      </w:pPr>
      <w:r w:rsidRPr="004B537B">
        <w:rPr>
          <w:rFonts w:ascii="Arial" w:hAnsi="Arial" w:cs="Arial"/>
          <w:color w:val="000000" w:themeColor="text1"/>
          <w:lang w:val="en-US"/>
        </w:rPr>
        <w:t>Future research should use larger, multi-centre UK studies with longer follow-up periods to determine whether improvements in hand hygiene are sustained. Research should also directly examine the relationship between objective hand hygiene compliance and HCAI incidence, rather than measuring compliance alone. Standardised outcome measures would make findings easier to compare across hospitals. Further research should investigate the effectiveness and acceptability of electronic monitoring, behavioural interventions, patient involvement and peer-led approaches. High-quality controlled studies are particularly needed to establish whether increased compliance produces measurable reductions in HCAIs, mortality, hospital stay and healthcare costs.</w:t>
      </w:r>
    </w:p>
    <w:p w:rsidR="003C53B6" w:rsidP="003D6F4A" w:rsidRDefault="003D6F4A" w14:paraId="1E314911" w14:textId="5191029B">
      <w:pPr>
        <w:pStyle w:val="Heading1"/>
        <w:jc w:val="both"/>
        <w:rPr>
          <w:lang w:val="en-US"/>
        </w:rPr>
      </w:pPr>
      <w:bookmarkStart w:name="_Toc240696201" w:id="57"/>
      <w:r>
        <w:rPr>
          <w:lang w:val="en-US"/>
        </w:rPr>
        <w:t xml:space="preserve">5.4 </w:t>
      </w:r>
      <w:r w:rsidR="00775610">
        <w:rPr>
          <w:lang w:val="en-US"/>
        </w:rPr>
        <w:t>Strength of study</w:t>
      </w:r>
      <w:bookmarkEnd w:id="57"/>
    </w:p>
    <w:p w:rsidRPr="00775610" w:rsidR="00775610" w:rsidP="00775610" w:rsidRDefault="00775610" w14:paraId="5E79E22B" w14:textId="77777777">
      <w:pPr>
        <w:rPr>
          <w:rFonts w:ascii="Arial" w:hAnsi="Arial" w:cs="Arial"/>
          <w:color w:val="000000" w:themeColor="text1"/>
          <w:lang w:val="en-US"/>
        </w:rPr>
      </w:pPr>
      <w:r w:rsidRPr="00775610">
        <w:rPr>
          <w:rFonts w:ascii="Arial" w:hAnsi="Arial" w:cs="Arial"/>
          <w:color w:val="000000" w:themeColor="text1"/>
          <w:lang w:val="en-US"/>
        </w:rPr>
        <w:t>This systematic review has several strengths. It used a structured search strategy across PubMed, Scopus and Google Scholar to identify relevant UK evidence published between 2016 and 2026. Clear inclusion and exclusion criteria were applied, and the selected studies covered different clinical settings and approaches to hand hygiene compliance. This provided a broad understanding of factors influencing compliance and interventions used to improve practice.</w:t>
      </w:r>
    </w:p>
    <w:p w:rsidRPr="00775610" w:rsidR="00775610" w:rsidP="00775610" w:rsidRDefault="00775610" w14:paraId="04E68469" w14:textId="77777777">
      <w:pPr>
        <w:rPr>
          <w:rFonts w:ascii="Arial" w:hAnsi="Arial" w:cs="Arial"/>
          <w:color w:val="000000" w:themeColor="text1"/>
          <w:lang w:val="en-US"/>
        </w:rPr>
      </w:pPr>
      <w:r w:rsidRPr="00775610">
        <w:rPr>
          <w:rFonts w:ascii="Arial" w:hAnsi="Arial" w:cs="Arial"/>
          <w:color w:val="000000" w:themeColor="text1"/>
          <w:lang w:val="en-US"/>
        </w:rPr>
        <w:t>Another strength was the use of critical appraisal to consider the methodological quality of the included studies. The review included observational, intervention, monitoring and qualitative evidence, allowing comparison of different perspectives. The findings were organised into clear themes, including influencing factors, barriers and facilitators, intervention effectiveness, and implications for HCAI prevention and patient safety.</w:t>
      </w:r>
    </w:p>
    <w:p w:rsidR="00775610" w:rsidP="003D6F4A" w:rsidRDefault="003D6F4A" w14:paraId="46FB3095" w14:textId="0DFC7361">
      <w:pPr>
        <w:pStyle w:val="Heading1"/>
        <w:jc w:val="both"/>
        <w:rPr>
          <w:lang w:val="en-US"/>
        </w:rPr>
      </w:pPr>
      <w:bookmarkStart w:name="_Toc240696202" w:id="58"/>
      <w:r>
        <w:rPr>
          <w:lang w:val="en-US"/>
        </w:rPr>
        <w:t xml:space="preserve">5.5 </w:t>
      </w:r>
      <w:r w:rsidR="00775610">
        <w:rPr>
          <w:lang w:val="en-US"/>
        </w:rPr>
        <w:t>Limitations or Bias of research</w:t>
      </w:r>
      <w:bookmarkEnd w:id="58"/>
    </w:p>
    <w:p w:rsidRPr="00775610" w:rsidR="00775610" w:rsidP="00775610" w:rsidRDefault="00775610" w14:paraId="42B9CD77" w14:textId="77777777">
      <w:pPr>
        <w:rPr>
          <w:rFonts w:ascii="Arial" w:hAnsi="Arial" w:cs="Arial"/>
          <w:color w:val="000000" w:themeColor="text1"/>
          <w:lang w:val="en-US"/>
        </w:rPr>
      </w:pPr>
      <w:r w:rsidRPr="00775610">
        <w:rPr>
          <w:rFonts w:ascii="Arial" w:hAnsi="Arial" w:cs="Arial"/>
          <w:color w:val="000000" w:themeColor="text1"/>
          <w:lang w:val="en-US"/>
        </w:rPr>
        <w:t>This review has some limitations that may influence the findings. Only PubMed, Scopus and Google Scholar were searched, so relevant studies indexed in other databases may have been missed. The review was also restricted to English-language, peer-reviewed studies, which may have introduced language and publication bias. Differences in study designs, sample sizes, settings and outcome measures made direct comparison between studies difficult.</w:t>
      </w:r>
    </w:p>
    <w:p w:rsidRPr="00775610" w:rsidR="00775610" w:rsidP="00775610" w:rsidRDefault="00775610" w14:paraId="6D0C218C" w14:textId="77777777">
      <w:pPr>
        <w:rPr>
          <w:rFonts w:ascii="Arial" w:hAnsi="Arial" w:cs="Arial"/>
          <w:color w:val="000000" w:themeColor="text1"/>
          <w:lang w:val="en-US"/>
        </w:rPr>
      </w:pPr>
      <w:r w:rsidRPr="00775610">
        <w:rPr>
          <w:rFonts w:ascii="Arial" w:hAnsi="Arial" w:cs="Arial"/>
          <w:color w:val="000000" w:themeColor="text1"/>
          <w:lang w:val="en-US"/>
        </w:rPr>
        <w:t>Several included studies were conducted in single hospitals or small numbers of wards and had short follow-up periods, limiting generalisability and assessment of long-term effects. Some studies relied on self-reported information, while direct observation may have caused a Hawthorne effect. Importantly, most studies measured hand hygiene compliance rather than HCAI outcomes, limiting conclusions about causality between improved compliance and reduced infections.</w:t>
      </w:r>
    </w:p>
    <w:p w:rsidRPr="009A0698" w:rsidR="009A0698" w:rsidP="00A6289C" w:rsidRDefault="00A6289C" w14:paraId="73389781" w14:textId="0FB48D52">
      <w:pPr>
        <w:pStyle w:val="Heading1"/>
        <w:jc w:val="both"/>
        <w:rPr>
          <w:lang w:val="en-US"/>
        </w:rPr>
      </w:pPr>
      <w:bookmarkStart w:name="_Toc240696203" w:id="59"/>
      <w:r>
        <w:rPr>
          <w:lang w:val="en-US"/>
        </w:rPr>
        <w:t xml:space="preserve">5.6 </w:t>
      </w:r>
      <w:r w:rsidRPr="009A0698" w:rsidR="009A0698">
        <w:rPr>
          <w:lang w:val="en-US"/>
        </w:rPr>
        <w:t>Conclusion</w:t>
      </w:r>
      <w:bookmarkEnd w:id="59"/>
    </w:p>
    <w:p w:rsidRPr="009A0698" w:rsidR="009A0698" w:rsidP="009A0698" w:rsidRDefault="009A0698" w14:paraId="5D191CBC" w14:textId="77777777">
      <w:pPr>
        <w:rPr>
          <w:rFonts w:ascii="Arial" w:hAnsi="Arial" w:cs="Arial"/>
          <w:color w:val="000000" w:themeColor="text1"/>
          <w:lang w:val="en-US"/>
        </w:rPr>
      </w:pPr>
      <w:r w:rsidRPr="009A0698">
        <w:rPr>
          <w:rFonts w:ascii="Arial" w:hAnsi="Arial" w:cs="Arial"/>
          <w:color w:val="000000" w:themeColor="text1"/>
          <w:lang w:val="en-US"/>
        </w:rPr>
        <w:t>This systematic review concludes that hand hygiene compliance among nurses and other healthcare workers has an important role in preventing healthcare-associated infections (HCAIs) and supporting patient safety in UK hospitals. The evidence from the 12 included studies showed that compliance is influenced by clinical activity, workload, time pressure, accessibility of facilities, staff wellbeing and organisational conditions. Although the evidence does not establish a direct causal relationship between improved hand hygiene compliance and reduced HCAI incidence in all settings, the overall findings support hand hygiene as an essential component of infection prevention. Therefore, consistent compliance can contribute to safer patient care when supported by appropriate organisational and behavioural measures.</w:t>
      </w:r>
    </w:p>
    <w:p w:rsidRPr="009A0698" w:rsidR="009A0698" w:rsidP="009A0698" w:rsidRDefault="009A0698" w14:paraId="27702F4A" w14:textId="77777777">
      <w:pPr>
        <w:rPr>
          <w:rFonts w:ascii="Arial" w:hAnsi="Arial" w:cs="Arial"/>
          <w:color w:val="000000" w:themeColor="text1"/>
          <w:lang w:val="en-US"/>
        </w:rPr>
      </w:pPr>
      <w:r w:rsidRPr="009A0698">
        <w:rPr>
          <w:rFonts w:ascii="Arial" w:hAnsi="Arial" w:cs="Arial"/>
          <w:color w:val="000000" w:themeColor="text1"/>
          <w:lang w:val="en-US"/>
        </w:rPr>
        <w:t>The review also demonstrated that barriers to compliance are not limited to individual knowledge or motivation. Emergencies, competing clinical priorities, uncertainty about appropriate hand hygiene moments, poor dispenser placement, skin problems and concerns about monitoring can reduce compliance. In contrast, staff involvement, clear expectations, accessible facilities, positive feedback, patient-safety awareness and peer support can facilitate better practice. The effectiveness of interventions was generally greater when education was combined with behavioural support, monitoring, feedback, reminders and staff engagement. This suggests that hospitals should adopt multifaceted approaches rather than relying on education alone to improve hand hygiene observance among nurses and other healthcare workers.</w:t>
      </w:r>
    </w:p>
    <w:p w:rsidRPr="009A0698" w:rsidR="009A0698" w:rsidP="009A0698" w:rsidRDefault="009A0698" w14:paraId="15D2FF4E" w14:textId="77777777">
      <w:pPr>
        <w:rPr>
          <w:rFonts w:ascii="Arial" w:hAnsi="Arial" w:cs="Arial"/>
          <w:color w:val="000000" w:themeColor="text1"/>
          <w:lang w:val="en-US"/>
        </w:rPr>
      </w:pPr>
      <w:r w:rsidRPr="009A0698">
        <w:rPr>
          <w:rFonts w:ascii="Arial" w:hAnsi="Arial" w:cs="Arial"/>
          <w:color w:val="000000" w:themeColor="text1"/>
          <w:lang w:val="en-US"/>
        </w:rPr>
        <w:t>In relation to the research objectives, the review identified important HCAI prevention concerns and examined the factors affecting hand hygiene compliance, while also evaluating interventions and monitoring approaches used to improve practice. Behavioural interventions, instructional approaches, auditing, electronic monitoring, feedback and hand-hygiene champions were associated with improvements in compliance. However, most included studies measured hand hygiene behaviour rather than directly measuring subsequent HCAI outcomes. The review therefore answered the research question to a useful extent by demonstrating a consistent relationship between hand hygiene practice and infection-prevention processes, but the evidence was insufficient to quantify the exact effect of compliance on HCAI incidence in UK hospitals.</w:t>
      </w:r>
    </w:p>
    <w:p w:rsidRPr="009A0698" w:rsidR="009A0698" w:rsidP="009A0698" w:rsidRDefault="009A0698" w14:paraId="5A990982" w14:textId="77777777">
      <w:pPr>
        <w:rPr>
          <w:rFonts w:ascii="Arial" w:hAnsi="Arial" w:cs="Arial"/>
          <w:color w:val="000000" w:themeColor="text1"/>
          <w:lang w:val="en-US"/>
        </w:rPr>
      </w:pPr>
      <w:r w:rsidRPr="009A0698">
        <w:rPr>
          <w:rFonts w:ascii="Arial" w:hAnsi="Arial" w:cs="Arial"/>
          <w:color w:val="000000" w:themeColor="text1"/>
          <w:lang w:val="en-US"/>
        </w:rPr>
        <w:t>Overall, the systematic review highlights the need for sustainable, evidence-based hand hygiene strategies within UK hospitals. Future practice should focus on accessible facilities, adequate training, supportive monitoring, regular feedback, staff engagement and protection of healthcare workers' skin health. Future research should use larger UK multi-centre studies, longer follow-up periods and objective compliance measures alongside HCAI surveillance. Such research would help establish whether sustained improvements in hand hygiene compliance lead to measurable reductions in HCAIs, mortality, hospital stays and healthcare costs. The review also raises the need to understand how different clinical environments influence the sustainability of compliance. Thus, while hand hygiene remains a fundamental patient-safety measure, its greatest benefit is likely to be achieved when individual behaviour is supported by effective organisational systems and a strong culture of infection prevention.</w:t>
      </w:r>
    </w:p>
    <w:p w:rsidR="00775610" w:rsidP="004764CC" w:rsidRDefault="00775610" w14:paraId="657663BE" w14:textId="77777777">
      <w:pPr>
        <w:rPr>
          <w:rFonts w:ascii="Arial" w:hAnsi="Arial" w:cs="Arial"/>
          <w:color w:val="000000" w:themeColor="text1"/>
          <w:lang w:val="en-US"/>
        </w:rPr>
      </w:pPr>
    </w:p>
    <w:p w:rsidR="00AA0674" w:rsidP="004764CC" w:rsidRDefault="00AA0674" w14:paraId="30647A50" w14:textId="77777777">
      <w:pPr>
        <w:rPr>
          <w:rFonts w:ascii="Arial" w:hAnsi="Arial" w:cs="Arial"/>
          <w:color w:val="000000" w:themeColor="text1"/>
          <w:lang w:val="en-US"/>
        </w:rPr>
      </w:pPr>
    </w:p>
    <w:p w:rsidR="003D6F4A" w:rsidP="004764CC" w:rsidRDefault="003D6F4A" w14:paraId="36E471E6" w14:textId="77777777">
      <w:pPr>
        <w:rPr>
          <w:rFonts w:ascii="Arial" w:hAnsi="Arial" w:cs="Arial"/>
          <w:color w:val="000000" w:themeColor="text1"/>
          <w:lang w:val="en-US"/>
        </w:rPr>
      </w:pPr>
    </w:p>
    <w:p w:rsidR="003D6F4A" w:rsidP="004764CC" w:rsidRDefault="003D6F4A" w14:paraId="0DAF61D0" w14:textId="77777777">
      <w:pPr>
        <w:rPr>
          <w:rFonts w:ascii="Arial" w:hAnsi="Arial" w:cs="Arial"/>
          <w:color w:val="000000" w:themeColor="text1"/>
          <w:lang w:val="en-US"/>
        </w:rPr>
      </w:pPr>
    </w:p>
    <w:p w:rsidR="003D6F4A" w:rsidP="004764CC" w:rsidRDefault="003D6F4A" w14:paraId="13FE4D9A" w14:textId="77777777">
      <w:pPr>
        <w:rPr>
          <w:rFonts w:ascii="Arial" w:hAnsi="Arial" w:cs="Arial"/>
          <w:color w:val="000000" w:themeColor="text1"/>
          <w:lang w:val="en-US"/>
        </w:rPr>
      </w:pPr>
    </w:p>
    <w:p w:rsidR="003D6F4A" w:rsidP="004764CC" w:rsidRDefault="003D6F4A" w14:paraId="2E2C1E40" w14:textId="77777777">
      <w:pPr>
        <w:rPr>
          <w:rFonts w:ascii="Arial" w:hAnsi="Arial" w:cs="Arial"/>
          <w:color w:val="000000" w:themeColor="text1"/>
          <w:lang w:val="en-US"/>
        </w:rPr>
      </w:pPr>
    </w:p>
    <w:p w:rsidR="005E163D" w:rsidP="004764CC" w:rsidRDefault="005E163D" w14:paraId="77BEF07A" w14:textId="77777777">
      <w:pPr>
        <w:rPr>
          <w:rFonts w:ascii="Arial" w:hAnsi="Arial" w:cs="Arial"/>
          <w:color w:val="000000" w:themeColor="text1"/>
          <w:lang w:val="en-US"/>
        </w:rPr>
      </w:pPr>
    </w:p>
    <w:p w:rsidR="005E163D" w:rsidP="004764CC" w:rsidRDefault="005E163D" w14:paraId="223ACD31" w14:textId="77777777">
      <w:pPr>
        <w:rPr>
          <w:rFonts w:ascii="Arial" w:hAnsi="Arial" w:cs="Arial"/>
          <w:color w:val="000000" w:themeColor="text1"/>
          <w:lang w:val="en-US"/>
        </w:rPr>
      </w:pPr>
    </w:p>
    <w:p w:rsidR="005E163D" w:rsidP="004764CC" w:rsidRDefault="005E163D" w14:paraId="2848E0AC" w14:textId="77777777">
      <w:pPr>
        <w:rPr>
          <w:rFonts w:ascii="Arial" w:hAnsi="Arial" w:cs="Arial"/>
          <w:color w:val="000000" w:themeColor="text1"/>
          <w:lang w:val="en-US"/>
        </w:rPr>
      </w:pPr>
    </w:p>
    <w:p w:rsidR="005E163D" w:rsidP="004764CC" w:rsidRDefault="005E163D" w14:paraId="40A796C6" w14:textId="77777777">
      <w:pPr>
        <w:rPr>
          <w:rFonts w:ascii="Arial" w:hAnsi="Arial" w:cs="Arial"/>
          <w:color w:val="000000" w:themeColor="text1"/>
          <w:lang w:val="en-US"/>
        </w:rPr>
      </w:pPr>
    </w:p>
    <w:p w:rsidR="005E163D" w:rsidP="004764CC" w:rsidRDefault="005E163D" w14:paraId="32EC5460" w14:textId="77777777">
      <w:pPr>
        <w:rPr>
          <w:rFonts w:ascii="Arial" w:hAnsi="Arial" w:cs="Arial"/>
          <w:color w:val="000000" w:themeColor="text1"/>
          <w:lang w:val="en-US"/>
        </w:rPr>
      </w:pPr>
    </w:p>
    <w:p w:rsidR="005E163D" w:rsidP="004764CC" w:rsidRDefault="005E163D" w14:paraId="1DB29EBF" w14:textId="77777777">
      <w:pPr>
        <w:rPr>
          <w:rFonts w:ascii="Arial" w:hAnsi="Arial" w:cs="Arial"/>
          <w:color w:val="000000" w:themeColor="text1"/>
          <w:lang w:val="en-US"/>
        </w:rPr>
      </w:pPr>
    </w:p>
    <w:p w:rsidR="005E163D" w:rsidP="004764CC" w:rsidRDefault="005E163D" w14:paraId="2D970414" w14:textId="77777777">
      <w:pPr>
        <w:rPr>
          <w:rFonts w:ascii="Arial" w:hAnsi="Arial" w:cs="Arial"/>
          <w:color w:val="000000" w:themeColor="text1"/>
          <w:lang w:val="en-US"/>
        </w:rPr>
      </w:pPr>
    </w:p>
    <w:p w:rsidR="005E163D" w:rsidP="004764CC" w:rsidRDefault="005E163D" w14:paraId="0E35E601" w14:textId="77777777">
      <w:pPr>
        <w:rPr>
          <w:rFonts w:ascii="Arial" w:hAnsi="Arial" w:cs="Arial"/>
          <w:color w:val="000000" w:themeColor="text1"/>
          <w:lang w:val="en-US"/>
        </w:rPr>
      </w:pPr>
    </w:p>
    <w:p w:rsidR="005E163D" w:rsidP="004764CC" w:rsidRDefault="005E163D" w14:paraId="637B3CCB" w14:textId="77777777">
      <w:pPr>
        <w:rPr>
          <w:rFonts w:ascii="Arial" w:hAnsi="Arial" w:cs="Arial"/>
          <w:color w:val="000000" w:themeColor="text1"/>
          <w:lang w:val="en-US"/>
        </w:rPr>
      </w:pPr>
    </w:p>
    <w:p w:rsidRPr="004764CC" w:rsidR="00F74F31" w:rsidP="004764CC" w:rsidRDefault="00F74F31" w14:paraId="1285CACF" w14:textId="77777777">
      <w:pPr>
        <w:rPr>
          <w:rFonts w:ascii="Arial" w:hAnsi="Arial" w:cs="Arial"/>
          <w:color w:val="000000" w:themeColor="text1"/>
          <w:lang w:val="en-US"/>
        </w:rPr>
      </w:pPr>
    </w:p>
    <w:p w:rsidRPr="00B031A0" w:rsidR="00C77BF3" w:rsidRDefault="00115699" w14:paraId="4C1BCA1D" w14:textId="77777777">
      <w:pPr>
        <w:pStyle w:val="Heading1"/>
        <w:rPr>
          <w:color w:val="000000" w:themeColor="text1"/>
        </w:rPr>
      </w:pPr>
      <w:bookmarkStart w:name="_Toc240696204" w:id="60"/>
      <w:r w:rsidRPr="00B031A0">
        <w:rPr>
          <w:color w:val="000000" w:themeColor="text1"/>
        </w:rPr>
        <w:t>References</w:t>
      </w:r>
      <w:bookmarkEnd w:id="60"/>
    </w:p>
    <w:p w:rsidRPr="00B031A0" w:rsidR="00776C49" w:rsidP="00D44D36" w:rsidRDefault="00776C49" w14:paraId="5DD1FE38" w14:textId="42B30485">
      <w:pPr>
        <w:spacing w:before="240" w:after="240"/>
        <w:rPr>
          <w:rFonts w:ascii="Arial" w:hAnsi="Arial" w:cs="Arial"/>
          <w:color w:val="000000" w:themeColor="text1"/>
        </w:rPr>
      </w:pPr>
      <w:r w:rsidRPr="00B031A0">
        <w:rPr>
          <w:rFonts w:ascii="Arial" w:hAnsi="Arial" w:cs="Arial"/>
          <w:color w:val="000000" w:themeColor="text1"/>
        </w:rPr>
        <w:t xml:space="preserve">Aalalhareth, M. and Abdullah, M. (2024). </w:t>
      </w:r>
      <w:r w:rsidR="00B51FD1">
        <w:rPr>
          <w:rFonts w:ascii="Arial" w:hAnsi="Arial" w:cs="Arial"/>
          <w:color w:val="000000" w:themeColor="text1"/>
        </w:rPr>
        <w:t>Optimising</w:t>
      </w:r>
      <w:r w:rsidRPr="00B031A0">
        <w:rPr>
          <w:rFonts w:ascii="Arial" w:hAnsi="Arial" w:cs="Arial"/>
          <w:color w:val="000000" w:themeColor="text1"/>
        </w:rPr>
        <w:t xml:space="preserve"> infection control through interprofessional collaboration: An integrative review of roles, responsibilities, and evidence across all healthcare departments. </w:t>
      </w:r>
      <w:r w:rsidRPr="00B031A0">
        <w:rPr>
          <w:rFonts w:ascii="Arial" w:hAnsi="Arial" w:cs="Arial"/>
          <w:i/>
          <w:iCs/>
          <w:color w:val="000000" w:themeColor="text1"/>
        </w:rPr>
        <w:t xml:space="preserve">The Review of Diabetic Studies </w:t>
      </w:r>
      <w:r w:rsidRPr="00B031A0">
        <w:rPr>
          <w:rFonts w:ascii="Arial" w:hAnsi="Arial" w:cs="Arial"/>
          <w:color w:val="000000" w:themeColor="text1"/>
        </w:rPr>
        <w:t>, [online] pp.153–165. doi:10.70082/7e330c13.</w:t>
      </w:r>
    </w:p>
    <w:p w:rsidRPr="00B031A0" w:rsidR="00776C49" w:rsidP="00776C49" w:rsidRDefault="00776C49" w14:paraId="5C1292AE" w14:textId="77777777">
      <w:pPr>
        <w:spacing w:after="240"/>
        <w:rPr>
          <w:rFonts w:ascii="Arial" w:hAnsi="Arial" w:cs="Arial"/>
          <w:color w:val="000000" w:themeColor="text1"/>
        </w:rPr>
      </w:pPr>
      <w:r w:rsidRPr="00B031A0">
        <w:rPr>
          <w:rFonts w:ascii="Arial" w:hAnsi="Arial" w:cs="Arial"/>
          <w:color w:val="000000" w:themeColor="text1"/>
        </w:rPr>
        <w:t xml:space="preserve">Abban, M.K., Ayerakwa, E.A., Mosi, L. and Isawumi, A. (2023). The burden of hospital acquired infections and antimicrobial resistance. </w:t>
      </w:r>
      <w:r w:rsidRPr="00B031A0">
        <w:rPr>
          <w:rFonts w:ascii="Arial" w:hAnsi="Arial" w:cs="Arial"/>
          <w:i/>
          <w:iCs/>
          <w:color w:val="000000" w:themeColor="text1"/>
        </w:rPr>
        <w:t>Heliyon</w:t>
      </w:r>
      <w:r w:rsidRPr="00B031A0">
        <w:rPr>
          <w:rFonts w:ascii="Arial" w:hAnsi="Arial" w:cs="Arial"/>
          <w:color w:val="000000" w:themeColor="text1"/>
        </w:rPr>
        <w:t>, [online] 9(10), p.e20561. doi:10.1016/j.heliyon.2023.e20561.</w:t>
      </w:r>
    </w:p>
    <w:p w:rsidRPr="00B031A0" w:rsidR="00776C49" w:rsidP="00D44D36" w:rsidRDefault="00776C49" w14:paraId="3040828E" w14:textId="77777777">
      <w:pPr>
        <w:spacing w:before="240"/>
        <w:rPr>
          <w:rFonts w:ascii="Arial" w:hAnsi="Arial" w:cs="Arial"/>
          <w:color w:val="000000" w:themeColor="text1"/>
        </w:rPr>
      </w:pPr>
      <w:r w:rsidRPr="00B031A0">
        <w:rPr>
          <w:rFonts w:ascii="Arial" w:hAnsi="Arial" w:cs="Arial"/>
          <w:color w:val="000000" w:themeColor="text1"/>
        </w:rPr>
        <w:t xml:space="preserve">Afework, A. and Tamene, A. (2025). Uncovering the obstacles: A comprehensive analysis of barriers to hand hygiene adherence among healthcare providers: A systematic review. </w:t>
      </w:r>
      <w:r w:rsidRPr="00B031A0">
        <w:rPr>
          <w:rFonts w:ascii="Arial" w:hAnsi="Arial" w:cs="Arial"/>
          <w:i/>
          <w:iCs/>
          <w:color w:val="000000" w:themeColor="text1"/>
        </w:rPr>
        <w:t>BMC Infectious Diseases</w:t>
      </w:r>
      <w:r w:rsidRPr="00B031A0">
        <w:rPr>
          <w:rFonts w:ascii="Arial" w:hAnsi="Arial" w:cs="Arial"/>
          <w:color w:val="000000" w:themeColor="text1"/>
        </w:rPr>
        <w:t>, 25(1). doi:10.1186/s12879-025-10924-4.</w:t>
      </w:r>
    </w:p>
    <w:p w:rsidRPr="00B031A0" w:rsidR="00776C49" w:rsidP="00D44D36" w:rsidRDefault="00776C49" w14:paraId="35DD5CB3" w14:textId="77777777">
      <w:pPr>
        <w:spacing w:before="240" w:after="240"/>
        <w:rPr>
          <w:rFonts w:ascii="Arial" w:hAnsi="Arial" w:cs="Arial"/>
          <w:color w:val="000000" w:themeColor="text1"/>
        </w:rPr>
      </w:pPr>
      <w:r w:rsidRPr="00B031A0">
        <w:rPr>
          <w:rFonts w:ascii="Arial" w:hAnsi="Arial" w:cs="Arial"/>
          <w:color w:val="000000" w:themeColor="text1"/>
        </w:rPr>
        <w:t xml:space="preserve">Affengruber, L., Dobrescu, A., Persad, E., Klerings, I., Wagner, G., Sommer, I. and Gartlehner, G. (2022). Characteristics and recovery methods of studies falsely excluded during literature screening—A systematic review. </w:t>
      </w:r>
      <w:r w:rsidRPr="00B031A0">
        <w:rPr>
          <w:rFonts w:ascii="Arial" w:hAnsi="Arial" w:cs="Arial"/>
          <w:i/>
          <w:iCs/>
          <w:color w:val="000000" w:themeColor="text1"/>
        </w:rPr>
        <w:t>Systematic Reviews</w:t>
      </w:r>
      <w:r w:rsidRPr="00B031A0">
        <w:rPr>
          <w:rFonts w:ascii="Arial" w:hAnsi="Arial" w:cs="Arial"/>
          <w:color w:val="000000" w:themeColor="text1"/>
        </w:rPr>
        <w:t>, 11(1). doi:10.1186/s13643-022-02109-w.</w:t>
      </w:r>
    </w:p>
    <w:p w:rsidRPr="00B031A0" w:rsidR="00776C49" w:rsidP="00D44D36" w:rsidRDefault="00776C49" w14:paraId="083A1413" w14:textId="77777777">
      <w:pPr>
        <w:spacing w:before="240" w:after="240"/>
        <w:rPr>
          <w:rFonts w:ascii="Arial" w:hAnsi="Arial" w:cs="Arial"/>
          <w:color w:val="000000" w:themeColor="text1"/>
        </w:rPr>
      </w:pPr>
      <w:r w:rsidRPr="00B031A0">
        <w:rPr>
          <w:rFonts w:ascii="Arial" w:hAnsi="Arial" w:cs="Arial"/>
          <w:color w:val="000000" w:themeColor="text1"/>
        </w:rPr>
        <w:t xml:space="preserve">Ahmadipour, M., Dehghan, M., Ahmadinejad, M., Jabarpour, M., Mangolian Shahrbabaki, P. and Ebrahimi Rigi, Z. (2022). Barriers to hand hygiene compliance in intensive care units during the COVID-19 pandemic: A qualitative study. </w:t>
      </w:r>
      <w:r w:rsidRPr="00B031A0">
        <w:rPr>
          <w:rFonts w:ascii="Arial" w:hAnsi="Arial" w:cs="Arial"/>
          <w:i/>
          <w:iCs/>
          <w:color w:val="000000" w:themeColor="text1"/>
        </w:rPr>
        <w:t>Frontiers in Public Health</w:t>
      </w:r>
      <w:r w:rsidRPr="00B031A0">
        <w:rPr>
          <w:rFonts w:ascii="Arial" w:hAnsi="Arial" w:cs="Arial"/>
          <w:color w:val="000000" w:themeColor="text1"/>
        </w:rPr>
        <w:t>, [online] 10(10). doi:10.3389/fpubh.2022.968231.</w:t>
      </w:r>
    </w:p>
    <w:p w:rsidRPr="00B031A0" w:rsidR="00776C49" w:rsidP="00D44D36" w:rsidRDefault="00776C49" w14:paraId="01D5802E" w14:textId="77777777">
      <w:pPr>
        <w:spacing w:before="240"/>
        <w:rPr>
          <w:rFonts w:ascii="Arial" w:hAnsi="Arial" w:cs="Arial"/>
          <w:color w:val="000000" w:themeColor="text1"/>
        </w:rPr>
      </w:pPr>
      <w:r w:rsidRPr="00B031A0">
        <w:rPr>
          <w:rFonts w:ascii="Arial" w:hAnsi="Arial" w:cs="Arial"/>
          <w:color w:val="000000" w:themeColor="text1"/>
        </w:rPr>
        <w:t xml:space="preserve">Alhumaid, S., Al Mutair, A., Al Alawi, Z., Alsuliman, M., Ahmed, G.Y., Rabaan, A.A., Al-Tawfiq, J.A. and Al-Omari, A. (2021). Knowledge of infection prevention and control among healthcare workers and factors influencing compliance: A systematic review. </w:t>
      </w:r>
      <w:r w:rsidRPr="00B031A0">
        <w:rPr>
          <w:rFonts w:ascii="Arial" w:hAnsi="Arial" w:cs="Arial"/>
          <w:i/>
          <w:iCs/>
          <w:color w:val="000000" w:themeColor="text1"/>
        </w:rPr>
        <w:t>Antimicrobial Resistance &amp; Infection Control</w:t>
      </w:r>
      <w:r w:rsidRPr="00B031A0">
        <w:rPr>
          <w:rFonts w:ascii="Arial" w:hAnsi="Arial" w:cs="Arial"/>
          <w:color w:val="000000" w:themeColor="text1"/>
        </w:rPr>
        <w:t>, [online] 10(1), p.86. doi:10.1186/s13756-021-00957-0.</w:t>
      </w:r>
    </w:p>
    <w:p w:rsidRPr="00B031A0" w:rsidR="00776C49" w:rsidP="00D44D36" w:rsidRDefault="00776C49" w14:paraId="76A31AF5" w14:textId="77777777">
      <w:pPr>
        <w:spacing w:before="240" w:after="240"/>
        <w:rPr>
          <w:rFonts w:ascii="Arial" w:hAnsi="Arial" w:cs="Arial"/>
          <w:color w:val="000000" w:themeColor="text1"/>
        </w:rPr>
      </w:pPr>
      <w:r w:rsidRPr="00B031A0">
        <w:rPr>
          <w:rFonts w:ascii="Arial" w:hAnsi="Arial" w:cs="Arial"/>
          <w:color w:val="000000" w:themeColor="text1"/>
        </w:rPr>
        <w:t xml:space="preserve">Ali Mohammad Alfaisal, Amal Shamat Fayyadh Alanazi, Dalal Suwailem Aqeel Alanazi, Mona Aldafi Hayawan Alanezi, Alrumaili, Afrah Ismail M, Abdulelah Aljadai Alanazi, Mushyirah Mater Munahi Alanazi, Amal Bshit S Alenezi, Ahlam Musafiq J Alruwaili, Hussain Hasen H Alnemari and Albandari Faleh Alenzi (2024). Nursing decision-making under time pressure. </w:t>
      </w:r>
      <w:r w:rsidRPr="00B031A0">
        <w:rPr>
          <w:rFonts w:ascii="Arial" w:hAnsi="Arial" w:cs="Arial"/>
          <w:i/>
          <w:iCs/>
          <w:color w:val="000000" w:themeColor="text1"/>
        </w:rPr>
        <w:t>International Journal of Computational and Experimental Science and Engineering</w:t>
      </w:r>
      <w:r w:rsidRPr="00B031A0">
        <w:rPr>
          <w:rFonts w:ascii="Arial" w:hAnsi="Arial" w:cs="Arial"/>
          <w:color w:val="000000" w:themeColor="text1"/>
        </w:rPr>
        <w:t>, 10(4). doi:10.22399/ijcesen.4660.</w:t>
      </w:r>
    </w:p>
    <w:p w:rsidRPr="00B031A0" w:rsidR="00776C49" w:rsidP="00D44D36" w:rsidRDefault="00776C49" w14:paraId="6A4E1653" w14:textId="77777777">
      <w:pPr>
        <w:spacing w:before="240" w:after="172"/>
        <w:rPr>
          <w:rFonts w:ascii="Arial" w:hAnsi="Arial" w:cs="Arial"/>
          <w:color w:val="000000" w:themeColor="text1"/>
        </w:rPr>
      </w:pPr>
      <w:r w:rsidRPr="00B031A0">
        <w:rPr>
          <w:rFonts w:ascii="Arial" w:hAnsi="Arial" w:cs="Arial"/>
          <w:color w:val="000000" w:themeColor="text1"/>
        </w:rPr>
        <w:t xml:space="preserve">Ali, A.S., Mekonen, Y. and Tesfahun, T. (2023). Hygiene Behavior and COVID-19 Pandemic: Opportunities of COVID-19-Imposed Changes in Hygiene Behavior. </w:t>
      </w:r>
      <w:r w:rsidRPr="00B031A0">
        <w:rPr>
          <w:rFonts w:ascii="Arial" w:hAnsi="Arial" w:cs="Arial"/>
          <w:i/>
          <w:iCs/>
          <w:color w:val="000000" w:themeColor="text1"/>
        </w:rPr>
        <w:t>INQUIRY: The Journal of Health Care Organization, Provision, and Financing</w:t>
      </w:r>
      <w:r w:rsidRPr="00B031A0">
        <w:rPr>
          <w:rFonts w:ascii="Arial" w:hAnsi="Arial" w:cs="Arial"/>
          <w:color w:val="000000" w:themeColor="text1"/>
        </w:rPr>
        <w:t>, [online] 60(1). doi:</w:t>
      </w:r>
      <w:hyperlink r:id="rId13">
        <w:r w:rsidRPr="00B031A0">
          <w:rPr>
            <w:rFonts w:ascii="Arial" w:hAnsi="Arial" w:cs="Arial"/>
            <w:color w:val="000000" w:themeColor="text1"/>
            <w:u w:val="single"/>
          </w:rPr>
          <w:t>https://doi.org/10.1177/00469580231218421</w:t>
        </w:r>
      </w:hyperlink>
      <w:r w:rsidRPr="00B031A0">
        <w:rPr>
          <w:rFonts w:ascii="Arial" w:hAnsi="Arial" w:cs="Arial"/>
          <w:color w:val="000000" w:themeColor="text1"/>
        </w:rPr>
        <w:t>.  </w:t>
      </w:r>
    </w:p>
    <w:p w:rsidR="000F4FAF" w:rsidP="000F4FAF" w:rsidRDefault="000F4FAF" w14:paraId="2EFCC126" w14:textId="2DE308CC">
      <w:pPr>
        <w:rPr>
          <w:rFonts w:ascii="Arial" w:hAnsi="Arial" w:cs="Arial"/>
          <w:color w:val="000000" w:themeColor="text1"/>
        </w:rPr>
      </w:pPr>
      <w:r w:rsidRPr="000F0265">
        <w:rPr>
          <w:rFonts w:ascii="Arial" w:hAnsi="Arial" w:cs="Arial"/>
          <w:color w:val="000000" w:themeColor="text1"/>
        </w:rPr>
        <w:t xml:space="preserve">Alzyood, M., Jackson, D., Brooke, J. and Aveyard, H., </w:t>
      </w:r>
      <w:r w:rsidR="009900B9">
        <w:rPr>
          <w:rFonts w:ascii="Arial" w:hAnsi="Arial" w:cs="Arial"/>
          <w:color w:val="000000" w:themeColor="text1"/>
        </w:rPr>
        <w:t>(</w:t>
      </w:r>
      <w:r w:rsidRPr="000F0265">
        <w:rPr>
          <w:rFonts w:ascii="Arial" w:hAnsi="Arial" w:cs="Arial"/>
          <w:color w:val="000000" w:themeColor="text1"/>
        </w:rPr>
        <w:t>2018</w:t>
      </w:r>
      <w:r w:rsidR="009900B9">
        <w:rPr>
          <w:rFonts w:ascii="Arial" w:hAnsi="Arial" w:cs="Arial"/>
          <w:color w:val="000000" w:themeColor="text1"/>
        </w:rPr>
        <w:t>)</w:t>
      </w:r>
      <w:r w:rsidRPr="000F0265">
        <w:rPr>
          <w:rFonts w:ascii="Arial" w:hAnsi="Arial" w:cs="Arial"/>
          <w:color w:val="000000" w:themeColor="text1"/>
        </w:rPr>
        <w:t>. An integrative review exploring the perceptions of patients and healthcare professionals towards patient involvement in promoting hand hygiene compliance in the hospital setting. </w:t>
      </w:r>
      <w:r w:rsidRPr="000F0265">
        <w:rPr>
          <w:rFonts w:ascii="Arial" w:hAnsi="Arial" w:cs="Arial"/>
          <w:i/>
          <w:iCs/>
          <w:color w:val="000000" w:themeColor="text1"/>
        </w:rPr>
        <w:t>Journal of clinical nursing</w:t>
      </w:r>
      <w:r w:rsidRPr="000F0265">
        <w:rPr>
          <w:rFonts w:ascii="Arial" w:hAnsi="Arial" w:cs="Arial"/>
          <w:color w:val="000000" w:themeColor="text1"/>
        </w:rPr>
        <w:t>, </w:t>
      </w:r>
      <w:r w:rsidRPr="000F0265">
        <w:rPr>
          <w:rFonts w:ascii="Arial" w:hAnsi="Arial" w:cs="Arial"/>
          <w:i/>
          <w:iCs/>
          <w:color w:val="000000" w:themeColor="text1"/>
        </w:rPr>
        <w:t>27</w:t>
      </w:r>
      <w:r w:rsidRPr="000F0265">
        <w:rPr>
          <w:rFonts w:ascii="Arial" w:hAnsi="Arial" w:cs="Arial"/>
          <w:color w:val="000000" w:themeColor="text1"/>
        </w:rPr>
        <w:t>(7-8), pp.1329-1345.</w:t>
      </w:r>
    </w:p>
    <w:p w:rsidRPr="00B031A0" w:rsidR="00776C49" w:rsidP="00D44D36" w:rsidRDefault="00776C49" w14:paraId="50BB5F85" w14:textId="77777777">
      <w:pPr>
        <w:spacing w:before="240" w:after="240"/>
        <w:rPr>
          <w:rFonts w:ascii="Arial" w:hAnsi="Arial" w:cs="Arial"/>
          <w:color w:val="000000" w:themeColor="text1"/>
        </w:rPr>
      </w:pPr>
      <w:r w:rsidRPr="00B031A0">
        <w:rPr>
          <w:rFonts w:ascii="Arial" w:hAnsi="Arial" w:cs="Arial"/>
          <w:color w:val="000000" w:themeColor="text1"/>
        </w:rPr>
        <w:t xml:space="preserve">Al-Jarf, R. (2021). A systematic self-review of electronic searching studies (2002–2021): Training, infrastructure, and institutional contexts. </w:t>
      </w:r>
      <w:r w:rsidRPr="00B031A0">
        <w:rPr>
          <w:rFonts w:ascii="Arial" w:hAnsi="Arial" w:cs="Arial"/>
          <w:i/>
          <w:iCs/>
          <w:color w:val="000000" w:themeColor="text1"/>
        </w:rPr>
        <w:t>Journal of Computer Science and Technology Studies</w:t>
      </w:r>
      <w:r w:rsidRPr="00B031A0">
        <w:rPr>
          <w:rFonts w:ascii="Arial" w:hAnsi="Arial" w:cs="Arial"/>
          <w:color w:val="000000" w:themeColor="text1"/>
        </w:rPr>
        <w:t>, [online] 8(5), pp.179–194. doi:10.32996/jcsts.2026.8.5.16.</w:t>
      </w:r>
    </w:p>
    <w:p w:rsidRPr="00B031A0" w:rsidR="00776C49" w:rsidP="00D44D36" w:rsidRDefault="00776C49" w14:paraId="53397114" w14:textId="77777777">
      <w:pPr>
        <w:spacing w:before="240"/>
        <w:rPr>
          <w:rFonts w:ascii="Arial" w:hAnsi="Arial" w:cs="Arial"/>
          <w:color w:val="000000" w:themeColor="text1"/>
        </w:rPr>
      </w:pPr>
      <w:r w:rsidRPr="00B031A0">
        <w:rPr>
          <w:rFonts w:ascii="Arial" w:hAnsi="Arial" w:cs="Arial"/>
          <w:color w:val="000000" w:themeColor="text1"/>
        </w:rPr>
        <w:t xml:space="preserve">Amini, R., Mohamadkhani, M., Khodaveisi, M. and Karami, M. (2021). Effect of Health Belief Model-Based Education on Infection Control Standard Precautions in Prehospital Emergency Staff: A Clinical Trial Study. </w:t>
      </w:r>
      <w:r w:rsidRPr="00B031A0">
        <w:rPr>
          <w:rFonts w:ascii="Arial" w:hAnsi="Arial" w:cs="Arial"/>
          <w:i/>
          <w:iCs/>
          <w:color w:val="000000" w:themeColor="text1"/>
        </w:rPr>
        <w:t>Iranian Journal of Nursing and Midwifery Research</w:t>
      </w:r>
      <w:r w:rsidRPr="00B031A0">
        <w:rPr>
          <w:rFonts w:ascii="Arial" w:hAnsi="Arial" w:cs="Arial"/>
          <w:color w:val="000000" w:themeColor="text1"/>
        </w:rPr>
        <w:t>, [online] 26(6), pp.515–520. doi:10.4103/ijnmr.IJNMR_377_20.</w:t>
      </w:r>
    </w:p>
    <w:p w:rsidRPr="00B031A0" w:rsidR="00776C49" w:rsidP="00D44D36" w:rsidRDefault="00776C49" w14:paraId="5DB3F384" w14:textId="77777777">
      <w:pPr>
        <w:spacing w:before="240" w:after="172"/>
        <w:rPr>
          <w:rFonts w:ascii="Arial" w:hAnsi="Arial" w:cs="Arial"/>
          <w:color w:val="000000" w:themeColor="text1"/>
        </w:rPr>
      </w:pPr>
      <w:r w:rsidRPr="00B031A0">
        <w:rPr>
          <w:rFonts w:ascii="Arial" w:hAnsi="Arial" w:cs="Arial"/>
          <w:color w:val="000000" w:themeColor="text1"/>
        </w:rPr>
        <w:t xml:space="preserve">Arshad, Z., Srivastava, V., Singh, G. and Venkatesh, V. (2026). The Role of Infection Control Nurse in Prevention and Control of Hospital Acquired Infection in ICU. </w:t>
      </w:r>
      <w:r w:rsidRPr="00B031A0">
        <w:rPr>
          <w:rFonts w:ascii="Arial" w:hAnsi="Arial" w:cs="Arial"/>
          <w:i/>
          <w:iCs/>
          <w:color w:val="000000" w:themeColor="text1"/>
        </w:rPr>
        <w:t>Iranian Journal of Nursing and Midwifery Research</w:t>
      </w:r>
      <w:r w:rsidRPr="00B031A0">
        <w:rPr>
          <w:rFonts w:ascii="Arial" w:hAnsi="Arial" w:cs="Arial"/>
          <w:color w:val="000000" w:themeColor="text1"/>
        </w:rPr>
        <w:t>, [online] 31(1), pp.27–30. doi:</w:t>
      </w:r>
      <w:hyperlink r:id="rId14">
        <w:r w:rsidRPr="00B031A0">
          <w:rPr>
            <w:rFonts w:ascii="Arial" w:hAnsi="Arial" w:cs="Arial"/>
            <w:color w:val="000000" w:themeColor="text1"/>
            <w:u w:val="single"/>
          </w:rPr>
          <w:t>https://doi.org/10.4103/ijnmr.ijnmr_143_23</w:t>
        </w:r>
      </w:hyperlink>
      <w:r w:rsidRPr="00B031A0">
        <w:rPr>
          <w:rFonts w:ascii="Arial" w:hAnsi="Arial" w:cs="Arial"/>
          <w:color w:val="000000" w:themeColor="text1"/>
        </w:rPr>
        <w:t>. </w:t>
      </w:r>
    </w:p>
    <w:p w:rsidRPr="00B031A0" w:rsidR="00776C49" w:rsidP="00D44D36" w:rsidRDefault="00776C49" w14:paraId="5B91F454" w14:textId="77777777">
      <w:pPr>
        <w:spacing w:before="240" w:after="240"/>
        <w:rPr>
          <w:rFonts w:ascii="Arial" w:hAnsi="Arial" w:cs="Arial"/>
          <w:color w:val="000000" w:themeColor="text1"/>
        </w:rPr>
      </w:pPr>
      <w:r w:rsidRPr="00B031A0">
        <w:rPr>
          <w:rFonts w:ascii="Arial" w:hAnsi="Arial" w:cs="Arial"/>
          <w:color w:val="000000" w:themeColor="text1"/>
        </w:rPr>
        <w:t xml:space="preserve">Bajunaid, R.M., Saeed, A., Bostaji, M. and Farsi, N.J. (2024). Hand Hygiene Compliance and improvement interventions in the eastern Mediterranean region: A systematic review and meta-analysis. </w:t>
      </w:r>
      <w:r w:rsidRPr="00B031A0">
        <w:rPr>
          <w:rFonts w:ascii="Arial" w:hAnsi="Arial" w:cs="Arial"/>
          <w:i/>
          <w:iCs/>
          <w:color w:val="000000" w:themeColor="text1"/>
        </w:rPr>
        <w:t>Infection prevention in practice</w:t>
      </w:r>
      <w:r w:rsidRPr="00B031A0">
        <w:rPr>
          <w:rFonts w:ascii="Arial" w:hAnsi="Arial" w:cs="Arial"/>
          <w:color w:val="000000" w:themeColor="text1"/>
        </w:rPr>
        <w:t>, 6(2), pp.100363–100363. doi:10.1016/j.infpip.2024.100363.</w:t>
      </w:r>
    </w:p>
    <w:p w:rsidRPr="00B031A0" w:rsidR="00776C49" w:rsidP="00D44D36" w:rsidRDefault="00776C49" w14:paraId="09573181" w14:textId="77777777">
      <w:pPr>
        <w:spacing w:before="240"/>
        <w:rPr>
          <w:rFonts w:ascii="Arial" w:hAnsi="Arial" w:cs="Arial"/>
          <w:color w:val="000000" w:themeColor="text1"/>
        </w:rPr>
      </w:pPr>
      <w:r w:rsidRPr="00B031A0">
        <w:rPr>
          <w:rFonts w:ascii="Arial" w:hAnsi="Arial" w:cs="Arial"/>
          <w:color w:val="000000" w:themeColor="text1"/>
        </w:rPr>
        <w:t xml:space="preserve">Bale, T.L.A., Ramukumba, T.S. and Mudau, L.S. (2021). Evaluation of compliance to the World Health Organization’s five moments of hand hygiene: Cross-sectional observation of healthcare professionals. </w:t>
      </w:r>
      <w:r w:rsidRPr="00B031A0">
        <w:rPr>
          <w:rFonts w:ascii="Arial" w:hAnsi="Arial" w:cs="Arial"/>
          <w:i/>
          <w:iCs/>
          <w:color w:val="000000" w:themeColor="text1"/>
        </w:rPr>
        <w:t>Southern African Journal of Infectious Diseases</w:t>
      </w:r>
      <w:r w:rsidRPr="00B031A0">
        <w:rPr>
          <w:rFonts w:ascii="Arial" w:hAnsi="Arial" w:cs="Arial"/>
          <w:color w:val="000000" w:themeColor="text1"/>
        </w:rPr>
        <w:t>, 36(1). doi:10.4102/sajid.v36i1.255.</w:t>
      </w:r>
    </w:p>
    <w:p w:rsidRPr="00B031A0" w:rsidR="00776C49" w:rsidP="00D44D36" w:rsidRDefault="00776C49" w14:paraId="7112E66C" w14:textId="77777777">
      <w:pPr>
        <w:spacing w:before="240" w:after="240"/>
        <w:rPr>
          <w:rFonts w:ascii="Arial" w:hAnsi="Arial" w:cs="Arial"/>
          <w:color w:val="000000" w:themeColor="text1"/>
        </w:rPr>
      </w:pPr>
      <w:r w:rsidRPr="00B031A0">
        <w:rPr>
          <w:rFonts w:ascii="Arial" w:hAnsi="Arial" w:cs="Arial"/>
          <w:color w:val="000000" w:themeColor="text1"/>
        </w:rPr>
        <w:t xml:space="preserve">Batra, D.P., Gautam, D.H., Singh, D.D., Mehmood, D.K., Singh, D.A., Krishna, D.A., Ranjan, D.P., Kataria, D.K., Bhattacharjee, D.H., Bansal, D.V., Chumber, D.S. and Das, D.B. (2025). Clean hands, safe care: Role of hand hygiene training interventions in improving knowledge and hand hygiene compliance rate among healthcare workers. </w:t>
      </w:r>
      <w:r w:rsidRPr="00B031A0">
        <w:rPr>
          <w:rFonts w:ascii="Arial" w:hAnsi="Arial" w:cs="Arial"/>
          <w:i/>
          <w:iCs/>
          <w:color w:val="000000" w:themeColor="text1"/>
        </w:rPr>
        <w:t>International Journal of Infectious Diseases</w:t>
      </w:r>
      <w:r w:rsidRPr="00B031A0">
        <w:rPr>
          <w:rFonts w:ascii="Arial" w:hAnsi="Arial" w:cs="Arial"/>
          <w:color w:val="000000" w:themeColor="text1"/>
        </w:rPr>
        <w:t>, [online] 152, p.107522. doi:10.1016/j.ijid.2024.107522.</w:t>
      </w:r>
    </w:p>
    <w:p w:rsidRPr="00850089" w:rsidR="003A68B1" w:rsidP="003A68B1" w:rsidRDefault="003A68B1" w14:paraId="487D7FB0" w14:textId="04B548FA">
      <w:pPr>
        <w:rPr>
          <w:rFonts w:ascii="Arial" w:hAnsi="Arial" w:cs="Arial"/>
        </w:rPr>
      </w:pPr>
      <w:r w:rsidRPr="00850089">
        <w:rPr>
          <w:rFonts w:ascii="Arial" w:hAnsi="Arial" w:cs="Arial"/>
        </w:rPr>
        <w:t xml:space="preserve">Batalla, M.G.A., Sali, Y.M. and Cortuna, A., </w:t>
      </w:r>
      <w:r w:rsidR="009900B9">
        <w:rPr>
          <w:rFonts w:ascii="Arial" w:hAnsi="Arial" w:cs="Arial"/>
        </w:rPr>
        <w:t>(</w:t>
      </w:r>
      <w:r w:rsidRPr="00850089">
        <w:rPr>
          <w:rFonts w:ascii="Arial" w:hAnsi="Arial" w:cs="Arial"/>
        </w:rPr>
        <w:t>2026</w:t>
      </w:r>
      <w:r w:rsidR="009900B9">
        <w:rPr>
          <w:rFonts w:ascii="Arial" w:hAnsi="Arial" w:cs="Arial"/>
        </w:rPr>
        <w:t>)</w:t>
      </w:r>
      <w:r w:rsidRPr="00850089">
        <w:rPr>
          <w:rFonts w:ascii="Arial" w:hAnsi="Arial" w:cs="Arial"/>
        </w:rPr>
        <w:t>. Embedding the hand-hygiene champion role to improve compliance in intensive care. </w:t>
      </w:r>
      <w:r w:rsidRPr="00850089">
        <w:rPr>
          <w:rFonts w:ascii="Arial" w:hAnsi="Arial" w:cs="Arial"/>
          <w:i/>
          <w:iCs/>
        </w:rPr>
        <w:t>British Journal of Nursing</w:t>
      </w:r>
      <w:r w:rsidRPr="00850089">
        <w:rPr>
          <w:rFonts w:ascii="Arial" w:hAnsi="Arial" w:cs="Arial"/>
        </w:rPr>
        <w:t>, </w:t>
      </w:r>
      <w:r w:rsidRPr="00850089">
        <w:rPr>
          <w:rFonts w:ascii="Arial" w:hAnsi="Arial" w:cs="Arial"/>
          <w:i/>
          <w:iCs/>
        </w:rPr>
        <w:t>35</w:t>
      </w:r>
      <w:r w:rsidRPr="00850089">
        <w:rPr>
          <w:rFonts w:ascii="Arial" w:hAnsi="Arial" w:cs="Arial"/>
        </w:rPr>
        <w:t>(15), pp.754-758.</w:t>
      </w:r>
    </w:p>
    <w:p w:rsidRPr="00850089" w:rsidR="003A68B1" w:rsidP="003A68B1" w:rsidRDefault="003A68B1" w14:paraId="11984CD2" w14:textId="2C929BBC">
      <w:pPr>
        <w:rPr>
          <w:rFonts w:ascii="Arial" w:hAnsi="Arial" w:cs="Arial"/>
        </w:rPr>
      </w:pPr>
      <w:r w:rsidRPr="00850089">
        <w:rPr>
          <w:rFonts w:ascii="Arial" w:hAnsi="Arial" w:cs="Arial"/>
        </w:rPr>
        <w:t xml:space="preserve">Blair, C.J., McCrudden, C., Brazier, A., Huf, S., Gregory, A., O’Driscoll, F., Galletly, T., Leon-Villapalos, C., Brown, H., Clay, K. and Maxwell, S., </w:t>
      </w:r>
      <w:r w:rsidR="009900B9">
        <w:rPr>
          <w:rFonts w:ascii="Arial" w:hAnsi="Arial" w:cs="Arial"/>
        </w:rPr>
        <w:t>(</w:t>
      </w:r>
      <w:r w:rsidRPr="00850089">
        <w:rPr>
          <w:rFonts w:ascii="Arial" w:hAnsi="Arial" w:cs="Arial"/>
        </w:rPr>
        <w:t>2024</w:t>
      </w:r>
      <w:r w:rsidR="009900B9">
        <w:rPr>
          <w:rFonts w:ascii="Arial" w:hAnsi="Arial" w:cs="Arial"/>
        </w:rPr>
        <w:t>)</w:t>
      </w:r>
      <w:r w:rsidRPr="00850089">
        <w:rPr>
          <w:rFonts w:ascii="Arial" w:hAnsi="Arial" w:cs="Arial"/>
        </w:rPr>
        <w:t>. A helping hand: Applying behavioural science and co-design methodology to improve hand hygiene compliance in the hospital setting. </w:t>
      </w:r>
      <w:r w:rsidRPr="00850089">
        <w:rPr>
          <w:rFonts w:ascii="Arial" w:hAnsi="Arial" w:cs="Arial"/>
          <w:i/>
          <w:iCs/>
        </w:rPr>
        <w:t>Plos one</w:t>
      </w:r>
      <w:r w:rsidRPr="00850089">
        <w:rPr>
          <w:rFonts w:ascii="Arial" w:hAnsi="Arial" w:cs="Arial"/>
        </w:rPr>
        <w:t>, </w:t>
      </w:r>
      <w:r w:rsidRPr="00850089">
        <w:rPr>
          <w:rFonts w:ascii="Arial" w:hAnsi="Arial" w:cs="Arial"/>
          <w:i/>
          <w:iCs/>
        </w:rPr>
        <w:t>19</w:t>
      </w:r>
      <w:r w:rsidRPr="00850089">
        <w:rPr>
          <w:rFonts w:ascii="Arial" w:hAnsi="Arial" w:cs="Arial"/>
        </w:rPr>
        <w:t>(12), p.e0310768.</w:t>
      </w:r>
    </w:p>
    <w:p w:rsidRPr="00850089" w:rsidR="003A68B1" w:rsidP="003A68B1" w:rsidRDefault="003A68B1" w14:paraId="1AC7CB84" w14:textId="6E3A4A79">
      <w:pPr>
        <w:rPr>
          <w:rFonts w:ascii="Arial" w:hAnsi="Arial" w:cs="Arial"/>
        </w:rPr>
      </w:pPr>
      <w:r w:rsidRPr="00850089">
        <w:rPr>
          <w:rFonts w:ascii="Arial" w:hAnsi="Arial" w:cs="Arial"/>
        </w:rPr>
        <w:t xml:space="preserve">Burns, E.S., Pathmarajah, P. and Muralidharan, V., </w:t>
      </w:r>
      <w:r w:rsidR="009900B9">
        <w:rPr>
          <w:rFonts w:ascii="Arial" w:hAnsi="Arial" w:cs="Arial"/>
        </w:rPr>
        <w:t>(</w:t>
      </w:r>
      <w:r w:rsidRPr="00850089">
        <w:rPr>
          <w:rFonts w:ascii="Arial" w:hAnsi="Arial" w:cs="Arial"/>
        </w:rPr>
        <w:t>2021</w:t>
      </w:r>
      <w:r w:rsidR="009900B9">
        <w:rPr>
          <w:rFonts w:ascii="Arial" w:hAnsi="Arial" w:cs="Arial"/>
        </w:rPr>
        <w:t>)</w:t>
      </w:r>
      <w:r w:rsidRPr="00850089">
        <w:rPr>
          <w:rFonts w:ascii="Arial" w:hAnsi="Arial" w:cs="Arial"/>
        </w:rPr>
        <w:t>. Physical and psychological impacts of handwashing and personal protective equipment usage in the COVID</w:t>
      </w:r>
      <w:r w:rsidRPr="00850089">
        <w:rPr>
          <w:rFonts w:ascii="Cambria Math" w:hAnsi="Cambria Math" w:cs="Cambria Math"/>
        </w:rPr>
        <w:t>‐</w:t>
      </w:r>
      <w:r w:rsidRPr="00850089">
        <w:rPr>
          <w:rFonts w:ascii="Arial" w:hAnsi="Arial" w:cs="Arial"/>
        </w:rPr>
        <w:t>19 pandemic: A UK based cross</w:t>
      </w:r>
      <w:r w:rsidRPr="00850089">
        <w:rPr>
          <w:rFonts w:ascii="Cambria Math" w:hAnsi="Cambria Math" w:cs="Cambria Math"/>
        </w:rPr>
        <w:t>‐</w:t>
      </w:r>
      <w:r w:rsidRPr="00850089">
        <w:rPr>
          <w:rFonts w:ascii="Arial" w:hAnsi="Arial" w:cs="Arial"/>
        </w:rPr>
        <w:t>sectional analysis of healthcare workers. </w:t>
      </w:r>
      <w:r w:rsidRPr="00850089">
        <w:rPr>
          <w:rFonts w:ascii="Arial" w:hAnsi="Arial" w:cs="Arial"/>
          <w:i/>
          <w:iCs/>
        </w:rPr>
        <w:t>Dermatologic Therapy</w:t>
      </w:r>
      <w:r w:rsidRPr="00850089">
        <w:rPr>
          <w:rFonts w:ascii="Arial" w:hAnsi="Arial" w:cs="Arial"/>
        </w:rPr>
        <w:t>, </w:t>
      </w:r>
      <w:r w:rsidRPr="00850089">
        <w:rPr>
          <w:rFonts w:ascii="Arial" w:hAnsi="Arial" w:cs="Arial"/>
          <w:i/>
          <w:iCs/>
        </w:rPr>
        <w:t>34</w:t>
      </w:r>
      <w:r w:rsidRPr="00850089">
        <w:rPr>
          <w:rFonts w:ascii="Arial" w:hAnsi="Arial" w:cs="Arial"/>
        </w:rPr>
        <w:t>(3), p.e14885.</w:t>
      </w:r>
    </w:p>
    <w:p w:rsidRPr="00B031A0" w:rsidR="00776C49" w:rsidP="00D44D36" w:rsidRDefault="00776C49" w14:paraId="7D1E9ECA" w14:textId="77777777">
      <w:pPr>
        <w:spacing w:before="240"/>
        <w:rPr>
          <w:rFonts w:ascii="Arial" w:hAnsi="Arial" w:cs="Arial"/>
          <w:color w:val="000000" w:themeColor="text1"/>
        </w:rPr>
      </w:pPr>
      <w:r w:rsidRPr="00B031A0">
        <w:rPr>
          <w:rFonts w:ascii="Arial" w:hAnsi="Arial" w:cs="Arial"/>
          <w:color w:val="000000" w:themeColor="text1"/>
        </w:rPr>
        <w:t xml:space="preserve">Ben Fredj, S., Ben Cheikh, A., Bhiri, S., Ghali, H., Khefacha, S., Dhidah, L., Merzougui, L., Ben Rejeb, M. and Said Latiri, H. (2020). Multimodal intervention program to improve hand hygiene compliance: Effectiveness and challenges. </w:t>
      </w:r>
      <w:r w:rsidRPr="00B031A0">
        <w:rPr>
          <w:rFonts w:ascii="Arial" w:hAnsi="Arial" w:cs="Arial"/>
          <w:i/>
          <w:iCs/>
          <w:color w:val="000000" w:themeColor="text1"/>
        </w:rPr>
        <w:t>Journal of the Egyptian Public Health Association</w:t>
      </w:r>
      <w:r w:rsidRPr="00B031A0">
        <w:rPr>
          <w:rFonts w:ascii="Arial" w:hAnsi="Arial" w:cs="Arial"/>
          <w:color w:val="000000" w:themeColor="text1"/>
        </w:rPr>
        <w:t>, 95(1). doi:10.1186/s42506-020-00039-w.</w:t>
      </w:r>
    </w:p>
    <w:p w:rsidRPr="00B031A0" w:rsidR="00776C49" w:rsidP="00D44D36" w:rsidRDefault="00776C49" w14:paraId="1ABE9868" w14:textId="77777777">
      <w:pPr>
        <w:spacing w:before="240" w:after="240"/>
        <w:rPr>
          <w:rFonts w:ascii="Arial" w:hAnsi="Arial" w:cs="Arial"/>
          <w:color w:val="000000" w:themeColor="text1"/>
        </w:rPr>
      </w:pPr>
      <w:r w:rsidRPr="00B031A0">
        <w:rPr>
          <w:rFonts w:ascii="Arial" w:hAnsi="Arial" w:cs="Arial"/>
          <w:color w:val="000000" w:themeColor="text1"/>
        </w:rPr>
        <w:t xml:space="preserve">Berkhout, C., Berbra, O., Favre, J., Collins, C., Calafiore, M., Peremans, L. and Van Royen, P. (2022). Defining and evaluating the hawthorne effect in primary care, a systematic review and meta-analysis. </w:t>
      </w:r>
      <w:r w:rsidRPr="00B031A0">
        <w:rPr>
          <w:rFonts w:ascii="Arial" w:hAnsi="Arial" w:cs="Arial"/>
          <w:i/>
          <w:iCs/>
          <w:color w:val="000000" w:themeColor="text1"/>
        </w:rPr>
        <w:t>Frontiers in Medicine</w:t>
      </w:r>
      <w:r w:rsidRPr="00B031A0">
        <w:rPr>
          <w:rFonts w:ascii="Arial" w:hAnsi="Arial" w:cs="Arial"/>
          <w:color w:val="000000" w:themeColor="text1"/>
        </w:rPr>
        <w:t>, [online] 9(9). doi:10.3389/fmed.2022.1033486.</w:t>
      </w:r>
    </w:p>
    <w:p w:rsidRPr="00B031A0" w:rsidR="00776C49" w:rsidP="00D44D36" w:rsidRDefault="00776C49" w14:paraId="1CE98C59" w14:textId="77777777">
      <w:pPr>
        <w:spacing w:before="240" w:after="240"/>
        <w:rPr>
          <w:rFonts w:ascii="Arial" w:hAnsi="Arial" w:cs="Arial"/>
          <w:color w:val="000000" w:themeColor="text1"/>
        </w:rPr>
      </w:pPr>
      <w:r w:rsidRPr="00B031A0">
        <w:rPr>
          <w:rFonts w:ascii="Arial" w:hAnsi="Arial" w:cs="Arial"/>
          <w:color w:val="000000" w:themeColor="text1"/>
        </w:rPr>
        <w:t xml:space="preserve">Besnier, E., Dachi Arikpo, Ndukwu, D., Effa, E. and Lewin, S. (2026). Healthcare Workers’ perceptions of health worker-related interventions to improve compliance with hand hygiene recommendations for infection prevention and control in hospitalised neonates and infants in sub-saharan Africa: A synthesis of two qualitative evidence syntheses. </w:t>
      </w:r>
      <w:r w:rsidRPr="00B031A0">
        <w:rPr>
          <w:rFonts w:ascii="Arial" w:hAnsi="Arial" w:cs="Arial"/>
          <w:i/>
          <w:iCs/>
          <w:color w:val="000000" w:themeColor="text1"/>
        </w:rPr>
        <w:t>Global Health Action</w:t>
      </w:r>
      <w:r w:rsidRPr="00B031A0">
        <w:rPr>
          <w:rFonts w:ascii="Arial" w:hAnsi="Arial" w:cs="Arial"/>
          <w:color w:val="000000" w:themeColor="text1"/>
        </w:rPr>
        <w:t>, 19(1), pp.2621448–2621448. doi:10.1080/16549716.2026.2621448.</w:t>
      </w:r>
    </w:p>
    <w:p w:rsidRPr="00B031A0" w:rsidR="00776C49" w:rsidP="00D44D36" w:rsidRDefault="00776C49" w14:paraId="46B9FF82" w14:textId="77777777">
      <w:pPr>
        <w:spacing w:before="240" w:after="240"/>
        <w:rPr>
          <w:rFonts w:ascii="Arial" w:hAnsi="Arial" w:cs="Arial"/>
          <w:color w:val="000000" w:themeColor="text1"/>
        </w:rPr>
      </w:pPr>
      <w:r w:rsidRPr="00B031A0">
        <w:rPr>
          <w:rFonts w:ascii="Arial" w:hAnsi="Arial" w:cs="Arial"/>
          <w:color w:val="000000" w:themeColor="text1"/>
        </w:rPr>
        <w:t xml:space="preserve">Blair, C.-J., McCrudden, C., Brazier, A., Huf, S., Gregory, A., O’Driscoll, F., Galletly, T., Leon-Villapalos, C., Brown, H., Clay, K., Maxwell, S., Anakwe, R. and Grailey, K. (2024). A helping hand: Applying behavioural science and co-design methodology to improve hand hygiene compliance in the hospital setting. </w:t>
      </w:r>
      <w:r w:rsidRPr="00B031A0">
        <w:rPr>
          <w:rFonts w:ascii="Arial" w:hAnsi="Arial" w:cs="Arial"/>
          <w:i/>
          <w:iCs/>
          <w:color w:val="000000" w:themeColor="text1"/>
        </w:rPr>
        <w:t>PLoS ONE</w:t>
      </w:r>
      <w:r w:rsidRPr="00B031A0">
        <w:rPr>
          <w:rFonts w:ascii="Arial" w:hAnsi="Arial" w:cs="Arial"/>
          <w:color w:val="000000" w:themeColor="text1"/>
        </w:rPr>
        <w:t>, [online] 19(12), pp.e0310768-e0310768. doi:10.1371/journal.pone.0310768.</w:t>
      </w:r>
    </w:p>
    <w:p w:rsidRPr="00B031A0" w:rsidR="00776C49" w:rsidP="00D44D36" w:rsidRDefault="00776C49" w14:paraId="5D3CAFE6" w14:textId="77777777">
      <w:pPr>
        <w:spacing w:before="240" w:after="240"/>
        <w:rPr>
          <w:rFonts w:ascii="Arial" w:hAnsi="Arial" w:cs="Arial"/>
          <w:color w:val="000000" w:themeColor="text1"/>
        </w:rPr>
      </w:pPr>
      <w:r w:rsidRPr="00B031A0">
        <w:rPr>
          <w:rFonts w:ascii="Arial" w:hAnsi="Arial" w:cs="Arial"/>
          <w:color w:val="000000" w:themeColor="text1"/>
        </w:rPr>
        <w:t xml:space="preserve">Bredin, D., O’Doherty, D., Hannigan, A. and Kingston, L. (2022). Hand hygiene compliance by direct observation in physicians and nurses: a systematic review and meta-analysis. </w:t>
      </w:r>
      <w:r w:rsidRPr="00B031A0">
        <w:rPr>
          <w:rFonts w:ascii="Arial" w:hAnsi="Arial" w:cs="Arial"/>
          <w:i/>
          <w:iCs/>
          <w:color w:val="000000" w:themeColor="text1"/>
        </w:rPr>
        <w:t>Journal of Hospital Infection</w:t>
      </w:r>
      <w:r w:rsidRPr="00B031A0">
        <w:rPr>
          <w:rFonts w:ascii="Arial" w:hAnsi="Arial" w:cs="Arial"/>
          <w:color w:val="000000" w:themeColor="text1"/>
        </w:rPr>
        <w:t>, [online] 130, pp.20–33. doi:</w:t>
      </w:r>
      <w:hyperlink r:id="rId15">
        <w:r w:rsidRPr="00B031A0">
          <w:rPr>
            <w:rFonts w:ascii="Arial" w:hAnsi="Arial" w:cs="Arial"/>
            <w:color w:val="000000" w:themeColor="text1"/>
            <w:u w:val="single"/>
          </w:rPr>
          <w:t>https://doi.org/10.1016/j.jhin.2022.08.013</w:t>
        </w:r>
      </w:hyperlink>
      <w:r w:rsidRPr="00B031A0">
        <w:rPr>
          <w:rFonts w:ascii="Arial" w:hAnsi="Arial" w:cs="Arial"/>
          <w:color w:val="000000" w:themeColor="text1"/>
        </w:rPr>
        <w:t xml:space="preserve">. </w:t>
      </w:r>
    </w:p>
    <w:p w:rsidRPr="00B031A0" w:rsidR="00776C49" w:rsidP="00D44D36" w:rsidRDefault="00776C49" w14:paraId="7C34E630" w14:textId="77777777">
      <w:pPr>
        <w:spacing w:before="240" w:after="240"/>
        <w:rPr>
          <w:rFonts w:ascii="Arial" w:hAnsi="Arial" w:cs="Arial"/>
          <w:color w:val="000000" w:themeColor="text1"/>
        </w:rPr>
      </w:pPr>
      <w:r w:rsidRPr="00B031A0">
        <w:rPr>
          <w:rFonts w:ascii="Arial" w:hAnsi="Arial" w:cs="Arial"/>
          <w:color w:val="000000" w:themeColor="text1"/>
        </w:rPr>
        <w:t xml:space="preserve">Brignardello-Petersen, R., Santesso, N. and Guyatt, G.H. (2024). Systematic reviews of the literature: An introduction to current methods. </w:t>
      </w:r>
      <w:r w:rsidRPr="00B031A0">
        <w:rPr>
          <w:rFonts w:ascii="Arial" w:hAnsi="Arial" w:cs="Arial"/>
          <w:i/>
          <w:iCs/>
          <w:color w:val="000000" w:themeColor="text1"/>
        </w:rPr>
        <w:t>American Journal of Epidemiology</w:t>
      </w:r>
      <w:r w:rsidRPr="00B031A0">
        <w:rPr>
          <w:rFonts w:ascii="Arial" w:hAnsi="Arial" w:cs="Arial"/>
          <w:color w:val="000000" w:themeColor="text1"/>
        </w:rPr>
        <w:t>, [online] 194(2). doi:10.1093/aje/kwae232.</w:t>
      </w:r>
    </w:p>
    <w:p w:rsidRPr="00B031A0" w:rsidR="00776C49" w:rsidP="00D44D36" w:rsidRDefault="00776C49" w14:paraId="146FC543" w14:textId="77777777">
      <w:pPr>
        <w:spacing w:before="240" w:after="240"/>
        <w:rPr>
          <w:rFonts w:ascii="Arial" w:hAnsi="Arial" w:cs="Arial"/>
          <w:color w:val="000000" w:themeColor="text1"/>
        </w:rPr>
      </w:pPr>
      <w:r w:rsidRPr="00B031A0">
        <w:rPr>
          <w:rFonts w:ascii="Arial" w:hAnsi="Arial" w:cs="Arial"/>
          <w:color w:val="000000" w:themeColor="text1"/>
        </w:rPr>
        <w:t xml:space="preserve">Buddrus, U., Kutza, J.-O., Thye, J., Esdar, M., Hübner, U.H. and Liebe, J.-D. (2026). PICO-based assessment and categorization of evidence for digital health interventions: An inductive framework development. </w:t>
      </w:r>
      <w:r w:rsidRPr="00B031A0">
        <w:rPr>
          <w:rFonts w:ascii="Arial" w:hAnsi="Arial" w:cs="Arial"/>
          <w:i/>
          <w:iCs/>
          <w:color w:val="000000" w:themeColor="text1"/>
        </w:rPr>
        <w:t>Frontiers in Digital Health</w:t>
      </w:r>
      <w:r w:rsidRPr="00B031A0">
        <w:rPr>
          <w:rFonts w:ascii="Arial" w:hAnsi="Arial" w:cs="Arial"/>
          <w:color w:val="000000" w:themeColor="text1"/>
        </w:rPr>
        <w:t>, 8. doi:10.3389/fdgth.2026.1755598.</w:t>
      </w:r>
    </w:p>
    <w:p w:rsidR="00791D18" w:rsidP="00D44D36" w:rsidRDefault="00791D18" w14:paraId="31E4A22F" w14:textId="5DD77605">
      <w:pPr>
        <w:spacing w:before="240" w:after="240"/>
        <w:rPr>
          <w:rFonts w:ascii="Arial" w:hAnsi="Arial" w:cs="Arial"/>
          <w:color w:val="000000" w:themeColor="text1"/>
        </w:rPr>
      </w:pPr>
      <w:r w:rsidRPr="00791D18">
        <w:rPr>
          <w:rFonts w:ascii="Arial" w:hAnsi="Arial" w:cs="Arial"/>
          <w:color w:val="000000" w:themeColor="text1"/>
        </w:rPr>
        <w:t xml:space="preserve">Büchter, R.B., Weise, A. and Pieper, D., </w:t>
      </w:r>
      <w:r w:rsidR="009900B9">
        <w:rPr>
          <w:rFonts w:ascii="Arial" w:hAnsi="Arial" w:cs="Arial"/>
          <w:color w:val="000000" w:themeColor="text1"/>
        </w:rPr>
        <w:t>(</w:t>
      </w:r>
      <w:r w:rsidRPr="00791D18">
        <w:rPr>
          <w:rFonts w:ascii="Arial" w:hAnsi="Arial" w:cs="Arial"/>
          <w:color w:val="000000" w:themeColor="text1"/>
        </w:rPr>
        <w:t>2020</w:t>
      </w:r>
      <w:r w:rsidR="009900B9">
        <w:rPr>
          <w:rFonts w:ascii="Arial" w:hAnsi="Arial" w:cs="Arial"/>
          <w:color w:val="000000" w:themeColor="text1"/>
        </w:rPr>
        <w:t>)</w:t>
      </w:r>
      <w:r w:rsidRPr="00791D18">
        <w:rPr>
          <w:rFonts w:ascii="Arial" w:hAnsi="Arial" w:cs="Arial"/>
          <w:color w:val="000000" w:themeColor="text1"/>
        </w:rPr>
        <w:t>. Development, testing and use of data extraction forms in systematic reviews: a review of methodological guidance. </w:t>
      </w:r>
      <w:r w:rsidRPr="00791D18">
        <w:rPr>
          <w:rFonts w:ascii="Arial" w:hAnsi="Arial" w:cs="Arial"/>
          <w:i/>
          <w:iCs/>
          <w:color w:val="000000" w:themeColor="text1"/>
        </w:rPr>
        <w:t>BMC medical research methodology</w:t>
      </w:r>
      <w:r w:rsidRPr="00791D18">
        <w:rPr>
          <w:rFonts w:ascii="Arial" w:hAnsi="Arial" w:cs="Arial"/>
          <w:color w:val="000000" w:themeColor="text1"/>
        </w:rPr>
        <w:t>, </w:t>
      </w:r>
      <w:r w:rsidRPr="00791D18">
        <w:rPr>
          <w:rFonts w:ascii="Arial" w:hAnsi="Arial" w:cs="Arial"/>
          <w:i/>
          <w:iCs/>
          <w:color w:val="000000" w:themeColor="text1"/>
        </w:rPr>
        <w:t>20</w:t>
      </w:r>
      <w:r w:rsidRPr="00791D18">
        <w:rPr>
          <w:rFonts w:ascii="Arial" w:hAnsi="Arial" w:cs="Arial"/>
          <w:color w:val="000000" w:themeColor="text1"/>
        </w:rPr>
        <w:t>(1), p.259.</w:t>
      </w:r>
    </w:p>
    <w:p w:rsidRPr="00850089" w:rsidR="003A68B1" w:rsidP="003A68B1" w:rsidRDefault="003A68B1" w14:paraId="4428C84C" w14:textId="41AB3073">
      <w:pPr>
        <w:rPr>
          <w:rFonts w:ascii="Arial" w:hAnsi="Arial" w:cs="Arial"/>
        </w:rPr>
      </w:pPr>
      <w:r w:rsidRPr="00850089">
        <w:rPr>
          <w:rFonts w:ascii="Arial" w:hAnsi="Arial" w:cs="Arial"/>
        </w:rPr>
        <w:t xml:space="preserve">Cawthorne, K.R. and Cooke, R.P.D., </w:t>
      </w:r>
      <w:r w:rsidR="009900B9">
        <w:rPr>
          <w:rFonts w:ascii="Arial" w:hAnsi="Arial" w:cs="Arial"/>
        </w:rPr>
        <w:t>(</w:t>
      </w:r>
      <w:r w:rsidRPr="00850089">
        <w:rPr>
          <w:rFonts w:ascii="Arial" w:hAnsi="Arial" w:cs="Arial"/>
        </w:rPr>
        <w:t>2020</w:t>
      </w:r>
      <w:r w:rsidR="009900B9">
        <w:rPr>
          <w:rFonts w:ascii="Arial" w:hAnsi="Arial" w:cs="Arial"/>
        </w:rPr>
        <w:t>)</w:t>
      </w:r>
      <w:r w:rsidRPr="00850089">
        <w:rPr>
          <w:rFonts w:ascii="Arial" w:hAnsi="Arial" w:cs="Arial"/>
        </w:rPr>
        <w:t>. Healthcare workers' attitudes to how hand hygiene performance is currently monitored and assessed. </w:t>
      </w:r>
      <w:r w:rsidRPr="00850089">
        <w:rPr>
          <w:rFonts w:ascii="Arial" w:hAnsi="Arial" w:cs="Arial"/>
          <w:i/>
          <w:iCs/>
        </w:rPr>
        <w:t>Journal of Hospital Infection</w:t>
      </w:r>
      <w:r w:rsidRPr="00850089">
        <w:rPr>
          <w:rFonts w:ascii="Arial" w:hAnsi="Arial" w:cs="Arial"/>
        </w:rPr>
        <w:t>, </w:t>
      </w:r>
      <w:r w:rsidRPr="00850089">
        <w:rPr>
          <w:rFonts w:ascii="Arial" w:hAnsi="Arial" w:cs="Arial"/>
          <w:i/>
          <w:iCs/>
        </w:rPr>
        <w:t>105</w:t>
      </w:r>
      <w:r w:rsidRPr="00850089">
        <w:rPr>
          <w:rFonts w:ascii="Arial" w:hAnsi="Arial" w:cs="Arial"/>
        </w:rPr>
        <w:t>(4), pp.705-709.</w:t>
      </w:r>
    </w:p>
    <w:p w:rsidRPr="00B031A0" w:rsidR="00776C49" w:rsidP="00D44D36" w:rsidRDefault="00776C49" w14:paraId="6010DE2E" w14:textId="0C624B04">
      <w:pPr>
        <w:spacing w:before="240" w:after="240"/>
        <w:rPr>
          <w:rFonts w:ascii="Arial" w:hAnsi="Arial" w:cs="Arial"/>
          <w:color w:val="000000" w:themeColor="text1"/>
        </w:rPr>
      </w:pPr>
      <w:r w:rsidRPr="00B031A0">
        <w:rPr>
          <w:rFonts w:ascii="Arial" w:hAnsi="Arial" w:cs="Arial"/>
          <w:color w:val="000000" w:themeColor="text1"/>
        </w:rPr>
        <w:t xml:space="preserve">Chakma, S.K., Hossen, S., Rakib, T.M., Hoque, S., Islam, R., Biswas, T., Islam, Z. and Islam, M.M. (2024). Effectiveness of a hand hygiene training intervention in improving knowledge and compliance rate among healthcare workers in a respiratory disease hospital. </w:t>
      </w:r>
      <w:r w:rsidRPr="00B031A0">
        <w:rPr>
          <w:rFonts w:ascii="Arial" w:hAnsi="Arial" w:cs="Arial"/>
          <w:i/>
          <w:iCs/>
          <w:color w:val="000000" w:themeColor="text1"/>
        </w:rPr>
        <w:t>Heliyon</w:t>
      </w:r>
      <w:r w:rsidRPr="00B031A0">
        <w:rPr>
          <w:rFonts w:ascii="Arial" w:hAnsi="Arial" w:cs="Arial"/>
          <w:color w:val="000000" w:themeColor="text1"/>
        </w:rPr>
        <w:t>, 10(5), pp.e27286-e27286. doi:10.1016/j.heliyon.2024.e27286.</w:t>
      </w:r>
    </w:p>
    <w:p w:rsidRPr="00B031A0" w:rsidR="00776C49" w:rsidP="00D44D36" w:rsidRDefault="00776C49" w14:paraId="02286CCC" w14:textId="77777777">
      <w:pPr>
        <w:spacing w:before="240" w:after="240"/>
        <w:rPr>
          <w:rFonts w:ascii="Arial" w:hAnsi="Arial" w:cs="Arial"/>
          <w:color w:val="000000" w:themeColor="text1"/>
        </w:rPr>
      </w:pPr>
      <w:r w:rsidRPr="00B031A0">
        <w:rPr>
          <w:rFonts w:ascii="Arial" w:hAnsi="Arial" w:cs="Arial"/>
          <w:color w:val="000000" w:themeColor="text1"/>
        </w:rPr>
        <w:t xml:space="preserve">Chang, N.-C., Jones, M., Reisinger, H.S., Schweizer, M.L., Chrischilles, E., Chorazy, M., Huskins, W.C. and Herwaldt, L. (2022). Hand hygiene and the sequence of patient care. </w:t>
      </w:r>
      <w:r w:rsidRPr="00B031A0">
        <w:rPr>
          <w:rFonts w:ascii="Arial" w:hAnsi="Arial" w:cs="Arial"/>
          <w:i/>
          <w:iCs/>
          <w:color w:val="000000" w:themeColor="text1"/>
        </w:rPr>
        <w:t>Infection Control &amp; Hospital Epidemiology</w:t>
      </w:r>
      <w:r w:rsidRPr="00B031A0">
        <w:rPr>
          <w:rFonts w:ascii="Arial" w:hAnsi="Arial" w:cs="Arial"/>
          <w:color w:val="000000" w:themeColor="text1"/>
        </w:rPr>
        <w:t>, [online] 43(2), pp.218–223. doi:10.1017/ice.2021.82.</w:t>
      </w:r>
    </w:p>
    <w:p w:rsidRPr="00B031A0" w:rsidR="00776C49" w:rsidP="00776C49" w:rsidRDefault="00776C49" w14:paraId="63E278AB" w14:textId="77777777">
      <w:pPr>
        <w:spacing w:after="240"/>
        <w:rPr>
          <w:rFonts w:ascii="Arial" w:hAnsi="Arial" w:cs="Arial"/>
          <w:color w:val="000000" w:themeColor="text1"/>
        </w:rPr>
      </w:pPr>
      <w:r w:rsidRPr="00B031A0">
        <w:rPr>
          <w:rFonts w:ascii="Arial" w:hAnsi="Arial" w:cs="Arial"/>
          <w:color w:val="000000" w:themeColor="text1"/>
        </w:rPr>
        <w:t xml:space="preserve">Chen, J., Yang, L., Mak, Y.-W., O’Donoghue, M., Shi, C., Tsang, H., Lu, S., Zou, J., Qin, J., Xie, Y.J., Lai, T., Li, C., Cao, J. and Pittet, D. (2024). Hand Hygiene Education components among first-year nursing students: A cluster randomized clinical trial. </w:t>
      </w:r>
      <w:r w:rsidRPr="00B031A0">
        <w:rPr>
          <w:rFonts w:ascii="Arial" w:hAnsi="Arial" w:cs="Arial"/>
          <w:i/>
          <w:iCs/>
          <w:color w:val="000000" w:themeColor="text1"/>
        </w:rPr>
        <w:t>JAMA network open</w:t>
      </w:r>
      <w:r w:rsidRPr="00B031A0">
        <w:rPr>
          <w:rFonts w:ascii="Arial" w:hAnsi="Arial" w:cs="Arial"/>
          <w:color w:val="000000" w:themeColor="text1"/>
        </w:rPr>
        <w:t>, [online] 7(6), p.e2413835. doi:10.1001/jamanetworkopen.2024.13835.</w:t>
      </w:r>
    </w:p>
    <w:p w:rsidRPr="00B031A0" w:rsidR="00776C49" w:rsidP="00D44D36" w:rsidRDefault="00776C49" w14:paraId="023C188F" w14:textId="77777777">
      <w:pPr>
        <w:spacing w:before="240"/>
        <w:rPr>
          <w:rFonts w:ascii="Arial" w:hAnsi="Arial" w:cs="Arial"/>
          <w:color w:val="000000" w:themeColor="text1"/>
        </w:rPr>
      </w:pPr>
      <w:r w:rsidRPr="00B031A0">
        <w:rPr>
          <w:rFonts w:ascii="Arial" w:hAnsi="Arial" w:cs="Arial"/>
          <w:color w:val="000000" w:themeColor="text1"/>
        </w:rPr>
        <w:t xml:space="preserve">Clancy, C., Delungahawatta, T. and Dunne, C.P. (2021). Hand hygiene-related clinical trials reported between 2014 and 2020: A comprehensive systematic review. </w:t>
      </w:r>
      <w:r w:rsidRPr="00B031A0">
        <w:rPr>
          <w:rFonts w:ascii="Arial" w:hAnsi="Arial" w:cs="Arial"/>
          <w:i/>
          <w:iCs/>
          <w:color w:val="000000" w:themeColor="text1"/>
        </w:rPr>
        <w:t>Journal of Hospital Infection</w:t>
      </w:r>
      <w:r w:rsidRPr="00B031A0">
        <w:rPr>
          <w:rFonts w:ascii="Arial" w:hAnsi="Arial" w:cs="Arial"/>
          <w:color w:val="000000" w:themeColor="text1"/>
        </w:rPr>
        <w:t>, [online] 111(1), pp.6–26. doi:10.1016/j.jhin.2021.03.007.</w:t>
      </w:r>
    </w:p>
    <w:p w:rsidRPr="00B031A0" w:rsidR="00776C49" w:rsidP="00D44D36" w:rsidRDefault="00776C49" w14:paraId="5686E7A9" w14:textId="77777777">
      <w:pPr>
        <w:spacing w:before="240" w:after="240"/>
        <w:rPr>
          <w:rFonts w:ascii="Arial" w:hAnsi="Arial" w:cs="Arial"/>
          <w:color w:val="000000" w:themeColor="text1"/>
        </w:rPr>
      </w:pPr>
      <w:r w:rsidRPr="00B031A0">
        <w:rPr>
          <w:rFonts w:ascii="Arial" w:hAnsi="Arial" w:cs="Arial"/>
          <w:color w:val="000000" w:themeColor="text1"/>
        </w:rPr>
        <w:t xml:space="preserve">Covvey, J.R., McClendon, C. and Gionfriddo, M.R. (2023). Back to the basics: Guidance for formulating good research questions. </w:t>
      </w:r>
      <w:r w:rsidRPr="00B031A0">
        <w:rPr>
          <w:rFonts w:ascii="Arial" w:hAnsi="Arial" w:cs="Arial"/>
          <w:i/>
          <w:iCs/>
          <w:color w:val="000000" w:themeColor="text1"/>
        </w:rPr>
        <w:t>Research in Social and Administrative Pharmacy</w:t>
      </w:r>
      <w:r w:rsidRPr="00B031A0">
        <w:rPr>
          <w:rFonts w:ascii="Arial" w:hAnsi="Arial" w:cs="Arial"/>
          <w:color w:val="000000" w:themeColor="text1"/>
        </w:rPr>
        <w:t>, [online] 20(1), pp.66–69. doi:10.1016/j.sapharm.2023.09.009.</w:t>
      </w:r>
    </w:p>
    <w:p w:rsidRPr="00B031A0" w:rsidR="00776C49" w:rsidP="00D44D36" w:rsidRDefault="00776C49" w14:paraId="05D06AB0" w14:textId="77777777">
      <w:pPr>
        <w:spacing w:before="240" w:after="240"/>
        <w:rPr>
          <w:rFonts w:ascii="Arial" w:hAnsi="Arial" w:cs="Arial"/>
          <w:color w:val="000000" w:themeColor="text1"/>
        </w:rPr>
      </w:pPr>
      <w:r w:rsidRPr="00B031A0">
        <w:rPr>
          <w:rFonts w:ascii="Arial" w:hAnsi="Arial" w:cs="Arial"/>
          <w:color w:val="000000" w:themeColor="text1"/>
        </w:rPr>
        <w:t xml:space="preserve">Drolet, M.-J., Rose-Derouin, E., Leblanc, J.-C., Ruest, M. and Williams-Jones, B. (2022). Ethical issues in research: Perceptions of researchers, Research Ethics Board members and research ethics experts. </w:t>
      </w:r>
      <w:r w:rsidRPr="00B031A0">
        <w:rPr>
          <w:rFonts w:ascii="Arial" w:hAnsi="Arial" w:cs="Arial"/>
          <w:i/>
          <w:iCs/>
          <w:color w:val="000000" w:themeColor="text1"/>
        </w:rPr>
        <w:t>Journal of Academic Ethics</w:t>
      </w:r>
      <w:r w:rsidRPr="00B031A0">
        <w:rPr>
          <w:rFonts w:ascii="Arial" w:hAnsi="Arial" w:cs="Arial"/>
          <w:color w:val="000000" w:themeColor="text1"/>
        </w:rPr>
        <w:t>, 21(2), pp.269–292. doi:10.1007/s10805-022-09455-3.</w:t>
      </w:r>
    </w:p>
    <w:p w:rsidRPr="00B031A0" w:rsidR="00776C49" w:rsidP="00D44D36" w:rsidRDefault="00776C49" w14:paraId="2799A18E" w14:textId="77777777">
      <w:pPr>
        <w:spacing w:before="240" w:after="240"/>
        <w:rPr>
          <w:rFonts w:ascii="Arial" w:hAnsi="Arial" w:cs="Arial"/>
          <w:color w:val="000000" w:themeColor="text1"/>
        </w:rPr>
      </w:pPr>
      <w:r w:rsidRPr="00B031A0">
        <w:rPr>
          <w:rFonts w:ascii="Arial" w:hAnsi="Arial" w:cs="Arial"/>
          <w:color w:val="000000" w:themeColor="text1"/>
        </w:rPr>
        <w:t xml:space="preserve">Dulal, T.D. (2025). Overview of various types of research philosophies and their importance. </w:t>
      </w:r>
      <w:r w:rsidRPr="00B031A0">
        <w:rPr>
          <w:rFonts w:ascii="Arial" w:hAnsi="Arial" w:cs="Arial"/>
          <w:i/>
          <w:iCs/>
          <w:color w:val="000000" w:themeColor="text1"/>
        </w:rPr>
        <w:t>Patan Pragya</w:t>
      </w:r>
      <w:r w:rsidRPr="00B031A0">
        <w:rPr>
          <w:rFonts w:ascii="Arial" w:hAnsi="Arial" w:cs="Arial"/>
          <w:color w:val="000000" w:themeColor="text1"/>
        </w:rPr>
        <w:t>, 14(1), pp.99–113. doi:10.3126/pragya.v14i1.90727.</w:t>
      </w:r>
    </w:p>
    <w:p w:rsidRPr="00B031A0" w:rsidR="00776C49" w:rsidP="00D44D36" w:rsidRDefault="00776C49" w14:paraId="4BD7803A" w14:textId="77777777">
      <w:pPr>
        <w:spacing w:before="240"/>
        <w:rPr>
          <w:rFonts w:ascii="Arial" w:hAnsi="Arial" w:cs="Arial"/>
          <w:color w:val="000000" w:themeColor="text1"/>
        </w:rPr>
      </w:pPr>
      <w:r w:rsidRPr="00B031A0">
        <w:rPr>
          <w:rFonts w:ascii="Arial" w:hAnsi="Arial" w:cs="Arial"/>
          <w:color w:val="000000" w:themeColor="text1"/>
        </w:rPr>
        <w:t xml:space="preserve">Fabre, V., Secaira, C., Herzig, C., Bancroft, E., Bernachea, M.P., Galarza, L.A., Bowen Aquiles, Arauz, A.B., Del, M., Bernan, M.L., Burokas, S., Canton, A., Cazali, I.L., Colque, A., Comas, M., Contreras, R.V., Cornistein, W., Cordoba, M.G., Correa, S.M., Campero, G.C., Isabel, M., Chavez, N., Ascencao, G. De, García, C.C., Esquivel, C., Ezcurra, C., Fabbro, L., Falleroni, L., Fernandez, J., Ferrari, S., Freire, V., Garzón, M.I., Gonzales, J.A., Guaymas, L., Guerrero-Toapanta, F., Laplume, D., Lambert, S., César Guillermo Lemir, Lazarte, P.R., Lopez, I.L., Maldonado, H., Martínez, G., Maurizi, D.M., Mesplet, F., Izquierdo, C.M., Moya, G.L., Nájera, M., Yanina Nuccetelli, Olmedo, A., Palacio, B., Pellice, F., Raffo, C.L., Ramos, C., Reino, F., Rodriguez, V., Romero, F., Romero, J.J., Sadino, G., Sandoval, N., Suarez, M., Suayter, M.V., Ureña, M.A., Valle, M., Reyes, L.V., Vera, S., Videla, H., Silvina Villamandos, Villarreal, O., Viteri, M.A., Warley, E. and Quiros, R.E. (2024). Contextual barriers to infection prevention and control program implementation in hospitals in Latin America: A mixed methods evaluation. </w:t>
      </w:r>
      <w:r w:rsidRPr="00B031A0">
        <w:rPr>
          <w:rFonts w:ascii="Arial" w:hAnsi="Arial" w:cs="Arial"/>
          <w:i/>
          <w:iCs/>
          <w:color w:val="000000" w:themeColor="text1"/>
        </w:rPr>
        <w:t>Antimicrobial Resistance and Infection Control</w:t>
      </w:r>
      <w:r w:rsidRPr="00B031A0">
        <w:rPr>
          <w:rFonts w:ascii="Arial" w:hAnsi="Arial" w:cs="Arial"/>
          <w:color w:val="000000" w:themeColor="text1"/>
        </w:rPr>
        <w:t>, 13(1). doi:10.1186/s13756-024-01484-4.</w:t>
      </w:r>
    </w:p>
    <w:p w:rsidR="00B1135D" w:rsidP="00B1135D" w:rsidRDefault="00B1135D" w14:paraId="0306A0E1" w14:textId="2C6DC291">
      <w:pPr>
        <w:rPr>
          <w:rFonts w:ascii="Arial" w:hAnsi="Arial" w:cs="Arial"/>
          <w:color w:val="000000" w:themeColor="text1"/>
        </w:rPr>
      </w:pPr>
      <w:r w:rsidRPr="00AE5573">
        <w:rPr>
          <w:rFonts w:ascii="Arial" w:hAnsi="Arial" w:cs="Arial"/>
          <w:color w:val="000000" w:themeColor="text1"/>
        </w:rPr>
        <w:t xml:space="preserve">Fuller, C., Michie, S., Savage, J., McAteer, J., Besser, S., Charlett, A., Hayward, A., Cookson, B.D., Cooper, B.S., Duckworth, G. and Jeanes, A., </w:t>
      </w:r>
      <w:r w:rsidR="009900B9">
        <w:rPr>
          <w:rFonts w:ascii="Arial" w:hAnsi="Arial" w:cs="Arial"/>
          <w:color w:val="000000" w:themeColor="text1"/>
        </w:rPr>
        <w:t>(</w:t>
      </w:r>
      <w:r w:rsidRPr="00AE5573">
        <w:rPr>
          <w:rFonts w:ascii="Arial" w:hAnsi="Arial" w:cs="Arial"/>
          <w:color w:val="000000" w:themeColor="text1"/>
        </w:rPr>
        <w:t>2012</w:t>
      </w:r>
      <w:r w:rsidR="009900B9">
        <w:rPr>
          <w:rFonts w:ascii="Arial" w:hAnsi="Arial" w:cs="Arial"/>
          <w:color w:val="000000" w:themeColor="text1"/>
        </w:rPr>
        <w:t>)</w:t>
      </w:r>
      <w:r w:rsidRPr="00AE5573">
        <w:rPr>
          <w:rFonts w:ascii="Arial" w:hAnsi="Arial" w:cs="Arial"/>
          <w:color w:val="000000" w:themeColor="text1"/>
        </w:rPr>
        <w:t>. The Feedback Intervention Trial (FIT)—improving hand-hygiene compliance in UK healthcare workers: a stepped wedge cluster randomised controlled trial. </w:t>
      </w:r>
      <w:r w:rsidRPr="00AE5573">
        <w:rPr>
          <w:rFonts w:ascii="Arial" w:hAnsi="Arial" w:cs="Arial"/>
          <w:i/>
          <w:iCs/>
          <w:color w:val="000000" w:themeColor="text1"/>
        </w:rPr>
        <w:t>PloS one</w:t>
      </w:r>
      <w:r w:rsidRPr="00AE5573">
        <w:rPr>
          <w:rFonts w:ascii="Arial" w:hAnsi="Arial" w:cs="Arial"/>
          <w:color w:val="000000" w:themeColor="text1"/>
        </w:rPr>
        <w:t>, </w:t>
      </w:r>
      <w:r w:rsidRPr="00AE5573">
        <w:rPr>
          <w:rFonts w:ascii="Arial" w:hAnsi="Arial" w:cs="Arial"/>
          <w:i/>
          <w:iCs/>
          <w:color w:val="000000" w:themeColor="text1"/>
        </w:rPr>
        <w:t>7</w:t>
      </w:r>
      <w:r w:rsidRPr="00AE5573">
        <w:rPr>
          <w:rFonts w:ascii="Arial" w:hAnsi="Arial" w:cs="Arial"/>
          <w:color w:val="000000" w:themeColor="text1"/>
        </w:rPr>
        <w:t>(10), p.e41617.</w:t>
      </w:r>
    </w:p>
    <w:p w:rsidRPr="00B031A0" w:rsidR="00776C49" w:rsidP="00D44D36" w:rsidRDefault="00776C49" w14:paraId="255F2164" w14:textId="77777777">
      <w:pPr>
        <w:spacing w:before="240"/>
        <w:rPr>
          <w:rFonts w:ascii="Arial" w:hAnsi="Arial" w:cs="Arial"/>
          <w:color w:val="000000" w:themeColor="text1"/>
        </w:rPr>
      </w:pPr>
      <w:r w:rsidRPr="00B031A0">
        <w:rPr>
          <w:rFonts w:ascii="Arial" w:hAnsi="Arial" w:cs="Arial"/>
          <w:color w:val="000000" w:themeColor="text1"/>
        </w:rPr>
        <w:t xml:space="preserve">Gad, M.H. and AbdelAziz, H.H. (2021). Catheter-associated urinary tract infections in the adult patient group: A qualitative systematic review on the adopted preventative and interventional protocols from the literature. </w:t>
      </w:r>
      <w:r w:rsidRPr="00B031A0">
        <w:rPr>
          <w:rFonts w:ascii="Arial" w:hAnsi="Arial" w:cs="Arial"/>
          <w:i/>
          <w:iCs/>
          <w:color w:val="000000" w:themeColor="text1"/>
        </w:rPr>
        <w:t>Cureus</w:t>
      </w:r>
      <w:r w:rsidRPr="00B031A0">
        <w:rPr>
          <w:rFonts w:ascii="Arial" w:hAnsi="Arial" w:cs="Arial"/>
          <w:color w:val="000000" w:themeColor="text1"/>
        </w:rPr>
        <w:t>, 13(7). doi:10.7759/cureus.16284.</w:t>
      </w:r>
    </w:p>
    <w:p w:rsidRPr="00B031A0" w:rsidR="00776C49" w:rsidP="00D44D36" w:rsidRDefault="00776C49" w14:paraId="43DD3A04" w14:textId="77777777">
      <w:pPr>
        <w:spacing w:before="240" w:after="240"/>
        <w:rPr>
          <w:rFonts w:ascii="Arial" w:hAnsi="Arial" w:cs="Arial"/>
          <w:color w:val="000000" w:themeColor="text1"/>
        </w:rPr>
      </w:pPr>
      <w:r w:rsidRPr="00B031A0">
        <w:rPr>
          <w:rFonts w:ascii="Arial" w:hAnsi="Arial" w:cs="Arial"/>
          <w:color w:val="000000" w:themeColor="text1"/>
        </w:rPr>
        <w:t xml:space="preserve">Ghosh, A. and Choudhury, S. (2025). Understanding different types of review articles: A primer for early career researchers. </w:t>
      </w:r>
      <w:r w:rsidRPr="00B031A0">
        <w:rPr>
          <w:rFonts w:ascii="Arial" w:hAnsi="Arial" w:cs="Arial"/>
          <w:i/>
          <w:iCs/>
          <w:color w:val="000000" w:themeColor="text1"/>
        </w:rPr>
        <w:t>Indian Journal of Psychiatry</w:t>
      </w:r>
      <w:r w:rsidRPr="00B031A0">
        <w:rPr>
          <w:rFonts w:ascii="Arial" w:hAnsi="Arial" w:cs="Arial"/>
          <w:color w:val="000000" w:themeColor="text1"/>
        </w:rPr>
        <w:t>, [online] 67(5), pp.535–541. doi:10.4103/indianjpsychiatry.indianjpsychiatry_373_25.</w:t>
      </w:r>
    </w:p>
    <w:p w:rsidRPr="00B031A0" w:rsidR="00776C49" w:rsidP="00D44D36" w:rsidRDefault="00776C49" w14:paraId="190776FC" w14:textId="77777777">
      <w:pPr>
        <w:spacing w:before="240" w:after="240"/>
        <w:rPr>
          <w:rFonts w:ascii="Arial" w:hAnsi="Arial" w:cs="Arial"/>
          <w:color w:val="000000" w:themeColor="text1"/>
        </w:rPr>
      </w:pPr>
      <w:r w:rsidRPr="00B031A0">
        <w:rPr>
          <w:rFonts w:ascii="Arial" w:hAnsi="Arial" w:cs="Arial"/>
          <w:color w:val="000000" w:themeColor="text1"/>
        </w:rPr>
        <w:t xml:space="preserve">Golli, A.-L., Cristea, O.M., Zlatian, O., Glodeanu, A.-D., Balasoiu, A.T., Ionescu, M. and Popa, S. (2022). Prevalence of multidrug-resistant pathogens causing bloodstream infections in an intensive care unit. </w:t>
      </w:r>
      <w:r w:rsidRPr="00B031A0">
        <w:rPr>
          <w:rFonts w:ascii="Arial" w:hAnsi="Arial" w:cs="Arial"/>
          <w:i/>
          <w:iCs/>
          <w:color w:val="000000" w:themeColor="text1"/>
        </w:rPr>
        <w:t>Infection and Drug Resistance</w:t>
      </w:r>
      <w:r w:rsidRPr="00B031A0">
        <w:rPr>
          <w:rFonts w:ascii="Arial" w:hAnsi="Arial" w:cs="Arial"/>
          <w:color w:val="000000" w:themeColor="text1"/>
        </w:rPr>
        <w:t>, Volume 15, pp.5981–5992. doi:10.2147/idr.s383285.</w:t>
      </w:r>
    </w:p>
    <w:p w:rsidRPr="00850089" w:rsidR="003A68B1" w:rsidP="003A68B1" w:rsidRDefault="003A68B1" w14:paraId="7C7B50D1" w14:textId="3D527AB1">
      <w:pPr>
        <w:rPr>
          <w:rFonts w:ascii="Arial" w:hAnsi="Arial" w:cs="Arial"/>
        </w:rPr>
      </w:pPr>
      <w:r w:rsidRPr="00850089">
        <w:rPr>
          <w:rFonts w:ascii="Arial" w:hAnsi="Arial" w:cs="Arial"/>
        </w:rPr>
        <w:t xml:space="preserve">Guest, J.F., Keating, T., Gould, D. and Wigglesworth, N., </w:t>
      </w:r>
      <w:r w:rsidR="009900B9">
        <w:rPr>
          <w:rFonts w:ascii="Arial" w:hAnsi="Arial" w:cs="Arial"/>
        </w:rPr>
        <w:t>(</w:t>
      </w:r>
      <w:r w:rsidRPr="00850089">
        <w:rPr>
          <w:rFonts w:ascii="Arial" w:hAnsi="Arial" w:cs="Arial"/>
        </w:rPr>
        <w:t>2019</w:t>
      </w:r>
      <w:r w:rsidR="009900B9">
        <w:rPr>
          <w:rFonts w:ascii="Arial" w:hAnsi="Arial" w:cs="Arial"/>
        </w:rPr>
        <w:t>)</w:t>
      </w:r>
      <w:r w:rsidRPr="00850089">
        <w:rPr>
          <w:rFonts w:ascii="Arial" w:hAnsi="Arial" w:cs="Arial"/>
        </w:rPr>
        <w:t>. Modelling the costs and consequences of reducing healthcare-associated infections by improving hand hygiene in an average hospital in England. </w:t>
      </w:r>
      <w:r w:rsidRPr="00850089">
        <w:rPr>
          <w:rFonts w:ascii="Arial" w:hAnsi="Arial" w:cs="Arial"/>
          <w:i/>
          <w:iCs/>
        </w:rPr>
        <w:t>BMJ open</w:t>
      </w:r>
      <w:r w:rsidRPr="00850089">
        <w:rPr>
          <w:rFonts w:ascii="Arial" w:hAnsi="Arial" w:cs="Arial"/>
        </w:rPr>
        <w:t>, </w:t>
      </w:r>
      <w:r w:rsidRPr="00850089">
        <w:rPr>
          <w:rFonts w:ascii="Arial" w:hAnsi="Arial" w:cs="Arial"/>
          <w:i/>
          <w:iCs/>
        </w:rPr>
        <w:t>9</w:t>
      </w:r>
      <w:r w:rsidRPr="00850089">
        <w:rPr>
          <w:rFonts w:ascii="Arial" w:hAnsi="Arial" w:cs="Arial"/>
        </w:rPr>
        <w:t>(10), p.e029971.</w:t>
      </w:r>
    </w:p>
    <w:p w:rsidRPr="00850089" w:rsidR="003A68B1" w:rsidP="003A68B1" w:rsidRDefault="003A68B1" w14:paraId="21D8620E" w14:textId="04336B0E">
      <w:pPr>
        <w:rPr>
          <w:rFonts w:ascii="Arial" w:hAnsi="Arial" w:cs="Arial"/>
        </w:rPr>
      </w:pPr>
      <w:r w:rsidRPr="00850089">
        <w:rPr>
          <w:rFonts w:ascii="Arial" w:hAnsi="Arial" w:cs="Arial"/>
        </w:rPr>
        <w:t xml:space="preserve">Gould, D., Lindström, H., Purssell, E. and Wigglesworth, N., </w:t>
      </w:r>
      <w:r w:rsidR="00AC118F">
        <w:rPr>
          <w:rFonts w:ascii="Arial" w:hAnsi="Arial" w:cs="Arial"/>
        </w:rPr>
        <w:t>(</w:t>
      </w:r>
      <w:r w:rsidRPr="00850089">
        <w:rPr>
          <w:rFonts w:ascii="Arial" w:hAnsi="Arial" w:cs="Arial"/>
        </w:rPr>
        <w:t>2020</w:t>
      </w:r>
      <w:r w:rsidR="00AC118F">
        <w:rPr>
          <w:rFonts w:ascii="Arial" w:hAnsi="Arial" w:cs="Arial"/>
        </w:rPr>
        <w:t>)</w:t>
      </w:r>
      <w:r w:rsidRPr="00850089">
        <w:rPr>
          <w:rFonts w:ascii="Arial" w:hAnsi="Arial" w:cs="Arial"/>
        </w:rPr>
        <w:t>. Electronic hand hygiene monitoring: accuracy, impact on the Hawthorne effect and efficiency. </w:t>
      </w:r>
      <w:r w:rsidRPr="00850089">
        <w:rPr>
          <w:rFonts w:ascii="Arial" w:hAnsi="Arial" w:cs="Arial"/>
          <w:i/>
          <w:iCs/>
        </w:rPr>
        <w:t>Journal of infection prevention</w:t>
      </w:r>
      <w:r w:rsidRPr="00850089">
        <w:rPr>
          <w:rFonts w:ascii="Arial" w:hAnsi="Arial" w:cs="Arial"/>
        </w:rPr>
        <w:t>, </w:t>
      </w:r>
      <w:r w:rsidRPr="00850089">
        <w:rPr>
          <w:rFonts w:ascii="Arial" w:hAnsi="Arial" w:cs="Arial"/>
          <w:i/>
          <w:iCs/>
        </w:rPr>
        <w:t>21</w:t>
      </w:r>
      <w:r w:rsidRPr="00850089">
        <w:rPr>
          <w:rFonts w:ascii="Arial" w:hAnsi="Arial" w:cs="Arial"/>
        </w:rPr>
        <w:t>(4), pp.136-143.</w:t>
      </w:r>
    </w:p>
    <w:p w:rsidR="00261247" w:rsidP="00261247" w:rsidRDefault="00261247" w14:paraId="0FADEC3D" w14:textId="39E91C52">
      <w:pPr>
        <w:rPr>
          <w:rFonts w:ascii="Arial" w:hAnsi="Arial" w:cs="Arial"/>
          <w:color w:val="000000" w:themeColor="text1"/>
        </w:rPr>
      </w:pPr>
      <w:r w:rsidRPr="008D347C">
        <w:rPr>
          <w:rFonts w:ascii="Arial" w:hAnsi="Arial" w:cs="Arial"/>
          <w:color w:val="000000" w:themeColor="text1"/>
        </w:rPr>
        <w:t xml:space="preserve">Ghafouri, R., Kermani, R.T. and Namaghi, S.G., </w:t>
      </w:r>
      <w:r w:rsidR="00AC118F">
        <w:rPr>
          <w:rFonts w:ascii="Arial" w:hAnsi="Arial" w:cs="Arial"/>
          <w:color w:val="000000" w:themeColor="text1"/>
        </w:rPr>
        <w:t>(</w:t>
      </w:r>
      <w:r w:rsidRPr="008D347C">
        <w:rPr>
          <w:rFonts w:ascii="Arial" w:hAnsi="Arial" w:cs="Arial"/>
          <w:color w:val="000000" w:themeColor="text1"/>
        </w:rPr>
        <w:t>2026</w:t>
      </w:r>
      <w:r w:rsidR="00AC118F">
        <w:rPr>
          <w:rFonts w:ascii="Arial" w:hAnsi="Arial" w:cs="Arial"/>
          <w:color w:val="000000" w:themeColor="text1"/>
        </w:rPr>
        <w:t>)</w:t>
      </w:r>
      <w:r w:rsidRPr="008D347C">
        <w:rPr>
          <w:rFonts w:ascii="Arial" w:hAnsi="Arial" w:cs="Arial"/>
          <w:color w:val="000000" w:themeColor="text1"/>
        </w:rPr>
        <w:t>. Patient Safety Improvement Via Reducing Health Care–Associated Infections (HCAIs): An Action Research. </w:t>
      </w:r>
      <w:r w:rsidRPr="008D347C">
        <w:rPr>
          <w:rFonts w:ascii="Arial" w:hAnsi="Arial" w:cs="Arial"/>
          <w:i/>
          <w:iCs/>
          <w:color w:val="000000" w:themeColor="text1"/>
        </w:rPr>
        <w:t>Infectious Diseases in Clinical Practice</w:t>
      </w:r>
      <w:r w:rsidRPr="008D347C">
        <w:rPr>
          <w:rFonts w:ascii="Arial" w:hAnsi="Arial" w:cs="Arial"/>
          <w:color w:val="000000" w:themeColor="text1"/>
        </w:rPr>
        <w:t>, </w:t>
      </w:r>
      <w:r w:rsidRPr="008D347C">
        <w:rPr>
          <w:rFonts w:ascii="Arial" w:hAnsi="Arial" w:cs="Arial"/>
          <w:i/>
          <w:iCs/>
          <w:color w:val="000000" w:themeColor="text1"/>
        </w:rPr>
        <w:t>34</w:t>
      </w:r>
      <w:r w:rsidRPr="008D347C">
        <w:rPr>
          <w:rFonts w:ascii="Arial" w:hAnsi="Arial" w:cs="Arial"/>
          <w:color w:val="000000" w:themeColor="text1"/>
        </w:rPr>
        <w:t>(4), p.e1623.</w:t>
      </w:r>
    </w:p>
    <w:p w:rsidRPr="00B031A0" w:rsidR="00776C49" w:rsidP="00D44D36" w:rsidRDefault="00776C49" w14:paraId="2EE3844F" w14:textId="77777777">
      <w:pPr>
        <w:spacing w:before="240" w:after="240"/>
        <w:rPr>
          <w:rFonts w:ascii="Arial" w:hAnsi="Arial" w:cs="Arial"/>
          <w:color w:val="000000"/>
        </w:rPr>
      </w:pPr>
      <w:r w:rsidRPr="00B031A0">
        <w:rPr>
          <w:rFonts w:ascii="Arial" w:hAnsi="Arial" w:cs="Arial"/>
          <w:color w:val="000000"/>
        </w:rPr>
        <w:t xml:space="preserve">Hammerschmidt, J. and Manser, T. (2019). Nurses’ knowledge, behaviour and compliance concerning hand hygiene in nursing homes: A cross-sectional mixed-methods study. </w:t>
      </w:r>
      <w:r w:rsidRPr="00B031A0">
        <w:rPr>
          <w:rFonts w:ascii="Arial" w:hAnsi="Arial" w:cs="Arial"/>
          <w:i/>
          <w:iCs/>
          <w:color w:val="000000"/>
        </w:rPr>
        <w:t>BMC Health Services Research</w:t>
      </w:r>
      <w:r w:rsidRPr="00B031A0">
        <w:rPr>
          <w:rFonts w:ascii="Arial" w:hAnsi="Arial" w:cs="Arial"/>
          <w:color w:val="000000"/>
        </w:rPr>
        <w:t>, [online] 19(1), pp.1–13. doi:10.1186/s12913-019-4347-z.</w:t>
      </w:r>
    </w:p>
    <w:p w:rsidRPr="00B031A0" w:rsidR="00776C49" w:rsidP="00D44D36" w:rsidRDefault="00776C49" w14:paraId="69579F24" w14:textId="77777777">
      <w:pPr>
        <w:spacing w:before="240"/>
        <w:rPr>
          <w:rFonts w:ascii="Arial" w:hAnsi="Arial" w:cs="Arial"/>
          <w:color w:val="000000"/>
        </w:rPr>
      </w:pPr>
      <w:r w:rsidRPr="00B031A0">
        <w:rPr>
          <w:rFonts w:ascii="Arial" w:hAnsi="Arial" w:cs="Arial"/>
          <w:color w:val="000000"/>
        </w:rPr>
        <w:t xml:space="preserve">Haque, M., McKimm, J., Sartelli, M., Dhingra, S., Labricciosa, F.M., Islam, S., Jahan, D., Nusrat, T., Chowdhury, T.S., Coccolini, F., Iskandar, K., Catena, F. and Charan, J. (2020). Strategies to prevent healthcare-associated infections: A narrative overview. </w:t>
      </w:r>
      <w:r w:rsidRPr="00B031A0">
        <w:rPr>
          <w:rFonts w:ascii="Arial" w:hAnsi="Arial" w:cs="Arial"/>
          <w:i/>
          <w:iCs/>
          <w:color w:val="000000"/>
        </w:rPr>
        <w:t>Risk Management and Healthcare Policy</w:t>
      </w:r>
      <w:r w:rsidRPr="00B031A0">
        <w:rPr>
          <w:rFonts w:ascii="Arial" w:hAnsi="Arial" w:cs="Arial"/>
          <w:color w:val="000000"/>
        </w:rPr>
        <w:t>, [online] 13(1), pp.1765–1780. doi:10.2147/RMHP.S269315.</w:t>
      </w:r>
    </w:p>
    <w:p w:rsidRPr="00B031A0" w:rsidR="00776C49" w:rsidP="00D44D36" w:rsidRDefault="00776C49" w14:paraId="61811D1D" w14:textId="77777777">
      <w:pPr>
        <w:spacing w:before="240"/>
        <w:rPr>
          <w:rFonts w:ascii="Arial" w:hAnsi="Arial" w:cs="Arial"/>
          <w:color w:val="000000"/>
        </w:rPr>
      </w:pPr>
      <w:r w:rsidRPr="00B031A0">
        <w:rPr>
          <w:rFonts w:ascii="Arial" w:hAnsi="Arial" w:cs="Arial"/>
          <w:color w:val="000000"/>
        </w:rPr>
        <w:t xml:space="preserve">Harb, S., Ghada Abu Shosha, Islam Ali Oweidat, Khalid Al-Mugheed, Alzoubi, M.M. and Mohammed, S. (2025). Compliance of infection control practices among registered nurses: A cross-sectional study. </w:t>
      </w:r>
      <w:r w:rsidRPr="00B031A0">
        <w:rPr>
          <w:rFonts w:ascii="Arial" w:hAnsi="Arial" w:cs="Arial"/>
          <w:i/>
          <w:iCs/>
          <w:color w:val="000000"/>
        </w:rPr>
        <w:t>PubMed</w:t>
      </w:r>
      <w:r w:rsidRPr="00B031A0">
        <w:rPr>
          <w:rFonts w:ascii="Arial" w:hAnsi="Arial" w:cs="Arial"/>
          <w:color w:val="000000"/>
        </w:rPr>
        <w:t>, [online] 104(14), pp.e42062-e42062. doi:10.1097/md.0000000000042062.</w:t>
      </w:r>
    </w:p>
    <w:p w:rsidR="00261247" w:rsidP="00261247" w:rsidRDefault="00261247" w14:paraId="7E26FF16" w14:textId="22F81300">
      <w:pPr>
        <w:rPr>
          <w:rFonts w:ascii="Arial" w:hAnsi="Arial" w:cs="Arial"/>
          <w:color w:val="000000" w:themeColor="text1"/>
        </w:rPr>
      </w:pPr>
      <w:r w:rsidRPr="008D347C">
        <w:rPr>
          <w:rFonts w:ascii="Arial" w:hAnsi="Arial" w:cs="Arial"/>
          <w:color w:val="000000" w:themeColor="text1"/>
        </w:rPr>
        <w:t xml:space="preserve">Haque, M., McKimm, J., Sartelli, M., Dhingra, S., Labricciosa, F.M., Islam, S., Jahan, D., Nusrat, T., Chowdhury, T.S., Coccolini, F. and Iskandar, K., </w:t>
      </w:r>
      <w:r w:rsidR="00AC118F">
        <w:rPr>
          <w:rFonts w:ascii="Arial" w:hAnsi="Arial" w:cs="Arial"/>
          <w:color w:val="000000" w:themeColor="text1"/>
        </w:rPr>
        <w:t>(</w:t>
      </w:r>
      <w:r w:rsidRPr="008D347C">
        <w:rPr>
          <w:rFonts w:ascii="Arial" w:hAnsi="Arial" w:cs="Arial"/>
          <w:color w:val="000000" w:themeColor="text1"/>
        </w:rPr>
        <w:t>2020</w:t>
      </w:r>
      <w:r w:rsidR="00AC118F">
        <w:rPr>
          <w:rFonts w:ascii="Arial" w:hAnsi="Arial" w:cs="Arial"/>
          <w:color w:val="000000" w:themeColor="text1"/>
        </w:rPr>
        <w:t>)</w:t>
      </w:r>
      <w:r w:rsidRPr="008D347C">
        <w:rPr>
          <w:rFonts w:ascii="Arial" w:hAnsi="Arial" w:cs="Arial"/>
          <w:color w:val="000000" w:themeColor="text1"/>
        </w:rPr>
        <w:t>. Strategies to prevent healthcare-associated infections: a narrative overview. </w:t>
      </w:r>
      <w:r w:rsidRPr="008D347C">
        <w:rPr>
          <w:rFonts w:ascii="Arial" w:hAnsi="Arial" w:cs="Arial"/>
          <w:i/>
          <w:iCs/>
          <w:color w:val="000000" w:themeColor="text1"/>
        </w:rPr>
        <w:t>Risk management and healthcare policy</w:t>
      </w:r>
      <w:r w:rsidRPr="008D347C">
        <w:rPr>
          <w:rFonts w:ascii="Arial" w:hAnsi="Arial" w:cs="Arial"/>
          <w:color w:val="000000" w:themeColor="text1"/>
        </w:rPr>
        <w:t>, pp.1765-1780.</w:t>
      </w:r>
    </w:p>
    <w:p w:rsidRPr="00B031A0" w:rsidR="00776C49" w:rsidP="00D44D36" w:rsidRDefault="00776C49" w14:paraId="4D1896CB" w14:textId="77777777">
      <w:pPr>
        <w:spacing w:before="240" w:after="240"/>
        <w:rPr>
          <w:rFonts w:ascii="Arial" w:hAnsi="Arial" w:cs="Arial"/>
          <w:color w:val="000000"/>
        </w:rPr>
      </w:pPr>
      <w:r w:rsidRPr="00B031A0">
        <w:rPr>
          <w:rFonts w:ascii="Arial" w:hAnsi="Arial" w:cs="Arial"/>
          <w:color w:val="000000"/>
        </w:rPr>
        <w:t xml:space="preserve">Hodgson, K.L., Lamport, D.J. and Laville, A. (2024). “Are you OK doctor?” An expanded health belief model exploration of doctors’ experiences and perspectives of on-shift health behaviour. </w:t>
      </w:r>
      <w:r w:rsidRPr="00B031A0">
        <w:rPr>
          <w:rFonts w:ascii="Arial" w:hAnsi="Arial" w:cs="Arial"/>
          <w:i/>
          <w:iCs/>
          <w:color w:val="000000"/>
        </w:rPr>
        <w:t>International Journal of Qualitative Studies on Health and Well-Being</w:t>
      </w:r>
      <w:r w:rsidRPr="00B031A0">
        <w:rPr>
          <w:rFonts w:ascii="Arial" w:hAnsi="Arial" w:cs="Arial"/>
          <w:color w:val="000000"/>
        </w:rPr>
        <w:t>, 19(1). doi:10.1080/17482631.2024.2388795.</w:t>
      </w:r>
    </w:p>
    <w:p w:rsidRPr="00B031A0" w:rsidR="00776C49" w:rsidP="00D44D36" w:rsidRDefault="00776C49" w14:paraId="435DCF80" w14:textId="77777777">
      <w:pPr>
        <w:spacing w:before="240"/>
        <w:rPr>
          <w:rFonts w:ascii="Arial" w:hAnsi="Arial" w:cs="Arial"/>
          <w:color w:val="000000"/>
        </w:rPr>
      </w:pPr>
      <w:r w:rsidRPr="00B031A0">
        <w:rPr>
          <w:rFonts w:ascii="Arial" w:hAnsi="Arial" w:cs="Arial"/>
          <w:color w:val="000000"/>
        </w:rPr>
        <w:t xml:space="preserve">Hoe GAN, W., Wah LIM, J. and KOH, D. (2020). Preventing intra-hospital infection and transmission of COVID-19 in healthcare workers. </w:t>
      </w:r>
      <w:r w:rsidRPr="00B031A0">
        <w:rPr>
          <w:rFonts w:ascii="Arial" w:hAnsi="Arial" w:cs="Arial"/>
          <w:i/>
          <w:iCs/>
          <w:color w:val="000000"/>
        </w:rPr>
        <w:t>Safety and Health at Work</w:t>
      </w:r>
      <w:r w:rsidRPr="00B031A0">
        <w:rPr>
          <w:rFonts w:ascii="Arial" w:hAnsi="Arial" w:cs="Arial"/>
          <w:color w:val="000000"/>
        </w:rPr>
        <w:t>, 11(2), pp.241–243. doi:10.1016/j.shaw.2020.03.001.</w:t>
      </w:r>
    </w:p>
    <w:p w:rsidRPr="00B031A0" w:rsidR="00776C49" w:rsidP="00D44D36" w:rsidRDefault="00776C49" w14:paraId="00EE2E9B" w14:textId="77777777">
      <w:pPr>
        <w:spacing w:before="240" w:after="240"/>
        <w:rPr>
          <w:rFonts w:ascii="Arial" w:hAnsi="Arial" w:cs="Arial"/>
          <w:color w:val="000000"/>
        </w:rPr>
      </w:pPr>
      <w:r w:rsidRPr="00B031A0">
        <w:rPr>
          <w:rFonts w:ascii="Arial" w:hAnsi="Arial" w:cs="Arial"/>
          <w:color w:val="000000"/>
        </w:rPr>
        <w:t xml:space="preserve">Hosseini, M.-S., Jahanshahlou, F., Akbarzadeh, M.-A., Zarei, M. and Vaez-Gharamaleki, Y. (2024). Formulating research questions for evidence-based studies. </w:t>
      </w:r>
      <w:r w:rsidRPr="00B031A0">
        <w:rPr>
          <w:rFonts w:ascii="Arial" w:hAnsi="Arial" w:cs="Arial"/>
          <w:i/>
          <w:iCs/>
          <w:color w:val="000000"/>
        </w:rPr>
        <w:t>Journal of Medicine, Surgery, and Public Health</w:t>
      </w:r>
      <w:r w:rsidRPr="00B031A0">
        <w:rPr>
          <w:rFonts w:ascii="Arial" w:hAnsi="Arial" w:cs="Arial"/>
          <w:color w:val="000000"/>
        </w:rPr>
        <w:t>, [online] 2(2), pp.1–5. doi:https://doi.org/10.1016/j.glmedi.2023.100046.</w:t>
      </w:r>
    </w:p>
    <w:p w:rsidRPr="00B031A0" w:rsidR="00776C49" w:rsidP="00D44D36" w:rsidRDefault="00776C49" w14:paraId="4C7EA043" w14:textId="77777777">
      <w:pPr>
        <w:spacing w:before="240"/>
        <w:rPr>
          <w:rFonts w:ascii="Arial" w:hAnsi="Arial" w:cs="Arial"/>
          <w:color w:val="000000"/>
        </w:rPr>
      </w:pPr>
      <w:r w:rsidRPr="00B031A0">
        <w:rPr>
          <w:rFonts w:ascii="Arial" w:hAnsi="Arial" w:cs="Arial"/>
          <w:color w:val="000000"/>
        </w:rPr>
        <w:t xml:space="preserve">Hunter Jackson Smith, Earl, J. and Dawson, L. (2023). The Ethics of Personal Behaviors for Preventing Infectious Diseases in a Post–COVID-19 Pandemic World. </w:t>
      </w:r>
      <w:r w:rsidRPr="00B031A0">
        <w:rPr>
          <w:rFonts w:ascii="Arial" w:hAnsi="Arial" w:cs="Arial"/>
          <w:i/>
          <w:iCs/>
          <w:color w:val="000000"/>
        </w:rPr>
        <w:t>Public Health Reports</w:t>
      </w:r>
      <w:r w:rsidRPr="00B031A0">
        <w:rPr>
          <w:rFonts w:ascii="Arial" w:hAnsi="Arial" w:cs="Arial"/>
          <w:color w:val="000000"/>
        </w:rPr>
        <w:t>, [online] 138(5), pp.822–828. doi:10.1177/00333549231184931.</w:t>
      </w:r>
    </w:p>
    <w:p w:rsidRPr="00B031A0" w:rsidR="00776C49" w:rsidP="00D44D36" w:rsidRDefault="00776C49" w14:paraId="30D70DC6" w14:textId="77777777">
      <w:pPr>
        <w:spacing w:before="240"/>
        <w:rPr>
          <w:rFonts w:ascii="Arial" w:hAnsi="Arial" w:cs="Arial"/>
          <w:color w:val="000000"/>
        </w:rPr>
      </w:pPr>
      <w:r w:rsidRPr="00B031A0">
        <w:rPr>
          <w:rFonts w:ascii="Arial" w:hAnsi="Arial" w:cs="Arial"/>
          <w:color w:val="000000"/>
        </w:rPr>
        <w:t xml:space="preserve">Issa, M., Dunne, S. and Dunne, C. (2022). Hand Hygiene Practices for Prevention of Health care-associated Infections Associated with Admitted Infectious Patients in the Emergency department: A Systematic Review. </w:t>
      </w:r>
      <w:r w:rsidRPr="00B031A0">
        <w:rPr>
          <w:rFonts w:ascii="Arial" w:hAnsi="Arial" w:cs="Arial"/>
          <w:i/>
          <w:iCs/>
          <w:color w:val="000000"/>
        </w:rPr>
        <w:t>Irish Journal of Medical Science (1971 -)</w:t>
      </w:r>
      <w:r w:rsidRPr="00B031A0">
        <w:rPr>
          <w:rFonts w:ascii="Arial" w:hAnsi="Arial" w:cs="Arial"/>
          <w:color w:val="000000"/>
        </w:rPr>
        <w:t>, 192(2). doi:10.1007/s11845-022-03004-y.</w:t>
      </w:r>
    </w:p>
    <w:p w:rsidR="00261247" w:rsidP="00261247" w:rsidRDefault="00261247" w14:paraId="71CA72B0" w14:textId="1BE20C0D">
      <w:pPr>
        <w:rPr>
          <w:rFonts w:ascii="Arial" w:hAnsi="Arial" w:cs="Arial"/>
          <w:color w:val="000000" w:themeColor="text1"/>
        </w:rPr>
      </w:pPr>
      <w:r w:rsidRPr="000F0265">
        <w:rPr>
          <w:rFonts w:ascii="Arial" w:hAnsi="Arial" w:cs="Arial"/>
          <w:color w:val="000000" w:themeColor="text1"/>
        </w:rPr>
        <w:t xml:space="preserve">Issac, A., Nayak, S.G., George, R., Priyadarshini, T. and Jacob, J., </w:t>
      </w:r>
      <w:r w:rsidR="00AC118F">
        <w:rPr>
          <w:rFonts w:ascii="Arial" w:hAnsi="Arial" w:cs="Arial"/>
          <w:color w:val="000000" w:themeColor="text1"/>
        </w:rPr>
        <w:t>(</w:t>
      </w:r>
      <w:r w:rsidRPr="000F0265">
        <w:rPr>
          <w:rFonts w:ascii="Arial" w:hAnsi="Arial" w:cs="Arial"/>
          <w:color w:val="000000" w:themeColor="text1"/>
        </w:rPr>
        <w:t>2026</w:t>
      </w:r>
      <w:r w:rsidR="00AC118F">
        <w:rPr>
          <w:rFonts w:ascii="Arial" w:hAnsi="Arial" w:cs="Arial"/>
          <w:color w:val="000000" w:themeColor="text1"/>
        </w:rPr>
        <w:t>)</w:t>
      </w:r>
      <w:r w:rsidRPr="000F0265">
        <w:rPr>
          <w:rFonts w:ascii="Arial" w:hAnsi="Arial" w:cs="Arial"/>
          <w:color w:val="000000" w:themeColor="text1"/>
        </w:rPr>
        <w:t>. Facilitators and barriers to hand hygiene compliance among health care providers in hospital settings: a qualitative systematic review. </w:t>
      </w:r>
      <w:r w:rsidRPr="000F0265">
        <w:rPr>
          <w:rFonts w:ascii="Arial" w:hAnsi="Arial" w:cs="Arial"/>
          <w:i/>
          <w:iCs/>
          <w:color w:val="000000" w:themeColor="text1"/>
        </w:rPr>
        <w:t>Nursing &amp; Health Sciences</w:t>
      </w:r>
      <w:r w:rsidRPr="000F0265">
        <w:rPr>
          <w:rFonts w:ascii="Arial" w:hAnsi="Arial" w:cs="Arial"/>
          <w:color w:val="000000" w:themeColor="text1"/>
        </w:rPr>
        <w:t>, </w:t>
      </w:r>
      <w:r w:rsidRPr="000F0265">
        <w:rPr>
          <w:rFonts w:ascii="Arial" w:hAnsi="Arial" w:cs="Arial"/>
          <w:i/>
          <w:iCs/>
          <w:color w:val="000000" w:themeColor="text1"/>
        </w:rPr>
        <w:t>28</w:t>
      </w:r>
      <w:r w:rsidRPr="000F0265">
        <w:rPr>
          <w:rFonts w:ascii="Arial" w:hAnsi="Arial" w:cs="Arial"/>
          <w:color w:val="000000" w:themeColor="text1"/>
        </w:rPr>
        <w:t>(1), p.e70297.</w:t>
      </w:r>
    </w:p>
    <w:p w:rsidRPr="00850089" w:rsidR="003A68B1" w:rsidP="003A68B1" w:rsidRDefault="003A68B1" w14:paraId="168A4BA3" w14:textId="59FFF211">
      <w:pPr>
        <w:rPr>
          <w:rFonts w:ascii="Arial" w:hAnsi="Arial" w:cs="Arial"/>
        </w:rPr>
      </w:pPr>
      <w:r w:rsidRPr="00850089">
        <w:rPr>
          <w:rFonts w:ascii="Arial" w:hAnsi="Arial" w:cs="Arial"/>
        </w:rPr>
        <w:t xml:space="preserve">Jeanes, A., Coen, P.G., Drey, N.S. and Gould, D.J., </w:t>
      </w:r>
      <w:r w:rsidR="00AC118F">
        <w:rPr>
          <w:rFonts w:ascii="Arial" w:hAnsi="Arial" w:cs="Arial"/>
        </w:rPr>
        <w:t>(</w:t>
      </w:r>
      <w:r w:rsidRPr="00850089">
        <w:rPr>
          <w:rFonts w:ascii="Arial" w:hAnsi="Arial" w:cs="Arial"/>
        </w:rPr>
        <w:t>2018</w:t>
      </w:r>
      <w:r w:rsidR="00AC118F">
        <w:rPr>
          <w:rFonts w:ascii="Arial" w:hAnsi="Arial" w:cs="Arial"/>
        </w:rPr>
        <w:t>)</w:t>
      </w:r>
      <w:r w:rsidRPr="00850089">
        <w:rPr>
          <w:rFonts w:ascii="Arial" w:hAnsi="Arial" w:cs="Arial"/>
        </w:rPr>
        <w:t>. The development of hand hygiene compliance imperatives in an emergency department. </w:t>
      </w:r>
      <w:r w:rsidRPr="00850089">
        <w:rPr>
          <w:rFonts w:ascii="Arial" w:hAnsi="Arial" w:cs="Arial"/>
          <w:i/>
          <w:iCs/>
        </w:rPr>
        <w:t>American journal of infection control</w:t>
      </w:r>
      <w:r w:rsidRPr="00850089">
        <w:rPr>
          <w:rFonts w:ascii="Arial" w:hAnsi="Arial" w:cs="Arial"/>
        </w:rPr>
        <w:t>, </w:t>
      </w:r>
      <w:r w:rsidRPr="00850089">
        <w:rPr>
          <w:rFonts w:ascii="Arial" w:hAnsi="Arial" w:cs="Arial"/>
          <w:i/>
          <w:iCs/>
        </w:rPr>
        <w:t>46</w:t>
      </w:r>
      <w:r w:rsidRPr="00850089">
        <w:rPr>
          <w:rFonts w:ascii="Arial" w:hAnsi="Arial" w:cs="Arial"/>
        </w:rPr>
        <w:t>(4), pp.441-447.</w:t>
      </w:r>
    </w:p>
    <w:p w:rsidR="00A66163" w:rsidP="00D44D36" w:rsidRDefault="00A66163" w14:paraId="10BA77A1" w14:textId="2740EBF4">
      <w:pPr>
        <w:spacing w:before="240"/>
        <w:rPr>
          <w:rFonts w:ascii="Arial" w:hAnsi="Arial" w:cs="Arial"/>
          <w:color w:val="000000"/>
        </w:rPr>
      </w:pPr>
      <w:r w:rsidRPr="00A66163">
        <w:rPr>
          <w:rFonts w:ascii="Arial" w:hAnsi="Arial" w:cs="Arial"/>
          <w:color w:val="000000"/>
        </w:rPr>
        <w:t xml:space="preserve">Johnston, A., Kelly, S.E., Hsieh, S.C., Skidmore, B. and Wells, G.A., </w:t>
      </w:r>
      <w:r w:rsidR="00B57467">
        <w:rPr>
          <w:rFonts w:ascii="Arial" w:hAnsi="Arial" w:cs="Arial"/>
          <w:color w:val="000000"/>
        </w:rPr>
        <w:t>(</w:t>
      </w:r>
      <w:r w:rsidRPr="00A66163">
        <w:rPr>
          <w:rFonts w:ascii="Arial" w:hAnsi="Arial" w:cs="Arial"/>
          <w:color w:val="000000"/>
        </w:rPr>
        <w:t>2019</w:t>
      </w:r>
      <w:r w:rsidR="00B57467">
        <w:rPr>
          <w:rFonts w:ascii="Arial" w:hAnsi="Arial" w:cs="Arial"/>
          <w:color w:val="000000"/>
        </w:rPr>
        <w:t>)</w:t>
      </w:r>
      <w:r w:rsidRPr="00A66163">
        <w:rPr>
          <w:rFonts w:ascii="Arial" w:hAnsi="Arial" w:cs="Arial"/>
          <w:color w:val="000000"/>
        </w:rPr>
        <w:t>. Systematic reviews of clinical practice guidelines: a methodological guide. </w:t>
      </w:r>
      <w:r w:rsidRPr="00A66163">
        <w:rPr>
          <w:rFonts w:ascii="Arial" w:hAnsi="Arial" w:cs="Arial"/>
          <w:i/>
          <w:iCs/>
          <w:color w:val="000000"/>
        </w:rPr>
        <w:t>Journal of clinical epidemiology</w:t>
      </w:r>
      <w:r w:rsidRPr="00A66163">
        <w:rPr>
          <w:rFonts w:ascii="Arial" w:hAnsi="Arial" w:cs="Arial"/>
          <w:color w:val="000000"/>
        </w:rPr>
        <w:t>, </w:t>
      </w:r>
      <w:r w:rsidRPr="00A66163">
        <w:rPr>
          <w:rFonts w:ascii="Arial" w:hAnsi="Arial" w:cs="Arial"/>
          <w:i/>
          <w:iCs/>
          <w:color w:val="000000"/>
        </w:rPr>
        <w:t>108</w:t>
      </w:r>
      <w:r w:rsidRPr="00A66163">
        <w:rPr>
          <w:rFonts w:ascii="Arial" w:hAnsi="Arial" w:cs="Arial"/>
          <w:color w:val="000000"/>
        </w:rPr>
        <w:t>, pp.64-76.</w:t>
      </w:r>
    </w:p>
    <w:p w:rsidRPr="00850089" w:rsidR="003A68B1" w:rsidP="003A68B1" w:rsidRDefault="003A68B1" w14:paraId="268C3321" w14:textId="6CB68FA0">
      <w:pPr>
        <w:rPr>
          <w:rFonts w:ascii="Arial" w:hAnsi="Arial" w:cs="Arial"/>
        </w:rPr>
      </w:pPr>
      <w:r w:rsidRPr="00850089">
        <w:rPr>
          <w:rFonts w:ascii="Arial" w:hAnsi="Arial" w:cs="Arial"/>
        </w:rPr>
        <w:t xml:space="preserve">Kaye, G. and Marais, D., </w:t>
      </w:r>
      <w:r w:rsidR="00D51085">
        <w:rPr>
          <w:rFonts w:ascii="Arial" w:hAnsi="Arial" w:cs="Arial"/>
        </w:rPr>
        <w:t>(</w:t>
      </w:r>
      <w:r w:rsidRPr="00850089">
        <w:rPr>
          <w:rFonts w:ascii="Arial" w:hAnsi="Arial" w:cs="Arial"/>
        </w:rPr>
        <w:t>2025</w:t>
      </w:r>
      <w:r w:rsidR="00D51085">
        <w:rPr>
          <w:rFonts w:ascii="Arial" w:hAnsi="Arial" w:cs="Arial"/>
        </w:rPr>
        <w:t>)</w:t>
      </w:r>
      <w:r w:rsidRPr="00850089">
        <w:rPr>
          <w:rFonts w:ascii="Arial" w:hAnsi="Arial" w:cs="Arial"/>
        </w:rPr>
        <w:t>. Why do staff comply? A study to determine factors influencing staff adherence to PPE and hand hygiene policy and standards within an acute healthcare setting. </w:t>
      </w:r>
      <w:r w:rsidRPr="00850089">
        <w:rPr>
          <w:rFonts w:ascii="Arial" w:hAnsi="Arial" w:cs="Arial"/>
          <w:i/>
          <w:iCs/>
        </w:rPr>
        <w:t>Journal of infection prevention</w:t>
      </w:r>
      <w:r w:rsidRPr="00850089">
        <w:rPr>
          <w:rFonts w:ascii="Arial" w:hAnsi="Arial" w:cs="Arial"/>
        </w:rPr>
        <w:t>, </w:t>
      </w:r>
      <w:r w:rsidRPr="00850089">
        <w:rPr>
          <w:rFonts w:ascii="Arial" w:hAnsi="Arial" w:cs="Arial"/>
          <w:i/>
          <w:iCs/>
        </w:rPr>
        <w:t>26</w:t>
      </w:r>
      <w:r w:rsidRPr="00850089">
        <w:rPr>
          <w:rFonts w:ascii="Arial" w:hAnsi="Arial" w:cs="Arial"/>
        </w:rPr>
        <w:t>(4), pp.161-166.</w:t>
      </w:r>
    </w:p>
    <w:p w:rsidRPr="00850089" w:rsidR="003A68B1" w:rsidP="003A68B1" w:rsidRDefault="003A68B1" w14:paraId="6B923CA5" w14:textId="045AF39F">
      <w:pPr>
        <w:rPr>
          <w:rFonts w:ascii="Arial" w:hAnsi="Arial" w:cs="Arial"/>
        </w:rPr>
      </w:pPr>
      <w:r w:rsidRPr="00850089">
        <w:rPr>
          <w:rFonts w:ascii="Arial" w:hAnsi="Arial" w:cs="Arial"/>
        </w:rPr>
        <w:t xml:space="preserve">Kelly, D., Purssell, E., Wigglesworth, N. and Gould, D.J., </w:t>
      </w:r>
      <w:r w:rsidR="002D1350">
        <w:rPr>
          <w:rFonts w:ascii="Arial" w:hAnsi="Arial" w:cs="Arial"/>
        </w:rPr>
        <w:t>(</w:t>
      </w:r>
      <w:r w:rsidRPr="00850089">
        <w:rPr>
          <w:rFonts w:ascii="Arial" w:hAnsi="Arial" w:cs="Arial"/>
        </w:rPr>
        <w:t>2021</w:t>
      </w:r>
      <w:r w:rsidR="002D1350">
        <w:rPr>
          <w:rFonts w:ascii="Arial" w:hAnsi="Arial" w:cs="Arial"/>
        </w:rPr>
        <w:t>)</w:t>
      </w:r>
      <w:r w:rsidRPr="00850089">
        <w:rPr>
          <w:rFonts w:ascii="Arial" w:hAnsi="Arial" w:cs="Arial"/>
        </w:rPr>
        <w:t>. Electronic hand hygiene monitoring systems can be well-tolerated by health workers: findings of a qualitative study. </w:t>
      </w:r>
      <w:r w:rsidRPr="00850089">
        <w:rPr>
          <w:rFonts w:ascii="Arial" w:hAnsi="Arial" w:cs="Arial"/>
          <w:i/>
          <w:iCs/>
        </w:rPr>
        <w:t>Journal of infection prevention</w:t>
      </w:r>
      <w:r w:rsidRPr="00850089">
        <w:rPr>
          <w:rFonts w:ascii="Arial" w:hAnsi="Arial" w:cs="Arial"/>
        </w:rPr>
        <w:t>, </w:t>
      </w:r>
      <w:r w:rsidRPr="00850089">
        <w:rPr>
          <w:rFonts w:ascii="Arial" w:hAnsi="Arial" w:cs="Arial"/>
          <w:i/>
          <w:iCs/>
        </w:rPr>
        <w:t>22</w:t>
      </w:r>
      <w:r w:rsidRPr="00850089">
        <w:rPr>
          <w:rFonts w:ascii="Arial" w:hAnsi="Arial" w:cs="Arial"/>
        </w:rPr>
        <w:t>(6), pp.246-251.</w:t>
      </w:r>
    </w:p>
    <w:p w:rsidRPr="00850089" w:rsidR="003A68B1" w:rsidP="003A68B1" w:rsidRDefault="003A68B1" w14:paraId="642D86F7" w14:textId="21DCFDF8">
      <w:pPr>
        <w:rPr>
          <w:rFonts w:ascii="Arial" w:hAnsi="Arial" w:cs="Arial"/>
          <w:color w:val="000000" w:themeColor="text1"/>
        </w:rPr>
      </w:pPr>
      <w:r w:rsidRPr="00850089">
        <w:rPr>
          <w:rFonts w:ascii="Arial" w:hAnsi="Arial" w:cs="Arial"/>
        </w:rPr>
        <w:t xml:space="preserve">King, M.F., Noakes, C.J., Sleigh, P.A., Bale, S. and Waters, L., </w:t>
      </w:r>
      <w:r w:rsidR="00152969">
        <w:rPr>
          <w:rFonts w:ascii="Arial" w:hAnsi="Arial" w:cs="Arial"/>
        </w:rPr>
        <w:t>(</w:t>
      </w:r>
      <w:r w:rsidRPr="00850089">
        <w:rPr>
          <w:rFonts w:ascii="Arial" w:hAnsi="Arial" w:cs="Arial"/>
        </w:rPr>
        <w:t>2016</w:t>
      </w:r>
      <w:r w:rsidR="00152969">
        <w:rPr>
          <w:rFonts w:ascii="Arial" w:hAnsi="Arial" w:cs="Arial"/>
        </w:rPr>
        <w:t>)</w:t>
      </w:r>
      <w:r w:rsidRPr="00850089">
        <w:rPr>
          <w:rFonts w:ascii="Arial" w:hAnsi="Arial" w:cs="Arial"/>
        </w:rPr>
        <w:t>. Relationship between healthcare worker surface contacts, care type and hand hygiene: an observational study in a single-bed hospital ward. </w:t>
      </w:r>
      <w:r w:rsidRPr="00850089">
        <w:rPr>
          <w:rFonts w:ascii="Arial" w:hAnsi="Arial" w:cs="Arial"/>
          <w:i/>
          <w:iCs/>
        </w:rPr>
        <w:t>Journal of Hospital Infection</w:t>
      </w:r>
      <w:r w:rsidRPr="00850089">
        <w:rPr>
          <w:rFonts w:ascii="Arial" w:hAnsi="Arial" w:cs="Arial"/>
        </w:rPr>
        <w:t>, </w:t>
      </w:r>
      <w:r w:rsidRPr="00850089">
        <w:rPr>
          <w:rFonts w:ascii="Arial" w:hAnsi="Arial" w:cs="Arial"/>
          <w:i/>
          <w:iCs/>
        </w:rPr>
        <w:t>94</w:t>
      </w:r>
      <w:r w:rsidRPr="00850089">
        <w:rPr>
          <w:rFonts w:ascii="Arial" w:hAnsi="Arial" w:cs="Arial"/>
        </w:rPr>
        <w:t>(1), pp.48-51.</w:t>
      </w:r>
    </w:p>
    <w:p w:rsidRPr="00B031A0" w:rsidR="00776C49" w:rsidP="00D44D36" w:rsidRDefault="00776C49" w14:paraId="4538254B" w14:textId="6140DF11">
      <w:pPr>
        <w:spacing w:before="240"/>
        <w:rPr>
          <w:rFonts w:ascii="Arial" w:hAnsi="Arial" w:cs="Arial"/>
          <w:color w:val="000000"/>
        </w:rPr>
      </w:pPr>
      <w:r w:rsidRPr="00810CDF">
        <w:rPr>
          <w:rFonts w:ascii="Arial" w:hAnsi="Arial" w:cs="Arial"/>
          <w:color w:val="000000"/>
          <w:lang w:val="en-US"/>
        </w:rPr>
        <w:t xml:space="preserve">Knudsen, A.R., Hansen, M.B. and Møller, J.K. (2023). </w:t>
      </w:r>
      <w:r w:rsidRPr="00B031A0">
        <w:rPr>
          <w:rFonts w:ascii="Arial" w:hAnsi="Arial" w:cs="Arial"/>
          <w:color w:val="000000"/>
        </w:rPr>
        <w:t xml:space="preserve">Individual hand hygiene improvements and effects on healthcare-associated infections: A long-term follow-up study using an electronic hand hygiene monitoring system. </w:t>
      </w:r>
      <w:r w:rsidRPr="00B031A0">
        <w:rPr>
          <w:rFonts w:ascii="Arial" w:hAnsi="Arial" w:cs="Arial"/>
          <w:i/>
          <w:iCs/>
          <w:color w:val="000000"/>
        </w:rPr>
        <w:t>Journal of Hospital Infection</w:t>
      </w:r>
      <w:r w:rsidRPr="00B031A0">
        <w:rPr>
          <w:rFonts w:ascii="Arial" w:hAnsi="Arial" w:cs="Arial"/>
          <w:color w:val="000000"/>
        </w:rPr>
        <w:t>, 135, pp.179–185. doi:10.1016/j.jhin.2023.02.017.</w:t>
      </w:r>
    </w:p>
    <w:p w:rsidRPr="00B031A0" w:rsidR="00776C49" w:rsidP="00776C49" w:rsidRDefault="00776C49" w14:paraId="15FB8936" w14:textId="77777777">
      <w:pPr>
        <w:spacing w:after="240"/>
        <w:rPr>
          <w:rFonts w:ascii="Arial" w:hAnsi="Arial" w:cs="Arial"/>
          <w:color w:val="000000" w:themeColor="text1"/>
        </w:rPr>
      </w:pPr>
      <w:r w:rsidRPr="00B031A0">
        <w:rPr>
          <w:rFonts w:ascii="Arial" w:hAnsi="Arial" w:cs="Arial"/>
          <w:color w:val="000000" w:themeColor="text1"/>
        </w:rPr>
        <w:t xml:space="preserve">Koh, E.Y.H., Koh, K.K., Renganathan, Y. and Krishna, L. (2023). Role modelling in professional identity formation: A systematic scoping review. </w:t>
      </w:r>
      <w:r w:rsidRPr="00B031A0">
        <w:rPr>
          <w:rFonts w:ascii="Arial" w:hAnsi="Arial" w:cs="Arial"/>
          <w:i/>
          <w:iCs/>
          <w:color w:val="000000" w:themeColor="text1"/>
        </w:rPr>
        <w:t>BMC Medical Education</w:t>
      </w:r>
      <w:r w:rsidRPr="00B031A0">
        <w:rPr>
          <w:rFonts w:ascii="Arial" w:hAnsi="Arial" w:cs="Arial"/>
          <w:color w:val="000000" w:themeColor="text1"/>
        </w:rPr>
        <w:t>, [online] 23(1). doi:10.1186/s12909-023-04144-0.</w:t>
      </w:r>
    </w:p>
    <w:p w:rsidRPr="00B031A0" w:rsidR="00776C49" w:rsidP="00D44D36" w:rsidRDefault="00776C49" w14:paraId="6DCBA3B9" w14:textId="77777777">
      <w:pPr>
        <w:spacing w:before="240" w:after="240"/>
        <w:rPr>
          <w:rFonts w:ascii="Arial" w:hAnsi="Arial" w:cs="Arial"/>
          <w:color w:val="000000"/>
        </w:rPr>
      </w:pPr>
      <w:r w:rsidRPr="00B031A0">
        <w:rPr>
          <w:rFonts w:ascii="Arial" w:hAnsi="Arial" w:cs="Arial"/>
          <w:color w:val="000000" w:themeColor="text1"/>
        </w:rPr>
        <w:t xml:space="preserve">Kousha, K., Thelwall, M. and Bickley, M. (2022). The high </w:t>
      </w:r>
      <w:r w:rsidRPr="00B031A0">
        <w:rPr>
          <w:rFonts w:ascii="Arial" w:hAnsi="Arial" w:cs="Arial"/>
          <w:color w:val="000000"/>
        </w:rPr>
        <w:t xml:space="preserve">scholarly value of grey literature before and during Covid-19. </w:t>
      </w:r>
      <w:r w:rsidRPr="00B031A0">
        <w:rPr>
          <w:rFonts w:ascii="Arial" w:hAnsi="Arial" w:cs="Arial"/>
          <w:i/>
          <w:iCs/>
          <w:color w:val="000000"/>
        </w:rPr>
        <w:t>Scientometrics</w:t>
      </w:r>
      <w:r w:rsidRPr="00B031A0">
        <w:rPr>
          <w:rFonts w:ascii="Arial" w:hAnsi="Arial" w:cs="Arial"/>
          <w:color w:val="000000"/>
        </w:rPr>
        <w:t>. doi:10.1007/s11192-022-04398-3.</w:t>
      </w:r>
    </w:p>
    <w:p w:rsidRPr="00B031A0" w:rsidR="00776C49" w:rsidP="00D44D36" w:rsidRDefault="00A84635" w14:paraId="3854D882" w14:textId="77777777">
      <w:pPr>
        <w:spacing w:before="240" w:after="240"/>
        <w:rPr>
          <w:rFonts w:ascii="Arial" w:hAnsi="Arial" w:cs="Arial"/>
          <w:color w:val="000000"/>
        </w:rPr>
      </w:pPr>
      <w:sdt>
        <w:sdtPr>
          <w:rPr>
            <w:rFonts w:ascii="Arial" w:hAnsi="Arial" w:cs="Arial"/>
          </w:rPr>
          <w:tag w:val="goog_rdk_18"/>
          <w:id w:val="-26179814"/>
        </w:sdtPr>
        <w:sdtContent>
          <w:r w:rsidRPr="00B031A0" w:rsidR="00776C49">
            <w:rPr>
              <w:rFonts w:ascii="Arial" w:hAnsi="Arial" w:eastAsia="Gungsuh" w:cs="Arial"/>
              <w:color w:val="000000"/>
            </w:rPr>
            <w:t xml:space="preserve">Kumar, A., Kumar, A., Tyagi, A., Singh, R. and Charaya, M.U. (2026). A review of bloodstream infections−pathogens, pathogenesis, diagnostic strategies, treatment methods−challenges and future aspects. </w:t>
          </w:r>
        </w:sdtContent>
      </w:sdt>
      <w:r w:rsidRPr="00B031A0" w:rsidR="00776C49">
        <w:rPr>
          <w:rFonts w:ascii="Arial" w:hAnsi="Arial" w:cs="Arial"/>
          <w:i/>
          <w:iCs/>
          <w:color w:val="000000"/>
        </w:rPr>
        <w:t>European Journal of Clinical Microbiology &amp; Infectious Diseases</w:t>
      </w:r>
      <w:r w:rsidRPr="00B031A0" w:rsidR="00776C49">
        <w:rPr>
          <w:rFonts w:ascii="Arial" w:hAnsi="Arial" w:cs="Arial"/>
          <w:color w:val="000000"/>
        </w:rPr>
        <w:t>. doi:10.1007/s10096-026-05577-3.</w:t>
      </w:r>
    </w:p>
    <w:p w:rsidRPr="00B031A0" w:rsidR="00776C49" w:rsidP="00D44D36" w:rsidRDefault="00776C49" w14:paraId="2A02C713" w14:textId="77777777">
      <w:pPr>
        <w:spacing w:before="240" w:after="240"/>
        <w:rPr>
          <w:rFonts w:ascii="Arial" w:hAnsi="Arial" w:cs="Arial"/>
          <w:color w:val="000000"/>
        </w:rPr>
      </w:pPr>
      <w:r w:rsidRPr="00B031A0">
        <w:rPr>
          <w:rFonts w:ascii="Arial" w:hAnsi="Arial" w:cs="Arial"/>
          <w:color w:val="000000"/>
        </w:rPr>
        <w:t>Kumar, S. (2024). Inductive and deductive approaches to qualitative research. [online] Available at: http://ijmer.s3.amazonaws.com/pdf/volume13/volume13-issue1(4)/9.pdf [Accessed 5 Aug. 2026].</w:t>
      </w:r>
    </w:p>
    <w:p w:rsidRPr="00B031A0" w:rsidR="00776C49" w:rsidP="00D44D36" w:rsidRDefault="00776C49" w14:paraId="479BE132" w14:textId="77777777">
      <w:pPr>
        <w:spacing w:before="240" w:after="240"/>
        <w:rPr>
          <w:rFonts w:ascii="Arial" w:hAnsi="Arial" w:cs="Arial"/>
          <w:color w:val="000000"/>
        </w:rPr>
      </w:pPr>
      <w:r w:rsidRPr="00B031A0">
        <w:rPr>
          <w:rFonts w:ascii="Arial" w:hAnsi="Arial" w:cs="Arial"/>
          <w:color w:val="000000"/>
          <w:lang w:val="sv-SE"/>
        </w:rPr>
        <w:t xml:space="preserve">Kumar, S., Kumar, S., Singh, A., Singh, B., Amit Vasant Mahuli and Awanindra Kumar Jha (2023). </w:t>
      </w:r>
      <w:r w:rsidRPr="00B031A0">
        <w:rPr>
          <w:rFonts w:ascii="Arial" w:hAnsi="Arial" w:cs="Arial"/>
          <w:color w:val="000000"/>
        </w:rPr>
        <w:t xml:space="preserve">Assessment of nursing staff\’s knowledge, attitude and practice regarding oral hygiene care in intensive care unit patients: A multicenter cross-sectional study. </w:t>
      </w:r>
      <w:r w:rsidRPr="00B031A0">
        <w:rPr>
          <w:rFonts w:ascii="Arial" w:hAnsi="Arial" w:cs="Arial"/>
          <w:i/>
          <w:iCs/>
          <w:color w:val="000000"/>
        </w:rPr>
        <w:t>Indian Journal of Critical Care Medicine</w:t>
      </w:r>
      <w:r w:rsidRPr="00B031A0">
        <w:rPr>
          <w:rFonts w:ascii="Arial" w:hAnsi="Arial" w:cs="Arial"/>
          <w:color w:val="000000"/>
        </w:rPr>
        <w:t>, 28(1), pp.48–57. doi:10.5005/jp-journals-10071-24601.</w:t>
      </w:r>
    </w:p>
    <w:p w:rsidRPr="00B031A0" w:rsidR="00776C49" w:rsidP="00D44D36" w:rsidRDefault="00776C49" w14:paraId="421B04F8" w14:textId="77777777">
      <w:pPr>
        <w:spacing w:before="240" w:after="240"/>
        <w:rPr>
          <w:rFonts w:ascii="Arial" w:hAnsi="Arial" w:cs="Arial"/>
          <w:color w:val="000000"/>
        </w:rPr>
      </w:pPr>
      <w:r w:rsidRPr="00B031A0">
        <w:rPr>
          <w:rFonts w:ascii="Arial" w:hAnsi="Arial" w:cs="Arial"/>
          <w:color w:val="000000"/>
        </w:rPr>
        <w:t xml:space="preserve">Kutter, J.S., Spronken, M.I., Fraaij, P.L., Fouchier, R.A. and Herfst, S. (2018). Transmission routes of respiratory viruses among humans. </w:t>
      </w:r>
      <w:r w:rsidRPr="00B031A0">
        <w:rPr>
          <w:rFonts w:ascii="Arial" w:hAnsi="Arial" w:cs="Arial"/>
          <w:i/>
          <w:iCs/>
          <w:color w:val="000000"/>
        </w:rPr>
        <w:t>Current Opinion in Virology</w:t>
      </w:r>
      <w:r w:rsidRPr="00B031A0">
        <w:rPr>
          <w:rFonts w:ascii="Arial" w:hAnsi="Arial" w:cs="Arial"/>
          <w:color w:val="000000"/>
        </w:rPr>
        <w:t>, [online] 28, pp.142–151. doi:10.1016/j.coviro.2018.01.001.</w:t>
      </w:r>
    </w:p>
    <w:p w:rsidRPr="00B031A0" w:rsidR="00776C49" w:rsidP="00D44D36" w:rsidRDefault="00776C49" w14:paraId="219A74B7" w14:textId="77777777">
      <w:pPr>
        <w:spacing w:before="240" w:after="240"/>
        <w:rPr>
          <w:rFonts w:ascii="Arial" w:hAnsi="Arial" w:cs="Arial"/>
          <w:color w:val="000000"/>
        </w:rPr>
      </w:pPr>
      <w:r w:rsidRPr="00B031A0">
        <w:rPr>
          <w:rFonts w:ascii="Arial" w:hAnsi="Arial" w:cs="Arial"/>
          <w:color w:val="000000"/>
        </w:rPr>
        <w:t xml:space="preserve">Laari, L. (2025). Inductive-deductive qualitative data analysis logic in health sciences research: A framework for analysing qualitative data. </w:t>
      </w:r>
      <w:r w:rsidRPr="00B031A0">
        <w:rPr>
          <w:rFonts w:ascii="Arial" w:hAnsi="Arial" w:cs="Arial"/>
          <w:i/>
          <w:iCs/>
          <w:color w:val="000000"/>
        </w:rPr>
        <w:t>International Journal of Qualitative Methods</w:t>
      </w:r>
      <w:r w:rsidRPr="00B031A0">
        <w:rPr>
          <w:rFonts w:ascii="Arial" w:hAnsi="Arial" w:cs="Arial"/>
          <w:color w:val="000000"/>
        </w:rPr>
        <w:t>, 24. doi:10.1177/16094069251381706.</w:t>
      </w:r>
    </w:p>
    <w:p w:rsidRPr="00B031A0" w:rsidR="00776C49" w:rsidP="00D44D36" w:rsidRDefault="00776C49" w14:paraId="6325613A" w14:textId="77777777">
      <w:pPr>
        <w:spacing w:before="240" w:after="240"/>
        <w:rPr>
          <w:rFonts w:ascii="Arial" w:hAnsi="Arial" w:cs="Arial"/>
          <w:color w:val="000000"/>
        </w:rPr>
      </w:pPr>
      <w:r w:rsidRPr="00B031A0">
        <w:rPr>
          <w:rFonts w:ascii="Arial" w:hAnsi="Arial" w:cs="Arial"/>
          <w:color w:val="000000"/>
        </w:rPr>
        <w:t xml:space="preserve">Letellier, S., Boyer, F., Bacqueville, D., Duplan, H., Perrin, L. and Lapalud, P. (2022). How to ensure consumers will be satisfied with a new sustainable sun care product developed for extreme environmental conditions. </w:t>
      </w:r>
      <w:r w:rsidRPr="00B031A0">
        <w:rPr>
          <w:rFonts w:ascii="Arial" w:hAnsi="Arial" w:cs="Arial"/>
          <w:i/>
          <w:iCs/>
          <w:color w:val="000000"/>
        </w:rPr>
        <w:t>Food Quality and Preference</w:t>
      </w:r>
      <w:r w:rsidRPr="00B031A0">
        <w:rPr>
          <w:rFonts w:ascii="Arial" w:hAnsi="Arial" w:cs="Arial"/>
          <w:color w:val="000000"/>
        </w:rPr>
        <w:t>, 102, p.104661. doi:10.1016/j.foodqual.2022.104661.</w:t>
      </w:r>
    </w:p>
    <w:p w:rsidR="00027DAE" w:rsidP="00027DAE" w:rsidRDefault="00027DAE" w14:paraId="03A45D3F" w14:textId="03AF88DB">
      <w:pPr>
        <w:rPr>
          <w:rFonts w:ascii="Arial" w:hAnsi="Arial" w:cs="Arial"/>
          <w:color w:val="000000" w:themeColor="text1"/>
        </w:rPr>
      </w:pPr>
      <w:r w:rsidRPr="00AA0674">
        <w:rPr>
          <w:rFonts w:ascii="Arial" w:hAnsi="Arial" w:cs="Arial"/>
          <w:color w:val="000000" w:themeColor="text1"/>
        </w:rPr>
        <w:t xml:space="preserve">Laskar, A.M., Deepashree, R., Bhat, P., Pottakkat, B., Narayan, S., Sastry, A.S. and Sneha, R., </w:t>
      </w:r>
      <w:r w:rsidR="00F62BCB">
        <w:rPr>
          <w:rFonts w:ascii="Arial" w:hAnsi="Arial" w:cs="Arial"/>
          <w:color w:val="000000" w:themeColor="text1"/>
        </w:rPr>
        <w:t>(</w:t>
      </w:r>
      <w:r w:rsidRPr="00AA0674">
        <w:rPr>
          <w:rFonts w:ascii="Arial" w:hAnsi="Arial" w:cs="Arial"/>
          <w:color w:val="000000" w:themeColor="text1"/>
        </w:rPr>
        <w:t>2018</w:t>
      </w:r>
      <w:r w:rsidR="00F62BCB">
        <w:rPr>
          <w:rFonts w:ascii="Arial" w:hAnsi="Arial" w:cs="Arial"/>
          <w:color w:val="000000" w:themeColor="text1"/>
        </w:rPr>
        <w:t>)</w:t>
      </w:r>
      <w:r w:rsidRPr="00AA0674">
        <w:rPr>
          <w:rFonts w:ascii="Arial" w:hAnsi="Arial" w:cs="Arial"/>
          <w:color w:val="000000" w:themeColor="text1"/>
        </w:rPr>
        <w:t>. A multimodal intervention to improve hand hygiene compliance in a tertiary care center. </w:t>
      </w:r>
      <w:r w:rsidRPr="00AA0674">
        <w:rPr>
          <w:rFonts w:ascii="Arial" w:hAnsi="Arial" w:cs="Arial"/>
          <w:i/>
          <w:iCs/>
          <w:color w:val="000000" w:themeColor="text1"/>
        </w:rPr>
        <w:t>American Journal of Infection Control</w:t>
      </w:r>
      <w:r w:rsidRPr="00AA0674">
        <w:rPr>
          <w:rFonts w:ascii="Arial" w:hAnsi="Arial" w:cs="Arial"/>
          <w:color w:val="000000" w:themeColor="text1"/>
        </w:rPr>
        <w:t>, </w:t>
      </w:r>
      <w:r w:rsidRPr="00AA0674">
        <w:rPr>
          <w:rFonts w:ascii="Arial" w:hAnsi="Arial" w:cs="Arial"/>
          <w:i/>
          <w:iCs/>
          <w:color w:val="000000" w:themeColor="text1"/>
        </w:rPr>
        <w:t>46</w:t>
      </w:r>
      <w:r w:rsidRPr="00AA0674">
        <w:rPr>
          <w:rFonts w:ascii="Arial" w:hAnsi="Arial" w:cs="Arial"/>
          <w:color w:val="000000" w:themeColor="text1"/>
        </w:rPr>
        <w:t>(7), pp.775-780.</w:t>
      </w:r>
    </w:p>
    <w:p w:rsidR="00027DAE" w:rsidP="00027DAE" w:rsidRDefault="00027DAE" w14:paraId="5399EAD0" w14:textId="2C7E354B">
      <w:pPr>
        <w:rPr>
          <w:rFonts w:ascii="Arial" w:hAnsi="Arial" w:cs="Arial"/>
          <w:color w:val="000000" w:themeColor="text1"/>
        </w:rPr>
      </w:pPr>
      <w:r w:rsidRPr="00AA0674">
        <w:rPr>
          <w:rFonts w:ascii="Arial" w:hAnsi="Arial" w:cs="Arial"/>
          <w:color w:val="000000" w:themeColor="text1"/>
        </w:rPr>
        <w:t xml:space="preserve">Lotfinejad, N., Peters, A., Tartari, E., Fankhauser-Rodriguez, C., Pires, D. and Pittet, D., </w:t>
      </w:r>
      <w:r w:rsidR="00E5048A">
        <w:rPr>
          <w:rFonts w:ascii="Arial" w:hAnsi="Arial" w:cs="Arial"/>
          <w:color w:val="000000" w:themeColor="text1"/>
        </w:rPr>
        <w:t>(</w:t>
      </w:r>
      <w:r w:rsidRPr="00AA0674">
        <w:rPr>
          <w:rFonts w:ascii="Arial" w:hAnsi="Arial" w:cs="Arial"/>
          <w:color w:val="000000" w:themeColor="text1"/>
        </w:rPr>
        <w:t>2021</w:t>
      </w:r>
      <w:r w:rsidR="00E5048A">
        <w:rPr>
          <w:rFonts w:ascii="Arial" w:hAnsi="Arial" w:cs="Arial"/>
          <w:color w:val="000000" w:themeColor="text1"/>
        </w:rPr>
        <w:t>)</w:t>
      </w:r>
      <w:r w:rsidRPr="00AA0674">
        <w:rPr>
          <w:rFonts w:ascii="Arial" w:hAnsi="Arial" w:cs="Arial"/>
          <w:color w:val="000000" w:themeColor="text1"/>
        </w:rPr>
        <w:t>. Hand hygiene in health care: 20 years of ongoing advances and perspectives. </w:t>
      </w:r>
      <w:r w:rsidRPr="00AA0674">
        <w:rPr>
          <w:rFonts w:ascii="Arial" w:hAnsi="Arial" w:cs="Arial"/>
          <w:i/>
          <w:iCs/>
          <w:color w:val="000000" w:themeColor="text1"/>
        </w:rPr>
        <w:t>The Lancet infectious diseases</w:t>
      </w:r>
      <w:r w:rsidRPr="00AA0674">
        <w:rPr>
          <w:rFonts w:ascii="Arial" w:hAnsi="Arial" w:cs="Arial"/>
          <w:color w:val="000000" w:themeColor="text1"/>
        </w:rPr>
        <w:t>, </w:t>
      </w:r>
      <w:r w:rsidRPr="00AA0674">
        <w:rPr>
          <w:rFonts w:ascii="Arial" w:hAnsi="Arial" w:cs="Arial"/>
          <w:i/>
          <w:iCs/>
          <w:color w:val="000000" w:themeColor="text1"/>
        </w:rPr>
        <w:t>21</w:t>
      </w:r>
      <w:r w:rsidRPr="00AA0674">
        <w:rPr>
          <w:rFonts w:ascii="Arial" w:hAnsi="Arial" w:cs="Arial"/>
          <w:color w:val="000000" w:themeColor="text1"/>
        </w:rPr>
        <w:t>(8), pp.e209-e221.</w:t>
      </w:r>
    </w:p>
    <w:p w:rsidR="00027DAE" w:rsidP="00027DAE" w:rsidRDefault="00027DAE" w14:paraId="52D21EDA" w14:textId="7BD8EA4D">
      <w:pPr>
        <w:rPr>
          <w:rFonts w:ascii="Arial" w:hAnsi="Arial" w:cs="Arial"/>
          <w:color w:val="000000" w:themeColor="text1"/>
        </w:rPr>
      </w:pPr>
      <w:r w:rsidRPr="00AA0674">
        <w:rPr>
          <w:rFonts w:ascii="Arial" w:hAnsi="Arial" w:cs="Arial"/>
          <w:color w:val="000000" w:themeColor="text1"/>
        </w:rPr>
        <w:t xml:space="preserve">Luangasanatip, N., Hongsuwan, M., Limmathurotsakul, D., Lubell, Y., Lee, A.S., Harbarth, S., Day, N.P., Graves, N. and Cooper, B.S., </w:t>
      </w:r>
      <w:r w:rsidR="00161187">
        <w:rPr>
          <w:rFonts w:ascii="Arial" w:hAnsi="Arial" w:cs="Arial"/>
          <w:color w:val="000000" w:themeColor="text1"/>
        </w:rPr>
        <w:t>(</w:t>
      </w:r>
      <w:r w:rsidRPr="00AA0674">
        <w:rPr>
          <w:rFonts w:ascii="Arial" w:hAnsi="Arial" w:cs="Arial"/>
          <w:color w:val="000000" w:themeColor="text1"/>
        </w:rPr>
        <w:t>2015</w:t>
      </w:r>
      <w:r w:rsidR="00161187">
        <w:rPr>
          <w:rFonts w:ascii="Arial" w:hAnsi="Arial" w:cs="Arial"/>
          <w:color w:val="000000" w:themeColor="text1"/>
        </w:rPr>
        <w:t>)</w:t>
      </w:r>
      <w:r w:rsidRPr="00AA0674">
        <w:rPr>
          <w:rFonts w:ascii="Arial" w:hAnsi="Arial" w:cs="Arial"/>
          <w:color w:val="000000" w:themeColor="text1"/>
        </w:rPr>
        <w:t>. Comparative efficacy of interventions to promote hand hygiene in hospital: systematic review and network meta-analysis. </w:t>
      </w:r>
      <w:r w:rsidRPr="00AA0674">
        <w:rPr>
          <w:rFonts w:ascii="Arial" w:hAnsi="Arial" w:cs="Arial"/>
          <w:i/>
          <w:iCs/>
          <w:color w:val="000000" w:themeColor="text1"/>
        </w:rPr>
        <w:t>Bmj</w:t>
      </w:r>
      <w:r w:rsidRPr="00AA0674">
        <w:rPr>
          <w:rFonts w:ascii="Arial" w:hAnsi="Arial" w:cs="Arial"/>
          <w:color w:val="000000" w:themeColor="text1"/>
        </w:rPr>
        <w:t>, </w:t>
      </w:r>
      <w:r w:rsidRPr="00AA0674">
        <w:rPr>
          <w:rFonts w:ascii="Arial" w:hAnsi="Arial" w:cs="Arial"/>
          <w:i/>
          <w:iCs/>
          <w:color w:val="000000" w:themeColor="text1"/>
        </w:rPr>
        <w:t>351</w:t>
      </w:r>
      <w:r w:rsidRPr="00AA0674">
        <w:rPr>
          <w:rFonts w:ascii="Arial" w:hAnsi="Arial" w:cs="Arial"/>
          <w:color w:val="000000" w:themeColor="text1"/>
        </w:rPr>
        <w:t>.</w:t>
      </w:r>
    </w:p>
    <w:p w:rsidRPr="00B031A0" w:rsidR="00776C49" w:rsidP="00D44D36" w:rsidRDefault="00776C49" w14:paraId="760D34F3" w14:textId="77777777">
      <w:pPr>
        <w:spacing w:before="240"/>
        <w:rPr>
          <w:rFonts w:ascii="Arial" w:hAnsi="Arial" w:cs="Arial"/>
          <w:color w:val="000000"/>
        </w:rPr>
      </w:pPr>
      <w:r w:rsidRPr="00B031A0">
        <w:rPr>
          <w:rFonts w:ascii="Arial" w:hAnsi="Arial" w:cs="Arial"/>
          <w:color w:val="000000"/>
        </w:rPr>
        <w:t xml:space="preserve">Loftus, M.J., Guitart, C., Tartari, E., Stewardson, A.J., Amer, F., Bellissimo-Rodrigues, F., Lee, Y.F., Mehtar, S., Sithole, B.L. and Pittet, D. (2019). Hand hygiene in low- and middle-income countries. </w:t>
      </w:r>
      <w:r w:rsidRPr="00B031A0">
        <w:rPr>
          <w:rFonts w:ascii="Arial" w:hAnsi="Arial" w:cs="Arial"/>
          <w:i/>
          <w:iCs/>
          <w:color w:val="000000"/>
        </w:rPr>
        <w:t>International Journal of Infectious Diseases</w:t>
      </w:r>
      <w:r w:rsidRPr="00B031A0">
        <w:rPr>
          <w:rFonts w:ascii="Arial" w:hAnsi="Arial" w:cs="Arial"/>
          <w:color w:val="000000"/>
        </w:rPr>
        <w:t>, [online] 86(86), pp.25–30. doi:10.1016/j.ijid.2019.06.002.</w:t>
      </w:r>
    </w:p>
    <w:p w:rsidRPr="00850089" w:rsidR="003A68B1" w:rsidP="003A68B1" w:rsidRDefault="003A68B1" w14:paraId="29310856" w14:textId="78C94F63">
      <w:pPr>
        <w:rPr>
          <w:rFonts w:ascii="Arial" w:hAnsi="Arial" w:cs="Arial"/>
          <w:color w:val="000000" w:themeColor="text1"/>
        </w:rPr>
      </w:pPr>
      <w:r w:rsidRPr="00850089">
        <w:rPr>
          <w:rFonts w:ascii="Arial" w:hAnsi="Arial" w:cs="Arial"/>
          <w:color w:val="000000" w:themeColor="text1"/>
        </w:rPr>
        <w:t xml:space="preserve">Mandal, A., Nursiah, K., Jamal, M., Conway, L., Thomson, H. and Snashall, E., </w:t>
      </w:r>
      <w:r w:rsidR="00105721">
        <w:rPr>
          <w:rFonts w:ascii="Arial" w:hAnsi="Arial" w:cs="Arial"/>
          <w:color w:val="000000" w:themeColor="text1"/>
        </w:rPr>
        <w:t>(</w:t>
      </w:r>
      <w:r w:rsidRPr="00850089">
        <w:rPr>
          <w:rFonts w:ascii="Arial" w:hAnsi="Arial" w:cs="Arial"/>
          <w:color w:val="000000" w:themeColor="text1"/>
        </w:rPr>
        <w:t>2025</w:t>
      </w:r>
      <w:r w:rsidR="00105721">
        <w:rPr>
          <w:rFonts w:ascii="Arial" w:hAnsi="Arial" w:cs="Arial"/>
          <w:color w:val="000000" w:themeColor="text1"/>
        </w:rPr>
        <w:t>)</w:t>
      </w:r>
      <w:r w:rsidRPr="00850089">
        <w:rPr>
          <w:rFonts w:ascii="Arial" w:hAnsi="Arial" w:cs="Arial"/>
          <w:color w:val="000000" w:themeColor="text1"/>
        </w:rPr>
        <w:t>. Handwashing by healthcare staff using a modified Ayliffe technique to prevent infection transmission. </w:t>
      </w:r>
      <w:r w:rsidRPr="00850089">
        <w:rPr>
          <w:rFonts w:ascii="Arial" w:hAnsi="Arial" w:cs="Arial"/>
          <w:i/>
          <w:iCs/>
          <w:color w:val="000000" w:themeColor="text1"/>
        </w:rPr>
        <w:t>British Journal of Nursing</w:t>
      </w:r>
      <w:r w:rsidRPr="00850089">
        <w:rPr>
          <w:rFonts w:ascii="Arial" w:hAnsi="Arial" w:cs="Arial"/>
          <w:color w:val="000000" w:themeColor="text1"/>
        </w:rPr>
        <w:t>, </w:t>
      </w:r>
      <w:r w:rsidRPr="00850089">
        <w:rPr>
          <w:rFonts w:ascii="Arial" w:hAnsi="Arial" w:cs="Arial"/>
          <w:i/>
          <w:iCs/>
          <w:color w:val="000000" w:themeColor="text1"/>
        </w:rPr>
        <w:t>34</w:t>
      </w:r>
      <w:r w:rsidRPr="00850089">
        <w:rPr>
          <w:rFonts w:ascii="Arial" w:hAnsi="Arial" w:cs="Arial"/>
          <w:color w:val="000000" w:themeColor="text1"/>
        </w:rPr>
        <w:t>(17), pp.868-876.</w:t>
      </w:r>
    </w:p>
    <w:p w:rsidRPr="00850089" w:rsidR="003A68B1" w:rsidP="003A68B1" w:rsidRDefault="003A68B1" w14:paraId="5919975E" w14:textId="58F0E2D4">
      <w:pPr>
        <w:rPr>
          <w:rFonts w:ascii="Arial" w:hAnsi="Arial" w:cs="Arial"/>
          <w:color w:val="000000" w:themeColor="text1"/>
        </w:rPr>
      </w:pPr>
      <w:r w:rsidRPr="00850089">
        <w:rPr>
          <w:rFonts w:ascii="Arial" w:hAnsi="Arial" w:cs="Arial"/>
          <w:color w:val="000000" w:themeColor="text1"/>
        </w:rPr>
        <w:t xml:space="preserve">Mohammadi-Zaniani, G. and Wales, L., </w:t>
      </w:r>
      <w:r w:rsidR="00BC644A">
        <w:rPr>
          <w:rFonts w:ascii="Arial" w:hAnsi="Arial" w:cs="Arial"/>
          <w:color w:val="000000" w:themeColor="text1"/>
        </w:rPr>
        <w:t>(</w:t>
      </w:r>
      <w:r w:rsidRPr="00850089">
        <w:rPr>
          <w:rFonts w:ascii="Arial" w:hAnsi="Arial" w:cs="Arial"/>
          <w:color w:val="000000" w:themeColor="text1"/>
        </w:rPr>
        <w:t>2020</w:t>
      </w:r>
      <w:r w:rsidR="00BC644A">
        <w:rPr>
          <w:rFonts w:ascii="Arial" w:hAnsi="Arial" w:cs="Arial"/>
          <w:color w:val="000000" w:themeColor="text1"/>
        </w:rPr>
        <w:t>)</w:t>
      </w:r>
      <w:r w:rsidRPr="00850089">
        <w:rPr>
          <w:rFonts w:ascii="Arial" w:hAnsi="Arial" w:cs="Arial"/>
          <w:color w:val="000000" w:themeColor="text1"/>
        </w:rPr>
        <w:t>. The power is in our hands: a QI project for sustainable hand hygiene.</w:t>
      </w:r>
    </w:p>
    <w:p w:rsidRPr="00B031A0" w:rsidR="00776C49" w:rsidP="00D44D36" w:rsidRDefault="00776C49" w14:paraId="73B54449" w14:textId="77777777">
      <w:pPr>
        <w:spacing w:before="240" w:after="240"/>
        <w:rPr>
          <w:rFonts w:ascii="Arial" w:hAnsi="Arial" w:cs="Arial"/>
          <w:color w:val="000000"/>
        </w:rPr>
      </w:pPr>
      <w:r w:rsidRPr="00B031A0">
        <w:rPr>
          <w:rFonts w:ascii="Arial" w:hAnsi="Arial" w:cs="Arial"/>
          <w:color w:val="000000"/>
        </w:rPr>
        <w:t xml:space="preserve">Madden, A.D., Rutter, S., Stones, C. and Ai, W. (2022). Smart hand sanitisers in the workplace: A survey of attitudes towards an internet of things technology. </w:t>
      </w:r>
      <w:r w:rsidRPr="00B031A0">
        <w:rPr>
          <w:rFonts w:ascii="Arial" w:hAnsi="Arial" w:cs="Arial"/>
          <w:i/>
          <w:iCs/>
          <w:color w:val="000000"/>
        </w:rPr>
        <w:t>International Journal of Environmental Research and Public Health</w:t>
      </w:r>
      <w:r w:rsidRPr="00B031A0">
        <w:rPr>
          <w:rFonts w:ascii="Arial" w:hAnsi="Arial" w:cs="Arial"/>
          <w:color w:val="000000"/>
        </w:rPr>
        <w:t>, 19(15), p.9531. doi:10.3390/ijerph19159531.</w:t>
      </w:r>
    </w:p>
    <w:p w:rsidRPr="00B031A0" w:rsidR="00776C49" w:rsidP="00D44D36" w:rsidRDefault="00776C49" w14:paraId="697F9943" w14:textId="77777777">
      <w:pPr>
        <w:spacing w:before="240" w:after="240"/>
        <w:rPr>
          <w:rFonts w:ascii="Arial" w:hAnsi="Arial" w:cs="Arial"/>
          <w:color w:val="000000"/>
        </w:rPr>
      </w:pPr>
      <w:r w:rsidRPr="00574D9F">
        <w:rPr>
          <w:rFonts w:ascii="Arial" w:hAnsi="Arial" w:cs="Arial"/>
          <w:color w:val="000000"/>
          <w:lang w:val="sv-SE"/>
        </w:rPr>
        <w:t xml:space="preserve">Martelli, M., Rosa, A., Miranda, M., Simone, R., Scarpati Cioffari di Castiglione, M., De Falco, F., Gargari, M., Bollero, P. and Gianfreda, F. (2026). </w:t>
      </w:r>
      <w:r w:rsidRPr="00B031A0">
        <w:rPr>
          <w:rFonts w:ascii="Arial" w:hAnsi="Arial" w:cs="Arial"/>
          <w:color w:val="000000"/>
        </w:rPr>
        <w:t xml:space="preserve">Oral hygiene management in critically ill patients: Prevention of ventilator-associated pneumonia. </w:t>
      </w:r>
      <w:r w:rsidRPr="00B031A0">
        <w:rPr>
          <w:rFonts w:ascii="Arial" w:hAnsi="Arial" w:cs="Arial"/>
          <w:i/>
          <w:iCs/>
          <w:color w:val="000000"/>
        </w:rPr>
        <w:t>Frontiers in Dental Medicine</w:t>
      </w:r>
      <w:r w:rsidRPr="00B031A0">
        <w:rPr>
          <w:rFonts w:ascii="Arial" w:hAnsi="Arial" w:cs="Arial"/>
          <w:color w:val="000000"/>
        </w:rPr>
        <w:t>, 7. doi:10.3389/fdmed.2026.1748329.</w:t>
      </w:r>
    </w:p>
    <w:p w:rsidR="00D03C69" w:rsidP="00D44D36" w:rsidRDefault="00D03C69" w14:paraId="34ABBAE5" w14:textId="103E581C">
      <w:pPr>
        <w:spacing w:before="240" w:after="240"/>
        <w:rPr>
          <w:rFonts w:ascii="Arial" w:hAnsi="Arial" w:cs="Arial"/>
          <w:color w:val="000000"/>
        </w:rPr>
      </w:pPr>
      <w:r w:rsidRPr="00D03C69">
        <w:rPr>
          <w:rFonts w:ascii="Arial" w:hAnsi="Arial" w:cs="Arial"/>
          <w:color w:val="000000"/>
        </w:rPr>
        <w:t xml:space="preserve">Mandrik, P.O.L., Severens, P.J.H., Bardach, P.A., Ghabri, P.S., Hamel, P.C., Mathes, P.T., Vale, P.L., Wisløff, P.T. and Goldhaber-Fiebert, P.J.D., </w:t>
      </w:r>
      <w:r w:rsidR="00B305E2">
        <w:rPr>
          <w:rFonts w:ascii="Arial" w:hAnsi="Arial" w:cs="Arial"/>
          <w:color w:val="000000"/>
        </w:rPr>
        <w:t>(</w:t>
      </w:r>
      <w:r w:rsidRPr="00D03C69">
        <w:rPr>
          <w:rFonts w:ascii="Arial" w:hAnsi="Arial" w:cs="Arial"/>
          <w:color w:val="000000"/>
        </w:rPr>
        <w:t>2021</w:t>
      </w:r>
      <w:r w:rsidR="00B305E2">
        <w:rPr>
          <w:rFonts w:ascii="Arial" w:hAnsi="Arial" w:cs="Arial"/>
          <w:color w:val="000000"/>
        </w:rPr>
        <w:t>)</w:t>
      </w:r>
      <w:r w:rsidRPr="00D03C69">
        <w:rPr>
          <w:rFonts w:ascii="Arial" w:hAnsi="Arial" w:cs="Arial"/>
          <w:color w:val="000000"/>
        </w:rPr>
        <w:t>. Critical appraisal of systematic reviews with costs and cost-effectiveness outcomes: an ISPOR good practices task force report. </w:t>
      </w:r>
      <w:r w:rsidRPr="00D03C69">
        <w:rPr>
          <w:rFonts w:ascii="Arial" w:hAnsi="Arial" w:cs="Arial"/>
          <w:i/>
          <w:iCs/>
          <w:color w:val="000000"/>
        </w:rPr>
        <w:t>Value in Health</w:t>
      </w:r>
      <w:r w:rsidRPr="00D03C69">
        <w:rPr>
          <w:rFonts w:ascii="Arial" w:hAnsi="Arial" w:cs="Arial"/>
          <w:color w:val="000000"/>
        </w:rPr>
        <w:t>, </w:t>
      </w:r>
      <w:r w:rsidRPr="00D03C69">
        <w:rPr>
          <w:rFonts w:ascii="Arial" w:hAnsi="Arial" w:cs="Arial"/>
          <w:i/>
          <w:iCs/>
          <w:color w:val="000000"/>
        </w:rPr>
        <w:t>24</w:t>
      </w:r>
      <w:r w:rsidRPr="00D03C69">
        <w:rPr>
          <w:rFonts w:ascii="Arial" w:hAnsi="Arial" w:cs="Arial"/>
          <w:color w:val="000000"/>
        </w:rPr>
        <w:t>(4), pp.463-472.</w:t>
      </w:r>
    </w:p>
    <w:p w:rsidRPr="00B031A0" w:rsidR="00776C49" w:rsidP="00D44D36" w:rsidRDefault="00776C49" w14:paraId="5F278A30" w14:textId="4F20B424">
      <w:pPr>
        <w:spacing w:before="240" w:after="240"/>
        <w:rPr>
          <w:rFonts w:ascii="Arial" w:hAnsi="Arial" w:cs="Arial"/>
          <w:color w:val="000000"/>
        </w:rPr>
      </w:pPr>
      <w:r w:rsidRPr="00B031A0">
        <w:rPr>
          <w:rFonts w:ascii="Arial" w:hAnsi="Arial" w:cs="Arial"/>
          <w:color w:val="000000"/>
        </w:rPr>
        <w:t xml:space="preserve">Mensah, J., Amoah, J.O., Mattah, P.A.D. and Mensah, A. (2022). Causes and effects of weak enforcement of environmental sanitation laws in Ghana. </w:t>
      </w:r>
      <w:r w:rsidRPr="00B031A0">
        <w:rPr>
          <w:rFonts w:ascii="Arial" w:hAnsi="Arial" w:cs="Arial"/>
          <w:i/>
          <w:iCs/>
          <w:color w:val="000000"/>
        </w:rPr>
        <w:t>Journal of Human Behavior in the Social Environment</w:t>
      </w:r>
      <w:r w:rsidRPr="00B031A0">
        <w:rPr>
          <w:rFonts w:ascii="Arial" w:hAnsi="Arial" w:cs="Arial"/>
          <w:color w:val="000000"/>
        </w:rPr>
        <w:t>, pp.1–22. doi:10.1080/10911359.2022.2080146.</w:t>
      </w:r>
    </w:p>
    <w:p w:rsidR="00A9696A" w:rsidP="00D44D36" w:rsidRDefault="00A9696A" w14:paraId="2F12BED7" w14:textId="62AAB58B">
      <w:pPr>
        <w:spacing w:before="240"/>
        <w:rPr>
          <w:rFonts w:ascii="Arial" w:hAnsi="Arial" w:cs="Arial"/>
          <w:color w:val="000000"/>
        </w:rPr>
      </w:pPr>
      <w:r w:rsidRPr="00A9696A">
        <w:rPr>
          <w:rFonts w:ascii="Arial" w:hAnsi="Arial" w:cs="Arial"/>
          <w:color w:val="000000"/>
        </w:rPr>
        <w:t xml:space="preserve">Migliavaca, C.B., Stein, C., Colpani, V., Munn, Z. and Falavigna, M., </w:t>
      </w:r>
      <w:r w:rsidR="00B305E2">
        <w:rPr>
          <w:rFonts w:ascii="Arial" w:hAnsi="Arial" w:cs="Arial"/>
          <w:color w:val="000000"/>
        </w:rPr>
        <w:t>(</w:t>
      </w:r>
      <w:r w:rsidRPr="00A9696A">
        <w:rPr>
          <w:rFonts w:ascii="Arial" w:hAnsi="Arial" w:cs="Arial"/>
          <w:color w:val="000000"/>
        </w:rPr>
        <w:t>2020</w:t>
      </w:r>
      <w:r w:rsidR="00B305E2">
        <w:rPr>
          <w:rFonts w:ascii="Arial" w:hAnsi="Arial" w:cs="Arial"/>
          <w:color w:val="000000"/>
        </w:rPr>
        <w:t>)</w:t>
      </w:r>
      <w:r w:rsidRPr="00A9696A">
        <w:rPr>
          <w:rFonts w:ascii="Arial" w:hAnsi="Arial" w:cs="Arial"/>
          <w:color w:val="000000"/>
        </w:rPr>
        <w:t>. Quality assessment of prevalence studies: a systematic review. </w:t>
      </w:r>
      <w:r w:rsidRPr="00A9696A">
        <w:rPr>
          <w:rFonts w:ascii="Arial" w:hAnsi="Arial" w:cs="Arial"/>
          <w:i/>
          <w:iCs/>
          <w:color w:val="000000"/>
        </w:rPr>
        <w:t>Journal of clinical epidemiology</w:t>
      </w:r>
      <w:r w:rsidRPr="00A9696A">
        <w:rPr>
          <w:rFonts w:ascii="Arial" w:hAnsi="Arial" w:cs="Arial"/>
          <w:color w:val="000000"/>
        </w:rPr>
        <w:t>, </w:t>
      </w:r>
      <w:r w:rsidRPr="00A9696A">
        <w:rPr>
          <w:rFonts w:ascii="Arial" w:hAnsi="Arial" w:cs="Arial"/>
          <w:i/>
          <w:iCs/>
          <w:color w:val="000000"/>
        </w:rPr>
        <w:t>127</w:t>
      </w:r>
      <w:r w:rsidRPr="00A9696A">
        <w:rPr>
          <w:rFonts w:ascii="Arial" w:hAnsi="Arial" w:cs="Arial"/>
          <w:color w:val="000000"/>
        </w:rPr>
        <w:t>, pp.59-68.</w:t>
      </w:r>
    </w:p>
    <w:p w:rsidRPr="00B031A0" w:rsidR="00776C49" w:rsidP="00D44D36" w:rsidRDefault="00776C49" w14:paraId="0AED2E08" w14:textId="59C32942">
      <w:pPr>
        <w:spacing w:before="240"/>
        <w:rPr>
          <w:rFonts w:ascii="Arial" w:hAnsi="Arial" w:cs="Arial"/>
          <w:color w:val="000000"/>
        </w:rPr>
      </w:pPr>
      <w:r w:rsidRPr="00B031A0">
        <w:rPr>
          <w:rFonts w:ascii="Arial" w:hAnsi="Arial" w:cs="Arial"/>
          <w:color w:val="000000"/>
        </w:rPr>
        <w:t xml:space="preserve">Miron, M., Mihaela Blaj, Anca Irina Ristescu, Iosep, G., Andrei-Nicolae Avădanei, Diana-Gabriela Iosep, Radu Crișan-Dabija, Ciocan, A., Mihaela Perțea, Carmen Doina Manciuc, Luca, Ș., Grigorescu, C. and Mihaela Cătălina Luca (2024). Hospital-Acquired Pneumonia and Ventilator-Associated Pneumonia: A Literature Review. </w:t>
      </w:r>
      <w:r w:rsidRPr="00B031A0">
        <w:rPr>
          <w:rFonts w:ascii="Arial" w:hAnsi="Arial" w:cs="Arial"/>
          <w:i/>
          <w:iCs/>
          <w:color w:val="000000"/>
        </w:rPr>
        <w:t>Microorganisms</w:t>
      </w:r>
      <w:r w:rsidRPr="00B031A0">
        <w:rPr>
          <w:rFonts w:ascii="Arial" w:hAnsi="Arial" w:cs="Arial"/>
          <w:color w:val="000000"/>
        </w:rPr>
        <w:t>, 12(1), pp.213–213. doi:10.3390/microorganisms12010213.</w:t>
      </w:r>
    </w:p>
    <w:p w:rsidRPr="00B031A0" w:rsidR="00776C49" w:rsidP="00D44D36" w:rsidRDefault="00776C49" w14:paraId="7E33A786" w14:textId="77777777">
      <w:pPr>
        <w:spacing w:before="240" w:after="240"/>
        <w:rPr>
          <w:rFonts w:ascii="Arial" w:hAnsi="Arial" w:cs="Arial"/>
          <w:color w:val="000000"/>
        </w:rPr>
      </w:pPr>
      <w:r w:rsidRPr="00B031A0">
        <w:rPr>
          <w:rFonts w:ascii="Arial" w:hAnsi="Arial" w:cs="Arial"/>
          <w:color w:val="000000" w:themeColor="text1"/>
        </w:rPr>
        <w:t xml:space="preserve">Mitev, A.Z., Tóth, R. and Vaszkun, B. (2024). Role transition of higher education teachers due to disruptive technological change: Identity </w:t>
      </w:r>
      <w:r w:rsidRPr="00B031A0">
        <w:rPr>
          <w:rFonts w:ascii="Arial" w:hAnsi="Arial" w:cs="Arial"/>
          <w:color w:val="000000"/>
        </w:rPr>
        <w:t xml:space="preserve">reconstruction for a better teacher-student relationship. </w:t>
      </w:r>
      <w:r w:rsidRPr="00B031A0">
        <w:rPr>
          <w:rFonts w:ascii="Arial" w:hAnsi="Arial" w:cs="Arial"/>
          <w:i/>
          <w:iCs/>
          <w:color w:val="000000"/>
        </w:rPr>
        <w:t>The International Journal of Management Education</w:t>
      </w:r>
      <w:r w:rsidRPr="00B031A0">
        <w:rPr>
          <w:rFonts w:ascii="Arial" w:hAnsi="Arial" w:cs="Arial"/>
          <w:color w:val="000000"/>
        </w:rPr>
        <w:t>, [online] 22(2), p.100978. doi:10.1016/j.ijme.2024.100978.</w:t>
      </w:r>
    </w:p>
    <w:p w:rsidRPr="00B031A0" w:rsidR="00776C49" w:rsidP="00D44D36" w:rsidRDefault="00776C49" w14:paraId="1EAEB804" w14:textId="77777777">
      <w:pPr>
        <w:spacing w:before="240" w:after="240"/>
        <w:rPr>
          <w:rFonts w:ascii="Arial" w:hAnsi="Arial" w:cs="Arial"/>
          <w:color w:val="000000"/>
        </w:rPr>
      </w:pPr>
      <w:r w:rsidRPr="00B031A0">
        <w:rPr>
          <w:rFonts w:ascii="Arial" w:hAnsi="Arial" w:cs="Arial"/>
          <w:color w:val="000000"/>
        </w:rPr>
        <w:t xml:space="preserve">Momeni, A., Rahmani, B., Scellier, B., Wright, L.G., McMahon, P.L., Wanjura, C.C., Li, Y., Anas Skalli, Berloff, N.G., Onodera, T., Oguz, I., Morichetti, F., Philipp del Hougne, Gallo, M. Le, Sebastian, A., Azalia Mirhoseini, Zhang, C., Danijela Marković, Brunner, D., Moser, C., Sylvain Gigan, Marquardt, F., Ozcan, A., Grollier, J., Liu, A.J., Psaltis, D., Alù, A. and Fleury, R. (2025). Training of physical neural networks. </w:t>
      </w:r>
      <w:r w:rsidRPr="00B031A0">
        <w:rPr>
          <w:rFonts w:ascii="Arial" w:hAnsi="Arial" w:cs="Arial"/>
          <w:i/>
          <w:iCs/>
          <w:color w:val="000000"/>
        </w:rPr>
        <w:t>Nature</w:t>
      </w:r>
      <w:r w:rsidRPr="00B031A0">
        <w:rPr>
          <w:rFonts w:ascii="Arial" w:hAnsi="Arial" w:cs="Arial"/>
          <w:color w:val="000000"/>
        </w:rPr>
        <w:t>, 645(8079), pp.53–61. doi:10.1038/s41586-025-09384-2.</w:t>
      </w:r>
    </w:p>
    <w:p w:rsidR="005501CA" w:rsidP="005501CA" w:rsidRDefault="005501CA" w14:paraId="52DE4CE7" w14:textId="0C0C0D78">
      <w:pPr>
        <w:rPr>
          <w:rFonts w:ascii="Arial" w:hAnsi="Arial" w:cs="Arial"/>
          <w:color w:val="000000" w:themeColor="text1"/>
        </w:rPr>
      </w:pPr>
      <w:r w:rsidRPr="008D347C">
        <w:rPr>
          <w:rFonts w:ascii="Arial" w:hAnsi="Arial" w:cs="Arial"/>
          <w:color w:val="000000" w:themeColor="text1"/>
        </w:rPr>
        <w:t xml:space="preserve">Mouajou, V., Adams, K., DeLisle, G. and Quach, C., </w:t>
      </w:r>
      <w:r w:rsidR="009A5B8D">
        <w:rPr>
          <w:rFonts w:ascii="Arial" w:hAnsi="Arial" w:cs="Arial"/>
          <w:color w:val="000000" w:themeColor="text1"/>
        </w:rPr>
        <w:t>(</w:t>
      </w:r>
      <w:r w:rsidRPr="008D347C">
        <w:rPr>
          <w:rFonts w:ascii="Arial" w:hAnsi="Arial" w:cs="Arial"/>
          <w:color w:val="000000" w:themeColor="text1"/>
        </w:rPr>
        <w:t>2022</w:t>
      </w:r>
      <w:r w:rsidR="009A5B8D">
        <w:rPr>
          <w:rFonts w:ascii="Arial" w:hAnsi="Arial" w:cs="Arial"/>
          <w:color w:val="000000" w:themeColor="text1"/>
        </w:rPr>
        <w:t>)</w:t>
      </w:r>
      <w:r w:rsidRPr="008D347C">
        <w:rPr>
          <w:rFonts w:ascii="Arial" w:hAnsi="Arial" w:cs="Arial"/>
          <w:color w:val="000000" w:themeColor="text1"/>
        </w:rPr>
        <w:t>. Hand hygiene compliance in the prevention of hospital-acquired infections: a systematic review. </w:t>
      </w:r>
      <w:r w:rsidRPr="008D347C">
        <w:rPr>
          <w:rFonts w:ascii="Arial" w:hAnsi="Arial" w:cs="Arial"/>
          <w:i/>
          <w:iCs/>
          <w:color w:val="000000" w:themeColor="text1"/>
        </w:rPr>
        <w:t>Journal of Hospital Infection</w:t>
      </w:r>
      <w:r w:rsidRPr="008D347C">
        <w:rPr>
          <w:rFonts w:ascii="Arial" w:hAnsi="Arial" w:cs="Arial"/>
          <w:color w:val="000000" w:themeColor="text1"/>
        </w:rPr>
        <w:t>, </w:t>
      </w:r>
      <w:r w:rsidRPr="008D347C">
        <w:rPr>
          <w:rFonts w:ascii="Arial" w:hAnsi="Arial" w:cs="Arial"/>
          <w:i/>
          <w:iCs/>
          <w:color w:val="000000" w:themeColor="text1"/>
        </w:rPr>
        <w:t>119</w:t>
      </w:r>
      <w:r w:rsidRPr="008D347C">
        <w:rPr>
          <w:rFonts w:ascii="Arial" w:hAnsi="Arial" w:cs="Arial"/>
          <w:color w:val="000000" w:themeColor="text1"/>
        </w:rPr>
        <w:t>, pp.33-48.</w:t>
      </w:r>
    </w:p>
    <w:p w:rsidRPr="00B031A0" w:rsidR="00776C49" w:rsidP="00D44D36" w:rsidRDefault="00776C49" w14:paraId="4975608A" w14:textId="77777777">
      <w:pPr>
        <w:spacing w:before="240"/>
        <w:rPr>
          <w:rFonts w:ascii="Arial" w:hAnsi="Arial" w:cs="Arial"/>
          <w:color w:val="000000"/>
        </w:rPr>
      </w:pPr>
      <w:r w:rsidRPr="00B031A0">
        <w:rPr>
          <w:rFonts w:ascii="Arial" w:hAnsi="Arial" w:cs="Arial"/>
          <w:color w:val="000000"/>
        </w:rPr>
        <w:t xml:space="preserve">National Health Service England (2023). </w:t>
      </w:r>
      <w:r w:rsidRPr="00B031A0">
        <w:rPr>
          <w:rFonts w:ascii="Arial" w:hAnsi="Arial" w:cs="Arial"/>
          <w:i/>
          <w:iCs/>
          <w:color w:val="000000"/>
        </w:rPr>
        <w:t>NHS England » Healthcare associated infections</w:t>
      </w:r>
      <w:r w:rsidRPr="00B031A0">
        <w:rPr>
          <w:rFonts w:ascii="Arial" w:hAnsi="Arial" w:cs="Arial"/>
          <w:color w:val="000000"/>
        </w:rPr>
        <w:t>. [online] National Health Service England. Available at: https://www.england.nhs.uk/patient-safety/healthcare-associated-infections/ [Accessed 14 July 2026].</w:t>
      </w:r>
    </w:p>
    <w:p w:rsidRPr="00B031A0" w:rsidR="00776C49" w:rsidP="00D44D36" w:rsidRDefault="00776C49" w14:paraId="42F9CECB" w14:textId="77777777">
      <w:pPr>
        <w:spacing w:before="240"/>
        <w:rPr>
          <w:rFonts w:ascii="Arial" w:hAnsi="Arial" w:cs="Arial"/>
          <w:color w:val="000000"/>
        </w:rPr>
      </w:pPr>
      <w:r w:rsidRPr="00B031A0">
        <w:rPr>
          <w:rFonts w:ascii="Arial" w:hAnsi="Arial" w:cs="Arial"/>
          <w:color w:val="000000" w:themeColor="text1"/>
        </w:rPr>
        <w:t>Olisaeloka Nsonwu, Thelwall, S., Gerver</w:t>
      </w:r>
      <w:r w:rsidRPr="00B031A0">
        <w:rPr>
          <w:rFonts w:ascii="Arial" w:hAnsi="Arial" w:cs="Arial"/>
          <w:color w:val="000000"/>
        </w:rPr>
        <w:t>, S., Guy, R.L., Chudasama, D. and Hope, R. (2025). Incidence, case-fatality rates and risk factors of bloodstream infections caused by Escherichia coli, Klebsiella species and Pseudomonas aeruginosa, England, April 2017 to March 2022. Eurosurveillance, [online] 30(17). doi:10.2807/1560-7917.es.2025.30.17.2400430.</w:t>
      </w:r>
    </w:p>
    <w:p w:rsidRPr="00B031A0" w:rsidR="00776C49" w:rsidP="00D44D36" w:rsidRDefault="00776C49" w14:paraId="047F1AEA" w14:textId="77777777">
      <w:pPr>
        <w:spacing w:before="240" w:after="240"/>
        <w:rPr>
          <w:rFonts w:ascii="Arial" w:hAnsi="Arial" w:cs="Arial"/>
          <w:color w:val="000000"/>
        </w:rPr>
      </w:pPr>
      <w:r w:rsidRPr="00B031A0">
        <w:rPr>
          <w:rFonts w:ascii="Arial" w:hAnsi="Arial" w:cs="Arial"/>
          <w:color w:val="000000"/>
        </w:rPr>
        <w:t xml:space="preserve">Oluwatoyin Ayo-Farai, Nenrot Gopep, Okorie, J., Chika, C. and Ogochi Blessing Chukwuneke (2024). </w:t>
      </w:r>
      <w:r w:rsidRPr="00B031A0">
        <w:rPr>
          <w:rFonts w:ascii="Arial" w:hAnsi="Arial" w:cs="Arial"/>
          <w:i/>
          <w:iCs/>
          <w:color w:val="000000"/>
        </w:rPr>
        <w:t>Post-operative infections: Risk factors, prevention and management strategies</w:t>
      </w:r>
      <w:r w:rsidRPr="00B031A0">
        <w:rPr>
          <w:rFonts w:ascii="Arial" w:hAnsi="Arial" w:cs="Arial"/>
          <w:color w:val="000000"/>
        </w:rPr>
        <w:t>. [online] Available at: https://www.researchgate.net/publication/382881596_Post-operative_infections_risk_factors_prevention_and_management_strategies [Accessed 4 Aug. 2026].</w:t>
      </w:r>
    </w:p>
    <w:p w:rsidRPr="00B031A0" w:rsidR="00776C49" w:rsidP="00D44D36" w:rsidRDefault="00776C49" w14:paraId="1B383C55" w14:textId="77777777">
      <w:pPr>
        <w:spacing w:before="240" w:after="240"/>
        <w:rPr>
          <w:rFonts w:ascii="Arial" w:hAnsi="Arial" w:cs="Arial"/>
          <w:color w:val="000000"/>
        </w:rPr>
      </w:pPr>
      <w:r w:rsidRPr="00B031A0">
        <w:rPr>
          <w:rFonts w:ascii="Arial" w:hAnsi="Arial" w:cs="Arial"/>
          <w:color w:val="000000"/>
        </w:rPr>
        <w:t xml:space="preserve">Pallath, A. and Zhang, Q. (2022). Paperfetcher: A tool to automate handsearching and citation searching for systematic reviews. </w:t>
      </w:r>
      <w:r w:rsidRPr="00B031A0">
        <w:rPr>
          <w:rFonts w:ascii="Arial" w:hAnsi="Arial" w:cs="Arial"/>
          <w:i/>
          <w:iCs/>
          <w:color w:val="000000"/>
        </w:rPr>
        <w:t>Research Synthesis Methods</w:t>
      </w:r>
      <w:r w:rsidRPr="00B031A0">
        <w:rPr>
          <w:rFonts w:ascii="Arial" w:hAnsi="Arial" w:cs="Arial"/>
          <w:color w:val="000000"/>
        </w:rPr>
        <w:t>, 14(2). doi:10.1002/jrsm.1604.</w:t>
      </w:r>
    </w:p>
    <w:p w:rsidRPr="00B031A0" w:rsidR="00776C49" w:rsidP="00D44D36" w:rsidRDefault="00776C49" w14:paraId="612923B4" w14:textId="77777777">
      <w:pPr>
        <w:spacing w:before="240"/>
        <w:rPr>
          <w:rFonts w:ascii="Arial" w:hAnsi="Arial" w:cs="Arial"/>
          <w:color w:val="000000"/>
        </w:rPr>
      </w:pPr>
      <w:r w:rsidRPr="00B031A0">
        <w:rPr>
          <w:rFonts w:ascii="Arial" w:hAnsi="Arial" w:cs="Arial"/>
          <w:color w:val="000000"/>
        </w:rPr>
        <w:t xml:space="preserve">Potthoff, S., Rasul, O., Sniehotta, F.F., Marques, M., Beyer, F., Thomson, R., Avery, L. and Presseau, J. (2019). The relationship between habit and healthcare professional behaviour in clinical practice: A systematic review and meta-analysis. </w:t>
      </w:r>
      <w:r w:rsidRPr="00B031A0">
        <w:rPr>
          <w:rFonts w:ascii="Arial" w:hAnsi="Arial" w:cs="Arial"/>
          <w:i/>
          <w:iCs/>
          <w:color w:val="000000"/>
        </w:rPr>
        <w:t>Health Psychology Review</w:t>
      </w:r>
      <w:r w:rsidRPr="00B031A0">
        <w:rPr>
          <w:rFonts w:ascii="Arial" w:hAnsi="Arial" w:cs="Arial"/>
          <w:color w:val="000000"/>
        </w:rPr>
        <w:t>, 13(1), pp.73–90. doi:10.1080/17437199.2018.1547119.</w:t>
      </w:r>
    </w:p>
    <w:p w:rsidRPr="00B031A0" w:rsidR="00776C49" w:rsidP="00D44D36" w:rsidRDefault="00776C49" w14:paraId="024B9BD8" w14:textId="77777777">
      <w:pPr>
        <w:spacing w:before="240" w:after="240"/>
        <w:rPr>
          <w:rFonts w:ascii="Arial" w:hAnsi="Arial" w:cs="Arial"/>
          <w:color w:val="000000"/>
        </w:rPr>
      </w:pPr>
      <w:r w:rsidRPr="00B031A0">
        <w:rPr>
          <w:rFonts w:ascii="Arial" w:hAnsi="Arial" w:cs="Arial"/>
          <w:color w:val="000000"/>
        </w:rPr>
        <w:t xml:space="preserve">Pruna, E.D., Davidescu, L., Sorop-Florea, M., Demeter, I., Stela Iurciuc, Varga, N.-I., David, V.L., Florina Buleu and Florin George Horhat (2026). Multimodal Hand Hygiene Interventions and clinical healthcare-associated infection outcomes in acute care hospitals: A systematic review of quasi-experimental studies. </w:t>
      </w:r>
      <w:r w:rsidRPr="00B031A0">
        <w:rPr>
          <w:rFonts w:ascii="Arial" w:hAnsi="Arial" w:cs="Arial"/>
          <w:i/>
          <w:iCs/>
          <w:color w:val="000000"/>
        </w:rPr>
        <w:t>Journal of Clinical Medicine</w:t>
      </w:r>
      <w:r w:rsidRPr="00B031A0">
        <w:rPr>
          <w:rFonts w:ascii="Arial" w:hAnsi="Arial" w:cs="Arial"/>
          <w:color w:val="000000"/>
        </w:rPr>
        <w:t>, 15(10), pp.3882–3882. doi:10.3390/jcm15103882.</w:t>
      </w:r>
    </w:p>
    <w:p w:rsidRPr="00B031A0" w:rsidR="00776C49" w:rsidP="00D44D36" w:rsidRDefault="00776C49" w14:paraId="29A64CB7" w14:textId="77777777">
      <w:pPr>
        <w:spacing w:before="240"/>
        <w:rPr>
          <w:rFonts w:ascii="Arial" w:hAnsi="Arial" w:cs="Arial"/>
          <w:color w:val="000000"/>
        </w:rPr>
      </w:pPr>
      <w:r w:rsidRPr="00B031A0">
        <w:rPr>
          <w:rFonts w:ascii="Arial" w:hAnsi="Arial" w:cs="Arial"/>
          <w:color w:val="000000"/>
        </w:rPr>
        <w:t xml:space="preserve">Raghad Batran, Ayed, A., Batran, A., Moath Abu Ejheisheh, Bahaa Alassoud, Hayek, M.F. and Batran, A. (2025). Determinants of Nurses’ Compliance with Infection Prevention and Control Practices in Critical Care Units. </w:t>
      </w:r>
      <w:r w:rsidRPr="00B031A0">
        <w:rPr>
          <w:rFonts w:ascii="Arial" w:hAnsi="Arial" w:cs="Arial"/>
          <w:i/>
          <w:iCs/>
          <w:color w:val="000000"/>
        </w:rPr>
        <w:t>SAGE Open Nursing</w:t>
      </w:r>
      <w:r w:rsidRPr="00B031A0">
        <w:rPr>
          <w:rFonts w:ascii="Arial" w:hAnsi="Arial" w:cs="Arial"/>
          <w:color w:val="000000"/>
        </w:rPr>
        <w:t>, 11. doi:10.1177/23779608251339193.</w:t>
      </w:r>
    </w:p>
    <w:p w:rsidRPr="00B031A0" w:rsidR="00776C49" w:rsidP="00D44D36" w:rsidRDefault="00776C49" w14:paraId="1F53BD68" w14:textId="77777777">
      <w:pPr>
        <w:spacing w:before="240" w:after="240"/>
        <w:rPr>
          <w:rFonts w:ascii="Arial" w:hAnsi="Arial" w:cs="Arial"/>
          <w:color w:val="000000"/>
        </w:rPr>
      </w:pPr>
      <w:r w:rsidRPr="00B031A0">
        <w:rPr>
          <w:rFonts w:ascii="Arial" w:hAnsi="Arial" w:cs="Arial"/>
          <w:color w:val="000000"/>
        </w:rPr>
        <w:t xml:space="preserve">Religioni, U., Barrios-Rodríguez, R., Requena, P., Borowska, M. and Ostrowski, J. (2025). Enhancing therapy adherence: Impact on clinical outcomes, healthcare costs, and patient quality of life. </w:t>
      </w:r>
      <w:r w:rsidRPr="00B031A0">
        <w:rPr>
          <w:rFonts w:ascii="Arial" w:hAnsi="Arial" w:cs="Arial"/>
          <w:i/>
          <w:iCs/>
          <w:color w:val="000000"/>
        </w:rPr>
        <w:t>Medicina</w:t>
      </w:r>
      <w:r w:rsidRPr="00B031A0">
        <w:rPr>
          <w:rFonts w:ascii="Arial" w:hAnsi="Arial" w:cs="Arial"/>
          <w:color w:val="000000"/>
        </w:rPr>
        <w:t>, [online] 61(1), pp.153–153. doi:10.3390/medicina61010153.</w:t>
      </w:r>
    </w:p>
    <w:p w:rsidRPr="00B031A0" w:rsidR="00776C49" w:rsidP="00D44D36" w:rsidRDefault="00776C49" w14:paraId="6A961206" w14:textId="77777777">
      <w:pPr>
        <w:spacing w:before="240"/>
        <w:rPr>
          <w:rFonts w:ascii="Arial" w:hAnsi="Arial" w:cs="Arial"/>
          <w:color w:val="000000"/>
        </w:rPr>
      </w:pPr>
      <w:r w:rsidRPr="00B031A0">
        <w:rPr>
          <w:rFonts w:ascii="Arial" w:hAnsi="Arial" w:cs="Arial"/>
          <w:color w:val="000000"/>
        </w:rPr>
        <w:t xml:space="preserve">Rezaei, A.R., Zienkiewicz, D. and Rezaei, A.R. (2025). Surgical site infections: A comprehensive review. </w:t>
      </w:r>
      <w:r w:rsidRPr="00B031A0">
        <w:rPr>
          <w:rFonts w:ascii="Arial" w:hAnsi="Arial" w:cs="Arial"/>
          <w:i/>
          <w:iCs/>
          <w:color w:val="000000"/>
        </w:rPr>
        <w:t>Journal of Trauma and Injury</w:t>
      </w:r>
      <w:r w:rsidRPr="00B031A0">
        <w:rPr>
          <w:rFonts w:ascii="Arial" w:hAnsi="Arial" w:cs="Arial"/>
          <w:color w:val="000000"/>
        </w:rPr>
        <w:t>, 38(2), pp.71–81. doi:10.20408/jti.2025.0019.</w:t>
      </w:r>
    </w:p>
    <w:p w:rsidRPr="00B031A0" w:rsidR="00776C49" w:rsidP="00D44D36" w:rsidRDefault="00776C49" w14:paraId="1A3E68D1" w14:textId="77777777">
      <w:pPr>
        <w:spacing w:before="240" w:after="240"/>
        <w:rPr>
          <w:rFonts w:ascii="Arial" w:hAnsi="Arial" w:cs="Arial"/>
          <w:color w:val="000000"/>
        </w:rPr>
      </w:pPr>
      <w:r w:rsidRPr="00B031A0">
        <w:rPr>
          <w:rFonts w:ascii="Arial" w:hAnsi="Arial" w:cs="Arial"/>
          <w:color w:val="000000"/>
        </w:rPr>
        <w:t xml:space="preserve">Rosida, R.F., Amaliah, L.N., Mahardika, I.K. and Suratno, S. (2023). The process of forming knowledge: In the study of ontology, epistemology, and axiology. </w:t>
      </w:r>
      <w:r w:rsidRPr="00B031A0">
        <w:rPr>
          <w:rFonts w:ascii="Arial" w:hAnsi="Arial" w:cs="Arial"/>
          <w:i/>
          <w:iCs/>
          <w:color w:val="000000"/>
        </w:rPr>
        <w:t>International Journal for Educational and Vocational Studies</w:t>
      </w:r>
      <w:r w:rsidRPr="00B031A0">
        <w:rPr>
          <w:rFonts w:ascii="Arial" w:hAnsi="Arial" w:cs="Arial"/>
          <w:color w:val="000000"/>
        </w:rPr>
        <w:t>, 5(1), pp.13–13. doi:10.29103/ijevs.v5i1.12980.</w:t>
      </w:r>
    </w:p>
    <w:p w:rsidRPr="00B031A0" w:rsidR="00776C49" w:rsidP="00D44D36" w:rsidRDefault="00776C49" w14:paraId="6747DE55" w14:textId="77777777">
      <w:pPr>
        <w:spacing w:before="240" w:after="240"/>
        <w:rPr>
          <w:rFonts w:ascii="Arial" w:hAnsi="Arial" w:cs="Arial"/>
          <w:color w:val="000000"/>
        </w:rPr>
      </w:pPr>
      <w:r w:rsidRPr="00B031A0">
        <w:rPr>
          <w:rFonts w:ascii="Arial" w:hAnsi="Arial" w:cs="Arial"/>
          <w:color w:val="000000"/>
        </w:rPr>
        <w:t xml:space="preserve">Saliya, C.A. (2023). Research philosophy. </w:t>
      </w:r>
      <w:r w:rsidRPr="00B031A0">
        <w:rPr>
          <w:rFonts w:ascii="Arial" w:hAnsi="Arial" w:cs="Arial"/>
          <w:i/>
          <w:iCs/>
          <w:color w:val="000000"/>
        </w:rPr>
        <w:t>IGI Global</w:t>
      </w:r>
      <w:r w:rsidRPr="00B031A0">
        <w:rPr>
          <w:rFonts w:ascii="Arial" w:hAnsi="Arial" w:cs="Arial"/>
          <w:color w:val="000000"/>
        </w:rPr>
        <w:t>, pp.35–51. doi:10.4018/978-1-6684-6859-3.ch004.</w:t>
      </w:r>
    </w:p>
    <w:p w:rsidRPr="00B031A0" w:rsidR="00776C49" w:rsidP="00D44D36" w:rsidRDefault="00776C49" w14:paraId="4B295CDD" w14:textId="77777777">
      <w:pPr>
        <w:spacing w:before="240"/>
        <w:rPr>
          <w:rFonts w:ascii="Arial" w:hAnsi="Arial" w:cs="Arial"/>
          <w:color w:val="000000"/>
        </w:rPr>
      </w:pPr>
      <w:r w:rsidRPr="00B031A0">
        <w:rPr>
          <w:rFonts w:ascii="Arial" w:hAnsi="Arial" w:cs="Arial"/>
          <w:color w:val="000000"/>
        </w:rPr>
        <w:t xml:space="preserve">Sandu, A.M., Chifiriuc, M.C., Vrancianu, C.O., Cristian, R.-E., Alistar, C.F., Constantin, M., Paun, M., Alexandru Alistar, Popa, L.G., Popa, M.I., Tantu, A.C., Sidoroff, M.E., Mihai, M.M., Marcu, A., Popescu, G. and Tantu, M.M. (2025). Healthcare-Associated Infections: The Role of Microbial and Environmental Factors in Infection Control—A Narrative Review. </w:t>
      </w:r>
      <w:r w:rsidRPr="00B031A0">
        <w:rPr>
          <w:rFonts w:ascii="Arial" w:hAnsi="Arial" w:cs="Arial"/>
          <w:i/>
          <w:iCs/>
          <w:color w:val="000000"/>
        </w:rPr>
        <w:t>Infectious Diseases and Therapy</w:t>
      </w:r>
      <w:r w:rsidRPr="00B031A0">
        <w:rPr>
          <w:rFonts w:ascii="Arial" w:hAnsi="Arial" w:cs="Arial"/>
          <w:color w:val="000000"/>
        </w:rPr>
        <w:t>. doi:10.1007/s40121-025-01143-0.</w:t>
      </w:r>
    </w:p>
    <w:p w:rsidRPr="00B031A0" w:rsidR="00776C49" w:rsidP="00D44D36" w:rsidRDefault="00776C49" w14:paraId="0CDC590A" w14:textId="77777777">
      <w:pPr>
        <w:spacing w:before="240" w:after="240"/>
        <w:rPr>
          <w:rFonts w:ascii="Arial" w:hAnsi="Arial" w:cs="Arial"/>
          <w:color w:val="000000"/>
        </w:rPr>
      </w:pPr>
      <w:r w:rsidRPr="00B031A0">
        <w:rPr>
          <w:rFonts w:ascii="Arial" w:hAnsi="Arial" w:cs="Arial"/>
          <w:color w:val="000000"/>
        </w:rPr>
        <w:t xml:space="preserve">Sanvitti, M., Kanapeckas, L. and Bilotta, F. (2026). Minimizing hospital acquired intensive care unit infections: A focus on prevention. </w:t>
      </w:r>
      <w:r w:rsidRPr="00B031A0">
        <w:rPr>
          <w:rFonts w:ascii="Arial" w:hAnsi="Arial" w:cs="Arial"/>
          <w:i/>
          <w:iCs/>
          <w:color w:val="000000"/>
        </w:rPr>
        <w:t>World Journal of Critical Care Medicine</w:t>
      </w:r>
      <w:r w:rsidRPr="00B031A0">
        <w:rPr>
          <w:rFonts w:ascii="Arial" w:hAnsi="Arial" w:cs="Arial"/>
          <w:color w:val="000000"/>
        </w:rPr>
        <w:t>, 15(1). doi:10.5492/wjccm.v15.i1.113252.</w:t>
      </w:r>
    </w:p>
    <w:p w:rsidRPr="00B031A0" w:rsidR="00776C49" w:rsidP="00D44D36" w:rsidRDefault="00776C49" w14:paraId="37F5922E" w14:textId="77777777">
      <w:pPr>
        <w:spacing w:before="240" w:after="240"/>
        <w:rPr>
          <w:rFonts w:ascii="Arial" w:hAnsi="Arial" w:cs="Arial"/>
          <w:color w:val="000000" w:themeColor="text1"/>
        </w:rPr>
      </w:pPr>
      <w:r w:rsidRPr="00B031A0">
        <w:rPr>
          <w:rFonts w:ascii="Arial" w:hAnsi="Arial" w:cs="Arial"/>
          <w:color w:val="000000" w:themeColor="text1"/>
        </w:rPr>
        <w:t xml:space="preserve">Sartini, M., Carbone, A., Demartini, A., Giribone, L., Oliva, M., Spagnolo, A.M., Cremonesi, P., Canale, F. and Cristina, M.L. (2022). Overcrowding in emergency department: Causes, consequences, and solutions—A narrative review. </w:t>
      </w:r>
      <w:r w:rsidRPr="00B031A0">
        <w:rPr>
          <w:rFonts w:ascii="Arial" w:hAnsi="Arial" w:cs="Arial"/>
          <w:i/>
          <w:iCs/>
          <w:color w:val="000000" w:themeColor="text1"/>
        </w:rPr>
        <w:t>Healthcare</w:t>
      </w:r>
      <w:r w:rsidRPr="00B031A0">
        <w:rPr>
          <w:rFonts w:ascii="Arial" w:hAnsi="Arial" w:cs="Arial"/>
          <w:color w:val="000000" w:themeColor="text1"/>
        </w:rPr>
        <w:t>, [online] 10(9), p.1625. doi:10.3390/healthcare10091625.</w:t>
      </w:r>
    </w:p>
    <w:p w:rsidRPr="00B031A0" w:rsidR="00776C49" w:rsidP="00D44D36" w:rsidRDefault="00776C49" w14:paraId="62F5D24A" w14:textId="77777777">
      <w:pPr>
        <w:spacing w:before="240" w:after="240"/>
        <w:rPr>
          <w:rFonts w:ascii="Arial" w:hAnsi="Arial" w:cs="Arial"/>
          <w:color w:val="000000" w:themeColor="text1"/>
        </w:rPr>
      </w:pPr>
      <w:r w:rsidRPr="00B031A0">
        <w:rPr>
          <w:rFonts w:ascii="Arial" w:hAnsi="Arial" w:cs="Arial"/>
          <w:color w:val="000000" w:themeColor="text1"/>
        </w:rPr>
        <w:t xml:space="preserve">Sauer, P.C. and Seuring, S. (2023). How to conduct systematic literature reviews in management research: A guide in 6 steps and 14 decisions. </w:t>
      </w:r>
      <w:r w:rsidRPr="00B031A0">
        <w:rPr>
          <w:rFonts w:ascii="Arial" w:hAnsi="Arial" w:cs="Arial"/>
          <w:i/>
          <w:iCs/>
          <w:color w:val="000000" w:themeColor="text1"/>
        </w:rPr>
        <w:t>How to conduct systematic literature reviews in management research: a guide in 6 steps and 14 decisions</w:t>
      </w:r>
      <w:r w:rsidRPr="00B031A0">
        <w:rPr>
          <w:rFonts w:ascii="Arial" w:hAnsi="Arial" w:cs="Arial"/>
          <w:color w:val="000000" w:themeColor="text1"/>
        </w:rPr>
        <w:t>, [online] 17(5). doi:10.1007/s11846-023-00668-3.</w:t>
      </w:r>
    </w:p>
    <w:p w:rsidRPr="00B031A0" w:rsidR="00776C49" w:rsidP="00D44D36" w:rsidRDefault="00776C49" w14:paraId="5FD3E25E" w14:textId="77777777">
      <w:pPr>
        <w:spacing w:before="240" w:after="240"/>
        <w:rPr>
          <w:rFonts w:ascii="Arial" w:hAnsi="Arial" w:cs="Arial"/>
          <w:color w:val="000000" w:themeColor="text1"/>
        </w:rPr>
      </w:pPr>
      <w:r w:rsidRPr="00B031A0">
        <w:rPr>
          <w:rFonts w:ascii="Arial" w:hAnsi="Arial" w:cs="Arial"/>
          <w:color w:val="000000" w:themeColor="text1"/>
        </w:rPr>
        <w:t xml:space="preserve">Schwabe, D., Becker, K., Seyferth, M., Klaß, A. and Schaeffter, T. (2024). The METRIC-framework for assessing data quality for trustworthy AI in medicine: A systematic review. </w:t>
      </w:r>
      <w:r w:rsidRPr="00B031A0">
        <w:rPr>
          <w:rFonts w:ascii="Arial" w:hAnsi="Arial" w:cs="Arial"/>
          <w:i/>
          <w:iCs/>
          <w:color w:val="000000" w:themeColor="text1"/>
        </w:rPr>
        <w:t>npj Digital Medicine</w:t>
      </w:r>
      <w:r w:rsidRPr="00B031A0">
        <w:rPr>
          <w:rFonts w:ascii="Arial" w:hAnsi="Arial" w:cs="Arial"/>
          <w:color w:val="000000" w:themeColor="text1"/>
        </w:rPr>
        <w:t>, [online] 7(1). doi:10.1038/s41746-024-01196-4.</w:t>
      </w:r>
    </w:p>
    <w:p w:rsidR="005501CA" w:rsidP="005501CA" w:rsidRDefault="005501CA" w14:paraId="6AC5FEFD" w14:textId="1EA520D4">
      <w:pPr>
        <w:rPr>
          <w:rFonts w:ascii="Arial" w:hAnsi="Arial" w:cs="Arial"/>
          <w:color w:val="000000" w:themeColor="text1"/>
          <w:lang w:val="en-US"/>
        </w:rPr>
      </w:pPr>
      <w:r w:rsidRPr="00AE5573">
        <w:rPr>
          <w:rFonts w:ascii="Arial" w:hAnsi="Arial" w:cs="Arial"/>
          <w:color w:val="000000" w:themeColor="text1"/>
        </w:rPr>
        <w:t xml:space="preserve">Srigley, J.A., Corace, K., Hargadon, D.P., Yu, D., MacDonald, T., Fabrigar, L. and Garber, G., </w:t>
      </w:r>
      <w:r w:rsidR="000D46D0">
        <w:rPr>
          <w:rFonts w:ascii="Arial" w:hAnsi="Arial" w:cs="Arial"/>
          <w:color w:val="000000" w:themeColor="text1"/>
        </w:rPr>
        <w:t>(</w:t>
      </w:r>
      <w:r w:rsidRPr="00AE5573">
        <w:rPr>
          <w:rFonts w:ascii="Arial" w:hAnsi="Arial" w:cs="Arial"/>
          <w:color w:val="000000" w:themeColor="text1"/>
        </w:rPr>
        <w:t>2015</w:t>
      </w:r>
      <w:r w:rsidR="000D46D0">
        <w:rPr>
          <w:rFonts w:ascii="Arial" w:hAnsi="Arial" w:cs="Arial"/>
          <w:color w:val="000000" w:themeColor="text1"/>
        </w:rPr>
        <w:t>)</w:t>
      </w:r>
      <w:r w:rsidRPr="00AE5573">
        <w:rPr>
          <w:rFonts w:ascii="Arial" w:hAnsi="Arial" w:cs="Arial"/>
          <w:color w:val="000000" w:themeColor="text1"/>
        </w:rPr>
        <w:t>. Applying psychological frameworks of behaviour change to improve healthcare worker hand hygiene: a systematic review. </w:t>
      </w:r>
      <w:r w:rsidRPr="00AE5573">
        <w:rPr>
          <w:rFonts w:ascii="Arial" w:hAnsi="Arial" w:cs="Arial"/>
          <w:i/>
          <w:iCs/>
          <w:color w:val="000000" w:themeColor="text1"/>
        </w:rPr>
        <w:t>Journal of Hospital Infection</w:t>
      </w:r>
      <w:r w:rsidRPr="00AE5573">
        <w:rPr>
          <w:rFonts w:ascii="Arial" w:hAnsi="Arial" w:cs="Arial"/>
          <w:color w:val="000000" w:themeColor="text1"/>
        </w:rPr>
        <w:t>, </w:t>
      </w:r>
      <w:r w:rsidRPr="00AE5573">
        <w:rPr>
          <w:rFonts w:ascii="Arial" w:hAnsi="Arial" w:cs="Arial"/>
          <w:i/>
          <w:iCs/>
          <w:color w:val="000000" w:themeColor="text1"/>
        </w:rPr>
        <w:t>91</w:t>
      </w:r>
      <w:r w:rsidRPr="00AE5573">
        <w:rPr>
          <w:rFonts w:ascii="Arial" w:hAnsi="Arial" w:cs="Arial"/>
          <w:color w:val="000000" w:themeColor="text1"/>
        </w:rPr>
        <w:t>(3), pp.202-210.</w:t>
      </w:r>
    </w:p>
    <w:p w:rsidRPr="00B031A0" w:rsidR="00776C49" w:rsidP="00D44D36" w:rsidRDefault="00776C49" w14:paraId="1690C219" w14:textId="77777777">
      <w:pPr>
        <w:spacing w:before="240" w:after="240"/>
        <w:rPr>
          <w:rFonts w:ascii="Arial" w:hAnsi="Arial" w:cs="Arial"/>
          <w:color w:val="000000" w:themeColor="text1"/>
        </w:rPr>
      </w:pPr>
      <w:r w:rsidRPr="00B031A0">
        <w:rPr>
          <w:rFonts w:ascii="Arial" w:hAnsi="Arial" w:cs="Arial"/>
          <w:color w:val="000000" w:themeColor="text1"/>
        </w:rPr>
        <w:t xml:space="preserve">Skok, K., Bele, U., Pintar, Š., Peršin, Z., Kuzmič, K., Bračič, M., Fras Zemljič, L. and Maver, U. (2025). Urinary catheters: State of the art and future perspectives – A narrative review. </w:t>
      </w:r>
      <w:r w:rsidRPr="00B031A0">
        <w:rPr>
          <w:rFonts w:ascii="Arial" w:hAnsi="Arial" w:cs="Arial"/>
          <w:i/>
          <w:iCs/>
          <w:color w:val="000000" w:themeColor="text1"/>
        </w:rPr>
        <w:t>Materials Today Bio</w:t>
      </w:r>
      <w:r w:rsidRPr="00B031A0">
        <w:rPr>
          <w:rFonts w:ascii="Arial" w:hAnsi="Arial" w:cs="Arial"/>
          <w:color w:val="000000" w:themeColor="text1"/>
        </w:rPr>
        <w:t>, [online] 34, p.102225. doi:10.1016/j.mtbio.2025.102225.</w:t>
      </w:r>
    </w:p>
    <w:p w:rsidRPr="00B031A0" w:rsidR="00776C49" w:rsidP="00D44D36" w:rsidRDefault="00776C49" w14:paraId="4A72F3FA" w14:textId="77777777">
      <w:pPr>
        <w:spacing w:before="240" w:after="240"/>
        <w:rPr>
          <w:rFonts w:ascii="Arial" w:hAnsi="Arial" w:cs="Arial"/>
          <w:color w:val="000000"/>
        </w:rPr>
      </w:pPr>
      <w:bookmarkStart w:name="_heading=h.1xryf43sxcmz" w:colFirst="0" w:colLast="0" w:id="61"/>
      <w:bookmarkEnd w:id="61"/>
      <w:r w:rsidRPr="00B031A0">
        <w:rPr>
          <w:rFonts w:ascii="Arial" w:hAnsi="Arial" w:cs="Arial"/>
          <w:color w:val="000000" w:themeColor="text1"/>
        </w:rPr>
        <w:t xml:space="preserve">Sonni, A.F., Hafied, H., Irwanto, I. and Latuheru, R. (2024). Digital Newsroom Transformation: A systematic review of the impact </w:t>
      </w:r>
      <w:r w:rsidRPr="00B031A0">
        <w:rPr>
          <w:rFonts w:ascii="Arial" w:hAnsi="Arial" w:cs="Arial"/>
          <w:color w:val="000000"/>
        </w:rPr>
        <w:t xml:space="preserve">of artificial intelligence on journalistic practices, news narratives, and ethical challenges. </w:t>
      </w:r>
      <w:r w:rsidRPr="00B031A0">
        <w:rPr>
          <w:rFonts w:ascii="Arial" w:hAnsi="Arial" w:cs="Arial"/>
          <w:i/>
          <w:iCs/>
          <w:color w:val="000000"/>
        </w:rPr>
        <w:t>Journalism and Media</w:t>
      </w:r>
      <w:r w:rsidRPr="00B031A0">
        <w:rPr>
          <w:rFonts w:ascii="Arial" w:hAnsi="Arial" w:cs="Arial"/>
          <w:color w:val="000000"/>
        </w:rPr>
        <w:t>, 5(4), pp.1554–1570. doi:10.3390/journalmedia5040097.</w:t>
      </w:r>
    </w:p>
    <w:p w:rsidRPr="00B031A0" w:rsidR="00776C49" w:rsidP="00D44D36" w:rsidRDefault="00776C49" w14:paraId="37068ED2" w14:textId="77777777">
      <w:pPr>
        <w:spacing w:before="240" w:after="240"/>
        <w:rPr>
          <w:rFonts w:ascii="Arial" w:hAnsi="Arial" w:cs="Arial"/>
          <w:color w:val="000000"/>
        </w:rPr>
      </w:pPr>
      <w:r w:rsidRPr="00B031A0">
        <w:rPr>
          <w:rFonts w:ascii="Arial" w:hAnsi="Arial" w:cs="Arial"/>
          <w:color w:val="000000"/>
        </w:rPr>
        <w:t xml:space="preserve">Stewart, S., Robertson, C., Kennedy, S., Kavanagh, K., Haahr, L., Manoukian, S., Mason, H., Dancer, S., Cook, B. and Reilly, J. (2021). Personalized infection prevention and control: Identifying patients at risk of healthcare-associated infection. </w:t>
      </w:r>
      <w:r w:rsidRPr="00B031A0">
        <w:rPr>
          <w:rFonts w:ascii="Arial" w:hAnsi="Arial" w:cs="Arial"/>
          <w:i/>
          <w:iCs/>
          <w:color w:val="000000"/>
        </w:rPr>
        <w:t>Journal of Hospital Infection</w:t>
      </w:r>
      <w:r w:rsidRPr="00B031A0">
        <w:rPr>
          <w:rFonts w:ascii="Arial" w:hAnsi="Arial" w:cs="Arial"/>
          <w:color w:val="000000"/>
        </w:rPr>
        <w:t>, [online] 114, pp.32–42. doi:10.1016/j.jhin.2021.03.032.</w:t>
      </w:r>
    </w:p>
    <w:p w:rsidRPr="00B031A0" w:rsidR="00776C49" w:rsidP="00D44D36" w:rsidRDefault="00776C49" w14:paraId="11A1CF54" w14:textId="77777777">
      <w:pPr>
        <w:spacing w:before="240" w:after="240"/>
        <w:rPr>
          <w:rFonts w:ascii="Arial" w:hAnsi="Arial" w:cs="Arial"/>
          <w:color w:val="000000"/>
        </w:rPr>
      </w:pPr>
      <w:r w:rsidRPr="00B031A0">
        <w:rPr>
          <w:rFonts w:ascii="Arial" w:hAnsi="Arial" w:cs="Arial"/>
          <w:color w:val="000000"/>
        </w:rPr>
        <w:t xml:space="preserve">Taherdoost, H. (2022). What are different research approaches? Comprehensive review of qualitative, quantitative, and mixed method research, their applications, types, and limitations. </w:t>
      </w:r>
      <w:r w:rsidRPr="00B031A0">
        <w:rPr>
          <w:rFonts w:ascii="Arial" w:hAnsi="Arial" w:cs="Arial"/>
          <w:i/>
          <w:iCs/>
          <w:color w:val="000000"/>
        </w:rPr>
        <w:t>Journal of Management Science &amp; Engineering Research</w:t>
      </w:r>
      <w:r w:rsidRPr="00B031A0">
        <w:rPr>
          <w:rFonts w:ascii="Arial" w:hAnsi="Arial" w:cs="Arial"/>
          <w:color w:val="000000"/>
        </w:rPr>
        <w:t>, [online] 5(1), pp.53–63. Available at: https://hal.science/hal-03741840/document [Accessed 4 Aug. 2026].</w:t>
      </w:r>
    </w:p>
    <w:p w:rsidRPr="00B031A0" w:rsidR="00776C49" w:rsidP="00D44D36" w:rsidRDefault="00776C49" w14:paraId="76E841F9" w14:textId="77777777">
      <w:pPr>
        <w:spacing w:before="240" w:after="240"/>
        <w:rPr>
          <w:rFonts w:ascii="Arial" w:hAnsi="Arial" w:cs="Arial"/>
          <w:color w:val="000000"/>
        </w:rPr>
      </w:pPr>
      <w:r w:rsidRPr="00B031A0">
        <w:rPr>
          <w:rFonts w:ascii="Arial" w:hAnsi="Arial" w:cs="Arial"/>
          <w:color w:val="000000"/>
        </w:rPr>
        <w:t xml:space="preserve">Tonny Ssekamatte, Mugambe, R.K., John Bosco Isunju, Wanyenze, R.K., Nalugya, A., Adyedo, C., Wafula, S.T., Buregyeya, E., Nuwematsiko, R., Bateman, J., Balen, J., Lusenaka, L., Habib Yakubu and Moe, C.L. (2024). Application of the behaviour-centred design to understand facilitators and deterrents of hand hygiene among healthcare providers: Findings from a formative phase of a cluster randomised trial in the Kampala Metropolitan Area. </w:t>
      </w:r>
      <w:r w:rsidRPr="00B031A0">
        <w:rPr>
          <w:rFonts w:ascii="Arial" w:hAnsi="Arial" w:cs="Arial"/>
          <w:i/>
          <w:iCs/>
          <w:color w:val="000000"/>
        </w:rPr>
        <w:t>BMC Health Services Research</w:t>
      </w:r>
      <w:r w:rsidRPr="00B031A0">
        <w:rPr>
          <w:rFonts w:ascii="Arial" w:hAnsi="Arial" w:cs="Arial"/>
          <w:color w:val="000000"/>
        </w:rPr>
        <w:t>, [online] 24(1). doi:10.1186/s12913-024-11512-z.</w:t>
      </w:r>
    </w:p>
    <w:p w:rsidRPr="00B031A0" w:rsidR="00776C49" w:rsidP="00D44D36" w:rsidRDefault="00776C49" w14:paraId="21F07565" w14:textId="77777777">
      <w:pPr>
        <w:spacing w:before="240"/>
        <w:rPr>
          <w:rFonts w:ascii="Arial" w:hAnsi="Arial" w:cs="Arial"/>
          <w:color w:val="000000"/>
        </w:rPr>
      </w:pPr>
      <w:r w:rsidRPr="00B031A0">
        <w:rPr>
          <w:rFonts w:ascii="Arial" w:hAnsi="Arial" w:cs="Arial"/>
          <w:color w:val="000000"/>
        </w:rPr>
        <w:t xml:space="preserve">UK Health Security Agency (2025). </w:t>
      </w:r>
      <w:r w:rsidRPr="00B031A0">
        <w:rPr>
          <w:rFonts w:ascii="Arial" w:hAnsi="Arial" w:cs="Arial"/>
          <w:i/>
          <w:iCs/>
          <w:color w:val="000000"/>
        </w:rPr>
        <w:t>Surveillance of surgical site infections in NHS hospitals in England April 2024 to March 2025</w:t>
      </w:r>
      <w:r w:rsidRPr="00B031A0">
        <w:rPr>
          <w:rFonts w:ascii="Arial" w:hAnsi="Arial" w:cs="Arial"/>
          <w:color w:val="000000"/>
        </w:rPr>
        <w:t xml:space="preserve">. [online] </w:t>
      </w:r>
      <w:r w:rsidRPr="00B031A0">
        <w:rPr>
          <w:rFonts w:ascii="Arial" w:hAnsi="Arial" w:cs="Arial"/>
          <w:i/>
          <w:iCs/>
          <w:color w:val="000000"/>
        </w:rPr>
        <w:t>UK Health Security Agency</w:t>
      </w:r>
      <w:r w:rsidRPr="00B031A0">
        <w:rPr>
          <w:rFonts w:ascii="Arial" w:hAnsi="Arial" w:cs="Arial"/>
          <w:color w:val="000000"/>
        </w:rPr>
        <w:t>. UK Health Security Agency. Available at: https://assets.publishing.service.gov.uk/media/69383a867a605b2d61cd8fa0/SSISS-annual-report-2024-to-2025.pdf [Accessed 14 July 2026].</w:t>
      </w:r>
    </w:p>
    <w:p w:rsidRPr="00B031A0" w:rsidR="00776C49" w:rsidP="00D44D36" w:rsidRDefault="00776C49" w14:paraId="20D47A3C" w14:textId="77777777">
      <w:pPr>
        <w:spacing w:before="240" w:after="240"/>
        <w:rPr>
          <w:rFonts w:ascii="Arial" w:hAnsi="Arial" w:cs="Arial"/>
          <w:color w:val="000000"/>
        </w:rPr>
      </w:pPr>
      <w:r w:rsidRPr="00B031A0">
        <w:rPr>
          <w:rFonts w:ascii="Arial" w:hAnsi="Arial" w:cs="Arial"/>
          <w:color w:val="000000"/>
        </w:rPr>
        <w:t>UKHSA (2023). UKHSA Annual Report and Accounts 2023-24 HC 427. [online] Available at: https://assets.publishing.service.gov.uk/media/67605075d18ee49eb35b5b43/UKHSA_Annual_Report_2023_24.pdf [Accessed 4 Aug. 2026].</w:t>
      </w:r>
    </w:p>
    <w:p w:rsidRPr="00B031A0" w:rsidR="00776C49" w:rsidP="00D44D36" w:rsidRDefault="00776C49" w14:paraId="42602656" w14:textId="77777777">
      <w:pPr>
        <w:spacing w:before="240" w:after="240"/>
        <w:rPr>
          <w:rFonts w:ascii="Arial" w:hAnsi="Arial" w:cs="Arial"/>
          <w:color w:val="000000"/>
        </w:rPr>
      </w:pPr>
      <w:r w:rsidRPr="00B031A0">
        <w:rPr>
          <w:rFonts w:ascii="Arial" w:hAnsi="Arial" w:cs="Arial"/>
          <w:color w:val="000000"/>
        </w:rPr>
        <w:t xml:space="preserve">Violato, E., Witschen, B., Violato, E. and King, S. (2021). A behavioural study of obedience in health professional students. </w:t>
      </w:r>
      <w:r w:rsidRPr="00B031A0">
        <w:rPr>
          <w:rFonts w:ascii="Arial" w:hAnsi="Arial" w:cs="Arial"/>
          <w:i/>
          <w:iCs/>
          <w:color w:val="000000"/>
        </w:rPr>
        <w:t>Advances in Health Sciences Education</w:t>
      </w:r>
      <w:r w:rsidRPr="00B031A0">
        <w:rPr>
          <w:rFonts w:ascii="Arial" w:hAnsi="Arial" w:cs="Arial"/>
          <w:color w:val="000000"/>
        </w:rPr>
        <w:t>, 27(2). doi:10.1007/s10459-021-10085-4.</w:t>
      </w:r>
    </w:p>
    <w:p w:rsidRPr="00B031A0" w:rsidR="00776C49" w:rsidP="00D44D36" w:rsidRDefault="00776C49" w14:paraId="37208C07" w14:textId="77777777">
      <w:pPr>
        <w:spacing w:before="240"/>
        <w:rPr>
          <w:rFonts w:ascii="Arial" w:hAnsi="Arial" w:cs="Arial"/>
          <w:color w:val="000000"/>
        </w:rPr>
      </w:pPr>
      <w:r w:rsidRPr="00B031A0">
        <w:rPr>
          <w:rFonts w:ascii="Arial" w:hAnsi="Arial" w:cs="Arial"/>
          <w:color w:val="000000"/>
        </w:rPr>
        <w:t xml:space="preserve">White, K.M., Jimmieson, N.L., Obst, P.L., Graves, N., Barnett, A., Cockshaw, W., Gee, P., Haneman, L., Page, K., Campbell, M., Martin, E. and Paterson, D. (2015). Using a theory of planned behaviour framework to explore hand hygiene beliefs at the ‘5 critical moments’ among Australian hospital-based nurses. </w:t>
      </w:r>
      <w:r w:rsidRPr="00B031A0">
        <w:rPr>
          <w:rFonts w:ascii="Arial" w:hAnsi="Arial" w:cs="Arial"/>
          <w:i/>
          <w:iCs/>
          <w:color w:val="000000"/>
        </w:rPr>
        <w:t>BMC Health Services Research</w:t>
      </w:r>
      <w:r w:rsidRPr="00B031A0">
        <w:rPr>
          <w:rFonts w:ascii="Arial" w:hAnsi="Arial" w:cs="Arial"/>
          <w:color w:val="000000"/>
        </w:rPr>
        <w:t>, 15(1). doi:10.1186/s12913-015-0718-2.</w:t>
      </w:r>
    </w:p>
    <w:p w:rsidRPr="004764CC" w:rsidR="005501CA" w:rsidP="005501CA" w:rsidRDefault="005501CA" w14:paraId="0EA5A187" w14:textId="71A10F60">
      <w:pPr>
        <w:rPr>
          <w:rFonts w:ascii="Arial" w:hAnsi="Arial" w:cs="Arial"/>
          <w:color w:val="000000" w:themeColor="text1"/>
          <w:lang w:val="en-US"/>
        </w:rPr>
      </w:pPr>
      <w:r w:rsidRPr="000F0265">
        <w:rPr>
          <w:rFonts w:ascii="Arial" w:hAnsi="Arial" w:cs="Arial"/>
          <w:color w:val="000000" w:themeColor="text1"/>
        </w:rPr>
        <w:t xml:space="preserve">Winship, S. and McClunie-Trust, P., </w:t>
      </w:r>
      <w:r w:rsidR="00D3113C">
        <w:rPr>
          <w:rFonts w:ascii="Arial" w:hAnsi="Arial" w:cs="Arial"/>
          <w:color w:val="000000" w:themeColor="text1"/>
        </w:rPr>
        <w:t>(</w:t>
      </w:r>
      <w:r w:rsidRPr="000F0265">
        <w:rPr>
          <w:rFonts w:ascii="Arial" w:hAnsi="Arial" w:cs="Arial"/>
          <w:color w:val="000000" w:themeColor="text1"/>
        </w:rPr>
        <w:t>2016</w:t>
      </w:r>
      <w:r w:rsidR="00D3113C">
        <w:rPr>
          <w:rFonts w:ascii="Arial" w:hAnsi="Arial" w:cs="Arial"/>
          <w:color w:val="000000" w:themeColor="text1"/>
        </w:rPr>
        <w:t>)</w:t>
      </w:r>
      <w:r w:rsidRPr="000F0265">
        <w:rPr>
          <w:rFonts w:ascii="Arial" w:hAnsi="Arial" w:cs="Arial"/>
          <w:color w:val="000000" w:themeColor="text1"/>
        </w:rPr>
        <w:t>. Factors influencing hand hygiene compliance among nurses: An integrative review. </w:t>
      </w:r>
      <w:r w:rsidRPr="000F0265">
        <w:rPr>
          <w:rFonts w:ascii="Arial" w:hAnsi="Arial" w:cs="Arial"/>
          <w:i/>
          <w:iCs/>
          <w:color w:val="000000" w:themeColor="text1"/>
        </w:rPr>
        <w:t>KaiTiaki Nursing Research</w:t>
      </w:r>
      <w:r w:rsidRPr="000F0265">
        <w:rPr>
          <w:rFonts w:ascii="Arial" w:hAnsi="Arial" w:cs="Arial"/>
          <w:color w:val="000000" w:themeColor="text1"/>
        </w:rPr>
        <w:t>, </w:t>
      </w:r>
      <w:r w:rsidRPr="000F0265">
        <w:rPr>
          <w:rFonts w:ascii="Arial" w:hAnsi="Arial" w:cs="Arial"/>
          <w:i/>
          <w:iCs/>
          <w:color w:val="000000" w:themeColor="text1"/>
        </w:rPr>
        <w:t>7</w:t>
      </w:r>
      <w:r w:rsidRPr="000F0265">
        <w:rPr>
          <w:rFonts w:ascii="Arial" w:hAnsi="Arial" w:cs="Arial"/>
          <w:color w:val="000000" w:themeColor="text1"/>
        </w:rPr>
        <w:t>(1), pp.19-26.</w:t>
      </w:r>
    </w:p>
    <w:p w:rsidRPr="00B031A0" w:rsidR="00776C49" w:rsidP="00D44D36" w:rsidRDefault="00776C49" w14:paraId="76A8C3E1" w14:textId="77777777">
      <w:pPr>
        <w:spacing w:before="240"/>
        <w:rPr>
          <w:rFonts w:ascii="Arial" w:hAnsi="Arial" w:cs="Arial"/>
          <w:color w:val="000000"/>
        </w:rPr>
      </w:pPr>
      <w:r w:rsidRPr="00B031A0">
        <w:rPr>
          <w:rFonts w:ascii="Arial" w:hAnsi="Arial" w:cs="Arial"/>
          <w:color w:val="000000"/>
        </w:rPr>
        <w:t xml:space="preserve">Worku, A.D. and Melaku, A. (2025). Barriers to hand hygiene practice among healthcare workers in health centres of Kirkos and Akaki Kality sub-cities, Addis Ababa, Ethiopia: A qualitative study. </w:t>
      </w:r>
      <w:r w:rsidRPr="00B031A0">
        <w:rPr>
          <w:rFonts w:ascii="Arial" w:hAnsi="Arial" w:cs="Arial"/>
          <w:i/>
          <w:iCs/>
          <w:color w:val="000000"/>
        </w:rPr>
        <w:t>Infection Prevention in Practice</w:t>
      </w:r>
      <w:r w:rsidRPr="00B031A0">
        <w:rPr>
          <w:rFonts w:ascii="Arial" w:hAnsi="Arial" w:cs="Arial"/>
          <w:color w:val="000000"/>
        </w:rPr>
        <w:t>, [online] 7(2), p.100450. doi:10.1016/j.infpip.2025.100450.</w:t>
      </w:r>
    </w:p>
    <w:p w:rsidRPr="00B031A0" w:rsidR="00776C49" w:rsidP="00D44D36" w:rsidRDefault="00776C49" w14:paraId="436F78B0" w14:textId="77777777">
      <w:pPr>
        <w:spacing w:before="240"/>
        <w:rPr>
          <w:rFonts w:ascii="Arial" w:hAnsi="Arial" w:cs="Arial"/>
          <w:color w:val="000000"/>
        </w:rPr>
      </w:pPr>
      <w:r w:rsidRPr="00B031A0">
        <w:rPr>
          <w:rFonts w:ascii="Arial" w:hAnsi="Arial" w:cs="Arial"/>
          <w:color w:val="000000"/>
        </w:rPr>
        <w:t xml:space="preserve">World Health Organization (2022). </w:t>
      </w:r>
      <w:r w:rsidRPr="00B031A0">
        <w:rPr>
          <w:rFonts w:ascii="Arial" w:hAnsi="Arial" w:cs="Arial"/>
          <w:i/>
          <w:iCs/>
          <w:color w:val="000000"/>
        </w:rPr>
        <w:t>Hand Hygiene</w:t>
      </w:r>
      <w:r w:rsidRPr="00B031A0">
        <w:rPr>
          <w:rFonts w:ascii="Arial" w:hAnsi="Arial" w:cs="Arial"/>
          <w:color w:val="000000"/>
        </w:rPr>
        <w:t>. [online] Www.who.int. Available at: https://www.who.int/teams/integrated-health-services/infection-prevention-control/hand-hygiene [Accessed 14 July 2026].</w:t>
      </w:r>
    </w:p>
    <w:p w:rsidRPr="00B031A0" w:rsidR="00776C49" w:rsidP="00D44D36" w:rsidRDefault="00776C49" w14:paraId="2675CBC9" w14:textId="77777777">
      <w:pPr>
        <w:spacing w:before="240" w:after="240"/>
        <w:rPr>
          <w:rFonts w:ascii="Arial" w:hAnsi="Arial" w:cs="Arial"/>
          <w:color w:val="000000"/>
        </w:rPr>
      </w:pPr>
      <w:r w:rsidRPr="00B031A0">
        <w:rPr>
          <w:rFonts w:ascii="Arial" w:hAnsi="Arial" w:cs="Arial"/>
          <w:color w:val="000000"/>
        </w:rPr>
        <w:t xml:space="preserve">Yadav, V., Trushna, T., Mandal, U.K., Singh, M., Goel, A.D., Bairwa, M., Dabar, D. and Sabde, Y.D. (2025). AI-assisted search strategy construction with step-by-step instructions to execute and manage searches across major databases. </w:t>
      </w:r>
      <w:r w:rsidRPr="00B031A0">
        <w:rPr>
          <w:rFonts w:ascii="Arial" w:hAnsi="Arial" w:cs="Arial"/>
          <w:i/>
          <w:iCs/>
          <w:color w:val="000000"/>
        </w:rPr>
        <w:t>Medical Reference Services Quarterly</w:t>
      </w:r>
      <w:r w:rsidRPr="00B031A0">
        <w:rPr>
          <w:rFonts w:ascii="Arial" w:hAnsi="Arial" w:cs="Arial"/>
          <w:color w:val="000000"/>
        </w:rPr>
        <w:t>, 45(1), pp.1–26. doi:10.1080/02763869.2025.2595567.</w:t>
      </w:r>
    </w:p>
    <w:p w:rsidRPr="00B031A0" w:rsidR="00776C49" w:rsidP="00D44D36" w:rsidRDefault="00776C49" w14:paraId="74AE15DD" w14:textId="77777777">
      <w:pPr>
        <w:spacing w:before="240"/>
        <w:rPr>
          <w:rFonts w:ascii="Arial" w:hAnsi="Arial" w:cs="Arial"/>
          <w:color w:val="000000"/>
        </w:rPr>
      </w:pPr>
      <w:r w:rsidRPr="009807F5">
        <w:rPr>
          <w:rFonts w:ascii="Arial" w:hAnsi="Arial" w:cs="Arial"/>
          <w:color w:val="000000"/>
          <w:lang w:val="en-US"/>
        </w:rPr>
        <w:t xml:space="preserve">Yi, Y., Wu, T., Jing, C., Du, X., Shan, Y., Jiang, Q., Hou, L. and Tao, L. (2026). </w:t>
      </w:r>
      <w:r w:rsidRPr="00B031A0">
        <w:rPr>
          <w:rFonts w:ascii="Arial" w:hAnsi="Arial" w:cs="Arial"/>
          <w:color w:val="000000"/>
        </w:rPr>
        <w:t xml:space="preserve">Barriers to hand hygiene practices and improvement expectations among awake ICU patients: A qualitative study. </w:t>
      </w:r>
      <w:r w:rsidRPr="00B031A0">
        <w:rPr>
          <w:rFonts w:ascii="Arial" w:hAnsi="Arial" w:cs="Arial"/>
          <w:i/>
          <w:iCs/>
          <w:color w:val="000000"/>
        </w:rPr>
        <w:t>Frontiers in Public Health</w:t>
      </w:r>
      <w:r w:rsidRPr="00B031A0">
        <w:rPr>
          <w:rFonts w:ascii="Arial" w:hAnsi="Arial" w:cs="Arial"/>
          <w:color w:val="000000"/>
        </w:rPr>
        <w:t>, 14. doi:10.3389/fpubh.2026.1814268.</w:t>
      </w:r>
    </w:p>
    <w:p w:rsidRPr="00B031A0" w:rsidR="00776C49" w:rsidP="00D44D36" w:rsidRDefault="00776C49" w14:paraId="5589BC44" w14:textId="77777777">
      <w:pPr>
        <w:spacing w:before="240"/>
        <w:rPr>
          <w:rFonts w:ascii="Arial" w:hAnsi="Arial" w:cs="Arial"/>
          <w:color w:val="000000"/>
        </w:rPr>
      </w:pPr>
      <w:r w:rsidRPr="00B031A0">
        <w:rPr>
          <w:rFonts w:ascii="Arial" w:hAnsi="Arial" w:cs="Arial"/>
          <w:color w:val="000000"/>
        </w:rPr>
        <w:t xml:space="preserve">Ystaas, L.M.K., Nikitara, M., Ghobrial, S., Latzourakis, E., Polychronis, G. and ConstantinouCrosbie , C.S. (2023). The impact of transformational leadership in the nursing work environment and patients’ outcomes: A systematic review. </w:t>
      </w:r>
      <w:r w:rsidRPr="00B031A0">
        <w:rPr>
          <w:rFonts w:ascii="Arial" w:hAnsi="Arial" w:cs="Arial"/>
          <w:i/>
          <w:iCs/>
          <w:color w:val="000000"/>
        </w:rPr>
        <w:t>Nursing Reports</w:t>
      </w:r>
      <w:r w:rsidRPr="00B031A0">
        <w:rPr>
          <w:rFonts w:ascii="Arial" w:hAnsi="Arial" w:cs="Arial"/>
          <w:color w:val="000000"/>
        </w:rPr>
        <w:t>, [online] 13(3), pp.1271–1290. doi:10.3390/nursrep13030108.</w:t>
      </w:r>
    </w:p>
    <w:p w:rsidRPr="00B031A0" w:rsidR="00776C49" w:rsidP="00D44D36" w:rsidRDefault="00776C49" w14:paraId="200855A5" w14:textId="77777777">
      <w:pPr>
        <w:spacing w:before="240" w:after="240"/>
        <w:rPr>
          <w:rFonts w:ascii="Arial" w:hAnsi="Arial" w:cs="Arial"/>
          <w:color w:val="000000"/>
        </w:rPr>
      </w:pPr>
      <w:r w:rsidRPr="00B031A0">
        <w:rPr>
          <w:rFonts w:ascii="Arial" w:hAnsi="Arial" w:cs="Arial"/>
          <w:color w:val="000000"/>
        </w:rPr>
        <w:t xml:space="preserve">Yue, J. and Pan, H. (2025). Enhancing hand hygiene compliance in healthcare settings: A long time intervention study. </w:t>
      </w:r>
      <w:r w:rsidRPr="00B031A0">
        <w:rPr>
          <w:rFonts w:ascii="Arial" w:hAnsi="Arial" w:cs="Arial"/>
          <w:i/>
          <w:iCs/>
          <w:color w:val="000000"/>
        </w:rPr>
        <w:t>Frontiers in Public Health</w:t>
      </w:r>
      <w:r w:rsidRPr="00B031A0">
        <w:rPr>
          <w:rFonts w:ascii="Arial" w:hAnsi="Arial" w:cs="Arial"/>
          <w:color w:val="000000"/>
        </w:rPr>
        <w:t>, 13. doi:10.3389/fpubh.2025.1588336.</w:t>
      </w:r>
    </w:p>
    <w:p w:rsidRPr="00B031A0" w:rsidR="00776C49" w:rsidP="00D44D36" w:rsidRDefault="00776C49" w14:paraId="7ACA65B7" w14:textId="77777777">
      <w:pPr>
        <w:spacing w:before="240" w:after="240"/>
        <w:rPr>
          <w:rFonts w:ascii="Arial" w:hAnsi="Arial" w:cs="Arial"/>
          <w:color w:val="000000"/>
        </w:rPr>
      </w:pPr>
      <w:r w:rsidRPr="00B031A0">
        <w:rPr>
          <w:rFonts w:ascii="Arial" w:hAnsi="Arial" w:cs="Arial"/>
          <w:color w:val="000000"/>
        </w:rPr>
        <w:t xml:space="preserve">Zeki Simsek, Fox, B.C., Heavey, C. and Liu, S. (2024). Methodological rigor in management research reviews. </w:t>
      </w:r>
      <w:r w:rsidRPr="00B031A0">
        <w:rPr>
          <w:rFonts w:ascii="Arial" w:hAnsi="Arial" w:cs="Arial"/>
          <w:i/>
          <w:iCs/>
          <w:color w:val="000000"/>
        </w:rPr>
        <w:t>Journal of management</w:t>
      </w:r>
      <w:r w:rsidRPr="00B031A0">
        <w:rPr>
          <w:rFonts w:ascii="Arial" w:hAnsi="Arial" w:cs="Arial"/>
          <w:color w:val="000000"/>
        </w:rPr>
        <w:t>. doi:10.1177/01492063241237222.</w:t>
      </w:r>
    </w:p>
    <w:p w:rsidRPr="00B031A0" w:rsidR="00776C49" w:rsidP="00D44D36" w:rsidRDefault="00776C49" w14:paraId="41AD2853" w14:textId="77777777">
      <w:pPr>
        <w:spacing w:before="240" w:after="240"/>
        <w:rPr>
          <w:rFonts w:ascii="Arial" w:hAnsi="Arial" w:cs="Arial"/>
          <w:color w:val="000000"/>
        </w:rPr>
      </w:pPr>
      <w:r w:rsidRPr="00B031A0">
        <w:rPr>
          <w:rFonts w:ascii="Arial" w:hAnsi="Arial" w:cs="Arial"/>
          <w:color w:val="000000"/>
        </w:rPr>
        <w:t xml:space="preserve">Zhaksylyk, A., Zimba, O., Yessirkepov, M. and Koçyiğit, B.F. (2023). Research integrity: Where we are and where we are heading. </w:t>
      </w:r>
      <w:r w:rsidRPr="00B031A0">
        <w:rPr>
          <w:rFonts w:ascii="Arial" w:hAnsi="Arial" w:cs="Arial"/>
          <w:i/>
          <w:iCs/>
          <w:color w:val="000000"/>
        </w:rPr>
        <w:t>Journal of Korean Medical Science</w:t>
      </w:r>
      <w:r w:rsidRPr="00B031A0">
        <w:rPr>
          <w:rFonts w:ascii="Arial" w:hAnsi="Arial" w:cs="Arial"/>
          <w:color w:val="000000"/>
        </w:rPr>
        <w:t>, [online] 38(47). doi:10.3346/jkms.2023.38.e405.</w:t>
      </w:r>
    </w:p>
    <w:p w:rsidRPr="00B031A0" w:rsidR="00776C49" w:rsidP="00D44D36" w:rsidRDefault="00776C49" w14:paraId="2AF0C1F5" w14:textId="77777777">
      <w:pPr>
        <w:spacing w:after="240"/>
        <w:rPr>
          <w:rFonts w:ascii="Arial" w:hAnsi="Arial" w:cs="Arial"/>
          <w:color w:val="000000"/>
        </w:rPr>
      </w:pPr>
      <w:r w:rsidRPr="00B031A0">
        <w:rPr>
          <w:rFonts w:ascii="Arial" w:hAnsi="Arial" w:cs="Arial"/>
          <w:color w:val="000000"/>
        </w:rPr>
        <w:t xml:space="preserve">Zheng, S., Yang, Q., Wang, X., Zhang, X. and Zhou, Q. (2022). Capability, opportunity, motivation, and hand hygiene behavior in healthcare workers: A structural equation modeling. </w:t>
      </w:r>
      <w:r w:rsidRPr="00B031A0">
        <w:rPr>
          <w:rFonts w:ascii="Arial" w:hAnsi="Arial" w:cs="Arial"/>
          <w:i/>
          <w:iCs/>
          <w:color w:val="000000"/>
        </w:rPr>
        <w:t>Psychology Research and Behavior Management</w:t>
      </w:r>
      <w:r w:rsidRPr="00B031A0">
        <w:rPr>
          <w:rFonts w:ascii="Arial" w:hAnsi="Arial" w:cs="Arial"/>
          <w:color w:val="000000"/>
        </w:rPr>
        <w:t>, Volume 15, pp.2219–2228. doi:10.2147/prbm.s373287.</w:t>
      </w:r>
    </w:p>
    <w:p w:rsidRPr="00B031A0" w:rsidR="00776C49" w:rsidP="00D44D36" w:rsidRDefault="00776C49" w14:paraId="197EEFD5" w14:textId="77777777">
      <w:pPr>
        <w:spacing w:after="240"/>
        <w:rPr>
          <w:rFonts w:ascii="Arial" w:hAnsi="Arial" w:cs="Arial"/>
          <w:color w:val="000000" w:themeColor="text1"/>
        </w:rPr>
      </w:pPr>
    </w:p>
    <w:p w:rsidRPr="00471BB0" w:rsidR="00900D75" w:rsidP="00471BB0" w:rsidRDefault="00115699" w14:paraId="4473E1C6" w14:textId="3F94A84D">
      <w:pPr>
        <w:rPr>
          <w:rFonts w:ascii="Arial" w:hAnsi="Arial" w:cs="Arial"/>
          <w:b/>
          <w:bCs/>
          <w:color w:val="000000" w:themeColor="text1"/>
        </w:rPr>
        <w:sectPr w:rsidRPr="00471BB0" w:rsidR="00900D75">
          <w:footerReference w:type="even" r:id="rId16"/>
          <w:footerReference w:type="default" r:id="rId17"/>
          <w:footerReference w:type="first" r:id="rId18"/>
          <w:pgSz w:w="11906" w:h="16838" w:orient="portrait"/>
          <w:pgMar w:top="1440" w:right="1440" w:bottom="1440" w:left="1440" w:header="708" w:footer="708" w:gutter="0"/>
          <w:pgNumType w:start="1"/>
          <w:cols w:space="720"/>
          <w:headerReference w:type="default" r:id="Rd072967ab3894bd5"/>
        </w:sectPr>
      </w:pPr>
      <w:r w:rsidRPr="00B031A0">
        <w:rPr>
          <w:rFonts w:ascii="Arial" w:hAnsi="Arial" w:cs="Arial"/>
          <w:color w:val="000000" w:themeColor="text1"/>
        </w:rPr>
        <w:br w:type="page"/>
      </w:r>
    </w:p>
    <w:p w:rsidRPr="00B031A0" w:rsidR="00B12FCF" w:rsidP="00471BB0" w:rsidRDefault="00B12FCF" w14:paraId="306E87A0" w14:textId="77777777">
      <w:pPr>
        <w:pStyle w:val="NoSpacing"/>
      </w:pPr>
    </w:p>
    <w:sectPr w:rsidRPr="00B031A0" w:rsidR="00B12FCF" w:rsidSect="00900D75">
      <w:pgSz w:w="16839" w:h="11907" w:orient="landscape"/>
      <w:pgMar w:top="1440" w:right="1440" w:bottom="1440" w:left="1440" w:header="708" w:footer="708" w:gutter="0"/>
      <w:pgNumType w:start="1"/>
      <w:cols w:space="720"/>
      <w:docGrid w:linePitch="326"/>
      <w:headerReference w:type="default" r:id="R7498ff498972421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8072F" w:rsidRDefault="0038072F" w14:paraId="666172BF" w14:textId="77777777">
      <w:pPr>
        <w:spacing w:after="0" w:line="240" w:lineRule="auto"/>
      </w:pPr>
      <w:r>
        <w:separator/>
      </w:r>
    </w:p>
  </w:endnote>
  <w:endnote w:type="continuationSeparator" w:id="0">
    <w:p w:rsidR="0038072F" w:rsidRDefault="0038072F" w14:paraId="08469A8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w:fontKey="{21679AE5-709B-49AB-9663-F03426FDE58B}" r:id="rId1"/>
  </w:font>
  <w:font w:name="MS Gothic">
    <w:altName w:val="ＭＳ ゴシック"/>
    <w:panose1 w:val="020B0609070205080204"/>
    <w:charset w:val="80"/>
    <w:family w:val="modern"/>
    <w:pitch w:val="fixed"/>
    <w:sig w:usb0="E00002FF" w:usb1="6AC7FDFB" w:usb2="08000012" w:usb3="00000000" w:csb0="0002009F" w:csb1="00000000"/>
  </w:font>
  <w:font w:name="Vrinda">
    <w:panose1 w:val="00000400000000000000"/>
    <w:charset w:val="01"/>
    <w:family w:val="roman"/>
    <w:pitch w:val="variable"/>
  </w:font>
  <w:font w:name="Georgia">
    <w:panose1 w:val="02040502050405020303"/>
    <w:charset w:val="00"/>
    <w:family w:val="roman"/>
    <w:pitch w:val="variable"/>
    <w:sig w:usb0="00000287" w:usb1="00000000" w:usb2="00000000" w:usb3="00000000" w:csb0="0000009F" w:csb1="00000000"/>
    <w:embedItalic w:fontKey="{9EDE65E4-30ED-4E0E-BDDC-6D08DF8DDC7C}" r:id="rId2"/>
  </w:font>
  <w:font w:name="Cambria">
    <w:panose1 w:val="02040503050406030204"/>
    <w:charset w:val="00"/>
    <w:family w:val="roman"/>
    <w:pitch w:val="variable"/>
    <w:sig w:usb0="E00006FF" w:usb1="420024FF" w:usb2="02000000" w:usb3="00000000" w:csb0="0000019F" w:csb1="00000000"/>
    <w:embedRegular w:fontKey="{0BE89810-6B2C-482D-9B92-A22DF877284D}" r:id="rId3"/>
  </w:font>
  <w:font w:name="MS Mincho">
    <w:altName w:val="ＭＳ 明朝"/>
    <w:panose1 w:val="02020609040205080304"/>
    <w:charset w:val="80"/>
    <w:family w:val="roman"/>
    <w:pitch w:val="fixed"/>
    <w:sig w:usb0="00000001" w:usb1="08070000" w:usb2="00000010" w:usb3="00000000" w:csb0="00020000" w:csb1="00000000"/>
  </w:font>
  <w:font w:name="Tahoma">
    <w:panose1 w:val="020B0604030504040204"/>
    <w:charset w:val="00"/>
    <w:family w:val="swiss"/>
    <w:pitch w:val="variable"/>
    <w:sig w:usb0="E1002EFF" w:usb1="C000605B" w:usb2="00000029" w:usb3="00000000" w:csb0="000101FF" w:csb1="00000000"/>
    <w:embedRegular w:fontKey="{6252FA63-8DD6-4641-86A1-A808EAD252D0}" r:id="rId4"/>
    <w:embedBold w:fontKey="{F59E02B0-97CE-4BB9-BEF1-CD7848196EB5}" r:id="rId5"/>
  </w:font>
  <w:font w:name="Cambria Math">
    <w:panose1 w:val="02040503050406030204"/>
    <w:charset w:val="00"/>
    <w:family w:val="roman"/>
    <w:pitch w:val="variable"/>
    <w:sig w:usb0="E00006FF" w:usb1="420024FF" w:usb2="02000000" w:usb3="00000000" w:csb0="0000019F" w:csb1="00000000"/>
    <w:embedRegular w:fontKey="{2CE24B4D-5308-49D9-9A0E-82231960CA5A}" r:id="rId6"/>
  </w:font>
  <w:font w:name="Gungsuh">
    <w:charset w:val="81"/>
    <w:family w:val="roman"/>
    <w:pitch w:val="variable"/>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77BF3" w:rsidRDefault="00115699" w14:paraId="7FB10DD4" w14:textId="77777777">
    <w:pPr>
      <w:spacing w:after="0"/>
      <w:ind w:right="-3"/>
      <w:jc w:val="right"/>
    </w:pPr>
    <w:r>
      <w:rPr>
        <w:rFonts w:ascii="Calibri" w:hAnsi="Calibri" w:eastAsia="Calibri" w:cs="Calibri"/>
      </w:rPr>
      <w:fldChar w:fldCharType="begin"/>
    </w:r>
    <w:r>
      <w:rPr>
        <w:rFonts w:ascii="Calibri" w:hAnsi="Calibri" w:eastAsia="Calibri" w:cs="Calibri"/>
      </w:rPr>
      <w:instrText>PAGE</w:instrText>
    </w:r>
    <w:r>
      <w:rPr>
        <w:rFonts w:ascii="Calibri" w:hAnsi="Calibri" w:eastAsia="Calibri" w:cs="Calibri"/>
      </w:rPr>
      <w:fldChar w:fldCharType="end"/>
    </w:r>
    <w:r>
      <w:rPr>
        <w:rFonts w:ascii="Calibri" w:hAnsi="Calibri" w:eastAsia="Calibri" w:cs="Calibri"/>
      </w:rPr>
      <w:t xml:space="preserve"> </w:t>
    </w:r>
  </w:p>
  <w:p w:rsidR="00C77BF3" w:rsidRDefault="00115699" w14:paraId="466C754D" w14:textId="77777777">
    <w:pPr>
      <w:tabs>
        <w:tab w:val="center" w:pos="4405"/>
      </w:tabs>
      <w:spacing w:after="0"/>
    </w:pPr>
    <w:r>
      <w:rPr>
        <w:rFonts w:ascii="Calibri" w:hAnsi="Calibri" w:eastAsia="Calibri" w:cs="Calibri"/>
      </w:rPr>
      <w:t xml:space="preserve">[Your Name] </w:t>
    </w:r>
    <w:r>
      <w:rPr>
        <w:rFonts w:ascii="Calibri" w:hAnsi="Calibri" w:eastAsia="Calibri" w:cs="Calibri"/>
      </w:rPr>
      <w:tab/>
    </w:r>
    <w:r>
      <w:rPr>
        <w:rFonts w:ascii="Calibri" w:hAnsi="Calibri" w:eastAsia="Calibri" w:cs="Calibri"/>
      </w:rPr>
      <w:t xml:space="preserve">Dissertation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77BF3" w:rsidP="78E66A13" w:rsidRDefault="0023299E" w14:paraId="18962A91" w14:textId="2E5D0453">
    <w:pPr>
      <w:spacing w:after="0"/>
      <w:ind w:right="-3"/>
      <w:jc w:val="right"/>
      <w:rPr>
        <w:rFonts w:ascii="Calibri" w:hAnsi="Calibri" w:eastAsia="Calibri" w:cs="Calibri"/>
        <w:noProof/>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77BF3" w:rsidRDefault="00115699" w14:paraId="1704D4FC" w14:textId="77777777">
    <w:pPr>
      <w:spacing w:after="0"/>
      <w:ind w:right="-3"/>
      <w:jc w:val="right"/>
    </w:pPr>
    <w:r>
      <w:rPr>
        <w:rFonts w:ascii="Calibri" w:hAnsi="Calibri" w:eastAsia="Calibri" w:cs="Calibri"/>
      </w:rPr>
      <w:fldChar w:fldCharType="begin"/>
    </w:r>
    <w:r>
      <w:rPr>
        <w:rFonts w:ascii="Calibri" w:hAnsi="Calibri" w:eastAsia="Calibri" w:cs="Calibri"/>
      </w:rPr>
      <w:instrText>PAGE</w:instrText>
    </w:r>
    <w:r>
      <w:rPr>
        <w:rFonts w:ascii="Calibri" w:hAnsi="Calibri" w:eastAsia="Calibri" w:cs="Calibri"/>
      </w:rPr>
      <w:fldChar w:fldCharType="end"/>
    </w:r>
    <w:r>
      <w:rPr>
        <w:rFonts w:ascii="Calibri" w:hAnsi="Calibri" w:eastAsia="Calibri" w:cs="Calibri"/>
      </w:rPr>
      <w:t xml:space="preserve"> </w:t>
    </w:r>
  </w:p>
  <w:p w:rsidR="00C77BF3" w:rsidRDefault="00115699" w14:paraId="2F6B8956" w14:textId="77777777">
    <w:pPr>
      <w:tabs>
        <w:tab w:val="center" w:pos="4405"/>
      </w:tabs>
      <w:spacing w:after="0"/>
    </w:pPr>
    <w:r>
      <w:rPr>
        <w:rFonts w:ascii="Calibri" w:hAnsi="Calibri" w:eastAsia="Calibri" w:cs="Calibri"/>
      </w:rPr>
      <w:t xml:space="preserve">[Your Name] </w:t>
    </w:r>
    <w:r>
      <w:rPr>
        <w:rFonts w:ascii="Calibri" w:hAnsi="Calibri" w:eastAsia="Calibri" w:cs="Calibri"/>
      </w:rPr>
      <w:tab/>
    </w:r>
    <w:r>
      <w:rPr>
        <w:rFonts w:ascii="Calibri" w:hAnsi="Calibri" w:eastAsia="Calibri" w:cs="Calibri"/>
      </w:rPr>
      <w:t xml:space="preserve">Dissertation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8072F" w:rsidRDefault="0038072F" w14:paraId="3365102E" w14:textId="77777777">
      <w:pPr>
        <w:spacing w:after="0" w:line="240" w:lineRule="auto"/>
      </w:pPr>
      <w:r>
        <w:separator/>
      </w:r>
    </w:p>
  </w:footnote>
  <w:footnote w:type="continuationSeparator" w:id="0">
    <w:p w:rsidR="0038072F" w:rsidRDefault="0038072F" w14:paraId="429817D7"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8E66A13" w:rsidTr="78E66A13" w14:paraId="128CDC35">
      <w:trPr>
        <w:trHeight w:val="300"/>
      </w:trPr>
      <w:tc>
        <w:tcPr>
          <w:tcW w:w="3005" w:type="dxa"/>
          <w:tcMar/>
        </w:tcPr>
        <w:p w:rsidR="78E66A13" w:rsidP="78E66A13" w:rsidRDefault="78E66A13" w14:paraId="208C7706" w14:textId="33DDE358">
          <w:pPr>
            <w:pStyle w:val="Header"/>
            <w:bidi w:val="0"/>
            <w:ind w:left="-115"/>
            <w:jc w:val="left"/>
          </w:pPr>
        </w:p>
      </w:tc>
      <w:tc>
        <w:tcPr>
          <w:tcW w:w="3005" w:type="dxa"/>
          <w:tcMar/>
        </w:tcPr>
        <w:p w:rsidR="78E66A13" w:rsidP="78E66A13" w:rsidRDefault="78E66A13" w14:paraId="68652D08" w14:textId="76B3FF0D">
          <w:pPr>
            <w:pStyle w:val="Header"/>
            <w:bidi w:val="0"/>
            <w:jc w:val="center"/>
          </w:pPr>
        </w:p>
      </w:tc>
      <w:tc>
        <w:tcPr>
          <w:tcW w:w="3005" w:type="dxa"/>
          <w:tcMar/>
        </w:tcPr>
        <w:p w:rsidR="78E66A13" w:rsidP="78E66A13" w:rsidRDefault="78E66A13" w14:paraId="6AE0E30F" w14:textId="6E73F106">
          <w:pPr>
            <w:pStyle w:val="Header"/>
            <w:bidi w:val="0"/>
            <w:ind w:right="-115"/>
            <w:jc w:val="right"/>
          </w:pPr>
        </w:p>
      </w:tc>
    </w:tr>
  </w:tbl>
  <w:p w:rsidR="78E66A13" w:rsidP="78E66A13" w:rsidRDefault="78E66A13" w14:paraId="124829C4" w14:textId="7B9AB734">
    <w:pPr>
      <w:pStyle w:val="Header"/>
      <w:bidi w:val="0"/>
    </w:pPr>
  </w:p>
</w:hdr>
</file>

<file path=word/header2.xml><?xml version="1.0" encoding="utf-8"?>
<w:hdr xmlns:w14="http://schemas.microsoft.com/office/word/2010/wordml" xmlns:w="http://schemas.openxmlformats.org/wordprocessingml/2006/main">
  <w:p w:rsidR="78E66A13" w:rsidP="78E66A13" w:rsidRDefault="78E66A13" w14:paraId="7EAAB80D" w14:textId="1BE79FFF">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D90BA6"/>
    <w:multiLevelType w:val="multilevel"/>
    <w:tmpl w:val="7AE40BE2"/>
    <w:lvl w:ilvl="0">
      <w:start w:val="1"/>
      <w:numFmt w:val="decimal"/>
      <w:lvlText w:val="%1."/>
      <w:lvlJc w:val="left"/>
      <w:pPr>
        <w:ind w:left="501" w:hanging="360"/>
      </w:pPr>
      <w:rPr>
        <w:u w:val="none"/>
      </w:rPr>
    </w:lvl>
    <w:lvl w:ilvl="1">
      <w:start w:val="1"/>
      <w:numFmt w:val="bullet"/>
      <w:lvlText w:val="○"/>
      <w:lvlJc w:val="left"/>
      <w:pPr>
        <w:ind w:left="1221" w:hanging="360"/>
      </w:pPr>
      <w:rPr>
        <w:u w:val="none"/>
      </w:rPr>
    </w:lvl>
    <w:lvl w:ilvl="2">
      <w:start w:val="1"/>
      <w:numFmt w:val="bullet"/>
      <w:lvlText w:val="■"/>
      <w:lvlJc w:val="left"/>
      <w:pPr>
        <w:ind w:left="1941" w:hanging="360"/>
      </w:pPr>
      <w:rPr>
        <w:u w:val="none"/>
      </w:rPr>
    </w:lvl>
    <w:lvl w:ilvl="3">
      <w:start w:val="1"/>
      <w:numFmt w:val="bullet"/>
      <w:lvlText w:val="●"/>
      <w:lvlJc w:val="left"/>
      <w:pPr>
        <w:ind w:left="2661" w:hanging="360"/>
      </w:pPr>
      <w:rPr>
        <w:u w:val="none"/>
      </w:rPr>
    </w:lvl>
    <w:lvl w:ilvl="4">
      <w:start w:val="1"/>
      <w:numFmt w:val="bullet"/>
      <w:lvlText w:val="○"/>
      <w:lvlJc w:val="left"/>
      <w:pPr>
        <w:ind w:left="3381" w:hanging="360"/>
      </w:pPr>
      <w:rPr>
        <w:u w:val="none"/>
      </w:rPr>
    </w:lvl>
    <w:lvl w:ilvl="5">
      <w:start w:val="1"/>
      <w:numFmt w:val="bullet"/>
      <w:lvlText w:val="■"/>
      <w:lvlJc w:val="left"/>
      <w:pPr>
        <w:ind w:left="4101" w:hanging="360"/>
      </w:pPr>
      <w:rPr>
        <w:u w:val="none"/>
      </w:rPr>
    </w:lvl>
    <w:lvl w:ilvl="6">
      <w:start w:val="1"/>
      <w:numFmt w:val="bullet"/>
      <w:lvlText w:val="●"/>
      <w:lvlJc w:val="left"/>
      <w:pPr>
        <w:ind w:left="4821" w:hanging="360"/>
      </w:pPr>
      <w:rPr>
        <w:u w:val="none"/>
      </w:rPr>
    </w:lvl>
    <w:lvl w:ilvl="7">
      <w:start w:val="1"/>
      <w:numFmt w:val="bullet"/>
      <w:lvlText w:val="○"/>
      <w:lvlJc w:val="left"/>
      <w:pPr>
        <w:ind w:left="5541" w:hanging="360"/>
      </w:pPr>
      <w:rPr>
        <w:u w:val="none"/>
      </w:rPr>
    </w:lvl>
    <w:lvl w:ilvl="8">
      <w:start w:val="1"/>
      <w:numFmt w:val="bullet"/>
      <w:lvlText w:val="■"/>
      <w:lvlJc w:val="left"/>
      <w:pPr>
        <w:ind w:left="6261" w:hanging="360"/>
      </w:pPr>
      <w:rPr>
        <w:u w:val="none"/>
      </w:rPr>
    </w:lvl>
  </w:abstractNum>
  <w:num w:numId="1" w16cid:durableId="1188102482">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embedTrueTypeFonts/>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7BF3"/>
    <w:rsid w:val="00000000"/>
    <w:rsid w:val="0000352A"/>
    <w:rsid w:val="00025353"/>
    <w:rsid w:val="00027DAE"/>
    <w:rsid w:val="00034729"/>
    <w:rsid w:val="00037F15"/>
    <w:rsid w:val="0004283E"/>
    <w:rsid w:val="000520FD"/>
    <w:rsid w:val="000855C9"/>
    <w:rsid w:val="00087938"/>
    <w:rsid w:val="000A1A1F"/>
    <w:rsid w:val="000A56C2"/>
    <w:rsid w:val="000B5593"/>
    <w:rsid w:val="000B6FFC"/>
    <w:rsid w:val="000D25BF"/>
    <w:rsid w:val="000D46D0"/>
    <w:rsid w:val="000E488E"/>
    <w:rsid w:val="000F0265"/>
    <w:rsid w:val="000F3B04"/>
    <w:rsid w:val="000F4FAF"/>
    <w:rsid w:val="000F6565"/>
    <w:rsid w:val="00105721"/>
    <w:rsid w:val="00115699"/>
    <w:rsid w:val="001231E4"/>
    <w:rsid w:val="00152969"/>
    <w:rsid w:val="001535FA"/>
    <w:rsid w:val="00161187"/>
    <w:rsid w:val="0018443B"/>
    <w:rsid w:val="00194C87"/>
    <w:rsid w:val="001C4918"/>
    <w:rsid w:val="001D6CF1"/>
    <w:rsid w:val="002066A1"/>
    <w:rsid w:val="00207AC1"/>
    <w:rsid w:val="00212ED1"/>
    <w:rsid w:val="00214123"/>
    <w:rsid w:val="00216CEB"/>
    <w:rsid w:val="00216DC0"/>
    <w:rsid w:val="002246B1"/>
    <w:rsid w:val="002324FE"/>
    <w:rsid w:val="0023299E"/>
    <w:rsid w:val="00261247"/>
    <w:rsid w:val="00273F4C"/>
    <w:rsid w:val="002769D0"/>
    <w:rsid w:val="002B5BD3"/>
    <w:rsid w:val="002D1350"/>
    <w:rsid w:val="002E1234"/>
    <w:rsid w:val="002F17CD"/>
    <w:rsid w:val="00302E6D"/>
    <w:rsid w:val="00303EEC"/>
    <w:rsid w:val="00340394"/>
    <w:rsid w:val="00342436"/>
    <w:rsid w:val="0038072F"/>
    <w:rsid w:val="00396290"/>
    <w:rsid w:val="003A68B1"/>
    <w:rsid w:val="003B4837"/>
    <w:rsid w:val="003C4667"/>
    <w:rsid w:val="003C53B6"/>
    <w:rsid w:val="003D6F4A"/>
    <w:rsid w:val="003D7433"/>
    <w:rsid w:val="00406D36"/>
    <w:rsid w:val="004144C4"/>
    <w:rsid w:val="004235A2"/>
    <w:rsid w:val="004406A9"/>
    <w:rsid w:val="00454DA3"/>
    <w:rsid w:val="004553F0"/>
    <w:rsid w:val="00471BB0"/>
    <w:rsid w:val="004764CC"/>
    <w:rsid w:val="00490CD4"/>
    <w:rsid w:val="004B537B"/>
    <w:rsid w:val="004E129D"/>
    <w:rsid w:val="004E2B90"/>
    <w:rsid w:val="00500E17"/>
    <w:rsid w:val="00506C1E"/>
    <w:rsid w:val="00507EB7"/>
    <w:rsid w:val="00520027"/>
    <w:rsid w:val="005328C8"/>
    <w:rsid w:val="00544EAC"/>
    <w:rsid w:val="00546E69"/>
    <w:rsid w:val="005501CA"/>
    <w:rsid w:val="0057059A"/>
    <w:rsid w:val="00574D9F"/>
    <w:rsid w:val="0059333B"/>
    <w:rsid w:val="005A3F47"/>
    <w:rsid w:val="005B7976"/>
    <w:rsid w:val="005C43B6"/>
    <w:rsid w:val="005C78EC"/>
    <w:rsid w:val="005E163D"/>
    <w:rsid w:val="005E387E"/>
    <w:rsid w:val="006005C2"/>
    <w:rsid w:val="00613939"/>
    <w:rsid w:val="00615885"/>
    <w:rsid w:val="00622E30"/>
    <w:rsid w:val="0063120A"/>
    <w:rsid w:val="00654037"/>
    <w:rsid w:val="00664081"/>
    <w:rsid w:val="00675D93"/>
    <w:rsid w:val="00682362"/>
    <w:rsid w:val="006E049D"/>
    <w:rsid w:val="006F485D"/>
    <w:rsid w:val="00775610"/>
    <w:rsid w:val="00776C49"/>
    <w:rsid w:val="007851E0"/>
    <w:rsid w:val="00790600"/>
    <w:rsid w:val="00791D18"/>
    <w:rsid w:val="00792247"/>
    <w:rsid w:val="007C25F7"/>
    <w:rsid w:val="007F0A8D"/>
    <w:rsid w:val="007F5072"/>
    <w:rsid w:val="00810CDF"/>
    <w:rsid w:val="00817BBE"/>
    <w:rsid w:val="00817C17"/>
    <w:rsid w:val="00850089"/>
    <w:rsid w:val="008926C5"/>
    <w:rsid w:val="008B7668"/>
    <w:rsid w:val="008C19DF"/>
    <w:rsid w:val="008C38FB"/>
    <w:rsid w:val="008C491C"/>
    <w:rsid w:val="008C5700"/>
    <w:rsid w:val="008C68F7"/>
    <w:rsid w:val="008D347C"/>
    <w:rsid w:val="008E2952"/>
    <w:rsid w:val="009000CD"/>
    <w:rsid w:val="00900D75"/>
    <w:rsid w:val="009100D2"/>
    <w:rsid w:val="009222DD"/>
    <w:rsid w:val="0096190A"/>
    <w:rsid w:val="009642E3"/>
    <w:rsid w:val="009807F5"/>
    <w:rsid w:val="009900B9"/>
    <w:rsid w:val="009A0698"/>
    <w:rsid w:val="009A1371"/>
    <w:rsid w:val="009A5B8D"/>
    <w:rsid w:val="00A17FF8"/>
    <w:rsid w:val="00A325A8"/>
    <w:rsid w:val="00A6289C"/>
    <w:rsid w:val="00A64506"/>
    <w:rsid w:val="00A64866"/>
    <w:rsid w:val="00A66163"/>
    <w:rsid w:val="00A742D9"/>
    <w:rsid w:val="00A80F38"/>
    <w:rsid w:val="00A84635"/>
    <w:rsid w:val="00A85E6B"/>
    <w:rsid w:val="00A93DF9"/>
    <w:rsid w:val="00A9696A"/>
    <w:rsid w:val="00AA0674"/>
    <w:rsid w:val="00AB5DBC"/>
    <w:rsid w:val="00AC118F"/>
    <w:rsid w:val="00AC13F2"/>
    <w:rsid w:val="00AC5C77"/>
    <w:rsid w:val="00AE5573"/>
    <w:rsid w:val="00AF1219"/>
    <w:rsid w:val="00B031A0"/>
    <w:rsid w:val="00B052D6"/>
    <w:rsid w:val="00B1135D"/>
    <w:rsid w:val="00B12FCF"/>
    <w:rsid w:val="00B16B37"/>
    <w:rsid w:val="00B25273"/>
    <w:rsid w:val="00B3038C"/>
    <w:rsid w:val="00B305E2"/>
    <w:rsid w:val="00B379CA"/>
    <w:rsid w:val="00B4329A"/>
    <w:rsid w:val="00B4702B"/>
    <w:rsid w:val="00B51F5E"/>
    <w:rsid w:val="00B51FD1"/>
    <w:rsid w:val="00B57467"/>
    <w:rsid w:val="00B6320E"/>
    <w:rsid w:val="00B94047"/>
    <w:rsid w:val="00BA2396"/>
    <w:rsid w:val="00BB7F17"/>
    <w:rsid w:val="00BC644A"/>
    <w:rsid w:val="00BC6769"/>
    <w:rsid w:val="00BE4A7F"/>
    <w:rsid w:val="00C114B7"/>
    <w:rsid w:val="00C35735"/>
    <w:rsid w:val="00C4432E"/>
    <w:rsid w:val="00C50A97"/>
    <w:rsid w:val="00C52BBA"/>
    <w:rsid w:val="00C668C4"/>
    <w:rsid w:val="00C73A84"/>
    <w:rsid w:val="00C77BF3"/>
    <w:rsid w:val="00C83A0C"/>
    <w:rsid w:val="00CE151E"/>
    <w:rsid w:val="00CF15B6"/>
    <w:rsid w:val="00CF6155"/>
    <w:rsid w:val="00D03C69"/>
    <w:rsid w:val="00D05DAA"/>
    <w:rsid w:val="00D3113C"/>
    <w:rsid w:val="00D40ADB"/>
    <w:rsid w:val="00D44D36"/>
    <w:rsid w:val="00D51085"/>
    <w:rsid w:val="00D63CDD"/>
    <w:rsid w:val="00D652D1"/>
    <w:rsid w:val="00D948E0"/>
    <w:rsid w:val="00D95566"/>
    <w:rsid w:val="00D97F86"/>
    <w:rsid w:val="00DA04C4"/>
    <w:rsid w:val="00DB1FF7"/>
    <w:rsid w:val="00DC00F3"/>
    <w:rsid w:val="00DC566B"/>
    <w:rsid w:val="00E0210C"/>
    <w:rsid w:val="00E12C0B"/>
    <w:rsid w:val="00E274F6"/>
    <w:rsid w:val="00E44D37"/>
    <w:rsid w:val="00E5048A"/>
    <w:rsid w:val="00E541A1"/>
    <w:rsid w:val="00E64EBD"/>
    <w:rsid w:val="00E76548"/>
    <w:rsid w:val="00E858B2"/>
    <w:rsid w:val="00E90C92"/>
    <w:rsid w:val="00E96480"/>
    <w:rsid w:val="00EA3140"/>
    <w:rsid w:val="00EC5ABE"/>
    <w:rsid w:val="00EC78FB"/>
    <w:rsid w:val="00F008AE"/>
    <w:rsid w:val="00F0194B"/>
    <w:rsid w:val="00F32743"/>
    <w:rsid w:val="00F50420"/>
    <w:rsid w:val="00F62BCB"/>
    <w:rsid w:val="00F74F31"/>
    <w:rsid w:val="00F90821"/>
    <w:rsid w:val="00F95AA4"/>
    <w:rsid w:val="00F978C9"/>
    <w:rsid w:val="00FA1376"/>
    <w:rsid w:val="00FB0293"/>
    <w:rsid w:val="00FB5D6C"/>
    <w:rsid w:val="00FB7391"/>
    <w:rsid w:val="00FE3F99"/>
    <w:rsid w:val="1B1AEF88"/>
    <w:rsid w:val="227F20B7"/>
    <w:rsid w:val="264DDBFF"/>
    <w:rsid w:val="26B33138"/>
    <w:rsid w:val="4653C3F7"/>
    <w:rsid w:val="46D72E1D"/>
    <w:rsid w:val="6455C5BB"/>
    <w:rsid w:val="6CB52D2D"/>
    <w:rsid w:val="73551D64"/>
    <w:rsid w:val="78E66A13"/>
  </w:rsids>
  <m:mathPr>
    <m:mathFont m:val="Cambria Math"/>
    <m:brkBin m:val="before"/>
    <m:brkBinSub m:val="--"/>
    <m:smallFrac m:val="0"/>
    <m:dispDef/>
    <m:lMargin m:val="0"/>
    <m:rMargin m:val="0"/>
    <m:defJc m:val="centerGroup"/>
    <m:wrapIndent m:val="1440"/>
    <m:intLim m:val="subSup"/>
    <m:naryLim m:val="undOvr"/>
  </m:mathPr>
  <w:themeFontLang w:val="en-GB" w:eastAsia="ja-JP"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E04969"/>
  <w15:docId w15:val="{0B843E4E-73D2-432B-9735-4E2670F46B7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sz w:val="24"/>
        <w:szCs w:val="24"/>
        <w:lang w:val="en-GB" w:eastAsia="en-GB" w:bidi="bn-IN"/>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style>
  <w:style w:type="paragraph" w:styleId="Heading1">
    <w:name w:val="heading 1"/>
    <w:basedOn w:val="Normal"/>
    <w:next w:val="Normal"/>
    <w:link w:val="Heading1Char"/>
    <w:autoRedefine/>
    <w:qFormat/>
    <w:rsid w:val="002066A1"/>
    <w:pPr>
      <w:keepNext/>
      <w:keepLines/>
      <w:pBdr>
        <w:top w:val="nil"/>
        <w:left w:val="nil"/>
        <w:bottom w:val="nil"/>
        <w:right w:val="nil"/>
        <w:between w:val="nil"/>
      </w:pBdr>
      <w:spacing w:after="152"/>
      <w:ind w:left="10" w:right="2" w:hanging="10"/>
      <w:jc w:val="center"/>
      <w:outlineLvl w:val="0"/>
    </w:pPr>
    <w:rPr>
      <w:rFonts w:ascii="Arial" w:hAnsi="Arial" w:cs="Arial"/>
      <w:b/>
      <w:bCs/>
      <w:color w:val="000000"/>
      <w:sz w:val="28"/>
      <w:szCs w:val="28"/>
    </w:rPr>
  </w:style>
  <w:style w:type="paragraph" w:styleId="Heading2">
    <w:name w:val="heading 2"/>
    <w:basedOn w:val="Normal"/>
    <w:next w:val="Normal"/>
    <w:link w:val="Heading2Char"/>
    <w:autoRedefine/>
    <w:qFormat/>
    <w:rsid w:val="00F74F31"/>
    <w:pPr>
      <w:keepNext/>
      <w:keepLines/>
      <w:pBdr>
        <w:top w:val="nil"/>
        <w:left w:val="nil"/>
        <w:bottom w:val="nil"/>
        <w:right w:val="nil"/>
        <w:between w:val="nil"/>
      </w:pBdr>
      <w:spacing w:after="152"/>
      <w:ind w:left="10" w:right="2" w:hanging="10"/>
      <w:outlineLvl w:val="1"/>
    </w:pPr>
    <w:rPr>
      <w:rFonts w:ascii="Arial" w:hAnsi="Arial" w:cs="Arial"/>
      <w:b/>
      <w:bCs/>
      <w:color w:val="000000"/>
    </w:rPr>
  </w:style>
  <w:style w:type="paragraph" w:styleId="Heading3">
    <w:name w:val="heading 3"/>
    <w:basedOn w:val="Normal"/>
    <w:next w:val="Normal"/>
    <w:link w:val="Heading3Char"/>
    <w:qFormat/>
    <w:pPr>
      <w:keepNext/>
      <w:keepLines/>
      <w:pBdr>
        <w:top w:val="nil"/>
        <w:left w:val="nil"/>
        <w:bottom w:val="nil"/>
        <w:right w:val="nil"/>
        <w:between w:val="nil"/>
      </w:pBdr>
      <w:spacing w:after="181" w:line="259" w:lineRule="auto"/>
      <w:jc w:val="left"/>
      <w:outlineLvl w:val="2"/>
    </w:pPr>
    <w:rPr>
      <w:b/>
      <w:bCs/>
      <w:color w:val="000000"/>
    </w:rPr>
  </w:style>
  <w:style w:type="paragraph" w:styleId="Heading4">
    <w:name w:val="heading 4"/>
    <w:basedOn w:val="Normal"/>
    <w:next w:val="Normal"/>
    <w:pPr>
      <w:keepNext/>
      <w:keepLines/>
      <w:spacing w:before="240" w:after="40"/>
      <w:outlineLvl w:val="3"/>
    </w:pPr>
    <w:rPr>
      <w:b/>
      <w:bCs/>
    </w:rPr>
  </w:style>
  <w:style w:type="paragraph" w:styleId="Heading5">
    <w:name w:val="heading 5"/>
    <w:basedOn w:val="Normal"/>
    <w:next w:val="Normal"/>
    <w:pPr>
      <w:keepNext/>
      <w:keepLines/>
      <w:spacing w:before="220" w:after="40"/>
      <w:outlineLvl w:val="4"/>
    </w:pPr>
    <w:rPr>
      <w:b/>
      <w:bCs/>
      <w:sz w:val="22"/>
      <w:szCs w:val="22"/>
    </w:rPr>
  </w:style>
  <w:style w:type="paragraph" w:styleId="Heading6">
    <w:name w:val="heading 6"/>
    <w:basedOn w:val="Normal"/>
    <w:next w:val="Normal"/>
    <w:pPr>
      <w:keepNext/>
      <w:keepLines/>
      <w:spacing w:before="200" w:after="40"/>
      <w:outlineLvl w:val="5"/>
    </w:pPr>
    <w:rPr>
      <w:b/>
      <w:bCs/>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480" w:after="120"/>
    </w:pPr>
    <w:rPr>
      <w:b/>
      <w:bCs/>
      <w:sz w:val="72"/>
      <w:szCs w:val="72"/>
    </w:rPr>
  </w:style>
  <w:style w:type="table" w:styleId="TableNormal00" w:customStyle="1">
    <w:name w:val="TableNormal0"/>
    <w:tblPr>
      <w:tblCellMar>
        <w:top w:w="100" w:type="dxa"/>
        <w:left w:w="100" w:type="dxa"/>
        <w:bottom w:w="100" w:type="dxa"/>
        <w:right w:w="100" w:type="dxa"/>
      </w:tblCellMar>
    </w:tblPr>
  </w:style>
  <w:style w:type="table" w:styleId="TableNormal1" w:customStyle="1">
    <w:name w:val="TableNormal1"/>
    <w:tblPr>
      <w:tblCellMar>
        <w:top w:w="100" w:type="dxa"/>
        <w:left w:w="100" w:type="dxa"/>
        <w:bottom w:w="100" w:type="dxa"/>
        <w:right w:w="100" w:type="dxa"/>
      </w:tblCellMar>
    </w:tblPr>
  </w:style>
  <w:style w:type="paragraph" w:styleId="TOC1">
    <w:name w:val="toc 1"/>
    <w:basedOn w:val="Normal"/>
    <w:next w:val="Normal"/>
    <w:autoRedefine/>
    <w:uiPriority w:val="39"/>
    <w:unhideWhenUsed/>
    <w:rsid w:val="00254D55"/>
    <w:pPr>
      <w:spacing w:after="100"/>
    </w:pPr>
  </w:style>
  <w:style w:type="character" w:styleId="Hyperlink">
    <w:name w:val="Hyperlink"/>
    <w:basedOn w:val="DefaultParagraphFont"/>
    <w:uiPriority w:val="99"/>
    <w:unhideWhenUsed/>
    <w:rsid w:val="00254D55"/>
    <w:rPr>
      <w:color w:val="0000FF" w:themeColor="hyperlink"/>
      <w:u w:val="single"/>
    </w:rPr>
  </w:style>
  <w:style w:type="paragraph" w:styleId="TOCHeading">
    <w:name w:val="TOC Heading"/>
    <w:basedOn w:val="Heading1"/>
    <w:next w:val="Normal"/>
    <w:uiPriority w:val="39"/>
    <w:unhideWhenUsed/>
    <w:qFormat/>
    <w:rsid w:val="00254D55"/>
    <w:pPr>
      <w:pBdr>
        <w:top w:val="none" w:color="auto" w:sz="0" w:space="0"/>
        <w:left w:val="none" w:color="auto" w:sz="0" w:space="0"/>
        <w:bottom w:val="none" w:color="auto" w:sz="0" w:space="0"/>
        <w:right w:val="none" w:color="auto" w:sz="0" w:space="0"/>
        <w:between w:val="none" w:color="auto" w:sz="0" w:space="0"/>
      </w:pBdr>
      <w:spacing w:before="240" w:after="0" w:line="259" w:lineRule="auto"/>
      <w:ind w:left="0" w:right="0" w:firstLine="0"/>
      <w:jc w:val="left"/>
      <w:outlineLvl w:val="9"/>
    </w:pPr>
    <w:rPr>
      <w:rFonts w:asciiTheme="majorHAnsi" w:hAnsiTheme="majorHAnsi" w:eastAsiaTheme="majorEastAsia" w:cstheme="majorBidi"/>
      <w:b w:val="0"/>
      <w:bCs w:val="0"/>
      <w:color w:val="365F91" w:themeColor="accent1" w:themeShade="BF"/>
      <w:sz w:val="32"/>
      <w:szCs w:val="32"/>
    </w:rPr>
  </w:style>
  <w:style w:type="paragraph" w:styleId="TOC2">
    <w:name w:val="toc 2"/>
    <w:basedOn w:val="Normal"/>
    <w:next w:val="Normal"/>
    <w:autoRedefine/>
    <w:uiPriority w:val="39"/>
    <w:unhideWhenUsed/>
    <w:rsid w:val="00254D55"/>
    <w:pPr>
      <w:spacing w:after="100"/>
      <w:ind w:left="240"/>
    </w:pPr>
  </w:style>
  <w:style w:type="paragraph" w:styleId="TOC3">
    <w:name w:val="toc 3"/>
    <w:basedOn w:val="Normal"/>
    <w:next w:val="Normal"/>
    <w:autoRedefine/>
    <w:uiPriority w:val="39"/>
    <w:unhideWhenUsed/>
    <w:rsid w:val="00254D55"/>
    <w:pPr>
      <w:spacing w:after="100"/>
      <w:ind w:left="480"/>
    </w:p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tblPr>
      <w:tblStyleRowBandSize w:val="1"/>
      <w:tblStyleColBandSize w:val="1"/>
      <w:tblCellMar>
        <w:left w:w="115" w:type="dxa"/>
        <w:right w:w="115" w:type="dxa"/>
      </w:tblCellMar>
    </w:tblPr>
  </w:style>
  <w:style w:type="table" w:styleId="a1" w:customStyle="1">
    <w:basedOn w:val="TableNormal"/>
    <w:tblPr>
      <w:tblStyleRowBandSize w:val="1"/>
      <w:tblStyleColBandSize w:val="1"/>
      <w:tblCellMar>
        <w:left w:w="115" w:type="dxa"/>
        <w:right w:w="115" w:type="dxa"/>
      </w:tblCellMar>
    </w:tblPr>
  </w:style>
  <w:style w:type="paragraph" w:styleId="Subtitle">
    <w:name w:val="Subtitle"/>
    <w:basedOn w:val="Normal"/>
    <w:next w:val="Normal"/>
    <w:pPr>
      <w:keepNext/>
      <w:keepLines/>
      <w:spacing w:before="360" w:after="80"/>
    </w:pPr>
    <w:rPr>
      <w:rFonts w:ascii="Georgia" w:hAnsi="Georgia" w:eastAsia="Georgia" w:cs="Georgia"/>
      <w:i/>
      <w:iCs/>
      <w:color w:val="666666"/>
      <w:sz w:val="48"/>
      <w:szCs w:val="48"/>
    </w:rPr>
  </w:style>
  <w:style w:type="table" w:styleId="a2" w:customStyle="1">
    <w:basedOn w:val="TableNormal"/>
    <w:tblPr>
      <w:tblStyleRowBandSize w:val="1"/>
      <w:tblStyleColBandSize w:val="1"/>
      <w:tblCellMar>
        <w:left w:w="115" w:type="dxa"/>
        <w:right w:w="115" w:type="dxa"/>
      </w:tblCellMar>
    </w:tblPr>
  </w:style>
  <w:style w:type="table" w:styleId="a3" w:customStyle="1">
    <w:basedOn w:val="TableNormal"/>
    <w:tblPr>
      <w:tblStyleRowBandSize w:val="1"/>
      <w:tblStyleColBandSize w:val="1"/>
      <w:tblCellMar>
        <w:left w:w="115" w:type="dxa"/>
        <w:right w:w="115" w:type="dxa"/>
      </w:tblCellMar>
    </w:tblPr>
  </w:style>
  <w:style w:type="table" w:styleId="a4" w:customStyle="1">
    <w:basedOn w:val="TableNormal"/>
    <w:tblPr>
      <w:tblStyleRowBandSize w:val="1"/>
      <w:tblStyleColBandSize w:val="1"/>
      <w:tblCellMar>
        <w:left w:w="115" w:type="dxa"/>
        <w:right w:w="115" w:type="dxa"/>
      </w:tblCellMar>
    </w:tblPr>
  </w:style>
  <w:style w:type="table" w:styleId="a5" w:customStyle="1">
    <w:basedOn w:val="TableNormal"/>
    <w:tblPr>
      <w:tblStyleRowBandSize w:val="1"/>
      <w:tblStyleColBandSize w:val="1"/>
      <w:tblCellMar>
        <w:left w:w="115" w:type="dxa"/>
        <w:right w:w="115" w:type="dxa"/>
      </w:tblCellMar>
    </w:tblPr>
  </w:style>
  <w:style w:type="table" w:styleId="a6" w:customStyle="1">
    <w:basedOn w:val="TableNormal"/>
    <w:tblPr>
      <w:tblStyleRowBandSize w:val="1"/>
      <w:tblStyleColBandSize w:val="1"/>
      <w:tblCellMar>
        <w:left w:w="115" w:type="dxa"/>
        <w:right w:w="115" w:type="dxa"/>
      </w:tblCellMar>
    </w:tblPr>
  </w:style>
  <w:style w:type="table" w:styleId="a7" w:customStyle="1">
    <w:basedOn w:val="TableNormal"/>
    <w:tblPr>
      <w:tblStyleRowBandSize w:val="1"/>
      <w:tblStyleColBandSize w:val="1"/>
      <w:tblCellMar>
        <w:left w:w="115" w:type="dxa"/>
        <w:right w:w="115" w:type="dxa"/>
      </w:tblCellMar>
    </w:tblPr>
  </w:style>
  <w:style w:type="table" w:styleId="a8" w:customStyle="1">
    <w:basedOn w:val="TableNormal"/>
    <w:tblPr>
      <w:tblStyleRowBandSize w:val="1"/>
      <w:tblStyleColBandSize w:val="1"/>
    </w:tblPr>
  </w:style>
  <w:style w:type="character" w:styleId="Heading1Char" w:customStyle="1">
    <w:name w:val="Heading 1 Char"/>
    <w:basedOn w:val="DefaultParagraphFont"/>
    <w:link w:val="Heading1"/>
    <w:rsid w:val="002066A1"/>
    <w:rPr>
      <w:rFonts w:ascii="Arial" w:hAnsi="Arial" w:cs="Arial"/>
      <w:b/>
      <w:bCs/>
      <w:color w:val="000000"/>
      <w:sz w:val="28"/>
      <w:szCs w:val="28"/>
    </w:rPr>
  </w:style>
  <w:style w:type="character" w:styleId="Heading2Char" w:customStyle="1">
    <w:name w:val="Heading 2 Char"/>
    <w:basedOn w:val="DefaultParagraphFont"/>
    <w:link w:val="Heading2"/>
    <w:rsid w:val="00F74F31"/>
    <w:rPr>
      <w:rFonts w:ascii="Arial" w:hAnsi="Arial" w:cs="Arial"/>
      <w:b/>
      <w:bCs/>
      <w:color w:val="000000"/>
    </w:rPr>
  </w:style>
  <w:style w:type="character" w:styleId="Heading3Char" w:customStyle="1">
    <w:name w:val="Heading 3 Char"/>
    <w:basedOn w:val="DefaultParagraphFont"/>
    <w:link w:val="Heading3"/>
    <w:rsid w:val="00034729"/>
    <w:rPr>
      <w:b/>
      <w:bCs/>
      <w:color w:val="000000"/>
    </w:rPr>
  </w:style>
  <w:style w:type="table" w:styleId="TableGrid">
    <w:name w:val="Table Grid"/>
    <w:basedOn w:val="TableNormal"/>
    <w:uiPriority w:val="39"/>
    <w:rsid w:val="00B12FC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Spacing">
    <w:name w:val="No Spacing"/>
    <w:uiPriority w:val="1"/>
    <w:qFormat/>
    <w:rsid w:val="00B031A0"/>
    <w:pPr>
      <w:spacing w:after="0" w:line="240" w:lineRule="auto"/>
    </w:pPr>
    <w:rPr>
      <w:szCs w:val="30"/>
    </w:rPr>
  </w:style>
  <w:style w:type="paragraph" w:styleId="TableParagraph" w:customStyle="1">
    <w:name w:val="Table Paragraph"/>
    <w:basedOn w:val="Normal"/>
    <w:rsid w:val="0018443B"/>
    <w:pPr>
      <w:widowControl w:val="0"/>
      <w:autoSpaceDE w:val="0"/>
      <w:autoSpaceDN w:val="0"/>
      <w:spacing w:before="100" w:beforeAutospacing="1" w:after="100" w:afterAutospacing="1" w:line="240" w:lineRule="auto"/>
      <w:ind w:left="108"/>
      <w:jc w:val="left"/>
    </w:pPr>
    <w:rPr>
      <w:rFonts w:ascii="Arial" w:hAnsi="Arial" w:cs="Arial"/>
      <w:sz w:val="22"/>
      <w:szCs w:val="22"/>
      <w:lang w:bidi="as-IN"/>
      <w14:ligatures w14:val="standardContextual"/>
    </w:rPr>
  </w:style>
  <w:style w:type="paragraph" w:styleId="Header">
    <w:name w:val="header"/>
    <w:basedOn w:val="Normal"/>
    <w:link w:val="HeaderChar"/>
    <w:uiPriority w:val="99"/>
    <w:unhideWhenUsed/>
    <w:rsid w:val="0023299E"/>
    <w:pPr>
      <w:tabs>
        <w:tab w:val="center" w:pos="4513"/>
        <w:tab w:val="right" w:pos="9026"/>
      </w:tabs>
      <w:spacing w:after="0" w:line="240" w:lineRule="auto"/>
    </w:pPr>
    <w:rPr>
      <w:szCs w:val="30"/>
    </w:rPr>
  </w:style>
  <w:style w:type="character" w:styleId="HeaderChar" w:customStyle="1">
    <w:name w:val="Header Char"/>
    <w:basedOn w:val="DefaultParagraphFont"/>
    <w:link w:val="Header"/>
    <w:uiPriority w:val="99"/>
    <w:rsid w:val="0023299E"/>
    <w:rPr>
      <w:szCs w:val="30"/>
    </w:rPr>
  </w:style>
  <w:style w:type="paragraph" w:styleId="ListParagraph">
    <w:name w:val="List Paragraph"/>
    <w:basedOn w:val="Normal"/>
    <w:uiPriority w:val="34"/>
    <w:qFormat/>
    <w:rsid w:val="00B51F5E"/>
    <w:pPr>
      <w:ind w:left="720"/>
      <w:contextualSpacing/>
    </w:pPr>
    <w:rPr>
      <w:szCs w:val="30"/>
    </w:rPr>
  </w:style>
  <w:style w:type="paragraph" w:styleId="Footer">
    <w:name w:val="footer"/>
    <w:basedOn w:val="Normal"/>
    <w:link w:val="FooterChar"/>
    <w:uiPriority w:val="99"/>
    <w:semiHidden/>
    <w:unhideWhenUsed/>
    <w:rsid w:val="00303EEC"/>
    <w:pPr>
      <w:tabs>
        <w:tab w:val="center" w:pos="4680"/>
        <w:tab w:val="right" w:pos="9360"/>
      </w:tabs>
      <w:spacing w:after="0" w:line="240" w:lineRule="auto"/>
    </w:pPr>
    <w:rPr>
      <w:szCs w:val="30"/>
    </w:rPr>
  </w:style>
  <w:style w:type="character" w:styleId="FooterChar" w:customStyle="1">
    <w:name w:val="Footer Char"/>
    <w:basedOn w:val="DefaultParagraphFont"/>
    <w:link w:val="Footer"/>
    <w:uiPriority w:val="99"/>
    <w:semiHidden/>
    <w:rsid w:val="00303EEC"/>
    <w:rPr>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https://doi.org/10.1177/00469580231218421" TargetMode="External" Id="rId13" /><Relationship Type="http://schemas.openxmlformats.org/officeDocument/2006/relationships/footer" Target="footer3.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footer" Target="footer2.xml" Id="rId17" /><Relationship Type="http://schemas.openxmlformats.org/officeDocument/2006/relationships/numbering" Target="numbering.xml" Id="rId2" /><Relationship Type="http://schemas.openxmlformats.org/officeDocument/2006/relationships/footer" Target="footer1.xml"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webSettings" Target="webSettings.xml" Id="rId5" /><Relationship Type="http://schemas.openxmlformats.org/officeDocument/2006/relationships/hyperlink" Target="https://doi.org/10.1016/j.jhin.2022.08.013" TargetMode="External" Id="rId15" /><Relationship Type="http://schemas.openxmlformats.org/officeDocument/2006/relationships/image" Target="media/image3.png" Id="rId10" /><Relationship Type="http://schemas.openxmlformats.org/officeDocument/2006/relationships/fontTable" Target="fontTable.xml"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hyperlink" Target="https://doi.org/10.4103/ijnmr.ijnmr_143_23" TargetMode="External" Id="rId14" /><Relationship Type="http://schemas.openxmlformats.org/officeDocument/2006/relationships/header" Target="header.xml" Id="Rd072967ab3894bd5" /><Relationship Type="http://schemas.openxmlformats.org/officeDocument/2006/relationships/header" Target="header2.xml" Id="R7498ff4989724218" /></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qRRbPb5uWDvv/yjTmt2R+rZSVbg==">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lastModifiedBy>Shruti Jatinkumar Patel (2436893)</lastModifiedBy>
  <revision>5</revision>
  <dcterms:created xsi:type="dcterms:W3CDTF">2026-08-14T13:11:00.0000000Z</dcterms:created>
  <dcterms:modified xsi:type="dcterms:W3CDTF">2026-09-21T19:22:34.5549137Z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b80d5897-e292-469c-82cd-f394491f8169</vt:lpwstr>
  </property>
</Properties>
</file>