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DADB57A" w:rsidR="7908378C" w:rsidRDefault="7908378C" w:rsidP="33572C6E">
            <w:pPr>
              <w:ind w:right="237"/>
              <w:rPr>
                <w:b/>
                <w:bCs/>
                <w:color w:val="auto"/>
                <w:sz w:val="32"/>
                <w:szCs w:val="32"/>
              </w:rPr>
            </w:pPr>
            <w:r w:rsidRPr="33572C6E">
              <w:rPr>
                <w:b/>
                <w:bCs/>
                <w:color w:val="auto"/>
                <w:sz w:val="32"/>
                <w:szCs w:val="32"/>
              </w:rPr>
              <w:t>Learner name: __</w:t>
            </w:r>
            <w:r w:rsidR="00386A55">
              <w:rPr>
                <w:b/>
                <w:bCs/>
                <w:color w:val="auto"/>
                <w:sz w:val="32"/>
                <w:szCs w:val="32"/>
              </w:rPr>
              <w:t xml:space="preserve">Sarah Mitchell </w:t>
            </w:r>
            <w:r w:rsidRPr="33572C6E">
              <w:rPr>
                <w:b/>
                <w:bCs/>
                <w:color w:val="auto"/>
                <w:sz w:val="32"/>
                <w:szCs w:val="32"/>
              </w:rPr>
              <w:t>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A5DAAD8" w:rsidR="7908378C" w:rsidRDefault="7908378C" w:rsidP="33572C6E">
            <w:pPr>
              <w:ind w:right="237"/>
              <w:rPr>
                <w:b/>
                <w:bCs/>
                <w:color w:val="auto"/>
                <w:sz w:val="32"/>
                <w:szCs w:val="32"/>
              </w:rPr>
            </w:pPr>
            <w:r w:rsidRPr="33572C6E">
              <w:rPr>
                <w:b/>
                <w:bCs/>
                <w:color w:val="auto"/>
                <w:sz w:val="32"/>
                <w:szCs w:val="32"/>
              </w:rPr>
              <w:t>___</w:t>
            </w:r>
            <w:r w:rsidR="0055727D">
              <w:rPr>
                <w:b/>
                <w:bCs/>
                <w:color w:val="auto"/>
                <w:sz w:val="32"/>
                <w:szCs w:val="32"/>
              </w:rPr>
              <w:t>2117688</w:t>
            </w:r>
            <w:r w:rsidRPr="33572C6E">
              <w:rPr>
                <w:b/>
                <w:bCs/>
                <w:color w:val="auto"/>
                <w:sz w:val="32"/>
                <w:szCs w:val="32"/>
              </w:rPr>
              <w:t>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13EC3AC3"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r w:rsidR="00145A28" w:rsidRPr="00E676F7">
        <w:rPr>
          <w:sz w:val="24"/>
          <w:szCs w:val="24"/>
        </w:rPr>
        <w:t>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1E63381F" w:rsidR="5B843AF0" w:rsidRDefault="5B843AF0" w:rsidP="5B843AF0">
      <w:pPr>
        <w:ind w:right="237"/>
        <w:jc w:val="both"/>
        <w:rPr>
          <w:rFonts w:eastAsia="Arial"/>
          <w:color w:val="000000" w:themeColor="text1"/>
          <w:sz w:val="24"/>
          <w:szCs w:val="24"/>
        </w:rPr>
      </w:pPr>
    </w:p>
    <w:p w14:paraId="197AFA5E" w14:textId="77777777" w:rsidR="005256E9" w:rsidRPr="00BC330B" w:rsidRDefault="005256E9" w:rsidP="005256E9">
      <w:pPr>
        <w:ind w:right="237"/>
        <w:jc w:val="both"/>
        <w:rPr>
          <w:rFonts w:asciiTheme="minorHAnsi" w:eastAsia="Arial" w:hAnsiTheme="minorHAnsi" w:cstheme="minorHAnsi"/>
          <w:color w:val="000000" w:themeColor="text1"/>
          <w:sz w:val="22"/>
          <w:szCs w:val="22"/>
        </w:rPr>
      </w:pPr>
      <w:r w:rsidRPr="00BC330B">
        <w:rPr>
          <w:rFonts w:asciiTheme="minorHAnsi" w:eastAsia="Arial" w:hAnsiTheme="minorHAnsi" w:cstheme="minorHAnsi"/>
          <w:color w:val="000000" w:themeColor="text1"/>
          <w:sz w:val="22"/>
          <w:szCs w:val="22"/>
        </w:rPr>
        <w:t xml:space="preserve">This essay aims to evaluate the appropriateness of different approaches in supporting vulnerable people and exploring what works in relation to reducing repeat victimisation and offending. </w:t>
      </w:r>
    </w:p>
    <w:p w14:paraId="1DE3B70D" w14:textId="77777777" w:rsidR="005256E9" w:rsidRPr="00BC330B" w:rsidRDefault="005256E9" w:rsidP="005256E9">
      <w:pPr>
        <w:ind w:right="237"/>
        <w:jc w:val="both"/>
        <w:rPr>
          <w:rFonts w:asciiTheme="minorHAnsi" w:eastAsia="Arial" w:hAnsiTheme="minorHAnsi" w:cstheme="minorHAnsi"/>
          <w:color w:val="000000" w:themeColor="text1"/>
          <w:sz w:val="22"/>
          <w:szCs w:val="22"/>
        </w:rPr>
      </w:pPr>
      <w:r w:rsidRPr="00BC330B">
        <w:rPr>
          <w:rFonts w:asciiTheme="minorHAnsi" w:eastAsia="Arial" w:hAnsiTheme="minorHAnsi" w:cstheme="minorHAnsi"/>
          <w:color w:val="000000" w:themeColor="text1"/>
          <w:sz w:val="22"/>
          <w:szCs w:val="22"/>
        </w:rPr>
        <w:t>When delving into what works for reducing recidivism and revictimization this essay will include reference to the use of evidence-based policing.</w:t>
      </w:r>
    </w:p>
    <w:p w14:paraId="5F6CD06E" w14:textId="5D10E303" w:rsidR="005256E9" w:rsidRPr="00BC330B" w:rsidRDefault="005256E9" w:rsidP="5B843AF0">
      <w:pPr>
        <w:ind w:right="237"/>
        <w:jc w:val="both"/>
        <w:rPr>
          <w:rFonts w:eastAsia="Arial"/>
          <w:color w:val="000000" w:themeColor="text1"/>
          <w:sz w:val="24"/>
          <w:szCs w:val="24"/>
        </w:rPr>
      </w:pPr>
    </w:p>
    <w:p w14:paraId="6161C57A" w14:textId="77777777" w:rsidR="005256E9" w:rsidRPr="00BC330B" w:rsidRDefault="005256E9" w:rsidP="005256E9">
      <w:pPr>
        <w:ind w:right="237"/>
        <w:jc w:val="both"/>
        <w:rPr>
          <w:rFonts w:asciiTheme="minorHAnsi" w:hAnsiTheme="minorHAnsi" w:cstheme="minorHAnsi"/>
          <w:sz w:val="22"/>
          <w:szCs w:val="22"/>
        </w:rPr>
      </w:pPr>
      <w:r w:rsidRPr="00BC330B">
        <w:rPr>
          <w:rFonts w:asciiTheme="minorHAnsi" w:eastAsia="Arial" w:hAnsiTheme="minorHAnsi" w:cstheme="minorHAnsi"/>
          <w:color w:val="000000" w:themeColor="text1"/>
          <w:sz w:val="22"/>
          <w:szCs w:val="22"/>
        </w:rPr>
        <w:t>The incident being discussed in this essay is an offence of theft and fraud. These offences took place over a prolonged period of time and was only reported to the police when a family member became concerned of their elder family members’ comments about their financial situation which was out of character. Theft and fraud have been reported to be quite a common crimes committed to older people nonetheless it is a less reported crime due to a number of reasons; such as older people being unaware of how to report or unwilling to report due to the suspects being family members</w:t>
      </w:r>
      <w:sdt>
        <w:sdtPr>
          <w:rPr>
            <w:rFonts w:asciiTheme="minorHAnsi" w:eastAsia="Arial" w:hAnsiTheme="minorHAnsi" w:cstheme="minorHAnsi"/>
            <w:b/>
            <w:bCs/>
            <w:color w:val="000000" w:themeColor="text1"/>
            <w:sz w:val="22"/>
            <w:szCs w:val="22"/>
          </w:rPr>
          <w:id w:val="1941873837"/>
          <w:citation/>
        </w:sdtPr>
        <w:sdtContent>
          <w:r w:rsidRPr="00BC330B">
            <w:rPr>
              <w:rFonts w:asciiTheme="minorHAnsi" w:eastAsia="Arial" w:hAnsiTheme="minorHAnsi" w:cstheme="minorHAnsi"/>
              <w:b/>
              <w:bCs/>
              <w:color w:val="000000" w:themeColor="text1"/>
              <w:sz w:val="22"/>
              <w:szCs w:val="22"/>
            </w:rPr>
            <w:fldChar w:fldCharType="begin"/>
          </w:r>
          <w:r w:rsidRPr="00BC330B">
            <w:rPr>
              <w:rFonts w:asciiTheme="minorHAnsi" w:eastAsia="Arial" w:hAnsiTheme="minorHAnsi" w:cstheme="minorHAnsi"/>
              <w:b/>
              <w:bCs/>
              <w:color w:val="000000" w:themeColor="text1"/>
              <w:sz w:val="22"/>
              <w:szCs w:val="22"/>
            </w:rPr>
            <w:instrText xml:space="preserve"> CITATION Sha19 \l 2057 </w:instrText>
          </w:r>
          <w:r w:rsidRPr="00BC330B">
            <w:rPr>
              <w:rFonts w:asciiTheme="minorHAnsi" w:eastAsia="Arial" w:hAnsiTheme="minorHAnsi" w:cstheme="minorHAnsi"/>
              <w:b/>
              <w:bCs/>
              <w:color w:val="000000" w:themeColor="text1"/>
              <w:sz w:val="22"/>
              <w:szCs w:val="22"/>
            </w:rPr>
            <w:fldChar w:fldCharType="separate"/>
          </w:r>
          <w:r w:rsidRPr="00BC330B">
            <w:rPr>
              <w:rFonts w:asciiTheme="minorHAnsi" w:eastAsia="Arial" w:hAnsiTheme="minorHAnsi" w:cstheme="minorHAnsi"/>
              <w:b/>
              <w:bCs/>
              <w:noProof/>
              <w:color w:val="000000" w:themeColor="text1"/>
              <w:sz w:val="22"/>
              <w:szCs w:val="22"/>
            </w:rPr>
            <w:t xml:space="preserve"> </w:t>
          </w:r>
          <w:r w:rsidRPr="00BC330B">
            <w:rPr>
              <w:rFonts w:asciiTheme="minorHAnsi" w:eastAsia="Arial" w:hAnsiTheme="minorHAnsi" w:cstheme="minorHAnsi"/>
              <w:noProof/>
              <w:color w:val="000000" w:themeColor="text1"/>
              <w:sz w:val="22"/>
              <w:szCs w:val="22"/>
            </w:rPr>
            <w:t>(Shao, Zhang, Ren, Li, &amp; Lin, 2019)</w:t>
          </w:r>
          <w:r w:rsidRPr="00BC330B">
            <w:rPr>
              <w:rFonts w:asciiTheme="minorHAnsi" w:eastAsia="Arial" w:hAnsiTheme="minorHAnsi" w:cstheme="minorHAnsi"/>
              <w:b/>
              <w:bCs/>
              <w:color w:val="000000" w:themeColor="text1"/>
              <w:sz w:val="22"/>
              <w:szCs w:val="22"/>
            </w:rPr>
            <w:fldChar w:fldCharType="end"/>
          </w:r>
        </w:sdtContent>
      </w:sdt>
      <w:r w:rsidRPr="00BC330B">
        <w:rPr>
          <w:rFonts w:asciiTheme="minorHAnsi" w:eastAsia="Arial" w:hAnsiTheme="minorHAnsi" w:cstheme="minorHAnsi"/>
          <w:b/>
          <w:bCs/>
          <w:color w:val="000000" w:themeColor="text1"/>
          <w:sz w:val="22"/>
          <w:szCs w:val="22"/>
        </w:rPr>
        <w:t xml:space="preserve">. </w:t>
      </w:r>
    </w:p>
    <w:p w14:paraId="6BE1C653" w14:textId="4FED450F" w:rsidR="005256E9" w:rsidRPr="00BC330B" w:rsidRDefault="005256E9" w:rsidP="005256E9">
      <w:pPr>
        <w:ind w:right="237"/>
        <w:jc w:val="both"/>
        <w:rPr>
          <w:rFonts w:asciiTheme="minorHAnsi" w:hAnsiTheme="minorHAnsi" w:cstheme="minorHAnsi"/>
          <w:sz w:val="22"/>
          <w:szCs w:val="22"/>
        </w:rPr>
      </w:pPr>
      <w:r w:rsidRPr="00BC330B">
        <w:rPr>
          <w:rFonts w:asciiTheme="minorHAnsi" w:hAnsiTheme="minorHAnsi" w:cstheme="minorHAnsi"/>
          <w:sz w:val="22"/>
          <w:szCs w:val="22"/>
        </w:rPr>
        <w:t xml:space="preserve">The victim being discussed in this essay, was an older adult who stated that they let the family member use their bank card for food shopping during lockdown, however they begun to notice that their money was not lasting as long as it was previously. The victim stated that they were not “tech savvy” and did not know that the family member had set up accounts in their name or how to cancel the accounts or change the security settings on the accounts, which can be common in older adults </w:t>
      </w:r>
      <w:sdt>
        <w:sdtPr>
          <w:rPr>
            <w:rFonts w:asciiTheme="minorHAnsi" w:hAnsiTheme="minorHAnsi" w:cstheme="minorHAnsi"/>
            <w:sz w:val="22"/>
            <w:szCs w:val="22"/>
          </w:rPr>
          <w:id w:val="38247402"/>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DeL21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(DeLiema, Burnes, &amp; Langton, 2021)</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w:t>
      </w:r>
    </w:p>
    <w:p w14:paraId="5C7F1EE6" w14:textId="13D13E37" w:rsidR="005256E9" w:rsidRPr="00BC330B" w:rsidRDefault="005256E9" w:rsidP="005256E9">
      <w:pPr>
        <w:ind w:right="237"/>
        <w:jc w:val="both"/>
        <w:rPr>
          <w:rFonts w:asciiTheme="minorHAnsi" w:hAnsiTheme="minorHAnsi" w:cstheme="minorHAnsi"/>
          <w:sz w:val="22"/>
          <w:szCs w:val="22"/>
        </w:rPr>
      </w:pPr>
    </w:p>
    <w:p w14:paraId="5CEBA4A9"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As stated above the family member had used the victims bank card for purchases that permission was not granted. Initially the victim allowed the family member to use their bank card to carry out food shopping on their behalf due to the victim suffering from agoraphobia. However, the family member used the bank card beyond the scope of the terms set out via a verbal agreement and did not return the bank card when asked to, giving excuses such as “I forget it, I will drop it off tomorrow”. The bank card was used online and in stores to purchase items such as clothing, </w:t>
      </w:r>
      <w:r w:rsidRPr="00BC330B">
        <w:rPr>
          <w:rFonts w:asciiTheme="minorHAnsi" w:hAnsiTheme="minorHAnsi" w:cstheme="minorHAnsi"/>
          <w:sz w:val="22"/>
          <w:szCs w:val="22"/>
        </w:rPr>
        <w:lastRenderedPageBreak/>
        <w:t xml:space="preserve">household items and to set up online/store accounts in the family members name and the owner of the bank card.  </w:t>
      </w:r>
    </w:p>
    <w:p w14:paraId="5718C92D" w14:textId="77777777" w:rsidR="005256E9" w:rsidRPr="00BC330B" w:rsidRDefault="005256E9" w:rsidP="005256E9">
      <w:pPr>
        <w:ind w:right="237"/>
        <w:rPr>
          <w:rFonts w:asciiTheme="minorHAnsi" w:hAnsiTheme="minorHAnsi" w:cstheme="minorHAnsi"/>
          <w:sz w:val="22"/>
          <w:szCs w:val="22"/>
        </w:rPr>
      </w:pPr>
    </w:p>
    <w:p w14:paraId="6CEA9EC2"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As the offence of theft states </w:t>
      </w:r>
    </w:p>
    <w:p w14:paraId="7FD96964" w14:textId="77777777" w:rsidR="005256E9" w:rsidRPr="00BC330B" w:rsidRDefault="005256E9" w:rsidP="005256E9">
      <w:pPr>
        <w:ind w:right="237"/>
        <w:rPr>
          <w:rFonts w:asciiTheme="minorHAnsi" w:hAnsiTheme="minorHAnsi" w:cstheme="minorHAnsi"/>
          <w:sz w:val="22"/>
          <w:szCs w:val="22"/>
        </w:rPr>
      </w:pPr>
    </w:p>
    <w:p w14:paraId="52AD1757" w14:textId="77777777" w:rsidR="005256E9" w:rsidRPr="00BC330B" w:rsidRDefault="005256E9" w:rsidP="005256E9">
      <w:pPr>
        <w:ind w:right="237"/>
        <w:rPr>
          <w:rFonts w:asciiTheme="minorHAnsi" w:hAnsiTheme="minorHAnsi" w:cstheme="minorHAnsi"/>
          <w:sz w:val="22"/>
          <w:szCs w:val="22"/>
          <w:shd w:val="clear" w:color="auto" w:fill="FFFFFF"/>
        </w:rPr>
      </w:pPr>
      <w:r w:rsidRPr="00BC330B">
        <w:rPr>
          <w:rFonts w:asciiTheme="minorHAnsi" w:hAnsiTheme="minorHAnsi" w:cstheme="minorHAnsi"/>
          <w:sz w:val="22"/>
          <w:szCs w:val="22"/>
        </w:rPr>
        <w:t>“</w:t>
      </w:r>
      <w:r w:rsidRPr="00BC330B">
        <w:rPr>
          <w:rFonts w:asciiTheme="minorHAnsi" w:hAnsiTheme="minorHAnsi" w:cstheme="minorHAnsi"/>
          <w:sz w:val="22"/>
          <w:szCs w:val="22"/>
          <w:shd w:val="clear" w:color="auto" w:fill="FFFFFF"/>
        </w:rPr>
        <w:t xml:space="preserve">A person is guilty of theft if he dishonestly appropriates property belonging to another with the intention of permanently depriving the other of it” </w:t>
      </w:r>
      <w:sdt>
        <w:sdtPr>
          <w:rPr>
            <w:rFonts w:asciiTheme="minorHAnsi" w:hAnsiTheme="minorHAnsi" w:cstheme="minorHAnsi"/>
            <w:sz w:val="22"/>
            <w:szCs w:val="22"/>
            <w:shd w:val="clear" w:color="auto" w:fill="FFFFFF"/>
          </w:rPr>
          <w:id w:val="1555437089"/>
          <w:citation/>
        </w:sdtPr>
        <w:sdtContent>
          <w:r w:rsidRPr="00BC330B">
            <w:rPr>
              <w:rFonts w:asciiTheme="minorHAnsi" w:hAnsiTheme="minorHAnsi" w:cstheme="minorHAnsi"/>
              <w:sz w:val="22"/>
              <w:szCs w:val="22"/>
              <w:shd w:val="clear" w:color="auto" w:fill="FFFFFF"/>
            </w:rPr>
            <w:fldChar w:fldCharType="begin"/>
          </w:r>
          <w:r w:rsidRPr="00BC330B">
            <w:rPr>
              <w:rFonts w:asciiTheme="minorHAnsi" w:hAnsiTheme="minorHAnsi" w:cstheme="minorHAnsi"/>
              <w:sz w:val="22"/>
              <w:szCs w:val="22"/>
              <w:shd w:val="clear" w:color="auto" w:fill="FFFFFF"/>
            </w:rPr>
            <w:instrText xml:space="preserve">CITATION The68 \y  \l 2057 </w:instrText>
          </w:r>
          <w:r w:rsidRPr="00BC330B">
            <w:rPr>
              <w:rFonts w:asciiTheme="minorHAnsi" w:hAnsiTheme="minorHAnsi" w:cstheme="minorHAnsi"/>
              <w:sz w:val="22"/>
              <w:szCs w:val="22"/>
              <w:shd w:val="clear" w:color="auto" w:fill="FFFFFF"/>
            </w:rPr>
            <w:fldChar w:fldCharType="separate"/>
          </w:r>
          <w:r w:rsidRPr="00BC330B">
            <w:rPr>
              <w:rFonts w:asciiTheme="minorHAnsi" w:hAnsiTheme="minorHAnsi" w:cstheme="minorHAnsi"/>
              <w:noProof/>
              <w:sz w:val="22"/>
              <w:szCs w:val="22"/>
              <w:shd w:val="clear" w:color="auto" w:fill="FFFFFF"/>
            </w:rPr>
            <w:t>(Theft Act 1968)</w:t>
          </w:r>
          <w:r w:rsidRPr="00BC330B">
            <w:rPr>
              <w:rFonts w:asciiTheme="minorHAnsi" w:hAnsiTheme="minorHAnsi" w:cstheme="minorHAnsi"/>
              <w:sz w:val="22"/>
              <w:szCs w:val="22"/>
              <w:shd w:val="clear" w:color="auto" w:fill="FFFFFF"/>
            </w:rPr>
            <w:fldChar w:fldCharType="end"/>
          </w:r>
        </w:sdtContent>
      </w:sdt>
    </w:p>
    <w:p w14:paraId="556541BE" w14:textId="77777777" w:rsidR="005256E9" w:rsidRPr="00BC330B" w:rsidRDefault="005256E9" w:rsidP="005256E9">
      <w:pPr>
        <w:ind w:right="237"/>
        <w:rPr>
          <w:rFonts w:asciiTheme="minorHAnsi" w:hAnsiTheme="minorHAnsi" w:cstheme="minorHAnsi"/>
          <w:sz w:val="22"/>
          <w:szCs w:val="22"/>
          <w:shd w:val="clear" w:color="auto" w:fill="FFFFFF"/>
        </w:rPr>
      </w:pPr>
    </w:p>
    <w:p w14:paraId="2897E766"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As the offence of fraud states </w:t>
      </w:r>
    </w:p>
    <w:p w14:paraId="6694F192" w14:textId="77777777" w:rsidR="005256E9" w:rsidRPr="00BC330B" w:rsidRDefault="005256E9" w:rsidP="005256E9">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BC330B">
        <w:rPr>
          <w:rStyle w:val="legds"/>
          <w:rFonts w:asciiTheme="minorHAnsi" w:hAnsiTheme="minorHAnsi" w:cstheme="minorHAnsi"/>
          <w:color w:val="000000"/>
          <w:sz w:val="22"/>
          <w:szCs w:val="22"/>
        </w:rPr>
        <w:t>“A person is in breach of this section if he—</w:t>
      </w:r>
    </w:p>
    <w:p w14:paraId="7B044CBF" w14:textId="77777777" w:rsidR="005256E9" w:rsidRPr="00BC330B" w:rsidRDefault="005256E9" w:rsidP="005256E9">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BC330B">
        <w:rPr>
          <w:rStyle w:val="legds"/>
          <w:rFonts w:asciiTheme="minorHAnsi" w:hAnsiTheme="minorHAnsi" w:cstheme="minorHAnsi"/>
          <w:color w:val="000000"/>
          <w:sz w:val="22"/>
          <w:szCs w:val="22"/>
        </w:rPr>
        <w:t>(a)dishonestly makes a false representation, and</w:t>
      </w:r>
    </w:p>
    <w:p w14:paraId="6F012C00" w14:textId="77777777" w:rsidR="005256E9" w:rsidRPr="00BC330B" w:rsidRDefault="005256E9" w:rsidP="005256E9">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BC330B">
        <w:rPr>
          <w:rStyle w:val="legds"/>
          <w:rFonts w:asciiTheme="minorHAnsi" w:hAnsiTheme="minorHAnsi" w:cstheme="minorHAnsi"/>
          <w:color w:val="000000"/>
          <w:sz w:val="22"/>
          <w:szCs w:val="22"/>
        </w:rPr>
        <w:t>(b)intends, by making the representation—</w:t>
      </w:r>
    </w:p>
    <w:p w14:paraId="1B01FC81" w14:textId="77777777" w:rsidR="005256E9" w:rsidRPr="00BC330B" w:rsidRDefault="005256E9" w:rsidP="005256E9">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BC330B">
        <w:rPr>
          <w:rStyle w:val="legds"/>
          <w:rFonts w:asciiTheme="minorHAnsi" w:hAnsiTheme="minorHAnsi" w:cstheme="minorHAnsi"/>
          <w:color w:val="000000"/>
          <w:sz w:val="22"/>
          <w:szCs w:val="22"/>
        </w:rPr>
        <w:t>(i)to make a gain for himself or another, or</w:t>
      </w:r>
    </w:p>
    <w:p w14:paraId="3640A81F" w14:textId="77777777" w:rsidR="005256E9" w:rsidRPr="00BC330B" w:rsidRDefault="005256E9" w:rsidP="005256E9">
      <w:pPr>
        <w:pStyle w:val="legclearfix"/>
        <w:shd w:val="clear" w:color="auto" w:fill="FFFFFF"/>
        <w:spacing w:before="0" w:beforeAutospacing="0" w:after="120" w:afterAutospacing="0" w:line="360" w:lineRule="atLeast"/>
        <w:rPr>
          <w:rStyle w:val="legds"/>
          <w:rFonts w:asciiTheme="minorHAnsi" w:hAnsiTheme="minorHAnsi" w:cstheme="minorHAnsi"/>
          <w:color w:val="000000"/>
          <w:sz w:val="22"/>
          <w:szCs w:val="22"/>
        </w:rPr>
      </w:pPr>
      <w:r w:rsidRPr="00BC330B">
        <w:rPr>
          <w:rStyle w:val="legds"/>
          <w:rFonts w:asciiTheme="minorHAnsi" w:hAnsiTheme="minorHAnsi" w:cstheme="minorHAnsi"/>
          <w:color w:val="000000"/>
          <w:sz w:val="22"/>
          <w:szCs w:val="22"/>
        </w:rPr>
        <w:t xml:space="preserve">(ii)to cause loss to another or to expose another to a risk of loss.” </w:t>
      </w:r>
      <w:sdt>
        <w:sdtPr>
          <w:rPr>
            <w:rStyle w:val="legds"/>
            <w:rFonts w:asciiTheme="minorHAnsi" w:hAnsiTheme="minorHAnsi" w:cstheme="minorHAnsi"/>
            <w:color w:val="000000"/>
            <w:sz w:val="22"/>
            <w:szCs w:val="22"/>
          </w:rPr>
          <w:id w:val="-1225220360"/>
          <w:citation/>
        </w:sdtPr>
        <w:sdtContent>
          <w:r w:rsidRPr="00BC330B">
            <w:rPr>
              <w:rStyle w:val="legds"/>
              <w:rFonts w:asciiTheme="minorHAnsi" w:hAnsiTheme="minorHAnsi" w:cstheme="minorHAnsi"/>
              <w:color w:val="000000"/>
              <w:sz w:val="22"/>
              <w:szCs w:val="22"/>
            </w:rPr>
            <w:fldChar w:fldCharType="begin"/>
          </w:r>
          <w:r w:rsidRPr="00BC330B">
            <w:rPr>
              <w:rStyle w:val="legds"/>
              <w:rFonts w:asciiTheme="minorHAnsi" w:hAnsiTheme="minorHAnsi" w:cstheme="minorHAnsi"/>
              <w:color w:val="000000"/>
              <w:sz w:val="22"/>
              <w:szCs w:val="22"/>
            </w:rPr>
            <w:instrText xml:space="preserve">CITATION Fra06 \y  \l 2057 </w:instrText>
          </w:r>
          <w:r w:rsidRPr="00BC330B">
            <w:rPr>
              <w:rStyle w:val="legds"/>
              <w:rFonts w:asciiTheme="minorHAnsi" w:hAnsiTheme="minorHAnsi" w:cstheme="minorHAnsi"/>
              <w:color w:val="000000"/>
              <w:sz w:val="22"/>
              <w:szCs w:val="22"/>
            </w:rPr>
            <w:fldChar w:fldCharType="separate"/>
          </w:r>
          <w:r w:rsidRPr="00BC330B">
            <w:rPr>
              <w:rFonts w:asciiTheme="minorHAnsi" w:hAnsiTheme="minorHAnsi" w:cstheme="minorHAnsi"/>
              <w:noProof/>
              <w:color w:val="000000"/>
              <w:sz w:val="22"/>
              <w:szCs w:val="22"/>
            </w:rPr>
            <w:t>(Fraud Act 2006)</w:t>
          </w:r>
          <w:r w:rsidRPr="00BC330B">
            <w:rPr>
              <w:rStyle w:val="legds"/>
              <w:rFonts w:asciiTheme="minorHAnsi" w:hAnsiTheme="minorHAnsi" w:cstheme="minorHAnsi"/>
              <w:color w:val="000000"/>
              <w:sz w:val="22"/>
              <w:szCs w:val="22"/>
            </w:rPr>
            <w:fldChar w:fldCharType="end"/>
          </w:r>
        </w:sdtContent>
      </w:sdt>
    </w:p>
    <w:p w14:paraId="697E7D22" w14:textId="77777777" w:rsidR="005256E9" w:rsidRPr="00BC330B" w:rsidRDefault="005256E9" w:rsidP="005256E9">
      <w:pPr>
        <w:pStyle w:val="legclearfix"/>
        <w:shd w:val="clear" w:color="auto" w:fill="FFFFFF"/>
        <w:spacing w:before="0" w:beforeAutospacing="0" w:after="120" w:afterAutospacing="0" w:line="360" w:lineRule="atLeast"/>
        <w:rPr>
          <w:rStyle w:val="legds"/>
          <w:rFonts w:asciiTheme="minorHAnsi" w:hAnsiTheme="minorHAnsi" w:cstheme="minorHAnsi"/>
          <w:color w:val="000000"/>
          <w:sz w:val="22"/>
          <w:szCs w:val="22"/>
        </w:rPr>
      </w:pPr>
    </w:p>
    <w:p w14:paraId="34937352" w14:textId="77777777" w:rsidR="005256E9" w:rsidRPr="00BC330B" w:rsidRDefault="005256E9" w:rsidP="005256E9">
      <w:pPr>
        <w:rPr>
          <w:rStyle w:val="legds"/>
          <w:rFonts w:asciiTheme="minorHAnsi" w:hAnsiTheme="minorHAnsi" w:cstheme="minorHAnsi"/>
          <w:sz w:val="22"/>
          <w:szCs w:val="22"/>
        </w:rPr>
      </w:pPr>
      <w:r w:rsidRPr="00BC330B">
        <w:rPr>
          <w:rStyle w:val="legds"/>
          <w:rFonts w:asciiTheme="minorHAnsi" w:hAnsiTheme="minorHAnsi" w:cstheme="minorHAnsi"/>
          <w:sz w:val="22"/>
          <w:szCs w:val="22"/>
        </w:rPr>
        <w:t xml:space="preserve">When this incident was reported, the victim was contacted to obtain a statement. Although there was no ethnicity or language issues there were barriers identified as the victim suffered from agoraphobia. Therefore, stated that they would not be able to attend court if needed. Victim support services were explained to the victim to alleviate any concerns and support them through this process, alongside the role of the officer in charge of the case. The role of victim support and the appropriateness of this service will be explored in more detail further in this essay. </w:t>
      </w:r>
    </w:p>
    <w:p w14:paraId="17BBCED5" w14:textId="77777777" w:rsidR="005256E9" w:rsidRPr="00BC330B" w:rsidRDefault="005256E9" w:rsidP="005256E9">
      <w:pPr>
        <w:ind w:right="237"/>
        <w:rPr>
          <w:rFonts w:asciiTheme="minorHAnsi" w:hAnsiTheme="minorHAnsi" w:cstheme="minorHAnsi"/>
          <w:sz w:val="22"/>
          <w:szCs w:val="22"/>
        </w:rPr>
      </w:pPr>
    </w:p>
    <w:p w14:paraId="1AFA8425"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During the interview of the suspect, they disclosed that there was turbulence within the family, and they believed that this allegation had been said out of revenge. Public Protection Notices were submitted for both the victim and suspect due to information disclosed in the interview. This meant that external agencies would be in touch with both the victim and the suspect to offer them both additional support. </w:t>
      </w:r>
    </w:p>
    <w:p w14:paraId="5D4C8398" w14:textId="1F92B417" w:rsidR="005256E9" w:rsidRPr="00BC330B" w:rsidRDefault="005256E9" w:rsidP="005256E9">
      <w:pPr>
        <w:ind w:right="237"/>
        <w:jc w:val="both"/>
        <w:rPr>
          <w:rFonts w:eastAsia="Arial"/>
          <w:color w:val="000000" w:themeColor="text1"/>
          <w:sz w:val="24"/>
          <w:szCs w:val="24"/>
        </w:rPr>
      </w:pPr>
    </w:p>
    <w:p w14:paraId="5A138C87" w14:textId="3B02FD65" w:rsidR="005256E9" w:rsidRPr="00BC330B" w:rsidRDefault="005256E9" w:rsidP="005256E9">
      <w:pPr>
        <w:ind w:right="237"/>
        <w:jc w:val="both"/>
        <w:rPr>
          <w:rFonts w:eastAsia="Arial"/>
          <w:color w:val="000000" w:themeColor="text1"/>
          <w:sz w:val="24"/>
          <w:szCs w:val="24"/>
        </w:rPr>
      </w:pPr>
    </w:p>
    <w:p w14:paraId="022DAD90"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Before evaluating the appropriateness of different approaches in supporting vulnerable people, it is worthwhile to note the definition used by police in defining what a vulnerable person is, </w:t>
      </w:r>
    </w:p>
    <w:p w14:paraId="2D681600"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“if, as a result of their situation or circumstances, they are unable to take care of or protect themselves from harm or exploitation”. </w:t>
      </w:r>
      <w:sdt>
        <w:sdtPr>
          <w:rPr>
            <w:rFonts w:asciiTheme="minorHAnsi" w:hAnsiTheme="minorHAnsi" w:cstheme="minorHAnsi"/>
            <w:sz w:val="22"/>
            <w:szCs w:val="22"/>
          </w:rPr>
          <w:id w:val="-996033996"/>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Int21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(Introduction to vulnerability-related risk, 2021)</w:t>
          </w:r>
          <w:r w:rsidRPr="00BC330B">
            <w:rPr>
              <w:rFonts w:asciiTheme="minorHAnsi" w:hAnsiTheme="minorHAnsi" w:cstheme="minorHAnsi"/>
              <w:sz w:val="22"/>
              <w:szCs w:val="22"/>
            </w:rPr>
            <w:fldChar w:fldCharType="end"/>
          </w:r>
        </w:sdtContent>
      </w:sdt>
    </w:p>
    <w:p w14:paraId="0D20C9AF" w14:textId="77777777" w:rsidR="005256E9" w:rsidRPr="00BC330B" w:rsidRDefault="005256E9" w:rsidP="005256E9">
      <w:pPr>
        <w:ind w:right="237"/>
        <w:rPr>
          <w:rFonts w:asciiTheme="minorHAnsi" w:hAnsiTheme="minorHAnsi" w:cstheme="minorHAnsi"/>
          <w:sz w:val="22"/>
          <w:szCs w:val="22"/>
        </w:rPr>
      </w:pPr>
    </w:p>
    <w:p w14:paraId="3DE5F439"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As mentioned above, Public Protection Notices were submitted for both the victim and the suspect, which means various support agencies would be in touch with them to put in place additional support needs as required. A few of these support agencies that offer support would be social services, educational support, housing advice, medical referrals and alcohol and drug awareness courses. </w:t>
      </w:r>
    </w:p>
    <w:p w14:paraId="39D70AA5" w14:textId="77777777" w:rsidR="005256E9" w:rsidRPr="00BC330B" w:rsidRDefault="005256E9" w:rsidP="005256E9">
      <w:pPr>
        <w:ind w:right="237"/>
        <w:rPr>
          <w:rFonts w:asciiTheme="minorHAnsi" w:hAnsiTheme="minorHAnsi" w:cstheme="minorHAnsi"/>
          <w:sz w:val="22"/>
          <w:szCs w:val="22"/>
        </w:rPr>
      </w:pPr>
    </w:p>
    <w:p w14:paraId="09C030EA" w14:textId="77777777" w:rsidR="005256E9" w:rsidRPr="00BC330B" w:rsidRDefault="005256E9" w:rsidP="005256E9">
      <w:pPr>
        <w:ind w:right="237"/>
        <w:rPr>
          <w:rFonts w:asciiTheme="minorHAnsi" w:hAnsiTheme="minorHAnsi" w:cstheme="minorHAnsi"/>
          <w:sz w:val="22"/>
          <w:szCs w:val="22"/>
        </w:rPr>
      </w:pPr>
      <w:r w:rsidRPr="00BC330B">
        <w:rPr>
          <w:rFonts w:asciiTheme="minorHAnsi" w:hAnsiTheme="minorHAnsi" w:cstheme="minorHAnsi"/>
          <w:sz w:val="22"/>
          <w:szCs w:val="22"/>
        </w:rPr>
        <w:t xml:space="preserve">During police incidents, it is a police officer’s main function to detect crime, enforce the law and maintain public order </w:t>
      </w:r>
      <w:sdt>
        <w:sdtPr>
          <w:rPr>
            <w:rFonts w:asciiTheme="minorHAnsi" w:hAnsiTheme="minorHAnsi" w:cstheme="minorHAnsi"/>
            <w:sz w:val="22"/>
            <w:szCs w:val="22"/>
          </w:rPr>
          <w:id w:val="-558563456"/>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Bau20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(Baughman, 2020)</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However, as policing is mainly a victim-led service, officers involved in any investigation will investigating the crime reported, make arrests, offer advice to people on how to avoid becoming victims again and refer the victims to external agencies for additional support. </w:t>
      </w:r>
    </w:p>
    <w:p w14:paraId="2D2133BC" w14:textId="77777777" w:rsidR="005256E9" w:rsidRPr="00BC330B" w:rsidRDefault="005256E9" w:rsidP="005256E9">
      <w:pPr>
        <w:ind w:right="237"/>
        <w:rPr>
          <w:rFonts w:asciiTheme="minorHAnsi" w:hAnsiTheme="minorHAnsi" w:cstheme="minorHAnsi"/>
          <w:sz w:val="22"/>
          <w:szCs w:val="22"/>
        </w:rPr>
      </w:pPr>
    </w:p>
    <w:p w14:paraId="7CBFEA2C" w14:textId="49883583" w:rsidR="005256E9" w:rsidRPr="00BC330B" w:rsidRDefault="005256E9" w:rsidP="005256E9">
      <w:pPr>
        <w:ind w:right="237"/>
        <w:jc w:val="both"/>
        <w:rPr>
          <w:rFonts w:asciiTheme="minorHAnsi" w:hAnsiTheme="minorHAnsi" w:cstheme="minorHAnsi"/>
          <w:b/>
          <w:bCs/>
          <w:sz w:val="22"/>
          <w:szCs w:val="22"/>
        </w:rPr>
      </w:pPr>
      <w:r w:rsidRPr="00BC330B">
        <w:rPr>
          <w:rFonts w:asciiTheme="minorHAnsi" w:hAnsiTheme="minorHAnsi" w:cstheme="minorHAnsi"/>
          <w:sz w:val="22"/>
          <w:szCs w:val="22"/>
        </w:rPr>
        <w:lastRenderedPageBreak/>
        <w:t>The police have to remain impartial whilst investigating any crime, as unfortunately not all crimes reported have come from truthful sources</w:t>
      </w:r>
      <w:r w:rsidRPr="00BC330B">
        <w:rPr>
          <w:rFonts w:asciiTheme="minorHAnsi" w:hAnsiTheme="minorHAnsi" w:cstheme="minorHAnsi"/>
          <w:b/>
          <w:bCs/>
          <w:sz w:val="22"/>
          <w:szCs w:val="22"/>
        </w:rPr>
        <w:t xml:space="preserve"> </w:t>
      </w:r>
      <w:sdt>
        <w:sdtPr>
          <w:rPr>
            <w:rFonts w:asciiTheme="minorHAnsi" w:hAnsiTheme="minorHAnsi" w:cstheme="minorHAnsi"/>
            <w:b/>
            <w:bCs/>
            <w:sz w:val="22"/>
            <w:szCs w:val="22"/>
          </w:rPr>
          <w:id w:val="-1902816028"/>
          <w:citation/>
        </w:sdtPr>
        <w:sdtContent>
          <w:r w:rsidR="003E7172" w:rsidRPr="00BC330B">
            <w:rPr>
              <w:rFonts w:asciiTheme="minorHAnsi" w:hAnsiTheme="minorHAnsi" w:cstheme="minorHAnsi"/>
              <w:b/>
              <w:bCs/>
              <w:sz w:val="22"/>
              <w:szCs w:val="22"/>
            </w:rPr>
            <w:fldChar w:fldCharType="begin"/>
          </w:r>
          <w:r w:rsidR="003E7172" w:rsidRPr="00BC330B">
            <w:rPr>
              <w:rFonts w:asciiTheme="minorHAnsi" w:hAnsiTheme="minorHAnsi" w:cstheme="minorHAnsi"/>
              <w:b/>
              <w:bCs/>
              <w:sz w:val="22"/>
              <w:szCs w:val="22"/>
            </w:rPr>
            <w:instrText xml:space="preserve"> CITATION Bul09 \l 2057 </w:instrText>
          </w:r>
          <w:r w:rsidR="003E7172" w:rsidRPr="00BC330B">
            <w:rPr>
              <w:rFonts w:asciiTheme="minorHAnsi" w:hAnsiTheme="minorHAnsi" w:cstheme="minorHAnsi"/>
              <w:b/>
              <w:bCs/>
              <w:sz w:val="22"/>
              <w:szCs w:val="22"/>
            </w:rPr>
            <w:fldChar w:fldCharType="separate"/>
          </w:r>
          <w:r w:rsidR="003E7172" w:rsidRPr="00BC330B">
            <w:rPr>
              <w:rFonts w:asciiTheme="minorHAnsi" w:hAnsiTheme="minorHAnsi" w:cstheme="minorHAnsi"/>
              <w:noProof/>
              <w:sz w:val="22"/>
              <w:szCs w:val="22"/>
            </w:rPr>
            <w:t>(Bullock &amp; Tilley, 2009)</w:t>
          </w:r>
          <w:r w:rsidR="003E7172" w:rsidRPr="00BC330B">
            <w:rPr>
              <w:rFonts w:asciiTheme="minorHAnsi" w:hAnsiTheme="minorHAnsi" w:cstheme="minorHAnsi"/>
              <w:b/>
              <w:bCs/>
              <w:sz w:val="22"/>
              <w:szCs w:val="22"/>
            </w:rPr>
            <w:fldChar w:fldCharType="end"/>
          </w:r>
        </w:sdtContent>
      </w:sdt>
      <w:r w:rsidR="003E7172" w:rsidRPr="00BC330B">
        <w:rPr>
          <w:rFonts w:asciiTheme="minorHAnsi" w:hAnsiTheme="minorHAnsi" w:cstheme="minorHAnsi"/>
          <w:b/>
          <w:bCs/>
          <w:sz w:val="22"/>
          <w:szCs w:val="22"/>
        </w:rPr>
        <w:t xml:space="preserve">. </w:t>
      </w:r>
    </w:p>
    <w:p w14:paraId="0979CB32" w14:textId="2074E028" w:rsidR="003E7172" w:rsidRPr="00BC330B" w:rsidRDefault="003E7172" w:rsidP="005256E9">
      <w:pPr>
        <w:ind w:right="237"/>
        <w:jc w:val="both"/>
        <w:rPr>
          <w:rFonts w:asciiTheme="minorHAnsi" w:hAnsiTheme="minorHAnsi" w:cstheme="minorHAnsi"/>
          <w:b/>
          <w:bCs/>
          <w:sz w:val="22"/>
          <w:szCs w:val="22"/>
        </w:rPr>
      </w:pPr>
    </w:p>
    <w:p w14:paraId="40E5AB69"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sz w:val="22"/>
          <w:szCs w:val="22"/>
        </w:rPr>
        <w:t xml:space="preserve">As a result of the PPN’s external agencies can provide support to the victim, and the suspect for mental health, psychical health, and psychological health, whereas the police remain impartial and investigate the crime committed and provide advice and support to the victim on how to avoid becoming repeat victims. </w:t>
      </w:r>
    </w:p>
    <w:p w14:paraId="3EC831B4" w14:textId="71274FF5" w:rsidR="003E7172" w:rsidRPr="00BC330B" w:rsidRDefault="003E7172" w:rsidP="005256E9">
      <w:pPr>
        <w:ind w:right="237"/>
        <w:jc w:val="both"/>
        <w:rPr>
          <w:rFonts w:eastAsia="Arial"/>
          <w:color w:val="000000" w:themeColor="text1"/>
          <w:sz w:val="24"/>
          <w:szCs w:val="24"/>
        </w:rPr>
      </w:pPr>
    </w:p>
    <w:p w14:paraId="292ED927" w14:textId="77777777" w:rsidR="003E7172" w:rsidRPr="00BC330B" w:rsidRDefault="003E7172" w:rsidP="003E7172">
      <w:pPr>
        <w:ind w:right="237"/>
        <w:rPr>
          <w:rFonts w:asciiTheme="minorHAnsi" w:hAnsiTheme="minorHAnsi" w:cstheme="minorHAnsi"/>
          <w:sz w:val="22"/>
          <w:szCs w:val="22"/>
        </w:rPr>
      </w:pPr>
    </w:p>
    <w:p w14:paraId="054D854A" w14:textId="77777777" w:rsidR="003E7172" w:rsidRPr="00BC330B" w:rsidRDefault="003E7172" w:rsidP="003E7172">
      <w:pPr>
        <w:ind w:right="237"/>
        <w:rPr>
          <w:rFonts w:asciiTheme="minorHAnsi" w:hAnsiTheme="minorHAnsi" w:cstheme="minorHAnsi"/>
          <w:color w:val="212121"/>
          <w:sz w:val="22"/>
          <w:szCs w:val="22"/>
          <w:shd w:val="clear" w:color="auto" w:fill="FFFFFF"/>
        </w:rPr>
      </w:pPr>
      <w:r w:rsidRPr="00BC330B">
        <w:rPr>
          <w:rFonts w:asciiTheme="minorHAnsi" w:hAnsiTheme="minorHAnsi" w:cstheme="minorHAnsi"/>
          <w:color w:val="212121"/>
          <w:sz w:val="22"/>
          <w:szCs w:val="22"/>
          <w:shd w:val="clear" w:color="auto" w:fill="FFFFFF"/>
        </w:rPr>
        <w:t xml:space="preserve">Having external agencies or making referrals for older adult victims of online offences or fraud offences about online safety and giving them the knowledge of how to protect themselves online. This could reduce the number of older adults that become repeat victims and can build back the relationships between the victim and other family members by giving the family members the support and information on how to support their older family members. </w:t>
      </w:r>
      <w:sdt>
        <w:sdtPr>
          <w:rPr>
            <w:rFonts w:asciiTheme="minorHAnsi" w:hAnsiTheme="minorHAnsi" w:cstheme="minorHAnsi"/>
            <w:color w:val="212121"/>
            <w:sz w:val="22"/>
            <w:szCs w:val="22"/>
            <w:shd w:val="clear" w:color="auto" w:fill="FFFFFF"/>
          </w:rPr>
          <w:id w:val="-825587003"/>
          <w:citation/>
        </w:sdtPr>
        <w:sdtContent>
          <w:r w:rsidRPr="00BC330B">
            <w:rPr>
              <w:rFonts w:asciiTheme="minorHAnsi" w:hAnsiTheme="minorHAnsi" w:cstheme="minorHAnsi"/>
              <w:color w:val="212121"/>
              <w:sz w:val="22"/>
              <w:szCs w:val="22"/>
              <w:shd w:val="clear" w:color="auto" w:fill="FFFFFF"/>
            </w:rPr>
            <w:fldChar w:fldCharType="begin"/>
          </w:r>
          <w:r w:rsidRPr="00BC330B">
            <w:rPr>
              <w:rFonts w:asciiTheme="minorHAnsi" w:hAnsiTheme="minorHAnsi" w:cstheme="minorHAnsi"/>
              <w:color w:val="212121"/>
              <w:sz w:val="22"/>
              <w:szCs w:val="22"/>
              <w:shd w:val="clear" w:color="auto" w:fill="FFFFFF"/>
            </w:rPr>
            <w:instrText xml:space="preserve"> CITATION DeL21 \l 2057 </w:instrText>
          </w:r>
          <w:r w:rsidRPr="00BC330B">
            <w:rPr>
              <w:rFonts w:asciiTheme="minorHAnsi" w:hAnsiTheme="minorHAnsi" w:cstheme="minorHAnsi"/>
              <w:color w:val="212121"/>
              <w:sz w:val="22"/>
              <w:szCs w:val="22"/>
              <w:shd w:val="clear" w:color="auto" w:fill="FFFFFF"/>
            </w:rPr>
            <w:fldChar w:fldCharType="separate"/>
          </w:r>
          <w:r w:rsidRPr="00BC330B">
            <w:rPr>
              <w:rFonts w:asciiTheme="minorHAnsi" w:hAnsiTheme="minorHAnsi" w:cstheme="minorHAnsi"/>
              <w:noProof/>
              <w:color w:val="212121"/>
              <w:sz w:val="22"/>
              <w:szCs w:val="22"/>
              <w:shd w:val="clear" w:color="auto" w:fill="FFFFFF"/>
            </w:rPr>
            <w:t>(DeLiema, Burnes, &amp; Langton, 2021)</w:t>
          </w:r>
          <w:r w:rsidRPr="00BC330B">
            <w:rPr>
              <w:rFonts w:asciiTheme="minorHAnsi" w:hAnsiTheme="minorHAnsi" w:cstheme="minorHAnsi"/>
              <w:color w:val="212121"/>
              <w:sz w:val="22"/>
              <w:szCs w:val="22"/>
              <w:shd w:val="clear" w:color="auto" w:fill="FFFFFF"/>
            </w:rPr>
            <w:fldChar w:fldCharType="end"/>
          </w:r>
        </w:sdtContent>
      </w:sdt>
      <w:r w:rsidRPr="00BC330B">
        <w:rPr>
          <w:rFonts w:asciiTheme="minorHAnsi" w:hAnsiTheme="minorHAnsi" w:cstheme="minorHAnsi"/>
          <w:color w:val="212121"/>
          <w:sz w:val="22"/>
          <w:szCs w:val="22"/>
          <w:shd w:val="clear" w:color="auto" w:fill="FFFFFF"/>
        </w:rPr>
        <w:t xml:space="preserve">. </w:t>
      </w:r>
    </w:p>
    <w:p w14:paraId="0C334FD6" w14:textId="652611F3" w:rsidR="003E7172" w:rsidRPr="00BC330B" w:rsidRDefault="003E7172" w:rsidP="005256E9">
      <w:pPr>
        <w:ind w:right="237"/>
        <w:jc w:val="both"/>
        <w:rPr>
          <w:rFonts w:eastAsia="Arial"/>
          <w:color w:val="000000" w:themeColor="text1"/>
          <w:sz w:val="24"/>
          <w:szCs w:val="24"/>
        </w:rPr>
      </w:pPr>
    </w:p>
    <w:p w14:paraId="52D1CEB9" w14:textId="77777777" w:rsidR="003E7172" w:rsidRPr="00BC330B" w:rsidRDefault="003E7172" w:rsidP="003E7172">
      <w:pPr>
        <w:ind w:right="237"/>
        <w:rPr>
          <w:rFonts w:asciiTheme="minorHAnsi" w:hAnsiTheme="minorHAnsi" w:cstheme="minorHAnsi"/>
          <w:color w:val="212121"/>
          <w:sz w:val="22"/>
          <w:szCs w:val="22"/>
          <w:shd w:val="clear" w:color="auto" w:fill="FFFFFF"/>
        </w:rPr>
      </w:pPr>
      <w:r w:rsidRPr="00BC330B">
        <w:rPr>
          <w:rFonts w:asciiTheme="minorHAnsi" w:hAnsiTheme="minorHAnsi" w:cstheme="minorHAnsi"/>
          <w:color w:val="212121"/>
          <w:sz w:val="22"/>
          <w:szCs w:val="22"/>
          <w:shd w:val="clear" w:color="auto" w:fill="FFFFFF"/>
        </w:rPr>
        <w:t xml:space="preserve">As the various support available to victims has been discussed; it is clear that one of the main aims in supporting victims is to stop them from becoming repeat victims. </w:t>
      </w:r>
    </w:p>
    <w:p w14:paraId="55F478B4" w14:textId="77777777" w:rsidR="003E7172" w:rsidRPr="00BC330B" w:rsidRDefault="003E7172" w:rsidP="003E7172">
      <w:pPr>
        <w:ind w:right="237"/>
        <w:rPr>
          <w:rFonts w:asciiTheme="minorHAnsi" w:hAnsiTheme="minorHAnsi" w:cstheme="minorHAnsi"/>
          <w:color w:val="212121"/>
          <w:sz w:val="22"/>
          <w:szCs w:val="22"/>
          <w:shd w:val="clear" w:color="auto" w:fill="FFFFFF"/>
        </w:rPr>
      </w:pPr>
    </w:p>
    <w:p w14:paraId="1EC78801" w14:textId="77777777" w:rsidR="003E7172" w:rsidRPr="00BC330B" w:rsidRDefault="003E7172" w:rsidP="003E7172">
      <w:pPr>
        <w:ind w:right="237"/>
        <w:rPr>
          <w:rFonts w:asciiTheme="minorHAnsi" w:hAnsiTheme="minorHAnsi" w:cstheme="minorHAnsi"/>
          <w:color w:val="212121"/>
          <w:sz w:val="22"/>
          <w:szCs w:val="22"/>
          <w:shd w:val="clear" w:color="auto" w:fill="FFFFFF"/>
        </w:rPr>
      </w:pPr>
      <w:r w:rsidRPr="00BC330B">
        <w:rPr>
          <w:rFonts w:asciiTheme="minorHAnsi" w:hAnsiTheme="minorHAnsi" w:cstheme="minorHAnsi"/>
          <w:color w:val="212121"/>
          <w:sz w:val="22"/>
          <w:szCs w:val="22"/>
          <w:shd w:val="clear" w:color="auto" w:fill="FFFFFF"/>
        </w:rPr>
        <w:t>Before this essay explores what works in tackling repeat victimisation, it is beneficial to understand who and what is classed as a repeat victim.</w:t>
      </w:r>
    </w:p>
    <w:p w14:paraId="67B95671" w14:textId="757F8403" w:rsidR="003E7172" w:rsidRPr="00BC330B" w:rsidRDefault="003E7172" w:rsidP="003E7172">
      <w:pPr>
        <w:ind w:right="237"/>
        <w:rPr>
          <w:rFonts w:asciiTheme="minorHAnsi" w:hAnsiTheme="minorHAnsi" w:cstheme="minorHAnsi"/>
          <w:color w:val="212121"/>
          <w:sz w:val="22"/>
          <w:szCs w:val="22"/>
          <w:shd w:val="clear" w:color="auto" w:fill="FFFFFF"/>
        </w:rPr>
      </w:pPr>
      <w:r w:rsidRPr="00BC330B">
        <w:rPr>
          <w:rFonts w:asciiTheme="minorHAnsi" w:hAnsiTheme="minorHAnsi" w:cstheme="minorHAnsi"/>
          <w:color w:val="212121"/>
          <w:sz w:val="22"/>
          <w:szCs w:val="22"/>
          <w:shd w:val="clear" w:color="auto" w:fill="FFFFFF"/>
        </w:rPr>
        <w:t xml:space="preserve">Repeat victims are defined as “people who have experienced a crime on more than one occasion in a </w:t>
      </w:r>
      <w:r w:rsidR="003C6759" w:rsidRPr="00BC330B">
        <w:rPr>
          <w:rFonts w:asciiTheme="minorHAnsi" w:hAnsiTheme="minorHAnsi" w:cstheme="minorHAnsi"/>
          <w:color w:val="212121"/>
          <w:sz w:val="22"/>
          <w:szCs w:val="22"/>
          <w:shd w:val="clear" w:color="auto" w:fill="FFFFFF"/>
        </w:rPr>
        <w:t>12-month</w:t>
      </w:r>
      <w:r w:rsidRPr="00BC330B">
        <w:rPr>
          <w:rFonts w:asciiTheme="minorHAnsi" w:hAnsiTheme="minorHAnsi" w:cstheme="minorHAnsi"/>
          <w:color w:val="212121"/>
          <w:sz w:val="22"/>
          <w:szCs w:val="22"/>
          <w:shd w:val="clear" w:color="auto" w:fill="FFFFFF"/>
        </w:rPr>
        <w:t xml:space="preserve"> period” </w:t>
      </w:r>
      <w:sdt>
        <w:sdtPr>
          <w:rPr>
            <w:rFonts w:asciiTheme="minorHAnsi" w:hAnsiTheme="minorHAnsi" w:cstheme="minorHAnsi"/>
            <w:color w:val="212121"/>
            <w:sz w:val="22"/>
            <w:szCs w:val="22"/>
            <w:shd w:val="clear" w:color="auto" w:fill="FFFFFF"/>
          </w:rPr>
          <w:id w:val="-1421013463"/>
          <w:citation/>
        </w:sdtPr>
        <w:sdtContent>
          <w:r w:rsidRPr="00BC330B">
            <w:rPr>
              <w:rFonts w:asciiTheme="minorHAnsi" w:hAnsiTheme="minorHAnsi" w:cstheme="minorHAnsi"/>
              <w:color w:val="212121"/>
              <w:sz w:val="22"/>
              <w:szCs w:val="22"/>
              <w:shd w:val="clear" w:color="auto" w:fill="FFFFFF"/>
            </w:rPr>
            <w:fldChar w:fldCharType="begin"/>
          </w:r>
          <w:r w:rsidRPr="00BC330B">
            <w:rPr>
              <w:rFonts w:asciiTheme="minorHAnsi" w:hAnsiTheme="minorHAnsi" w:cstheme="minorHAnsi"/>
              <w:color w:val="212121"/>
              <w:sz w:val="22"/>
              <w:szCs w:val="22"/>
              <w:shd w:val="clear" w:color="auto" w:fill="FFFFFF"/>
            </w:rPr>
            <w:instrText xml:space="preserve"> CITATION Str20 \l 2057 </w:instrText>
          </w:r>
          <w:r w:rsidRPr="00BC330B">
            <w:rPr>
              <w:rFonts w:asciiTheme="minorHAnsi" w:hAnsiTheme="minorHAnsi" w:cstheme="minorHAnsi"/>
              <w:color w:val="212121"/>
              <w:sz w:val="22"/>
              <w:szCs w:val="22"/>
              <w:shd w:val="clear" w:color="auto" w:fill="FFFFFF"/>
            </w:rPr>
            <w:fldChar w:fldCharType="separate"/>
          </w:r>
          <w:r w:rsidRPr="00BC330B">
            <w:rPr>
              <w:rFonts w:asciiTheme="minorHAnsi" w:hAnsiTheme="minorHAnsi" w:cstheme="minorHAnsi"/>
              <w:noProof/>
              <w:color w:val="212121"/>
              <w:sz w:val="22"/>
              <w:szCs w:val="22"/>
              <w:shd w:val="clear" w:color="auto" w:fill="FFFFFF"/>
            </w:rPr>
            <w:t>(Strøm, Kristian Hjemdal, O., Myhre, Wentzel-Larsen, &amp; Thoresen, 2020)</w:t>
          </w:r>
          <w:r w:rsidRPr="00BC330B">
            <w:rPr>
              <w:rFonts w:asciiTheme="minorHAnsi" w:hAnsiTheme="minorHAnsi" w:cstheme="minorHAnsi"/>
              <w:color w:val="212121"/>
              <w:sz w:val="22"/>
              <w:szCs w:val="22"/>
              <w:shd w:val="clear" w:color="auto" w:fill="FFFFFF"/>
            </w:rPr>
            <w:fldChar w:fldCharType="end"/>
          </w:r>
        </w:sdtContent>
      </w:sdt>
      <w:r w:rsidRPr="00BC330B">
        <w:rPr>
          <w:rFonts w:asciiTheme="minorHAnsi" w:hAnsiTheme="minorHAnsi" w:cstheme="minorHAnsi"/>
          <w:color w:val="212121"/>
          <w:sz w:val="22"/>
          <w:szCs w:val="22"/>
          <w:shd w:val="clear" w:color="auto" w:fill="FFFFFF"/>
        </w:rPr>
        <w:t>.</w:t>
      </w:r>
    </w:p>
    <w:p w14:paraId="4C362336" w14:textId="77777777" w:rsidR="003E7172" w:rsidRPr="00BC330B" w:rsidRDefault="003E7172" w:rsidP="003E7172">
      <w:pPr>
        <w:ind w:right="237"/>
        <w:rPr>
          <w:rFonts w:asciiTheme="minorHAnsi" w:hAnsiTheme="minorHAnsi" w:cstheme="minorHAnsi"/>
          <w:color w:val="212121"/>
          <w:sz w:val="22"/>
          <w:szCs w:val="22"/>
          <w:shd w:val="clear" w:color="auto" w:fill="FFFFFF"/>
        </w:rPr>
      </w:pPr>
      <w:r w:rsidRPr="00BC330B">
        <w:rPr>
          <w:rFonts w:asciiTheme="minorHAnsi" w:hAnsiTheme="minorHAnsi" w:cstheme="minorHAnsi"/>
          <w:color w:val="212121"/>
          <w:sz w:val="22"/>
          <w:szCs w:val="22"/>
          <w:shd w:val="clear" w:color="auto" w:fill="FFFFFF"/>
        </w:rPr>
        <w:t xml:space="preserve">It is believed by some that people will become victims due to their lifestyle choices which in the presence of the wrong person or situation, can result in crimes being committed </w:t>
      </w:r>
      <w:sdt>
        <w:sdtPr>
          <w:rPr>
            <w:rFonts w:asciiTheme="minorHAnsi" w:hAnsiTheme="minorHAnsi" w:cstheme="minorHAnsi"/>
            <w:color w:val="212121"/>
            <w:sz w:val="22"/>
            <w:szCs w:val="22"/>
            <w:shd w:val="clear" w:color="auto" w:fill="FFFFFF"/>
          </w:rPr>
          <w:id w:val="2133745668"/>
          <w:citation/>
        </w:sdtPr>
        <w:sdtContent>
          <w:r w:rsidRPr="00BC330B">
            <w:rPr>
              <w:rFonts w:asciiTheme="minorHAnsi" w:hAnsiTheme="minorHAnsi" w:cstheme="minorHAnsi"/>
              <w:color w:val="212121"/>
              <w:sz w:val="22"/>
              <w:szCs w:val="22"/>
              <w:shd w:val="clear" w:color="auto" w:fill="FFFFFF"/>
            </w:rPr>
            <w:fldChar w:fldCharType="begin"/>
          </w:r>
          <w:r w:rsidRPr="00BC330B">
            <w:rPr>
              <w:rFonts w:asciiTheme="minorHAnsi" w:hAnsiTheme="minorHAnsi" w:cstheme="minorHAnsi"/>
              <w:color w:val="212121"/>
              <w:sz w:val="22"/>
              <w:szCs w:val="22"/>
              <w:shd w:val="clear" w:color="auto" w:fill="FFFFFF"/>
            </w:rPr>
            <w:instrText xml:space="preserve"> CITATION Fer23 \l 2057 </w:instrText>
          </w:r>
          <w:r w:rsidRPr="00BC330B">
            <w:rPr>
              <w:rFonts w:asciiTheme="minorHAnsi" w:hAnsiTheme="minorHAnsi" w:cstheme="minorHAnsi"/>
              <w:color w:val="212121"/>
              <w:sz w:val="22"/>
              <w:szCs w:val="22"/>
              <w:shd w:val="clear" w:color="auto" w:fill="FFFFFF"/>
            </w:rPr>
            <w:fldChar w:fldCharType="separate"/>
          </w:r>
          <w:r w:rsidRPr="00BC330B">
            <w:rPr>
              <w:rFonts w:asciiTheme="minorHAnsi" w:hAnsiTheme="minorHAnsi" w:cstheme="minorHAnsi"/>
              <w:noProof/>
              <w:color w:val="212121"/>
              <w:sz w:val="22"/>
              <w:szCs w:val="22"/>
              <w:shd w:val="clear" w:color="auto" w:fill="FFFFFF"/>
            </w:rPr>
            <w:t>(Ferguson, Elliott, &amp; Kim, 2023)</w:t>
          </w:r>
          <w:r w:rsidRPr="00BC330B">
            <w:rPr>
              <w:rFonts w:asciiTheme="minorHAnsi" w:hAnsiTheme="minorHAnsi" w:cstheme="minorHAnsi"/>
              <w:color w:val="212121"/>
              <w:sz w:val="22"/>
              <w:szCs w:val="22"/>
              <w:shd w:val="clear" w:color="auto" w:fill="FFFFFF"/>
            </w:rPr>
            <w:fldChar w:fldCharType="end"/>
          </w:r>
        </w:sdtContent>
      </w:sdt>
      <w:r w:rsidRPr="00BC330B">
        <w:rPr>
          <w:rFonts w:asciiTheme="minorHAnsi" w:hAnsiTheme="minorHAnsi" w:cstheme="minorHAnsi"/>
          <w:color w:val="212121"/>
          <w:sz w:val="22"/>
          <w:szCs w:val="22"/>
          <w:shd w:val="clear" w:color="auto" w:fill="FFFFFF"/>
        </w:rPr>
        <w:t xml:space="preserve"> therefore the victim being discussed in this essay, due to them being unable to go to the shop by themselves resulted in a family member taking advantage. </w:t>
      </w:r>
    </w:p>
    <w:p w14:paraId="53F1B99D" w14:textId="77777777" w:rsidR="003E7172" w:rsidRPr="00BC330B" w:rsidRDefault="003E7172" w:rsidP="003E7172">
      <w:pPr>
        <w:ind w:right="237"/>
        <w:rPr>
          <w:rFonts w:asciiTheme="minorHAnsi" w:hAnsiTheme="minorHAnsi" w:cstheme="minorHAnsi"/>
          <w:color w:val="212121"/>
          <w:sz w:val="22"/>
          <w:szCs w:val="22"/>
          <w:shd w:val="clear" w:color="auto" w:fill="FFFFFF"/>
        </w:rPr>
      </w:pPr>
    </w:p>
    <w:p w14:paraId="7B6AA48F"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sz w:val="22"/>
          <w:szCs w:val="22"/>
        </w:rPr>
        <w:t xml:space="preserve">Therefore, by providing the victim with words of advice of how to prevent themselves from becoming victims in the future and putting external agencies in touch with them to help them, helping the victim to change their previous actions or avoid doing them again, this can reduce the likelihood of them making the same lifestyle choices again </w:t>
      </w:r>
      <w:sdt>
        <w:sdtPr>
          <w:rPr>
            <w:rFonts w:asciiTheme="minorHAnsi" w:hAnsiTheme="minorHAnsi" w:cstheme="minorHAnsi"/>
            <w:sz w:val="22"/>
            <w:szCs w:val="22"/>
          </w:rPr>
          <w:id w:val="-866446083"/>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LiY19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(Li, Yazdanmehr, Wang, &amp; Rao, 2019)</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w:t>
      </w:r>
    </w:p>
    <w:p w14:paraId="008B819B" w14:textId="01AE8501" w:rsidR="003E7172" w:rsidRPr="00BC330B" w:rsidRDefault="003E7172" w:rsidP="005256E9">
      <w:pPr>
        <w:ind w:right="237"/>
        <w:jc w:val="both"/>
        <w:rPr>
          <w:rFonts w:eastAsia="Arial"/>
          <w:color w:val="000000" w:themeColor="text1"/>
          <w:sz w:val="24"/>
          <w:szCs w:val="24"/>
        </w:rPr>
      </w:pPr>
    </w:p>
    <w:p w14:paraId="3059489B"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sz w:val="22"/>
          <w:szCs w:val="22"/>
        </w:rPr>
        <w:t xml:space="preserve">As Hanmer, Griffiths and Jerwood stated there was a requirement of the police to establish tactics to recognise and diminish repeat victimisation in 1996/7 </w:t>
      </w:r>
      <w:sdt>
        <w:sdtPr>
          <w:rPr>
            <w:rFonts w:asciiTheme="minorHAnsi" w:hAnsiTheme="minorHAnsi" w:cstheme="minorHAnsi"/>
            <w:sz w:val="22"/>
            <w:szCs w:val="22"/>
          </w:rPr>
          <w:id w:val="1899084625"/>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CITATION Han99 \n  \t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(1999)</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w:t>
      </w:r>
    </w:p>
    <w:p w14:paraId="6C43279D"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sz w:val="22"/>
          <w:szCs w:val="22"/>
        </w:rPr>
        <w:t xml:space="preserve">However, for a person to become a target for repeat victimisation their actions must not change </w:t>
      </w:r>
      <w:sdt>
        <w:sdtPr>
          <w:rPr>
            <w:rFonts w:asciiTheme="minorHAnsi" w:hAnsiTheme="minorHAnsi" w:cstheme="minorHAnsi"/>
            <w:sz w:val="22"/>
            <w:szCs w:val="22"/>
          </w:rPr>
          <w:id w:val="-1420714249"/>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Far93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(Farrell &amp; Pease, 1993)</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therefore the most obvious tactic for reducing repeat victimisation would be to change the victim’s behaviour. Although too much focus on the victim changing their behaviour could be seen as victim blaming, yet if too much avoidance is based on not wanting to victim blame, it can diminish the fact</w:t>
      </w:r>
      <w:r w:rsidRPr="00BC330B">
        <w:rPr>
          <w:rFonts w:asciiTheme="minorHAnsi" w:hAnsiTheme="minorHAnsi" w:cstheme="minorHAnsi"/>
          <w:b/>
          <w:bCs/>
          <w:sz w:val="22"/>
          <w:szCs w:val="22"/>
        </w:rPr>
        <w:t xml:space="preserve"> </w:t>
      </w:r>
      <w:r w:rsidRPr="00BC330B">
        <w:rPr>
          <w:rFonts w:asciiTheme="minorHAnsi" w:hAnsiTheme="minorHAnsi" w:cstheme="minorHAnsi"/>
          <w:sz w:val="22"/>
          <w:szCs w:val="22"/>
        </w:rPr>
        <w:t xml:space="preserve">that it is the persons decisions and actions that make them a target of crime </w:t>
      </w:r>
      <w:sdt>
        <w:sdtPr>
          <w:rPr>
            <w:rFonts w:asciiTheme="minorHAnsi" w:hAnsiTheme="minorHAnsi" w:cstheme="minorHAnsi"/>
            <w:sz w:val="22"/>
            <w:szCs w:val="22"/>
          </w:rPr>
          <w:id w:val="1398479569"/>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Far93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(Farrell &amp; Pease, 1993)</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As such in the case of the victim being discussed in this essay, they trusted a person with a bankcard which resulted in them becoming a victim. However, this can also be seen as the offender taking advantage of a person in a situation. As Shane states, there are theories that suggest for a crime to take place there are three elements that need to be present, a victim, and offender, and a location/lack of guardian </w:t>
      </w:r>
      <w:sdt>
        <w:sdtPr>
          <w:rPr>
            <w:rFonts w:asciiTheme="minorHAnsi" w:hAnsiTheme="minorHAnsi" w:cstheme="minorHAnsi"/>
            <w:sz w:val="22"/>
            <w:szCs w:val="22"/>
          </w:rPr>
          <w:id w:val="417834681"/>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CITATION Sha21 \n  \t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(2021)</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Therefore, by removing one of the elements, it reduces the chance of a crime being committed. With this view of removing one key element, the focus can be on the victim, the situation, or the offender. Situational crime prevention aims to reduce the reward and increase the risks associated with committing a crime in and offenders’ belief </w:t>
      </w:r>
      <w:sdt>
        <w:sdtPr>
          <w:rPr>
            <w:rFonts w:asciiTheme="minorHAnsi" w:hAnsiTheme="minorHAnsi" w:cstheme="minorHAnsi"/>
            <w:sz w:val="22"/>
            <w:szCs w:val="22"/>
          </w:rPr>
          <w:id w:val="-1506359281"/>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Sha21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(Shane, 2021)</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w:t>
      </w:r>
    </w:p>
    <w:p w14:paraId="1F313329" w14:textId="193B09FA" w:rsidR="003E7172" w:rsidRPr="00BC330B" w:rsidRDefault="003E7172" w:rsidP="005256E9">
      <w:pPr>
        <w:ind w:right="237"/>
        <w:jc w:val="both"/>
        <w:rPr>
          <w:rFonts w:eastAsia="Arial"/>
          <w:color w:val="000000" w:themeColor="text1"/>
          <w:sz w:val="24"/>
          <w:szCs w:val="24"/>
        </w:rPr>
      </w:pPr>
    </w:p>
    <w:p w14:paraId="70A331E8"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sz w:val="22"/>
          <w:szCs w:val="22"/>
        </w:rPr>
        <w:lastRenderedPageBreak/>
        <w:t>Before examining what works in relation to reducing repeat offending it is worth noting the different types of repeat offenders. General repeat offenders are defined as an offender who commits more than one type of crime, whereas specialist repeat offenders are classed as only committing the same type of offence multiple times</w:t>
      </w:r>
      <w:sdt>
        <w:sdtPr>
          <w:rPr>
            <w:rFonts w:asciiTheme="minorHAnsi" w:hAnsiTheme="minorHAnsi" w:cstheme="minorHAnsi"/>
            <w:sz w:val="22"/>
            <w:szCs w:val="22"/>
          </w:rPr>
          <w:id w:val="844820535"/>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Lig19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 xml:space="preserve"> (Liggins, Ratcliffe, &amp; Bland, 2019)</w:t>
          </w:r>
          <w:r w:rsidRPr="00BC330B">
            <w:rPr>
              <w:rFonts w:asciiTheme="minorHAnsi" w:hAnsiTheme="minorHAnsi" w:cstheme="minorHAnsi"/>
              <w:sz w:val="22"/>
              <w:szCs w:val="22"/>
            </w:rPr>
            <w:fldChar w:fldCharType="end"/>
          </w:r>
        </w:sdtContent>
      </w:sdt>
      <w:r w:rsidRPr="00BC330B">
        <w:rPr>
          <w:rFonts w:asciiTheme="minorHAnsi" w:hAnsiTheme="minorHAnsi" w:cstheme="minorHAnsi"/>
          <w:sz w:val="22"/>
          <w:szCs w:val="22"/>
        </w:rPr>
        <w:t xml:space="preserve">. </w:t>
      </w:r>
    </w:p>
    <w:p w14:paraId="3FBE8233" w14:textId="77777777" w:rsidR="003E7172" w:rsidRPr="00BC330B" w:rsidRDefault="003E7172" w:rsidP="003E7172">
      <w:pPr>
        <w:ind w:right="237"/>
        <w:rPr>
          <w:rFonts w:asciiTheme="minorHAnsi" w:hAnsiTheme="minorHAnsi" w:cstheme="minorHAnsi"/>
          <w:sz w:val="22"/>
          <w:szCs w:val="22"/>
        </w:rPr>
      </w:pPr>
    </w:p>
    <w:p w14:paraId="0A95AE2E"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sz w:val="22"/>
          <w:szCs w:val="22"/>
        </w:rPr>
        <w:t xml:space="preserve">For initiatives that target reducing repeat victimisation and repeat offending there has to be a consensus of all involved, with teamwork, successful management, and appropriate policies in place. </w:t>
      </w:r>
      <w:sdt>
        <w:sdtPr>
          <w:rPr>
            <w:rFonts w:asciiTheme="minorHAnsi" w:hAnsiTheme="minorHAnsi" w:cstheme="minorHAnsi"/>
            <w:sz w:val="22"/>
            <w:szCs w:val="22"/>
          </w:rPr>
          <w:id w:val="752703616"/>
          <w:citation/>
        </w:sdtPr>
        <w:sdtContent>
          <w:r w:rsidRPr="00BC330B">
            <w:rPr>
              <w:rFonts w:asciiTheme="minorHAnsi" w:hAnsiTheme="minorHAnsi" w:cstheme="minorHAnsi"/>
              <w:sz w:val="22"/>
              <w:szCs w:val="22"/>
            </w:rPr>
            <w:fldChar w:fldCharType="begin"/>
          </w:r>
          <w:r w:rsidRPr="00BC330B">
            <w:rPr>
              <w:rFonts w:asciiTheme="minorHAnsi" w:hAnsiTheme="minorHAnsi" w:cstheme="minorHAnsi"/>
              <w:sz w:val="22"/>
              <w:szCs w:val="22"/>
            </w:rPr>
            <w:instrText xml:space="preserve"> CITATION Han99 \l 2057 </w:instrText>
          </w:r>
          <w:r w:rsidRPr="00BC330B">
            <w:rPr>
              <w:rFonts w:asciiTheme="minorHAnsi" w:hAnsiTheme="minorHAnsi" w:cstheme="minorHAnsi"/>
              <w:sz w:val="22"/>
              <w:szCs w:val="22"/>
            </w:rPr>
            <w:fldChar w:fldCharType="separate"/>
          </w:r>
          <w:r w:rsidRPr="00BC330B">
            <w:rPr>
              <w:rFonts w:asciiTheme="minorHAnsi" w:hAnsiTheme="minorHAnsi" w:cstheme="minorHAnsi"/>
              <w:noProof/>
              <w:sz w:val="22"/>
              <w:szCs w:val="22"/>
            </w:rPr>
            <w:t>(Hanmer, Griffiths, &amp; Jerwood, 1999)</w:t>
          </w:r>
          <w:r w:rsidRPr="00BC330B">
            <w:rPr>
              <w:rFonts w:asciiTheme="minorHAnsi" w:hAnsiTheme="minorHAnsi" w:cstheme="minorHAnsi"/>
              <w:sz w:val="22"/>
              <w:szCs w:val="22"/>
            </w:rPr>
            <w:fldChar w:fldCharType="end"/>
          </w:r>
        </w:sdtContent>
      </w:sdt>
    </w:p>
    <w:p w14:paraId="08FA76A5" w14:textId="1E62F8B4" w:rsidR="003E7172" w:rsidRPr="00BC330B" w:rsidRDefault="003E7172" w:rsidP="005256E9">
      <w:pPr>
        <w:ind w:right="237"/>
        <w:jc w:val="both"/>
        <w:rPr>
          <w:rFonts w:eastAsia="Arial"/>
          <w:color w:val="000000" w:themeColor="text1"/>
          <w:sz w:val="24"/>
          <w:szCs w:val="24"/>
        </w:rPr>
      </w:pPr>
    </w:p>
    <w:p w14:paraId="7A73D36F" w14:textId="77777777" w:rsidR="003E7172" w:rsidRPr="00BC330B" w:rsidRDefault="003E7172" w:rsidP="003E7172">
      <w:pPr>
        <w:ind w:right="237"/>
        <w:rPr>
          <w:rFonts w:asciiTheme="minorHAnsi" w:hAnsiTheme="minorHAnsi" w:cstheme="minorHAnsi"/>
          <w:sz w:val="22"/>
          <w:szCs w:val="22"/>
        </w:rPr>
      </w:pPr>
      <w:r w:rsidRPr="00BC330B">
        <w:rPr>
          <w:rFonts w:asciiTheme="minorHAnsi" w:hAnsiTheme="minorHAnsi" w:cstheme="minorHAnsi"/>
          <w:color w:val="212121"/>
          <w:sz w:val="22"/>
          <w:szCs w:val="22"/>
          <w:shd w:val="clear" w:color="auto" w:fill="FFFFFF"/>
        </w:rPr>
        <w:t xml:space="preserve">Alpher et al stated the number of offenders who are rearrested within one year after release, has almost doubled over a nine-year period </w:t>
      </w:r>
      <w:sdt>
        <w:sdtPr>
          <w:rPr>
            <w:rFonts w:asciiTheme="minorHAnsi" w:hAnsiTheme="minorHAnsi" w:cstheme="minorHAnsi"/>
            <w:i/>
            <w:iCs/>
            <w:color w:val="212121"/>
            <w:sz w:val="22"/>
            <w:szCs w:val="22"/>
            <w:shd w:val="clear" w:color="auto" w:fill="FFFFFF"/>
          </w:rPr>
          <w:id w:val="293031565"/>
          <w:citation/>
        </w:sdtPr>
        <w:sdtContent>
          <w:r w:rsidRPr="00BC330B">
            <w:rPr>
              <w:rFonts w:asciiTheme="minorHAnsi" w:hAnsiTheme="minorHAnsi" w:cstheme="minorHAnsi"/>
              <w:i/>
              <w:iCs/>
              <w:color w:val="212121"/>
              <w:sz w:val="22"/>
              <w:szCs w:val="22"/>
              <w:shd w:val="clear" w:color="auto" w:fill="FFFFFF"/>
            </w:rPr>
            <w:fldChar w:fldCharType="begin"/>
          </w:r>
          <w:r w:rsidRPr="00BC330B">
            <w:rPr>
              <w:rFonts w:asciiTheme="minorHAnsi" w:hAnsiTheme="minorHAnsi" w:cstheme="minorHAnsi"/>
              <w:i/>
              <w:iCs/>
              <w:color w:val="212121"/>
              <w:sz w:val="22"/>
              <w:szCs w:val="22"/>
              <w:shd w:val="clear" w:color="auto" w:fill="FFFFFF"/>
            </w:rPr>
            <w:instrText xml:space="preserve"> CITATION Sta19 \l 2057 </w:instrText>
          </w:r>
          <w:r w:rsidRPr="00BC330B">
            <w:rPr>
              <w:rFonts w:asciiTheme="minorHAnsi" w:hAnsiTheme="minorHAnsi" w:cstheme="minorHAnsi"/>
              <w:i/>
              <w:iCs/>
              <w:color w:val="212121"/>
              <w:sz w:val="22"/>
              <w:szCs w:val="22"/>
              <w:shd w:val="clear" w:color="auto" w:fill="FFFFFF"/>
            </w:rPr>
            <w:fldChar w:fldCharType="separate"/>
          </w:r>
          <w:r w:rsidRPr="00BC330B">
            <w:rPr>
              <w:rFonts w:asciiTheme="minorHAnsi" w:hAnsiTheme="minorHAnsi" w:cstheme="minorHAnsi"/>
              <w:i/>
              <w:iCs/>
              <w:noProof/>
              <w:color w:val="212121"/>
              <w:sz w:val="22"/>
              <w:szCs w:val="22"/>
              <w:shd w:val="clear" w:color="auto" w:fill="FFFFFF"/>
            </w:rPr>
            <w:t>(Staton, Dickson, Tillson, &amp; Webster, 2019)</w:t>
          </w:r>
          <w:r w:rsidRPr="00BC330B">
            <w:rPr>
              <w:rFonts w:asciiTheme="minorHAnsi" w:hAnsiTheme="minorHAnsi" w:cstheme="minorHAnsi"/>
              <w:i/>
              <w:iCs/>
              <w:color w:val="212121"/>
              <w:sz w:val="22"/>
              <w:szCs w:val="22"/>
              <w:shd w:val="clear" w:color="auto" w:fill="FFFFFF"/>
            </w:rPr>
            <w:fldChar w:fldCharType="end"/>
          </w:r>
        </w:sdtContent>
      </w:sdt>
      <w:r w:rsidRPr="00BC330B">
        <w:rPr>
          <w:rFonts w:asciiTheme="minorHAnsi" w:hAnsiTheme="minorHAnsi" w:cstheme="minorHAnsi"/>
          <w:i/>
          <w:iCs/>
          <w:color w:val="212121"/>
          <w:sz w:val="22"/>
          <w:szCs w:val="22"/>
          <w:shd w:val="clear" w:color="auto" w:fill="FFFFFF"/>
        </w:rPr>
        <w:t xml:space="preserve">. </w:t>
      </w:r>
      <w:r w:rsidRPr="00BC330B">
        <w:rPr>
          <w:rFonts w:asciiTheme="minorHAnsi" w:hAnsiTheme="minorHAnsi" w:cstheme="minorHAnsi"/>
          <w:color w:val="212121"/>
          <w:sz w:val="22"/>
          <w:szCs w:val="22"/>
          <w:shd w:val="clear" w:color="auto" w:fill="FFFFFF"/>
        </w:rPr>
        <w:t xml:space="preserve">This figure shows that work has to be done with offenders whilst in prison to change their behaviours and decision making. As Staton states, people who have been imprisoned and have not received treatment or intervention for challenges they faced before being imprisoned, will still have the same challenges when being released, therefore increasing their risk of recidivism </w:t>
      </w:r>
      <w:sdt>
        <w:sdtPr>
          <w:rPr>
            <w:rFonts w:asciiTheme="minorHAnsi" w:hAnsiTheme="minorHAnsi" w:cstheme="minorHAnsi"/>
            <w:color w:val="212121"/>
            <w:sz w:val="22"/>
            <w:szCs w:val="22"/>
            <w:shd w:val="clear" w:color="auto" w:fill="FFFFFF"/>
          </w:rPr>
          <w:id w:val="584585130"/>
          <w:citation/>
        </w:sdtPr>
        <w:sdtContent>
          <w:r w:rsidRPr="00BC330B">
            <w:rPr>
              <w:rFonts w:asciiTheme="minorHAnsi" w:hAnsiTheme="minorHAnsi" w:cstheme="minorHAnsi"/>
              <w:color w:val="212121"/>
              <w:sz w:val="22"/>
              <w:szCs w:val="22"/>
              <w:shd w:val="clear" w:color="auto" w:fill="FFFFFF"/>
            </w:rPr>
            <w:fldChar w:fldCharType="begin"/>
          </w:r>
          <w:r w:rsidRPr="00BC330B">
            <w:rPr>
              <w:rFonts w:asciiTheme="minorHAnsi" w:hAnsiTheme="minorHAnsi" w:cstheme="minorHAnsi"/>
              <w:color w:val="212121"/>
              <w:sz w:val="22"/>
              <w:szCs w:val="22"/>
              <w:shd w:val="clear" w:color="auto" w:fill="FFFFFF"/>
            </w:rPr>
            <w:instrText xml:space="preserve">CITATION Sta19 \n  \t  \l 2057 </w:instrText>
          </w:r>
          <w:r w:rsidRPr="00BC330B">
            <w:rPr>
              <w:rFonts w:asciiTheme="minorHAnsi" w:hAnsiTheme="minorHAnsi" w:cstheme="minorHAnsi"/>
              <w:color w:val="212121"/>
              <w:sz w:val="22"/>
              <w:szCs w:val="22"/>
              <w:shd w:val="clear" w:color="auto" w:fill="FFFFFF"/>
            </w:rPr>
            <w:fldChar w:fldCharType="separate"/>
          </w:r>
          <w:r w:rsidRPr="00BC330B">
            <w:rPr>
              <w:rFonts w:asciiTheme="minorHAnsi" w:hAnsiTheme="minorHAnsi" w:cstheme="minorHAnsi"/>
              <w:noProof/>
              <w:color w:val="212121"/>
              <w:sz w:val="22"/>
              <w:szCs w:val="22"/>
              <w:shd w:val="clear" w:color="auto" w:fill="FFFFFF"/>
            </w:rPr>
            <w:t>(2019)</w:t>
          </w:r>
          <w:r w:rsidRPr="00BC330B">
            <w:rPr>
              <w:rFonts w:asciiTheme="minorHAnsi" w:hAnsiTheme="minorHAnsi" w:cstheme="minorHAnsi"/>
              <w:color w:val="212121"/>
              <w:sz w:val="22"/>
              <w:szCs w:val="22"/>
              <w:shd w:val="clear" w:color="auto" w:fill="FFFFFF"/>
            </w:rPr>
            <w:fldChar w:fldCharType="end"/>
          </w:r>
        </w:sdtContent>
      </w:sdt>
      <w:r w:rsidRPr="00BC330B">
        <w:rPr>
          <w:rFonts w:asciiTheme="minorHAnsi" w:hAnsiTheme="minorHAnsi" w:cstheme="minorHAnsi"/>
          <w:color w:val="212121"/>
          <w:sz w:val="22"/>
          <w:szCs w:val="22"/>
          <w:shd w:val="clear" w:color="auto" w:fill="FFFFFF"/>
        </w:rPr>
        <w:t>. Hence, the requirement for understanding and targeting the reasons that people offend and changing</w:t>
      </w:r>
      <w:r w:rsidRPr="00BC330B">
        <w:rPr>
          <w:rFonts w:asciiTheme="minorHAnsi" w:hAnsiTheme="minorHAnsi" w:cstheme="minorHAnsi"/>
          <w:b/>
          <w:bCs/>
          <w:color w:val="212121"/>
          <w:sz w:val="22"/>
          <w:szCs w:val="22"/>
          <w:shd w:val="clear" w:color="auto" w:fill="FFFFFF"/>
        </w:rPr>
        <w:t xml:space="preserve"> </w:t>
      </w:r>
      <w:r w:rsidRPr="00BC330B">
        <w:rPr>
          <w:rFonts w:asciiTheme="minorHAnsi" w:hAnsiTheme="minorHAnsi" w:cstheme="minorHAnsi"/>
          <w:color w:val="212121"/>
          <w:sz w:val="22"/>
          <w:szCs w:val="22"/>
          <w:shd w:val="clear" w:color="auto" w:fill="FFFFFF"/>
        </w:rPr>
        <w:t xml:space="preserve">these challenges in a community setting and whilst in prison. </w:t>
      </w:r>
    </w:p>
    <w:p w14:paraId="48834F12" w14:textId="77777777" w:rsidR="003E7172" w:rsidRPr="00BC330B" w:rsidRDefault="003E7172" w:rsidP="003E7172">
      <w:pPr>
        <w:ind w:right="237"/>
        <w:rPr>
          <w:rFonts w:asciiTheme="minorHAnsi" w:hAnsiTheme="minorHAnsi" w:cstheme="minorHAnsi"/>
          <w:b/>
          <w:bCs/>
          <w:sz w:val="22"/>
          <w:szCs w:val="22"/>
        </w:rPr>
      </w:pPr>
    </w:p>
    <w:p w14:paraId="707D4838" w14:textId="4AEFCE7B" w:rsidR="003E7172" w:rsidRPr="00BC330B" w:rsidRDefault="003E7172" w:rsidP="003E7172">
      <w:pPr>
        <w:pStyle w:val="PlainText"/>
        <w:rPr>
          <w:rFonts w:asciiTheme="minorHAnsi" w:hAnsiTheme="minorHAnsi" w:cstheme="minorHAnsi"/>
          <w:szCs w:val="22"/>
        </w:rPr>
      </w:pPr>
      <w:r w:rsidRPr="00BC330B">
        <w:rPr>
          <w:rFonts w:asciiTheme="minorHAnsi" w:hAnsiTheme="minorHAnsi" w:cstheme="minorHAnsi"/>
          <w:szCs w:val="22"/>
        </w:rPr>
        <w:t xml:space="preserve">As Alpher et al stated in 2018 that the development of programs such as women’s Pathfinder and 18–25 early intervention would be an alternative approach to incarceration and target the root cause of offending and prevent defender from becoming a repeat offender </w:t>
      </w:r>
      <w:sdt>
        <w:sdtPr>
          <w:rPr>
            <w:rFonts w:asciiTheme="minorHAnsi" w:hAnsiTheme="minorHAnsi" w:cstheme="minorHAnsi"/>
            <w:szCs w:val="22"/>
          </w:rPr>
          <w:id w:val="-59647024"/>
          <w:citation/>
        </w:sdtPr>
        <w:sdtContent>
          <w:r w:rsidRPr="00BC330B">
            <w:rPr>
              <w:rFonts w:asciiTheme="minorHAnsi" w:hAnsiTheme="minorHAnsi" w:cstheme="minorHAnsi"/>
              <w:szCs w:val="22"/>
            </w:rPr>
            <w:fldChar w:fldCharType="begin"/>
          </w:r>
          <w:r w:rsidRPr="00BC330B">
            <w:rPr>
              <w:rFonts w:asciiTheme="minorHAnsi" w:hAnsiTheme="minorHAnsi" w:cstheme="minorHAnsi"/>
              <w:szCs w:val="22"/>
            </w:rPr>
            <w:instrText xml:space="preserve"> CITATION Sta19 \l 2057 </w:instrText>
          </w:r>
          <w:r w:rsidRPr="00BC330B">
            <w:rPr>
              <w:rFonts w:asciiTheme="minorHAnsi" w:hAnsiTheme="minorHAnsi" w:cstheme="minorHAnsi"/>
              <w:szCs w:val="22"/>
            </w:rPr>
            <w:fldChar w:fldCharType="separate"/>
          </w:r>
          <w:r w:rsidRPr="00BC330B">
            <w:rPr>
              <w:rFonts w:asciiTheme="minorHAnsi" w:hAnsiTheme="minorHAnsi" w:cstheme="minorHAnsi"/>
              <w:noProof/>
              <w:szCs w:val="22"/>
            </w:rPr>
            <w:t>(Staton, Dickson, Tillson, &amp; Webster, 2019)</w:t>
          </w:r>
          <w:r w:rsidRPr="00BC330B">
            <w:rPr>
              <w:rFonts w:asciiTheme="minorHAnsi" w:hAnsiTheme="minorHAnsi" w:cstheme="minorHAnsi"/>
              <w:szCs w:val="22"/>
            </w:rPr>
            <w:fldChar w:fldCharType="end"/>
          </w:r>
        </w:sdtContent>
      </w:sdt>
      <w:r w:rsidRPr="00BC330B">
        <w:rPr>
          <w:rFonts w:asciiTheme="minorHAnsi" w:hAnsiTheme="minorHAnsi" w:cstheme="minorHAnsi"/>
          <w:szCs w:val="22"/>
        </w:rPr>
        <w:t xml:space="preserve">. These programs have been introduced as part of out-of-court disposals and the Ministry of Justice website stated that these </w:t>
      </w:r>
      <w:r w:rsidR="00CD5A64" w:rsidRPr="00BC330B">
        <w:rPr>
          <w:rFonts w:asciiTheme="minorHAnsi" w:hAnsiTheme="minorHAnsi" w:cstheme="minorHAnsi"/>
          <w:szCs w:val="22"/>
        </w:rPr>
        <w:t>out-of-court</w:t>
      </w:r>
      <w:r w:rsidRPr="00BC330B">
        <w:rPr>
          <w:rFonts w:asciiTheme="minorHAnsi" w:hAnsiTheme="minorHAnsi" w:cstheme="minorHAnsi"/>
          <w:szCs w:val="22"/>
        </w:rPr>
        <w:t xml:space="preserve"> disposals have been around for over twenty years and have been issued on almost two millions occasions, saving the Criminal Justice system millions of pounds </w:t>
      </w:r>
      <w:sdt>
        <w:sdtPr>
          <w:rPr>
            <w:rFonts w:asciiTheme="minorHAnsi" w:hAnsiTheme="minorHAnsi" w:cstheme="minorHAnsi"/>
            <w:szCs w:val="22"/>
          </w:rPr>
          <w:id w:val="1420292542"/>
          <w:citation/>
        </w:sdtPr>
        <w:sdtContent>
          <w:r w:rsidRPr="00BC330B">
            <w:rPr>
              <w:rFonts w:asciiTheme="minorHAnsi" w:hAnsiTheme="minorHAnsi" w:cstheme="minorHAnsi"/>
              <w:szCs w:val="22"/>
            </w:rPr>
            <w:fldChar w:fldCharType="begin"/>
          </w:r>
          <w:r w:rsidRPr="00BC330B">
            <w:rPr>
              <w:rFonts w:asciiTheme="minorHAnsi" w:hAnsiTheme="minorHAnsi" w:cstheme="minorHAnsi"/>
              <w:szCs w:val="22"/>
            </w:rPr>
            <w:instrText xml:space="preserve"> CITATION God22 \l 2057 </w:instrText>
          </w:r>
          <w:r w:rsidRPr="00BC330B">
            <w:rPr>
              <w:rFonts w:asciiTheme="minorHAnsi" w:hAnsiTheme="minorHAnsi" w:cstheme="minorHAnsi"/>
              <w:szCs w:val="22"/>
            </w:rPr>
            <w:fldChar w:fldCharType="separate"/>
          </w:r>
          <w:r w:rsidRPr="00BC330B">
            <w:rPr>
              <w:rFonts w:asciiTheme="minorHAnsi" w:hAnsiTheme="minorHAnsi" w:cstheme="minorHAnsi"/>
              <w:noProof/>
              <w:szCs w:val="22"/>
            </w:rPr>
            <w:t>(Godfrey, Richardson, &amp; Walklate, 2022)</w:t>
          </w:r>
          <w:r w:rsidRPr="00BC330B">
            <w:rPr>
              <w:rFonts w:asciiTheme="minorHAnsi" w:hAnsiTheme="minorHAnsi" w:cstheme="minorHAnsi"/>
              <w:szCs w:val="22"/>
            </w:rPr>
            <w:fldChar w:fldCharType="end"/>
          </w:r>
        </w:sdtContent>
      </w:sdt>
      <w:r w:rsidRPr="00BC330B">
        <w:rPr>
          <w:rFonts w:asciiTheme="minorHAnsi" w:hAnsiTheme="minorHAnsi" w:cstheme="minorHAnsi"/>
          <w:szCs w:val="22"/>
        </w:rPr>
        <w:t xml:space="preserve">. </w:t>
      </w:r>
    </w:p>
    <w:p w14:paraId="11486EA7" w14:textId="77777777" w:rsidR="003E7172" w:rsidRPr="00BC330B" w:rsidRDefault="003E7172" w:rsidP="003E7172">
      <w:pPr>
        <w:pStyle w:val="PlainText"/>
        <w:rPr>
          <w:rFonts w:asciiTheme="minorHAnsi" w:hAnsiTheme="minorHAnsi" w:cstheme="minorHAnsi"/>
          <w:szCs w:val="22"/>
        </w:rPr>
      </w:pPr>
    </w:p>
    <w:p w14:paraId="22C9BC22" w14:textId="5AEF1E75" w:rsidR="003E7172" w:rsidRPr="00BC330B" w:rsidRDefault="003E7172" w:rsidP="003E7172">
      <w:pPr>
        <w:pStyle w:val="PlainText"/>
        <w:rPr>
          <w:rFonts w:asciiTheme="minorHAnsi" w:hAnsiTheme="minorHAnsi" w:cstheme="minorHAnsi"/>
          <w:szCs w:val="22"/>
        </w:rPr>
      </w:pPr>
      <w:r w:rsidRPr="00BC330B">
        <w:rPr>
          <w:rFonts w:asciiTheme="minorHAnsi" w:hAnsiTheme="minorHAnsi" w:cstheme="minorHAnsi"/>
          <w:szCs w:val="22"/>
        </w:rPr>
        <w:t xml:space="preserve">The </w:t>
      </w:r>
      <w:r w:rsidR="00CD5A64" w:rsidRPr="00BC330B">
        <w:rPr>
          <w:rFonts w:asciiTheme="minorHAnsi" w:hAnsiTheme="minorHAnsi" w:cstheme="minorHAnsi"/>
          <w:szCs w:val="22"/>
        </w:rPr>
        <w:t>out-of-court</w:t>
      </w:r>
      <w:r w:rsidRPr="00BC330B">
        <w:rPr>
          <w:rFonts w:asciiTheme="minorHAnsi" w:hAnsiTheme="minorHAnsi" w:cstheme="minorHAnsi"/>
          <w:szCs w:val="22"/>
        </w:rPr>
        <w:t xml:space="preserve"> disposal is a tool to be used, when an offender has accepted responsibility for the offence they committed and will attend a relevant course to the offence. These programs are designed to have the victims voice heard, give the offender the chance to rehabilitate and allow reparation to be delivered </w:t>
      </w:r>
      <w:sdt>
        <w:sdtPr>
          <w:rPr>
            <w:rFonts w:asciiTheme="minorHAnsi" w:hAnsiTheme="minorHAnsi" w:cstheme="minorHAnsi"/>
            <w:szCs w:val="22"/>
          </w:rPr>
          <w:id w:val="1936702115"/>
          <w:citation/>
        </w:sdtPr>
        <w:sdtContent>
          <w:r w:rsidRPr="00BC330B">
            <w:rPr>
              <w:rFonts w:asciiTheme="minorHAnsi" w:hAnsiTheme="minorHAnsi" w:cstheme="minorHAnsi"/>
              <w:szCs w:val="22"/>
            </w:rPr>
            <w:fldChar w:fldCharType="begin"/>
          </w:r>
          <w:r w:rsidRPr="00BC330B">
            <w:rPr>
              <w:rFonts w:asciiTheme="minorHAnsi" w:hAnsiTheme="minorHAnsi" w:cstheme="minorHAnsi"/>
              <w:szCs w:val="22"/>
            </w:rPr>
            <w:instrText xml:space="preserve"> CITATION Wal20 \l 2057 </w:instrText>
          </w:r>
          <w:r w:rsidRPr="00BC330B">
            <w:rPr>
              <w:rFonts w:asciiTheme="minorHAnsi" w:hAnsiTheme="minorHAnsi" w:cstheme="minorHAnsi"/>
              <w:szCs w:val="22"/>
            </w:rPr>
            <w:fldChar w:fldCharType="separate"/>
          </w:r>
          <w:r w:rsidRPr="00BC330B">
            <w:rPr>
              <w:rFonts w:asciiTheme="minorHAnsi" w:hAnsiTheme="minorHAnsi" w:cstheme="minorHAnsi"/>
              <w:noProof/>
              <w:szCs w:val="22"/>
            </w:rPr>
            <w:t>(Walters, 2020)</w:t>
          </w:r>
          <w:r w:rsidRPr="00BC330B">
            <w:rPr>
              <w:rFonts w:asciiTheme="minorHAnsi" w:hAnsiTheme="minorHAnsi" w:cstheme="minorHAnsi"/>
              <w:szCs w:val="22"/>
            </w:rPr>
            <w:fldChar w:fldCharType="end"/>
          </w:r>
        </w:sdtContent>
      </w:sdt>
      <w:r w:rsidRPr="00BC330B">
        <w:rPr>
          <w:rFonts w:asciiTheme="minorHAnsi" w:hAnsiTheme="minorHAnsi" w:cstheme="minorHAnsi"/>
          <w:szCs w:val="22"/>
        </w:rPr>
        <w:t xml:space="preserve">. However, there is a requisite that there has to be a full admission by the offender and the victim be willing to be involved. </w:t>
      </w:r>
    </w:p>
    <w:p w14:paraId="3043386C" w14:textId="51BB551F" w:rsidR="003E7172" w:rsidRPr="00BC330B" w:rsidRDefault="003E7172" w:rsidP="003E7172">
      <w:pPr>
        <w:pStyle w:val="PlainText"/>
        <w:rPr>
          <w:rFonts w:asciiTheme="minorHAnsi" w:hAnsiTheme="minorHAnsi" w:cstheme="minorHAnsi"/>
          <w:szCs w:val="22"/>
        </w:rPr>
      </w:pPr>
      <w:r w:rsidRPr="00BC330B">
        <w:rPr>
          <w:rFonts w:asciiTheme="minorHAnsi" w:hAnsiTheme="minorHAnsi" w:cstheme="minorHAnsi"/>
          <w:szCs w:val="22"/>
        </w:rPr>
        <w:t>With these out-of-court disposals, there are two options: community resolution and conditional caution. With the community resolution there has to be no previous offending history, the victim does not want any formal action taken, and the offender has to attend at a course relevant to the offence i.e., drug or alcohol workshops</w:t>
      </w:r>
      <w:r w:rsidR="00CD5A64" w:rsidRPr="00BC330B">
        <w:rPr>
          <w:rFonts w:asciiTheme="minorHAnsi" w:hAnsiTheme="minorHAnsi" w:cstheme="minorHAnsi"/>
          <w:szCs w:val="22"/>
        </w:rPr>
        <w:t>,</w:t>
      </w:r>
      <w:r w:rsidRPr="00BC330B">
        <w:rPr>
          <w:rFonts w:asciiTheme="minorHAnsi" w:hAnsiTheme="minorHAnsi" w:cstheme="minorHAnsi"/>
          <w:szCs w:val="22"/>
        </w:rPr>
        <w:t xml:space="preserve"> women’s </w:t>
      </w:r>
      <w:r w:rsidR="00CD5A64" w:rsidRPr="00BC330B">
        <w:rPr>
          <w:rFonts w:asciiTheme="minorHAnsi" w:hAnsiTheme="minorHAnsi" w:cstheme="minorHAnsi"/>
          <w:szCs w:val="22"/>
        </w:rPr>
        <w:t>pathfinder</w:t>
      </w:r>
      <w:r w:rsidRPr="00BC330B">
        <w:rPr>
          <w:rFonts w:asciiTheme="minorHAnsi" w:hAnsiTheme="minorHAnsi" w:cstheme="minorHAnsi"/>
          <w:szCs w:val="22"/>
        </w:rPr>
        <w:t xml:space="preserve"> </w:t>
      </w:r>
      <w:r w:rsidR="00CD5A64" w:rsidRPr="00BC330B">
        <w:rPr>
          <w:rFonts w:asciiTheme="minorHAnsi" w:hAnsiTheme="minorHAnsi" w:cstheme="minorHAnsi"/>
          <w:szCs w:val="22"/>
        </w:rPr>
        <w:t>or</w:t>
      </w:r>
      <w:r w:rsidRPr="00BC330B">
        <w:rPr>
          <w:rFonts w:asciiTheme="minorHAnsi" w:hAnsiTheme="minorHAnsi" w:cstheme="minorHAnsi"/>
          <w:szCs w:val="22"/>
        </w:rPr>
        <w:t xml:space="preserve"> gambling anonymous. </w:t>
      </w:r>
    </w:p>
    <w:p w14:paraId="1DD8596F" w14:textId="77777777" w:rsidR="003E7172" w:rsidRPr="00BC330B" w:rsidRDefault="003E7172" w:rsidP="003E7172">
      <w:pPr>
        <w:pStyle w:val="PlainText"/>
        <w:rPr>
          <w:rFonts w:asciiTheme="minorHAnsi" w:hAnsiTheme="minorHAnsi" w:cstheme="minorHAnsi"/>
          <w:szCs w:val="22"/>
        </w:rPr>
      </w:pPr>
    </w:p>
    <w:p w14:paraId="0FEBB4C5" w14:textId="1ABD5AC9" w:rsidR="003E7172" w:rsidRPr="00BC330B" w:rsidRDefault="003E7172" w:rsidP="003E7172">
      <w:pPr>
        <w:pStyle w:val="PlainText"/>
        <w:rPr>
          <w:rFonts w:asciiTheme="minorHAnsi" w:hAnsiTheme="minorHAnsi" w:cstheme="minorHAnsi"/>
          <w:szCs w:val="22"/>
        </w:rPr>
      </w:pPr>
      <w:r w:rsidRPr="00BC330B">
        <w:rPr>
          <w:rFonts w:asciiTheme="minorHAnsi" w:hAnsiTheme="minorHAnsi" w:cstheme="minorHAnsi"/>
          <w:szCs w:val="22"/>
        </w:rPr>
        <w:t>With a conditional caution, it is very similar to a community resolution, whereas the offender has to attend the course relevant to the offence</w:t>
      </w:r>
      <w:r w:rsidR="00CD5A64" w:rsidRPr="00BC330B">
        <w:rPr>
          <w:rFonts w:asciiTheme="minorHAnsi" w:hAnsiTheme="minorHAnsi" w:cstheme="minorHAnsi"/>
          <w:szCs w:val="22"/>
        </w:rPr>
        <w:t>,</w:t>
      </w:r>
      <w:r w:rsidRPr="00BC330B">
        <w:rPr>
          <w:rFonts w:asciiTheme="minorHAnsi" w:hAnsiTheme="minorHAnsi" w:cstheme="minorHAnsi"/>
          <w:szCs w:val="22"/>
        </w:rPr>
        <w:t xml:space="preserve"> however this will form part of their criminal history and the offender must accept responsibility for the offence. </w:t>
      </w:r>
    </w:p>
    <w:p w14:paraId="60829AF1" w14:textId="0EE156F6" w:rsidR="003E7172" w:rsidRPr="00BC330B" w:rsidRDefault="003E7172" w:rsidP="003E7172">
      <w:pPr>
        <w:pStyle w:val="PlainText"/>
        <w:rPr>
          <w:rFonts w:asciiTheme="minorHAnsi" w:hAnsiTheme="minorHAnsi" w:cstheme="minorHAnsi"/>
          <w:szCs w:val="22"/>
        </w:rPr>
      </w:pPr>
      <w:r w:rsidRPr="00BC330B">
        <w:rPr>
          <w:rFonts w:asciiTheme="minorHAnsi" w:hAnsiTheme="minorHAnsi" w:cstheme="minorHAnsi"/>
          <w:szCs w:val="22"/>
        </w:rPr>
        <w:t xml:space="preserve">These out-of-court disposals can be seen as a positive course of action as it reduces the number of offenders going through the penal system </w:t>
      </w:r>
      <w:sdt>
        <w:sdtPr>
          <w:rPr>
            <w:rFonts w:asciiTheme="minorHAnsi" w:hAnsiTheme="minorHAnsi" w:cstheme="minorHAnsi"/>
            <w:szCs w:val="22"/>
          </w:rPr>
          <w:id w:val="1337962684"/>
          <w:citation/>
        </w:sdtPr>
        <w:sdtContent>
          <w:r w:rsidRPr="00BC330B">
            <w:rPr>
              <w:rFonts w:asciiTheme="minorHAnsi" w:hAnsiTheme="minorHAnsi" w:cstheme="minorHAnsi"/>
              <w:szCs w:val="22"/>
            </w:rPr>
            <w:fldChar w:fldCharType="begin"/>
          </w:r>
          <w:r w:rsidRPr="00BC330B">
            <w:rPr>
              <w:rFonts w:asciiTheme="minorHAnsi" w:hAnsiTheme="minorHAnsi" w:cstheme="minorHAnsi"/>
              <w:szCs w:val="22"/>
            </w:rPr>
            <w:instrText xml:space="preserve"> CITATION God22 \l 2057 </w:instrText>
          </w:r>
          <w:r w:rsidRPr="00BC330B">
            <w:rPr>
              <w:rFonts w:asciiTheme="minorHAnsi" w:hAnsiTheme="minorHAnsi" w:cstheme="minorHAnsi"/>
              <w:szCs w:val="22"/>
            </w:rPr>
            <w:fldChar w:fldCharType="separate"/>
          </w:r>
          <w:r w:rsidRPr="00BC330B">
            <w:rPr>
              <w:rFonts w:asciiTheme="minorHAnsi" w:hAnsiTheme="minorHAnsi" w:cstheme="minorHAnsi"/>
              <w:noProof/>
              <w:szCs w:val="22"/>
            </w:rPr>
            <w:t>(Godfrey, Richardson, &amp; Walklate, 2022)</w:t>
          </w:r>
          <w:r w:rsidRPr="00BC330B">
            <w:rPr>
              <w:rFonts w:asciiTheme="minorHAnsi" w:hAnsiTheme="minorHAnsi" w:cstheme="minorHAnsi"/>
              <w:szCs w:val="22"/>
            </w:rPr>
            <w:fldChar w:fldCharType="end"/>
          </w:r>
        </w:sdtContent>
      </w:sdt>
      <w:r w:rsidRPr="00BC330B">
        <w:rPr>
          <w:rFonts w:asciiTheme="minorHAnsi" w:hAnsiTheme="minorHAnsi" w:cstheme="minorHAnsi"/>
          <w:szCs w:val="22"/>
        </w:rPr>
        <w:t xml:space="preserve"> however, if the offender does not attend a</w:t>
      </w:r>
      <w:r w:rsidR="001C2FBF" w:rsidRPr="00BC330B">
        <w:rPr>
          <w:rFonts w:asciiTheme="minorHAnsi" w:hAnsiTheme="minorHAnsi" w:cstheme="minorHAnsi"/>
          <w:szCs w:val="22"/>
        </w:rPr>
        <w:t xml:space="preserve"> </w:t>
      </w:r>
      <w:r w:rsidRPr="00BC330B">
        <w:rPr>
          <w:rFonts w:asciiTheme="minorHAnsi" w:hAnsiTheme="minorHAnsi" w:cstheme="minorHAnsi"/>
          <w:szCs w:val="22"/>
        </w:rPr>
        <w:t xml:space="preserve">course within a certain timeframe, then the offender can be prosecuted for the original offence. This can result in double the amount of money being spent, the victim believing that the incident has been resolved and then having to be informed that the offender has not attended at the course and will be prosecuted for the original offence. </w:t>
      </w:r>
    </w:p>
    <w:p w14:paraId="0D7F044B" w14:textId="77777777" w:rsidR="003E7172" w:rsidRPr="00BC330B" w:rsidRDefault="003E7172" w:rsidP="003E7172">
      <w:pPr>
        <w:pStyle w:val="PlainText"/>
        <w:rPr>
          <w:rFonts w:asciiTheme="minorHAnsi" w:hAnsiTheme="minorHAnsi" w:cstheme="minorHAnsi"/>
          <w:szCs w:val="22"/>
        </w:rPr>
      </w:pPr>
    </w:p>
    <w:p w14:paraId="5CD46492" w14:textId="75D1E65E" w:rsidR="003E7172" w:rsidRPr="00B30D47" w:rsidRDefault="003E7172" w:rsidP="003E7172">
      <w:pPr>
        <w:ind w:right="237"/>
        <w:rPr>
          <w:rFonts w:asciiTheme="minorHAnsi" w:hAnsiTheme="minorHAnsi" w:cstheme="minorHAnsi"/>
          <w:color w:val="212121"/>
          <w:sz w:val="22"/>
          <w:szCs w:val="22"/>
          <w:shd w:val="clear" w:color="auto" w:fill="FFFFFF"/>
        </w:rPr>
      </w:pPr>
      <w:r w:rsidRPr="00BC330B">
        <w:rPr>
          <w:rFonts w:asciiTheme="minorHAnsi" w:hAnsiTheme="minorHAnsi" w:cstheme="minorHAnsi"/>
          <w:color w:val="212121"/>
          <w:sz w:val="22"/>
          <w:szCs w:val="22"/>
          <w:shd w:val="clear" w:color="auto" w:fill="FFFFFF"/>
        </w:rPr>
        <w:t>As stated above regarding changing an offender’s behaviours and choices</w:t>
      </w:r>
      <w:r w:rsidR="001C2FBF" w:rsidRPr="00BC330B">
        <w:rPr>
          <w:rFonts w:asciiTheme="minorHAnsi" w:hAnsiTheme="minorHAnsi" w:cstheme="minorHAnsi"/>
          <w:color w:val="212121"/>
          <w:sz w:val="22"/>
          <w:szCs w:val="22"/>
          <w:shd w:val="clear" w:color="auto" w:fill="FFFFFF"/>
        </w:rPr>
        <w:t>,</w:t>
      </w:r>
      <w:r w:rsidRPr="00BC330B">
        <w:rPr>
          <w:rFonts w:asciiTheme="minorHAnsi" w:hAnsiTheme="minorHAnsi" w:cstheme="minorHAnsi"/>
          <w:color w:val="212121"/>
          <w:sz w:val="22"/>
          <w:szCs w:val="22"/>
          <w:shd w:val="clear" w:color="auto" w:fill="FFFFFF"/>
        </w:rPr>
        <w:t xml:space="preserve"> before being released back into society, it could also be said that the community that the offender is released into has to change as well, as no matter how much rehabilitation is done, if the offender is going back into the same situation and the same incentives are there to commit crime, the offender is going to commit the crime again.</w:t>
      </w:r>
      <w:r>
        <w:rPr>
          <w:rFonts w:asciiTheme="minorHAnsi" w:hAnsiTheme="minorHAnsi" w:cstheme="minorHAnsi"/>
          <w:color w:val="212121"/>
          <w:sz w:val="22"/>
          <w:szCs w:val="22"/>
          <w:shd w:val="clear" w:color="auto" w:fill="FFFFFF"/>
        </w:rPr>
        <w:t xml:space="preserve">  </w:t>
      </w:r>
    </w:p>
    <w:p w14:paraId="762D8526" w14:textId="61930218" w:rsidR="003E7172" w:rsidRDefault="003E7172" w:rsidP="005256E9">
      <w:pPr>
        <w:ind w:right="237"/>
        <w:jc w:val="both"/>
        <w:rPr>
          <w:rFonts w:eastAsia="Arial"/>
          <w:color w:val="000000" w:themeColor="text1"/>
          <w:sz w:val="24"/>
          <w:szCs w:val="24"/>
        </w:rPr>
      </w:pPr>
    </w:p>
    <w:p w14:paraId="7C7EA7F3" w14:textId="77777777" w:rsidR="003E7172" w:rsidRPr="003C6759" w:rsidRDefault="003E7172" w:rsidP="003E7172">
      <w:pPr>
        <w:pStyle w:val="PlainText"/>
        <w:rPr>
          <w:rFonts w:asciiTheme="minorHAnsi" w:hAnsiTheme="minorHAnsi" w:cstheme="minorHAnsi"/>
          <w:b/>
          <w:bCs/>
          <w:szCs w:val="22"/>
        </w:rPr>
      </w:pPr>
      <w:r w:rsidRPr="003C6759">
        <w:rPr>
          <w:rFonts w:asciiTheme="minorHAnsi" w:hAnsiTheme="minorHAnsi" w:cstheme="minorHAnsi"/>
          <w:b/>
          <w:bCs/>
          <w:szCs w:val="22"/>
        </w:rPr>
        <w:t>Conclusion plan</w:t>
      </w:r>
    </w:p>
    <w:p w14:paraId="21FE1149" w14:textId="77777777" w:rsidR="003E7172" w:rsidRDefault="003E7172" w:rsidP="003E7172">
      <w:pPr>
        <w:pStyle w:val="PlainText"/>
        <w:rPr>
          <w:rFonts w:asciiTheme="minorHAnsi" w:hAnsiTheme="minorHAnsi" w:cstheme="minorHAnsi"/>
          <w:szCs w:val="22"/>
        </w:rPr>
      </w:pPr>
      <w:r w:rsidRPr="00B30D47">
        <w:rPr>
          <w:rFonts w:asciiTheme="minorHAnsi" w:hAnsiTheme="minorHAnsi" w:cstheme="minorHAnsi"/>
          <w:szCs w:val="22"/>
        </w:rPr>
        <w:t xml:space="preserve">Summary of positives of different approaches – negatives of different approaches – </w:t>
      </w:r>
    </w:p>
    <w:p w14:paraId="2AE9E8AD" w14:textId="21E65E2B" w:rsidR="003E7172" w:rsidRPr="00B30D47" w:rsidRDefault="003E7172" w:rsidP="003E7172">
      <w:pPr>
        <w:pStyle w:val="PlainText"/>
        <w:rPr>
          <w:rFonts w:asciiTheme="minorHAnsi" w:hAnsiTheme="minorHAnsi" w:cstheme="minorHAnsi"/>
          <w:szCs w:val="22"/>
        </w:rPr>
      </w:pPr>
      <w:r w:rsidRPr="00B30D47">
        <w:rPr>
          <w:rFonts w:asciiTheme="minorHAnsi" w:hAnsiTheme="minorHAnsi" w:cstheme="minorHAnsi"/>
          <w:szCs w:val="22"/>
        </w:rPr>
        <w:t xml:space="preserve">summary of what works in tackling </w:t>
      </w:r>
      <w:r w:rsidR="00145A28">
        <w:rPr>
          <w:rFonts w:asciiTheme="minorHAnsi" w:hAnsiTheme="minorHAnsi" w:cstheme="minorHAnsi"/>
          <w:szCs w:val="22"/>
        </w:rPr>
        <w:t xml:space="preserve">Repeat </w:t>
      </w:r>
      <w:r w:rsidRPr="00B30D47">
        <w:rPr>
          <w:rFonts w:asciiTheme="minorHAnsi" w:hAnsiTheme="minorHAnsi" w:cstheme="minorHAnsi"/>
          <w:szCs w:val="22"/>
        </w:rPr>
        <w:t>V</w:t>
      </w:r>
      <w:r w:rsidR="00145A28">
        <w:rPr>
          <w:rFonts w:asciiTheme="minorHAnsi" w:hAnsiTheme="minorHAnsi" w:cstheme="minorHAnsi"/>
          <w:szCs w:val="22"/>
        </w:rPr>
        <w:t>ictimisation and</w:t>
      </w:r>
      <w:r w:rsidRPr="00B30D47">
        <w:rPr>
          <w:rFonts w:asciiTheme="minorHAnsi" w:hAnsiTheme="minorHAnsi" w:cstheme="minorHAnsi"/>
          <w:szCs w:val="22"/>
        </w:rPr>
        <w:t xml:space="preserve"> R</w:t>
      </w:r>
      <w:r w:rsidR="00145A28">
        <w:rPr>
          <w:rFonts w:asciiTheme="minorHAnsi" w:hAnsiTheme="minorHAnsi" w:cstheme="minorHAnsi"/>
          <w:szCs w:val="22"/>
        </w:rPr>
        <w:t xml:space="preserve">epeat </w:t>
      </w:r>
      <w:r w:rsidRPr="00B30D47">
        <w:rPr>
          <w:rFonts w:asciiTheme="minorHAnsi" w:hAnsiTheme="minorHAnsi" w:cstheme="minorHAnsi"/>
          <w:szCs w:val="22"/>
        </w:rPr>
        <w:t>O</w:t>
      </w:r>
      <w:r w:rsidR="00145A28">
        <w:rPr>
          <w:rFonts w:asciiTheme="minorHAnsi" w:hAnsiTheme="minorHAnsi" w:cstheme="minorHAnsi"/>
          <w:szCs w:val="22"/>
        </w:rPr>
        <w:t>ffending</w:t>
      </w:r>
      <w:r w:rsidRPr="00B30D47">
        <w:rPr>
          <w:rFonts w:asciiTheme="minorHAnsi" w:hAnsiTheme="minorHAnsi" w:cstheme="minorHAnsi"/>
          <w:szCs w:val="22"/>
        </w:rPr>
        <w:t xml:space="preserve"> </w:t>
      </w:r>
    </w:p>
    <w:p w14:paraId="5FC42C1B" w14:textId="470A9D5C" w:rsidR="003E7172" w:rsidRDefault="003E7172" w:rsidP="005256E9">
      <w:pPr>
        <w:ind w:right="237"/>
        <w:jc w:val="both"/>
        <w:rPr>
          <w:rFonts w:eastAsia="Arial"/>
          <w:color w:val="000000" w:themeColor="text1"/>
          <w:sz w:val="24"/>
          <w:szCs w:val="24"/>
        </w:rPr>
      </w:pPr>
    </w:p>
    <w:p w14:paraId="7D43AF08" w14:textId="289EB33A" w:rsidR="00BC330B" w:rsidRDefault="00BC330B" w:rsidP="005256E9">
      <w:pPr>
        <w:ind w:right="237"/>
        <w:jc w:val="both"/>
        <w:rPr>
          <w:rFonts w:eastAsia="Arial"/>
          <w:color w:val="000000" w:themeColor="text1"/>
          <w:sz w:val="24"/>
          <w:szCs w:val="24"/>
        </w:rPr>
      </w:pPr>
    </w:p>
    <w:p w14:paraId="6B4E9282" w14:textId="7A97B70F" w:rsidR="00BC330B" w:rsidRPr="00E676F7" w:rsidRDefault="00BC330B" w:rsidP="005256E9">
      <w:pPr>
        <w:ind w:right="237"/>
        <w:jc w:val="both"/>
        <w:rPr>
          <w:rFonts w:eastAsia="Arial"/>
          <w:color w:val="000000" w:themeColor="text1"/>
          <w:sz w:val="24"/>
          <w:szCs w:val="24"/>
        </w:rPr>
      </w:pPr>
      <w:r>
        <w:rPr>
          <w:rFonts w:eastAsia="Arial"/>
          <w:color w:val="000000" w:themeColor="text1"/>
          <w:sz w:val="24"/>
          <w:szCs w:val="24"/>
        </w:rPr>
        <w:t>Word count – 20</w:t>
      </w:r>
      <w:r w:rsidR="00145A28">
        <w:rPr>
          <w:rFonts w:eastAsia="Arial"/>
          <w:color w:val="000000" w:themeColor="text1"/>
          <w:sz w:val="24"/>
          <w:szCs w:val="24"/>
        </w:rPr>
        <w:t>79</w:t>
      </w: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059C9161" w:rsidR="0FF883D4" w:rsidRDefault="0FF883D4" w:rsidP="5CE196A1">
      <w:pPr>
        <w:ind w:right="237"/>
        <w:jc w:val="both"/>
        <w:rPr>
          <w:color w:val="000000" w:themeColor="text1"/>
          <w:sz w:val="24"/>
          <w:szCs w:val="24"/>
        </w:rPr>
      </w:pPr>
    </w:p>
    <w:p w14:paraId="6281F51A" w14:textId="2EA4CF7F" w:rsidR="003828C9" w:rsidRDefault="003828C9" w:rsidP="5CE196A1">
      <w:pPr>
        <w:ind w:right="237"/>
        <w:jc w:val="both"/>
        <w:rPr>
          <w:color w:val="000000" w:themeColor="text1"/>
          <w:sz w:val="24"/>
          <w:szCs w:val="24"/>
        </w:rPr>
      </w:pPr>
    </w:p>
    <w:p w14:paraId="03B907F1" w14:textId="6C7262FE" w:rsidR="003828C9" w:rsidRDefault="003828C9" w:rsidP="5CE196A1">
      <w:pPr>
        <w:ind w:right="237"/>
        <w:jc w:val="both"/>
        <w:rPr>
          <w:color w:val="000000" w:themeColor="text1"/>
          <w:sz w:val="24"/>
          <w:szCs w:val="24"/>
        </w:rPr>
      </w:pPr>
    </w:p>
    <w:p w14:paraId="7B4C9E2F" w14:textId="455D7147" w:rsidR="003828C9" w:rsidRDefault="003828C9" w:rsidP="5CE196A1">
      <w:pPr>
        <w:ind w:right="237"/>
        <w:jc w:val="both"/>
        <w:rPr>
          <w:color w:val="000000" w:themeColor="text1"/>
          <w:sz w:val="24"/>
          <w:szCs w:val="24"/>
        </w:rPr>
      </w:pPr>
    </w:p>
    <w:p w14:paraId="2CCF828B" w14:textId="2FCFC87E" w:rsidR="003828C9" w:rsidRDefault="003828C9" w:rsidP="5CE196A1">
      <w:pPr>
        <w:ind w:right="237"/>
        <w:jc w:val="both"/>
        <w:rPr>
          <w:color w:val="000000" w:themeColor="text1"/>
          <w:sz w:val="24"/>
          <w:szCs w:val="24"/>
        </w:rPr>
      </w:pPr>
    </w:p>
    <w:p w14:paraId="514B53E0" w14:textId="51DDAADD" w:rsidR="003828C9" w:rsidRDefault="003828C9" w:rsidP="5CE196A1">
      <w:pPr>
        <w:ind w:right="237"/>
        <w:jc w:val="both"/>
        <w:rPr>
          <w:color w:val="000000" w:themeColor="text1"/>
          <w:sz w:val="24"/>
          <w:szCs w:val="24"/>
        </w:rPr>
      </w:pPr>
    </w:p>
    <w:p w14:paraId="3FF0CF1B" w14:textId="14460B17" w:rsidR="003828C9" w:rsidRDefault="003828C9" w:rsidP="5CE196A1">
      <w:pPr>
        <w:ind w:right="237"/>
        <w:jc w:val="both"/>
        <w:rPr>
          <w:color w:val="000000" w:themeColor="text1"/>
          <w:sz w:val="24"/>
          <w:szCs w:val="24"/>
        </w:rPr>
      </w:pPr>
    </w:p>
    <w:p w14:paraId="5E242162" w14:textId="2B219700" w:rsidR="003828C9" w:rsidRDefault="003828C9" w:rsidP="5CE196A1">
      <w:pPr>
        <w:ind w:right="237"/>
        <w:jc w:val="both"/>
        <w:rPr>
          <w:color w:val="000000" w:themeColor="text1"/>
          <w:sz w:val="24"/>
          <w:szCs w:val="24"/>
        </w:rPr>
      </w:pPr>
    </w:p>
    <w:p w14:paraId="42AAB224" w14:textId="2980F26F" w:rsidR="003828C9" w:rsidRDefault="003828C9" w:rsidP="5CE196A1">
      <w:pPr>
        <w:ind w:right="237"/>
        <w:jc w:val="both"/>
        <w:rPr>
          <w:color w:val="000000" w:themeColor="text1"/>
          <w:sz w:val="24"/>
          <w:szCs w:val="24"/>
        </w:rPr>
      </w:pPr>
    </w:p>
    <w:p w14:paraId="52E1609E" w14:textId="2B447480" w:rsidR="003828C9" w:rsidRDefault="003828C9" w:rsidP="5CE196A1">
      <w:pPr>
        <w:ind w:right="237"/>
        <w:jc w:val="both"/>
        <w:rPr>
          <w:color w:val="000000" w:themeColor="text1"/>
          <w:sz w:val="24"/>
          <w:szCs w:val="24"/>
        </w:rPr>
      </w:pPr>
    </w:p>
    <w:p w14:paraId="7C3629F0" w14:textId="44F3DB6A" w:rsidR="003828C9" w:rsidRDefault="003828C9" w:rsidP="5CE196A1">
      <w:pPr>
        <w:ind w:right="237"/>
        <w:jc w:val="both"/>
        <w:rPr>
          <w:color w:val="000000" w:themeColor="text1"/>
          <w:sz w:val="24"/>
          <w:szCs w:val="24"/>
        </w:rPr>
      </w:pPr>
    </w:p>
    <w:p w14:paraId="5A355BD4" w14:textId="4C10CA8D" w:rsidR="003828C9" w:rsidRDefault="003828C9" w:rsidP="5CE196A1">
      <w:pPr>
        <w:ind w:right="237"/>
        <w:jc w:val="both"/>
        <w:rPr>
          <w:color w:val="000000" w:themeColor="text1"/>
          <w:sz w:val="24"/>
          <w:szCs w:val="24"/>
        </w:rPr>
      </w:pPr>
    </w:p>
    <w:p w14:paraId="3B376AB3" w14:textId="580528F2" w:rsidR="003828C9" w:rsidRDefault="003828C9" w:rsidP="5CE196A1">
      <w:pPr>
        <w:ind w:right="237"/>
        <w:jc w:val="both"/>
        <w:rPr>
          <w:color w:val="000000" w:themeColor="text1"/>
          <w:sz w:val="24"/>
          <w:szCs w:val="24"/>
        </w:rPr>
      </w:pPr>
    </w:p>
    <w:p w14:paraId="5900B689" w14:textId="0B6791D2" w:rsidR="003828C9" w:rsidRDefault="003828C9" w:rsidP="5CE196A1">
      <w:pPr>
        <w:ind w:right="237"/>
        <w:jc w:val="both"/>
        <w:rPr>
          <w:color w:val="000000" w:themeColor="text1"/>
          <w:sz w:val="24"/>
          <w:szCs w:val="24"/>
        </w:rPr>
      </w:pPr>
    </w:p>
    <w:p w14:paraId="1F51D5EB" w14:textId="21886DCB" w:rsidR="003828C9" w:rsidRDefault="003828C9" w:rsidP="5CE196A1">
      <w:pPr>
        <w:ind w:right="237"/>
        <w:jc w:val="both"/>
        <w:rPr>
          <w:color w:val="000000" w:themeColor="text1"/>
          <w:sz w:val="24"/>
          <w:szCs w:val="24"/>
        </w:rPr>
      </w:pPr>
    </w:p>
    <w:p w14:paraId="09E8BAEC" w14:textId="4057AFB9" w:rsidR="003828C9" w:rsidRDefault="003828C9" w:rsidP="5CE196A1">
      <w:pPr>
        <w:ind w:right="237"/>
        <w:jc w:val="both"/>
        <w:rPr>
          <w:color w:val="000000" w:themeColor="text1"/>
          <w:sz w:val="24"/>
          <w:szCs w:val="24"/>
        </w:rPr>
      </w:pPr>
    </w:p>
    <w:p w14:paraId="7EFD2AB0" w14:textId="515BA403" w:rsidR="003828C9" w:rsidRDefault="003828C9" w:rsidP="5CE196A1">
      <w:pPr>
        <w:ind w:right="237"/>
        <w:jc w:val="both"/>
        <w:rPr>
          <w:color w:val="000000" w:themeColor="text1"/>
          <w:sz w:val="24"/>
          <w:szCs w:val="24"/>
        </w:rPr>
      </w:pPr>
    </w:p>
    <w:p w14:paraId="43AFED84" w14:textId="4F37C668" w:rsidR="003828C9" w:rsidRDefault="003828C9" w:rsidP="5CE196A1">
      <w:pPr>
        <w:ind w:right="237"/>
        <w:jc w:val="both"/>
        <w:rPr>
          <w:color w:val="000000" w:themeColor="text1"/>
          <w:sz w:val="24"/>
          <w:szCs w:val="24"/>
        </w:rPr>
      </w:pPr>
    </w:p>
    <w:p w14:paraId="29C35B60" w14:textId="46953250" w:rsidR="003828C9" w:rsidRDefault="003828C9" w:rsidP="5CE196A1">
      <w:pPr>
        <w:ind w:right="237"/>
        <w:jc w:val="both"/>
        <w:rPr>
          <w:color w:val="000000" w:themeColor="text1"/>
          <w:sz w:val="24"/>
          <w:szCs w:val="24"/>
        </w:rPr>
      </w:pPr>
    </w:p>
    <w:p w14:paraId="64B808FE" w14:textId="033DE1A0" w:rsidR="003828C9" w:rsidRDefault="003828C9" w:rsidP="5CE196A1">
      <w:pPr>
        <w:ind w:right="237"/>
        <w:jc w:val="both"/>
        <w:rPr>
          <w:color w:val="000000" w:themeColor="text1"/>
          <w:sz w:val="24"/>
          <w:szCs w:val="24"/>
        </w:rPr>
      </w:pPr>
    </w:p>
    <w:p w14:paraId="7805796F" w14:textId="05108E04" w:rsidR="003828C9" w:rsidRDefault="003828C9" w:rsidP="5CE196A1">
      <w:pPr>
        <w:ind w:right="237"/>
        <w:jc w:val="both"/>
        <w:rPr>
          <w:color w:val="000000" w:themeColor="text1"/>
          <w:sz w:val="24"/>
          <w:szCs w:val="24"/>
        </w:rPr>
      </w:pPr>
    </w:p>
    <w:p w14:paraId="6724EF37" w14:textId="0EFA00ED" w:rsidR="003828C9" w:rsidRDefault="003828C9" w:rsidP="5CE196A1">
      <w:pPr>
        <w:ind w:right="237"/>
        <w:jc w:val="both"/>
        <w:rPr>
          <w:color w:val="000000" w:themeColor="text1"/>
          <w:sz w:val="24"/>
          <w:szCs w:val="24"/>
        </w:rPr>
      </w:pPr>
    </w:p>
    <w:p w14:paraId="280245D0" w14:textId="7A3CFB80" w:rsidR="003828C9" w:rsidRDefault="003828C9" w:rsidP="5CE196A1">
      <w:pPr>
        <w:ind w:right="237"/>
        <w:jc w:val="both"/>
        <w:rPr>
          <w:color w:val="000000" w:themeColor="text1"/>
          <w:sz w:val="24"/>
          <w:szCs w:val="24"/>
        </w:rPr>
      </w:pPr>
    </w:p>
    <w:p w14:paraId="10894D85" w14:textId="7E6FB011" w:rsidR="003828C9" w:rsidRDefault="003828C9" w:rsidP="5CE196A1">
      <w:pPr>
        <w:ind w:right="237"/>
        <w:jc w:val="both"/>
        <w:rPr>
          <w:color w:val="000000" w:themeColor="text1"/>
          <w:sz w:val="24"/>
          <w:szCs w:val="24"/>
        </w:rPr>
      </w:pPr>
    </w:p>
    <w:p w14:paraId="1DC28AB1" w14:textId="4B4F6E5C" w:rsidR="003828C9" w:rsidRDefault="003828C9" w:rsidP="5CE196A1">
      <w:pPr>
        <w:ind w:right="237"/>
        <w:jc w:val="both"/>
        <w:rPr>
          <w:color w:val="000000" w:themeColor="text1"/>
          <w:sz w:val="24"/>
          <w:szCs w:val="24"/>
        </w:rPr>
      </w:pPr>
    </w:p>
    <w:p w14:paraId="414992E4" w14:textId="3E951C01" w:rsidR="003828C9" w:rsidRDefault="003828C9" w:rsidP="5CE196A1">
      <w:pPr>
        <w:ind w:right="237"/>
        <w:jc w:val="both"/>
        <w:rPr>
          <w:color w:val="000000" w:themeColor="text1"/>
          <w:sz w:val="24"/>
          <w:szCs w:val="24"/>
        </w:rPr>
      </w:pPr>
    </w:p>
    <w:p w14:paraId="796030C5" w14:textId="77777777" w:rsidR="003828C9" w:rsidRDefault="003828C9"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7A3BF0AC" w:rsidR="00025650" w:rsidRDefault="00025650" w:rsidP="0FF883D4">
      <w:pPr>
        <w:ind w:right="237"/>
        <w:jc w:val="both"/>
        <w:rPr>
          <w:color w:val="000000" w:themeColor="text1"/>
          <w:sz w:val="24"/>
          <w:szCs w:val="24"/>
        </w:rPr>
      </w:pPr>
    </w:p>
    <w:p w14:paraId="688CE11B" w14:textId="7FA4B4ED" w:rsidR="003828C9" w:rsidRDefault="003828C9" w:rsidP="0FF883D4">
      <w:pPr>
        <w:ind w:right="237"/>
        <w:jc w:val="both"/>
        <w:rPr>
          <w:color w:val="000000" w:themeColor="text1"/>
          <w:sz w:val="24"/>
          <w:szCs w:val="24"/>
        </w:rPr>
      </w:pPr>
    </w:p>
    <w:p w14:paraId="6CBDEC6B" w14:textId="4D23BCAE" w:rsidR="003828C9" w:rsidRDefault="003828C9" w:rsidP="0FF883D4">
      <w:pPr>
        <w:ind w:right="237"/>
        <w:jc w:val="both"/>
        <w:rPr>
          <w:color w:val="000000" w:themeColor="text1"/>
          <w:sz w:val="24"/>
          <w:szCs w:val="24"/>
        </w:rPr>
      </w:pPr>
    </w:p>
    <w:p w14:paraId="6F0A4A22" w14:textId="78CADBE8" w:rsidR="003828C9" w:rsidRDefault="003828C9" w:rsidP="0FF883D4">
      <w:pPr>
        <w:ind w:right="237"/>
        <w:jc w:val="both"/>
        <w:rPr>
          <w:color w:val="000000" w:themeColor="text1"/>
          <w:sz w:val="24"/>
          <w:szCs w:val="24"/>
        </w:rPr>
      </w:pPr>
    </w:p>
    <w:p w14:paraId="1963404E" w14:textId="0FA6AEE8" w:rsidR="003828C9" w:rsidRDefault="003828C9" w:rsidP="0FF883D4">
      <w:pPr>
        <w:ind w:right="237"/>
        <w:jc w:val="both"/>
        <w:rPr>
          <w:color w:val="000000" w:themeColor="text1"/>
          <w:sz w:val="24"/>
          <w:szCs w:val="24"/>
        </w:rPr>
      </w:pPr>
    </w:p>
    <w:p w14:paraId="0890A119" w14:textId="2F80F301" w:rsidR="003828C9" w:rsidRDefault="003828C9" w:rsidP="0FF883D4">
      <w:pPr>
        <w:ind w:right="237"/>
        <w:jc w:val="both"/>
        <w:rPr>
          <w:color w:val="000000" w:themeColor="text1"/>
          <w:sz w:val="24"/>
          <w:szCs w:val="24"/>
        </w:rPr>
      </w:pPr>
    </w:p>
    <w:p w14:paraId="00F74CAD" w14:textId="2A453E20" w:rsidR="003828C9" w:rsidRDefault="003828C9" w:rsidP="0FF883D4">
      <w:pPr>
        <w:ind w:right="237"/>
        <w:jc w:val="both"/>
        <w:rPr>
          <w:color w:val="000000" w:themeColor="text1"/>
          <w:sz w:val="24"/>
          <w:szCs w:val="24"/>
        </w:rPr>
      </w:pPr>
    </w:p>
    <w:p w14:paraId="3D6D0AB9" w14:textId="1B4129EC" w:rsidR="003828C9" w:rsidRDefault="003828C9" w:rsidP="0FF883D4">
      <w:pPr>
        <w:ind w:right="237"/>
        <w:jc w:val="both"/>
        <w:rPr>
          <w:color w:val="000000" w:themeColor="text1"/>
          <w:sz w:val="24"/>
          <w:szCs w:val="24"/>
        </w:rPr>
      </w:pPr>
    </w:p>
    <w:p w14:paraId="2DF20246" w14:textId="384E1278" w:rsidR="003828C9" w:rsidRDefault="003828C9" w:rsidP="0FF883D4">
      <w:pPr>
        <w:ind w:right="237"/>
        <w:jc w:val="both"/>
        <w:rPr>
          <w:color w:val="000000" w:themeColor="text1"/>
          <w:sz w:val="24"/>
          <w:szCs w:val="24"/>
        </w:rPr>
      </w:pPr>
    </w:p>
    <w:p w14:paraId="262753AC" w14:textId="4DC1AB4D" w:rsidR="003828C9" w:rsidRDefault="003828C9" w:rsidP="0FF883D4">
      <w:pPr>
        <w:ind w:right="237"/>
        <w:jc w:val="both"/>
        <w:rPr>
          <w:color w:val="000000" w:themeColor="text1"/>
          <w:sz w:val="24"/>
          <w:szCs w:val="24"/>
        </w:rPr>
      </w:pPr>
    </w:p>
    <w:p w14:paraId="19D57D32" w14:textId="77777777" w:rsidR="003828C9" w:rsidRPr="00E676F7" w:rsidRDefault="003828C9"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2E30A0EF" w:rsidR="00025650" w:rsidRDefault="00025650" w:rsidP="0FF883D4">
      <w:pPr>
        <w:ind w:right="237"/>
        <w:jc w:val="both"/>
        <w:rPr>
          <w:b/>
          <w:bCs/>
          <w:color w:val="000000" w:themeColor="text1"/>
          <w:sz w:val="24"/>
          <w:szCs w:val="24"/>
        </w:rPr>
      </w:pPr>
    </w:p>
    <w:p w14:paraId="1A9ACC64" w14:textId="3F9FCA75" w:rsidR="003828C9" w:rsidRDefault="003828C9" w:rsidP="0FF883D4">
      <w:pPr>
        <w:ind w:right="237"/>
        <w:jc w:val="both"/>
        <w:rPr>
          <w:b/>
          <w:bCs/>
          <w:color w:val="000000" w:themeColor="text1"/>
          <w:sz w:val="24"/>
          <w:szCs w:val="24"/>
        </w:rPr>
      </w:pPr>
    </w:p>
    <w:p w14:paraId="7026B1D5" w14:textId="77777777" w:rsidR="003828C9" w:rsidRPr="00E676F7" w:rsidRDefault="003828C9"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8085F9A" w14:textId="1708B427" w:rsidR="0FF883D4" w:rsidRDefault="0FF883D4" w:rsidP="0FF883D4">
      <w:pPr>
        <w:ind w:right="237"/>
        <w:jc w:val="both"/>
        <w:rPr>
          <w:color w:val="000000" w:themeColor="text1"/>
          <w:sz w:val="24"/>
          <w:szCs w:val="24"/>
        </w:rPr>
      </w:pPr>
    </w:p>
    <w:p w14:paraId="4CB63C8E" w14:textId="77777777" w:rsidR="006835AC" w:rsidRPr="0095222D" w:rsidRDefault="006835AC" w:rsidP="006835AC">
      <w:pPr>
        <w:ind w:right="237"/>
        <w:jc w:val="both"/>
        <w:rPr>
          <w:rFonts w:asciiTheme="minorHAnsi" w:hAnsiTheme="minorHAnsi" w:cstheme="minorHAnsi"/>
          <w:b/>
          <w:bCs/>
          <w:color w:val="000000" w:themeColor="text1"/>
          <w:sz w:val="22"/>
          <w:szCs w:val="22"/>
        </w:rPr>
      </w:pPr>
      <w:r w:rsidRPr="0095222D">
        <w:rPr>
          <w:rFonts w:asciiTheme="minorHAnsi" w:hAnsiTheme="minorHAnsi" w:cstheme="minorHAnsi"/>
          <w:color w:val="000000" w:themeColor="text1"/>
          <w:sz w:val="22"/>
          <w:szCs w:val="22"/>
        </w:rPr>
        <w:t>This essay intends to evaluate the processes employed in a complex investigation with particular focus on the support provided to all individuals whilst managing personal values and attitudes. Although there is no clear definition of a complex investigation under the Serious Crime Act 2007, some crimes that would be fall under this type of investigation would be Sexual assaults, substantial financial gain or loss and use of violence including weapons or firearms</w:t>
      </w:r>
      <w:r w:rsidRPr="0095222D">
        <w:rPr>
          <w:rFonts w:asciiTheme="minorHAnsi" w:hAnsiTheme="minorHAnsi" w:cstheme="minorHAnsi"/>
          <w:b/>
          <w:bCs/>
          <w:color w:val="000000" w:themeColor="text1"/>
          <w:sz w:val="22"/>
          <w:szCs w:val="22"/>
        </w:rPr>
        <w:t xml:space="preserve"> </w:t>
      </w:r>
      <w:sdt>
        <w:sdtPr>
          <w:rPr>
            <w:rFonts w:asciiTheme="minorHAnsi" w:hAnsiTheme="minorHAnsi" w:cstheme="minorHAnsi"/>
            <w:b/>
            <w:bCs/>
            <w:color w:val="000000" w:themeColor="text1"/>
            <w:sz w:val="22"/>
            <w:szCs w:val="22"/>
          </w:rPr>
          <w:id w:val="516432340"/>
          <w:citation/>
        </w:sdtPr>
        <w:sdtContent>
          <w:r w:rsidRPr="0095222D">
            <w:rPr>
              <w:rFonts w:asciiTheme="minorHAnsi" w:hAnsiTheme="minorHAnsi" w:cstheme="minorHAnsi"/>
              <w:b/>
              <w:bCs/>
              <w:color w:val="000000" w:themeColor="text1"/>
              <w:sz w:val="22"/>
              <w:szCs w:val="22"/>
            </w:rPr>
            <w:fldChar w:fldCharType="begin"/>
          </w:r>
          <w:r w:rsidRPr="0095222D">
            <w:rPr>
              <w:rFonts w:asciiTheme="minorHAnsi" w:hAnsiTheme="minorHAnsi" w:cstheme="minorHAnsi"/>
              <w:b/>
              <w:bCs/>
              <w:color w:val="000000" w:themeColor="text1"/>
              <w:sz w:val="22"/>
              <w:szCs w:val="22"/>
            </w:rPr>
            <w:instrText xml:space="preserve">CITATION Ser \y  \l 2057 </w:instrText>
          </w:r>
          <w:r w:rsidRPr="0095222D">
            <w:rPr>
              <w:rFonts w:asciiTheme="minorHAnsi" w:hAnsiTheme="minorHAnsi" w:cstheme="minorHAnsi"/>
              <w:b/>
              <w:bCs/>
              <w:color w:val="000000" w:themeColor="text1"/>
              <w:sz w:val="22"/>
              <w:szCs w:val="22"/>
            </w:rPr>
            <w:fldChar w:fldCharType="separate"/>
          </w:r>
          <w:r w:rsidRPr="0095222D">
            <w:rPr>
              <w:rFonts w:asciiTheme="minorHAnsi" w:hAnsiTheme="minorHAnsi" w:cstheme="minorHAnsi"/>
              <w:noProof/>
              <w:color w:val="000000" w:themeColor="text1"/>
              <w:sz w:val="22"/>
              <w:szCs w:val="22"/>
            </w:rPr>
            <w:t>(Serious Crime Act 2007)</w:t>
          </w:r>
          <w:r w:rsidRPr="0095222D">
            <w:rPr>
              <w:rFonts w:asciiTheme="minorHAnsi" w:hAnsiTheme="minorHAnsi" w:cstheme="minorHAnsi"/>
              <w:b/>
              <w:bCs/>
              <w:color w:val="000000" w:themeColor="text1"/>
              <w:sz w:val="22"/>
              <w:szCs w:val="22"/>
            </w:rPr>
            <w:fldChar w:fldCharType="end"/>
          </w:r>
        </w:sdtContent>
      </w:sdt>
      <w:r w:rsidRPr="0095222D">
        <w:rPr>
          <w:rFonts w:asciiTheme="minorHAnsi" w:hAnsiTheme="minorHAnsi" w:cstheme="minorHAnsi"/>
          <w:color w:val="000000" w:themeColor="text1"/>
          <w:sz w:val="22"/>
          <w:szCs w:val="22"/>
        </w:rPr>
        <w:t xml:space="preserve">. </w:t>
      </w:r>
    </w:p>
    <w:p w14:paraId="063DFC31" w14:textId="77777777" w:rsidR="006835AC" w:rsidRPr="0095222D" w:rsidRDefault="006835AC" w:rsidP="006835AC">
      <w:pPr>
        <w:ind w:right="237"/>
        <w:jc w:val="both"/>
        <w:rPr>
          <w:rFonts w:asciiTheme="minorHAnsi" w:hAnsiTheme="minorHAnsi" w:cstheme="minorHAnsi"/>
          <w:b/>
          <w:bCs/>
          <w:color w:val="000000" w:themeColor="text1"/>
          <w:sz w:val="22"/>
          <w:szCs w:val="22"/>
        </w:rPr>
      </w:pPr>
    </w:p>
    <w:p w14:paraId="130086CC" w14:textId="77777777" w:rsidR="006835AC"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The complex investigation being discussed in this essay falls into the category of sexual offences, where information was submitted to the police that indecent images of children had been uploaded to the internet, which will be discussed in detail further in this essay.</w:t>
      </w:r>
    </w:p>
    <w:p w14:paraId="163FECEB" w14:textId="77777777" w:rsidR="006835AC" w:rsidRPr="0095222D" w:rsidRDefault="006835AC" w:rsidP="006835AC">
      <w:pPr>
        <w:ind w:right="237"/>
        <w:jc w:val="both"/>
        <w:rPr>
          <w:rFonts w:asciiTheme="minorHAnsi" w:hAnsiTheme="minorHAnsi" w:cstheme="minorHAnsi"/>
          <w:color w:val="000000" w:themeColor="text1"/>
          <w:sz w:val="22"/>
          <w:szCs w:val="22"/>
        </w:rPr>
      </w:pPr>
    </w:p>
    <w:p w14:paraId="2D70BEAD" w14:textId="77777777" w:rsidR="006835AC" w:rsidRPr="0095222D" w:rsidRDefault="006835AC" w:rsidP="006835AC">
      <w:pPr>
        <w:ind w:right="237"/>
        <w:jc w:val="both"/>
        <w:rPr>
          <w:rFonts w:asciiTheme="minorHAnsi" w:hAnsiTheme="minorHAnsi" w:cstheme="minorHAnsi"/>
          <w:sz w:val="22"/>
          <w:szCs w:val="22"/>
        </w:rPr>
      </w:pPr>
      <w:r w:rsidRPr="0095222D">
        <w:rPr>
          <w:rFonts w:asciiTheme="minorHAnsi" w:hAnsiTheme="minorHAnsi" w:cstheme="minorHAnsi"/>
          <w:sz w:val="22"/>
          <w:szCs w:val="22"/>
        </w:rPr>
        <w:t xml:space="preserve">Bentley et al stated in 2016 that child online sex offences in England and Wales, had over doubled between 2014/15 and 2015/16 </w:t>
      </w:r>
      <w:sdt>
        <w:sdtPr>
          <w:rPr>
            <w:rFonts w:asciiTheme="minorHAnsi" w:hAnsiTheme="minorHAnsi" w:cstheme="minorHAnsi"/>
            <w:sz w:val="22"/>
            <w:szCs w:val="22"/>
          </w:rPr>
          <w:id w:val="1592434869"/>
          <w:citation/>
        </w:sdtPr>
        <w:sdtContent>
          <w:r w:rsidRPr="0095222D">
            <w:rPr>
              <w:rFonts w:asciiTheme="minorHAnsi" w:hAnsiTheme="minorHAnsi" w:cstheme="minorHAnsi"/>
              <w:sz w:val="22"/>
              <w:szCs w:val="22"/>
            </w:rPr>
            <w:fldChar w:fldCharType="begin"/>
          </w:r>
          <w:r w:rsidRPr="0095222D">
            <w:rPr>
              <w:rFonts w:asciiTheme="minorHAnsi" w:hAnsiTheme="minorHAnsi" w:cstheme="minorHAnsi"/>
              <w:sz w:val="22"/>
              <w:szCs w:val="22"/>
            </w:rPr>
            <w:instrText xml:space="preserve"> CITATION Key21 \l 2057 </w:instrText>
          </w:r>
          <w:r w:rsidRPr="0095222D">
            <w:rPr>
              <w:rFonts w:asciiTheme="minorHAnsi" w:hAnsiTheme="minorHAnsi" w:cstheme="minorHAnsi"/>
              <w:sz w:val="22"/>
              <w:szCs w:val="22"/>
            </w:rPr>
            <w:fldChar w:fldCharType="separate"/>
          </w:r>
          <w:r w:rsidRPr="0095222D">
            <w:rPr>
              <w:rFonts w:asciiTheme="minorHAnsi" w:hAnsiTheme="minorHAnsi" w:cstheme="minorHAnsi"/>
              <w:noProof/>
              <w:sz w:val="22"/>
              <w:szCs w:val="22"/>
            </w:rPr>
            <w:t>(Key, Underwood, Farnham, Marzano, &amp; Hawton, 2021)</w:t>
          </w:r>
          <w:r w:rsidRPr="0095222D">
            <w:rPr>
              <w:rFonts w:asciiTheme="minorHAnsi" w:hAnsiTheme="minorHAnsi" w:cstheme="minorHAnsi"/>
              <w:sz w:val="22"/>
              <w:szCs w:val="22"/>
            </w:rPr>
            <w:fldChar w:fldCharType="end"/>
          </w:r>
        </w:sdtContent>
      </w:sdt>
      <w:r w:rsidRPr="0095222D">
        <w:rPr>
          <w:rFonts w:asciiTheme="minorHAnsi" w:hAnsiTheme="minorHAnsi" w:cstheme="minorHAnsi"/>
          <w:sz w:val="22"/>
          <w:szCs w:val="22"/>
        </w:rPr>
        <w:t xml:space="preserve">. </w:t>
      </w:r>
    </w:p>
    <w:p w14:paraId="594FBB61" w14:textId="77777777" w:rsidR="006835AC" w:rsidRPr="0095222D" w:rsidRDefault="006835AC" w:rsidP="006835AC">
      <w:pPr>
        <w:ind w:right="237"/>
        <w:jc w:val="both"/>
        <w:rPr>
          <w:rFonts w:asciiTheme="minorHAnsi" w:hAnsiTheme="minorHAnsi" w:cstheme="minorHAnsi"/>
          <w:sz w:val="22"/>
          <w:szCs w:val="22"/>
        </w:rPr>
      </w:pPr>
    </w:p>
    <w:p w14:paraId="62D44B7B" w14:textId="77777777" w:rsidR="006835AC"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The processes employed in a complex investigation are very similar to the processes for any investigation, such as information is received, developed into intelligence, and then investigated. With complex investigations relating to child online sex offences, the initial considerations would be if the suspect has any access to children and are they a risk to victims. Once this has been established, officers will consider obtaining intelligence and evidence and possibly arresting and interviewing a suspect </w:t>
      </w:r>
      <w:sdt>
        <w:sdtPr>
          <w:rPr>
            <w:rFonts w:asciiTheme="minorHAnsi" w:hAnsiTheme="minorHAnsi" w:cstheme="minorHAnsi"/>
            <w:color w:val="000000" w:themeColor="text1"/>
            <w:sz w:val="22"/>
            <w:szCs w:val="22"/>
          </w:rPr>
          <w:id w:val="446354461"/>
          <w:citation/>
        </w:sdtPr>
        <w:sdtContent>
          <w:r w:rsidRPr="0095222D">
            <w:rPr>
              <w:rFonts w:asciiTheme="minorHAnsi" w:hAnsiTheme="minorHAnsi" w:cstheme="minorHAnsi"/>
              <w:color w:val="000000" w:themeColor="text1"/>
              <w:sz w:val="22"/>
              <w:szCs w:val="22"/>
            </w:rPr>
            <w:fldChar w:fldCharType="begin"/>
          </w:r>
          <w:r w:rsidRPr="0095222D">
            <w:rPr>
              <w:rFonts w:asciiTheme="minorHAnsi" w:hAnsiTheme="minorHAnsi" w:cstheme="minorHAnsi"/>
              <w:color w:val="000000" w:themeColor="text1"/>
              <w:sz w:val="22"/>
              <w:szCs w:val="22"/>
            </w:rPr>
            <w:instrText xml:space="preserve">CITATION Man22 \l 2057 </w:instrText>
          </w:r>
          <w:r w:rsidRPr="0095222D">
            <w:rPr>
              <w:rFonts w:asciiTheme="minorHAnsi" w:hAnsiTheme="minorHAnsi" w:cstheme="minorHAnsi"/>
              <w:color w:val="000000" w:themeColor="text1"/>
              <w:sz w:val="22"/>
              <w:szCs w:val="22"/>
            </w:rPr>
            <w:fldChar w:fldCharType="separate"/>
          </w:r>
          <w:r w:rsidRPr="0095222D">
            <w:rPr>
              <w:rFonts w:asciiTheme="minorHAnsi" w:hAnsiTheme="minorHAnsi" w:cstheme="minorHAnsi"/>
              <w:noProof/>
              <w:color w:val="000000" w:themeColor="text1"/>
              <w:sz w:val="22"/>
              <w:szCs w:val="22"/>
            </w:rPr>
            <w:t>(Managing Complex Child Abuse Investigations, 2022)</w:t>
          </w:r>
          <w:r w:rsidRPr="0095222D">
            <w:rPr>
              <w:rFonts w:asciiTheme="minorHAnsi" w:hAnsiTheme="minorHAnsi" w:cstheme="minorHAnsi"/>
              <w:color w:val="000000" w:themeColor="text1"/>
              <w:sz w:val="22"/>
              <w:szCs w:val="22"/>
            </w:rPr>
            <w:fldChar w:fldCharType="end"/>
          </w:r>
        </w:sdtContent>
      </w:sdt>
      <w:r w:rsidRPr="0095222D">
        <w:rPr>
          <w:rFonts w:asciiTheme="minorHAnsi" w:hAnsiTheme="minorHAnsi" w:cstheme="minorHAnsi"/>
          <w:color w:val="000000" w:themeColor="text1"/>
          <w:sz w:val="22"/>
          <w:szCs w:val="22"/>
        </w:rPr>
        <w:t xml:space="preserve">. </w:t>
      </w:r>
    </w:p>
    <w:p w14:paraId="0560A652" w14:textId="77777777" w:rsidR="006835AC" w:rsidRPr="0095222D" w:rsidRDefault="006835AC" w:rsidP="006835AC">
      <w:pPr>
        <w:ind w:right="237"/>
        <w:jc w:val="both"/>
        <w:rPr>
          <w:rFonts w:asciiTheme="minorHAnsi" w:hAnsiTheme="minorHAnsi" w:cstheme="minorHAnsi"/>
          <w:color w:val="auto"/>
          <w:sz w:val="22"/>
          <w:szCs w:val="22"/>
        </w:rPr>
      </w:pPr>
      <w:r w:rsidRPr="0095222D">
        <w:rPr>
          <w:rFonts w:asciiTheme="minorHAnsi" w:hAnsiTheme="minorHAnsi" w:cstheme="minorHAnsi"/>
          <w:color w:val="auto"/>
          <w:sz w:val="22"/>
          <w:szCs w:val="22"/>
        </w:rPr>
        <w:t xml:space="preserve">Information can come from out of force charities, online platforms or people reporting directly to the police. In-force intelligence is conducted to verify the details are correct, locating information, applying for warrants, arranging for officers to attend at the address, attending at the location, questioning people who live at the address, verifying that the intelligence received is correct, and </w:t>
      </w:r>
      <w:r w:rsidRPr="0095222D">
        <w:rPr>
          <w:rFonts w:asciiTheme="minorHAnsi" w:hAnsiTheme="minorHAnsi" w:cstheme="minorHAnsi"/>
          <w:color w:val="auto"/>
          <w:sz w:val="22"/>
          <w:szCs w:val="22"/>
        </w:rPr>
        <w:lastRenderedPageBreak/>
        <w:t>deciding at that moment the appropriate course of action, arrest, voluntary attendee interview or words of advice.</w:t>
      </w:r>
    </w:p>
    <w:p w14:paraId="67D95C32" w14:textId="77777777" w:rsidR="006835AC" w:rsidRPr="0095222D" w:rsidRDefault="006835AC" w:rsidP="006835AC">
      <w:pPr>
        <w:ind w:right="237"/>
        <w:jc w:val="both"/>
        <w:rPr>
          <w:rFonts w:asciiTheme="minorHAnsi" w:hAnsiTheme="minorHAnsi" w:cstheme="minorHAnsi"/>
          <w:sz w:val="22"/>
          <w:szCs w:val="22"/>
        </w:rPr>
      </w:pPr>
    </w:p>
    <w:p w14:paraId="18B2E426" w14:textId="77777777" w:rsidR="006835AC" w:rsidRPr="0095222D" w:rsidRDefault="006835AC" w:rsidP="006835AC">
      <w:pPr>
        <w:ind w:right="237"/>
        <w:jc w:val="both"/>
        <w:rPr>
          <w:rFonts w:asciiTheme="minorHAnsi" w:hAnsiTheme="minorHAnsi" w:cstheme="minorHAnsi"/>
          <w:color w:val="000000" w:themeColor="text1"/>
          <w:sz w:val="22"/>
          <w:szCs w:val="22"/>
        </w:rPr>
      </w:pPr>
    </w:p>
    <w:p w14:paraId="21E7548E" w14:textId="77777777" w:rsidR="006835AC"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Fast track actions are defined by College of Policing as “any investigative actions which if pursued immediately, are likely to establish important facts, preserve evidence or lead to the early resolution of the investigation </w:t>
      </w:r>
      <w:sdt>
        <w:sdtPr>
          <w:rPr>
            <w:rFonts w:asciiTheme="minorHAnsi" w:hAnsiTheme="minorHAnsi" w:cstheme="minorHAnsi"/>
            <w:color w:val="000000" w:themeColor="text1"/>
            <w:sz w:val="22"/>
            <w:szCs w:val="22"/>
          </w:rPr>
          <w:id w:val="-1751105818"/>
          <w:citation/>
        </w:sdtPr>
        <w:sdtContent>
          <w:r w:rsidRPr="0095222D">
            <w:rPr>
              <w:rFonts w:asciiTheme="minorHAnsi" w:hAnsiTheme="minorHAnsi" w:cstheme="minorHAnsi"/>
              <w:color w:val="000000" w:themeColor="text1"/>
              <w:sz w:val="22"/>
              <w:szCs w:val="22"/>
            </w:rPr>
            <w:fldChar w:fldCharType="begin"/>
          </w:r>
          <w:r w:rsidRPr="0095222D">
            <w:rPr>
              <w:rFonts w:asciiTheme="minorHAnsi" w:hAnsiTheme="minorHAnsi" w:cstheme="minorHAnsi"/>
              <w:color w:val="000000" w:themeColor="text1"/>
              <w:sz w:val="22"/>
              <w:szCs w:val="22"/>
            </w:rPr>
            <w:instrText xml:space="preserve">CITATION Inv22 \n  \t  \l 2057 </w:instrText>
          </w:r>
          <w:r w:rsidRPr="0095222D">
            <w:rPr>
              <w:rFonts w:asciiTheme="minorHAnsi" w:hAnsiTheme="minorHAnsi" w:cstheme="minorHAnsi"/>
              <w:color w:val="000000" w:themeColor="text1"/>
              <w:sz w:val="22"/>
              <w:szCs w:val="22"/>
            </w:rPr>
            <w:fldChar w:fldCharType="separate"/>
          </w:r>
          <w:r w:rsidRPr="0095222D">
            <w:rPr>
              <w:rFonts w:asciiTheme="minorHAnsi" w:hAnsiTheme="minorHAnsi" w:cstheme="minorHAnsi"/>
              <w:noProof/>
              <w:color w:val="000000" w:themeColor="text1"/>
              <w:sz w:val="22"/>
              <w:szCs w:val="22"/>
            </w:rPr>
            <w:t>(2022)</w:t>
          </w:r>
          <w:r w:rsidRPr="0095222D">
            <w:rPr>
              <w:rFonts w:asciiTheme="minorHAnsi" w:hAnsiTheme="minorHAnsi" w:cstheme="minorHAnsi"/>
              <w:color w:val="000000" w:themeColor="text1"/>
              <w:sz w:val="22"/>
              <w:szCs w:val="22"/>
            </w:rPr>
            <w:fldChar w:fldCharType="end"/>
          </w:r>
        </w:sdtContent>
      </w:sdt>
      <w:r w:rsidRPr="0095222D">
        <w:rPr>
          <w:rFonts w:asciiTheme="minorHAnsi" w:hAnsiTheme="minorHAnsi" w:cstheme="minorHAnsi"/>
          <w:color w:val="000000" w:themeColor="text1"/>
          <w:sz w:val="22"/>
          <w:szCs w:val="22"/>
        </w:rPr>
        <w:t>. Some of the fast track actions utilised in this investigation were identifying the offender, identifying any potential victims</w:t>
      </w:r>
      <w:r w:rsidRPr="0095222D">
        <w:rPr>
          <w:rFonts w:asciiTheme="minorHAnsi" w:hAnsiTheme="minorHAnsi" w:cstheme="minorHAnsi"/>
          <w:color w:val="auto"/>
          <w:sz w:val="22"/>
          <w:szCs w:val="22"/>
        </w:rPr>
        <w:t xml:space="preserve">, applying for phone downloads to be expedited, completing public protection notices, and informing social services.  </w:t>
      </w:r>
    </w:p>
    <w:p w14:paraId="42A3A1C1" w14:textId="77777777" w:rsidR="006835AC" w:rsidRPr="0095222D" w:rsidRDefault="006835AC" w:rsidP="006835AC">
      <w:pPr>
        <w:ind w:right="237"/>
        <w:jc w:val="both"/>
        <w:rPr>
          <w:rFonts w:asciiTheme="minorHAnsi" w:hAnsiTheme="minorHAnsi" w:cstheme="minorHAnsi"/>
          <w:color w:val="000000" w:themeColor="text1"/>
          <w:sz w:val="22"/>
          <w:szCs w:val="22"/>
        </w:rPr>
      </w:pPr>
    </w:p>
    <w:p w14:paraId="1A813E9C" w14:textId="77777777" w:rsidR="006835AC"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During this investigation it was identified that images were uploaded from a specific address, however a specific person was not identified as having uploaded the images. These details were passed on to the relevant team along with other identifiers and intelligence to allow for the planning of attendance at an address. Before attending at the address, further checks were carried out on the address and all persons associated with the address and actions were taken to identify if the are any known victims. </w:t>
      </w:r>
    </w:p>
    <w:p w14:paraId="6B4BA3D0" w14:textId="77777777" w:rsidR="006835AC" w:rsidRPr="0095222D" w:rsidRDefault="006835AC" w:rsidP="006835AC">
      <w:pPr>
        <w:ind w:right="237"/>
        <w:jc w:val="both"/>
        <w:rPr>
          <w:rFonts w:asciiTheme="minorHAnsi" w:hAnsiTheme="minorHAnsi" w:cstheme="minorHAnsi"/>
          <w:color w:val="000000" w:themeColor="text1"/>
          <w:sz w:val="22"/>
          <w:szCs w:val="22"/>
        </w:rPr>
      </w:pPr>
    </w:p>
    <w:p w14:paraId="4FD844CB" w14:textId="77777777" w:rsidR="006835AC"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When in attendance at the address all persons present were gathered into one room and the circumstances of the officer’s attendance were explained, giving the person responsible the opportunity to inform officers that they were aware of / responsible for what is being discussed. However, in this investigation, no one came forward. When obtaining everyone’s details, the mother stated that the 18-year-old child, had learning difficulties; this information was useful in the planning and execution of the investigation. </w:t>
      </w:r>
    </w:p>
    <w:p w14:paraId="36D3FEAE" w14:textId="77777777" w:rsidR="006835AC" w:rsidRPr="0095222D" w:rsidRDefault="006835AC" w:rsidP="006835AC">
      <w:pPr>
        <w:ind w:right="237"/>
        <w:jc w:val="both"/>
        <w:rPr>
          <w:rFonts w:asciiTheme="minorHAnsi" w:hAnsiTheme="minorHAnsi" w:cstheme="minorHAnsi"/>
          <w:color w:val="000000" w:themeColor="text1"/>
          <w:sz w:val="22"/>
          <w:szCs w:val="22"/>
        </w:rPr>
      </w:pPr>
    </w:p>
    <w:p w14:paraId="7DDE385E" w14:textId="77777777" w:rsidR="006835AC"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As no person provided information to how the images were uploaded from the address, all electronic devices were seized that belonged to every family member and were examined by specialist officers for the images that were uploaded from the address and the accounts associated with the uploads. </w:t>
      </w:r>
    </w:p>
    <w:p w14:paraId="51256236" w14:textId="77777777" w:rsidR="006835AC" w:rsidRPr="0095222D" w:rsidRDefault="006835AC" w:rsidP="006835AC">
      <w:pPr>
        <w:ind w:right="237"/>
        <w:jc w:val="both"/>
        <w:rPr>
          <w:rFonts w:asciiTheme="minorHAnsi" w:hAnsiTheme="minorHAnsi" w:cstheme="minorHAnsi"/>
          <w:color w:val="000000" w:themeColor="text1"/>
          <w:sz w:val="22"/>
          <w:szCs w:val="22"/>
        </w:rPr>
      </w:pPr>
    </w:p>
    <w:p w14:paraId="424576ED" w14:textId="1CBDF3DA" w:rsidR="0FF883D4" w:rsidRPr="0095222D" w:rsidRDefault="006835AC" w:rsidP="006835AC">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Once the devices had been examined and the suspect identified as containing the images and accounts as the 18-year-old, the parents were informed before arresting the 18-year-old and supported through the investigation. This support will be discussed further in this essay.</w:t>
      </w:r>
    </w:p>
    <w:p w14:paraId="3E40B8C7" w14:textId="53FD882D" w:rsidR="006835AC" w:rsidRPr="0095222D" w:rsidRDefault="006835AC" w:rsidP="006835AC">
      <w:pPr>
        <w:ind w:right="237"/>
        <w:jc w:val="both"/>
        <w:rPr>
          <w:rFonts w:asciiTheme="minorHAnsi" w:hAnsiTheme="minorHAnsi" w:cstheme="minorHAnsi"/>
          <w:color w:val="000000" w:themeColor="text1"/>
          <w:sz w:val="22"/>
          <w:szCs w:val="22"/>
        </w:rPr>
      </w:pPr>
    </w:p>
    <w:p w14:paraId="7CCC989E" w14:textId="5D7DD8E1" w:rsidR="0FF883D4" w:rsidRPr="0095222D" w:rsidRDefault="0FF883D4" w:rsidP="0FF883D4">
      <w:pPr>
        <w:ind w:right="237"/>
        <w:jc w:val="both"/>
        <w:rPr>
          <w:color w:val="000000" w:themeColor="text1"/>
          <w:sz w:val="24"/>
          <w:szCs w:val="24"/>
        </w:rPr>
      </w:pPr>
    </w:p>
    <w:p w14:paraId="725B15B2"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At the end of the interview, a public protection notice was completed for the suspect and all the family members, and social services were informed that the suspect was living with a 12-year-old sibling, and the suspect provided with information on external agencies who offer support to people in these circumstances and then they are returned to a safe place or with family. </w:t>
      </w:r>
    </w:p>
    <w:p w14:paraId="3DB202D7" w14:textId="796D15F7" w:rsidR="0FF883D4" w:rsidRPr="0095222D" w:rsidRDefault="0FF883D4" w:rsidP="0FF883D4">
      <w:pPr>
        <w:ind w:right="237"/>
        <w:jc w:val="both"/>
        <w:rPr>
          <w:color w:val="000000" w:themeColor="text1"/>
          <w:sz w:val="24"/>
          <w:szCs w:val="24"/>
        </w:rPr>
      </w:pPr>
    </w:p>
    <w:p w14:paraId="00FA7AA3" w14:textId="77777777" w:rsidR="005256E9" w:rsidRPr="0095222D" w:rsidRDefault="005256E9" w:rsidP="005256E9">
      <w:pPr>
        <w:ind w:right="237"/>
        <w:jc w:val="both"/>
        <w:rPr>
          <w:rFonts w:asciiTheme="minorHAnsi" w:hAnsiTheme="minorHAnsi" w:cstheme="minorHAnsi"/>
          <w:color w:val="auto"/>
          <w:sz w:val="22"/>
          <w:szCs w:val="22"/>
        </w:rPr>
      </w:pPr>
      <w:r w:rsidRPr="0095222D">
        <w:rPr>
          <w:rFonts w:asciiTheme="minorHAnsi" w:hAnsiTheme="minorHAnsi" w:cstheme="minorHAnsi"/>
          <w:color w:val="000000" w:themeColor="text1"/>
          <w:sz w:val="22"/>
          <w:szCs w:val="22"/>
        </w:rPr>
        <w:t xml:space="preserve">In the majority of crimes, there is always an identifiable victim, who normally reports the crimes, however in these types of cases, at the time of the investigation and officers attending at the suspect’s address, there is hardly ever an identifiable victim pre-arrest. However, throughout these investigations, work is carried out to identify any potential victims that are known and can be traced and put safeguarding in place. </w:t>
      </w:r>
      <w:r w:rsidRPr="0095222D">
        <w:rPr>
          <w:rFonts w:asciiTheme="minorHAnsi" w:hAnsiTheme="minorHAnsi" w:cstheme="minorHAnsi"/>
          <w:color w:val="auto"/>
          <w:sz w:val="22"/>
          <w:szCs w:val="22"/>
        </w:rPr>
        <w:t xml:space="preserve">In this investigation, when the intelligence was received there was no victim currently identified. However, once the suspect was arrested and interviewed, digital forensic work was undertaken to identify locations and names of potential victims, alongside officers exploring other avenues to identify the victims; such as questioning the suspect in interview. Once these victims had been identified, the parents/legal guardians were contacted and visited by officers to discuss the investigation and safeguard the children. During these visits to the children and parents, it is not always on the first visit that the child will speak to the officer or confirm that they have been speaking or sending pictures to the suspect and it can take a numerous </w:t>
      </w:r>
      <w:r w:rsidRPr="0095222D">
        <w:rPr>
          <w:rFonts w:asciiTheme="minorHAnsi" w:hAnsiTheme="minorHAnsi" w:cstheme="minorHAnsi"/>
          <w:color w:val="auto"/>
          <w:sz w:val="22"/>
          <w:szCs w:val="22"/>
        </w:rPr>
        <w:lastRenderedPageBreak/>
        <w:t xml:space="preserve">amount of visits to build a rapport with the child and for the child to feel comfortable enough or trust the officer enough to admit what has happened between them and the suspect. </w:t>
      </w:r>
    </w:p>
    <w:p w14:paraId="550E30AF" w14:textId="53B7FBF2" w:rsidR="00025650" w:rsidRPr="0095222D" w:rsidRDefault="00025650" w:rsidP="00340E9A">
      <w:pPr>
        <w:ind w:right="237"/>
        <w:jc w:val="both"/>
        <w:rPr>
          <w:b/>
          <w:sz w:val="24"/>
          <w:szCs w:val="24"/>
        </w:rPr>
      </w:pPr>
    </w:p>
    <w:p w14:paraId="3A5D1936"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Whilst a suspect is in police custody, there is a duty of care for them at all times, which is mainly the responsibility of the officer in charge of the case. Before a suspect is taken from their home, they are asked if they take any regular medication and will take these with the suspect to custody. Whilst in custody the suspect is asked about their physical and mental health and may be seen by the health practitioner for an assessment. If deemed appropriate by the health practitioner, the suspect will be accompanied in the interview by an appropriate adult to assist them in understanding the questions being asked, as well as having the opportunity to have legal representation to ascertain that they have a fair and just interview. After the officer has asked all the questions in relation to the allegation, the officer will ask the suspect how they are feeling, if they would like to speak to a health practitioner; to be deemed fit to release or fit to be detained, and the suspect will be provided with documents and contact numbers for external support organisations such as Lucy Faithful. </w:t>
      </w:r>
    </w:p>
    <w:p w14:paraId="209D0675" w14:textId="77777777" w:rsidR="005256E9" w:rsidRPr="0095222D" w:rsidRDefault="005256E9" w:rsidP="005256E9">
      <w:pPr>
        <w:ind w:right="237"/>
        <w:jc w:val="both"/>
        <w:rPr>
          <w:rFonts w:asciiTheme="minorHAnsi" w:hAnsiTheme="minorHAnsi" w:cstheme="minorHAnsi"/>
          <w:color w:val="000000" w:themeColor="text1"/>
          <w:sz w:val="22"/>
          <w:szCs w:val="22"/>
        </w:rPr>
      </w:pPr>
    </w:p>
    <w:p w14:paraId="6F3FA737"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During complex investigations such as the one being discussed, family members are not always aware of the persons behaviour and having officers turn up at their home address early in the morning can be a massive shock. During the initial attendance, the nature of the investigation is explained, devices are seized, taken, and examined, and a family member is arrested. </w:t>
      </w:r>
      <w:r w:rsidRPr="0095222D">
        <w:rPr>
          <w:rFonts w:asciiTheme="minorHAnsi" w:hAnsiTheme="minorHAnsi" w:cstheme="minorHAnsi"/>
          <w:color w:val="auto"/>
          <w:sz w:val="22"/>
          <w:szCs w:val="22"/>
        </w:rPr>
        <w:t xml:space="preserve">When police officers leave the family members in the house and depart with their child or spouse, this is when family members are at their most vulnerable and emotional and have so many thoughts and questions. </w:t>
      </w:r>
      <w:r w:rsidRPr="0095222D">
        <w:rPr>
          <w:rFonts w:asciiTheme="minorHAnsi" w:hAnsiTheme="minorHAnsi" w:cstheme="minorHAnsi"/>
          <w:color w:val="000000" w:themeColor="text1"/>
          <w:sz w:val="22"/>
          <w:szCs w:val="22"/>
        </w:rPr>
        <w:t xml:space="preserve">Although family members of the suspect are not classed as victims, they are negatively impacted by the investigation and require some support from police during the investigation. In this investigation, the family members were completely blindsided by the allegation and their child being arrested. </w:t>
      </w:r>
    </w:p>
    <w:p w14:paraId="54494F73" w14:textId="77777777" w:rsidR="005256E9" w:rsidRPr="0095222D" w:rsidRDefault="005256E9" w:rsidP="00340E9A">
      <w:pPr>
        <w:ind w:right="237"/>
        <w:jc w:val="both"/>
        <w:rPr>
          <w:b/>
          <w:sz w:val="24"/>
          <w:szCs w:val="24"/>
        </w:rPr>
      </w:pPr>
    </w:p>
    <w:p w14:paraId="3C9A7A7E"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Before officers leave the family home, the process is explained to the family members, a contact number is given for the officer in charge, and helpline numbers are provided for support agencies for family members of people who have been arrested for these type of offences. The officer in charge also takes personal details of all family members in the home and will submit a public protection notice which will be shared with the relevant external agencies to offer support to the family members should they want the support. </w:t>
      </w:r>
    </w:p>
    <w:p w14:paraId="4AFFCA78" w14:textId="77777777" w:rsidR="005256E9" w:rsidRPr="0095222D" w:rsidRDefault="005256E9" w:rsidP="00340E9A">
      <w:pPr>
        <w:ind w:right="237"/>
      </w:pPr>
    </w:p>
    <w:p w14:paraId="5CCFFE21" w14:textId="77777777" w:rsidR="005256E9" w:rsidRPr="0095222D" w:rsidRDefault="005256E9" w:rsidP="00340E9A">
      <w:pPr>
        <w:ind w:right="237"/>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When undertaking the role of a police officer in an investigative role that deals with more serious and complex cases, there is a higher risk of investigating more emotionally charged situations. </w:t>
      </w:r>
    </w:p>
    <w:p w14:paraId="0B7E0829" w14:textId="77777777" w:rsidR="005256E9" w:rsidRPr="0095222D" w:rsidRDefault="005256E9" w:rsidP="00340E9A">
      <w:pPr>
        <w:ind w:right="237"/>
      </w:pPr>
    </w:p>
    <w:p w14:paraId="7D0BC191"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Support was provided to the offender at the end of the interview, by asking about the offender’s mental health and how they were currently feeling due to the nature of the topics being discussed and the nature of the questions and evidence being outlined to them. The offender was made aware of the services available to them for support with the process of the investigation such as the Lucy Faithful Foundation, who offer independent support to Victims, Families, and abusers. During the interview the suspect was supported by an AA and a solicitor. </w:t>
      </w:r>
    </w:p>
    <w:p w14:paraId="470DCC1D" w14:textId="77777777" w:rsidR="005256E9" w:rsidRPr="0095222D" w:rsidRDefault="005256E9" w:rsidP="005256E9">
      <w:pPr>
        <w:ind w:right="237"/>
        <w:jc w:val="both"/>
        <w:rPr>
          <w:rFonts w:asciiTheme="minorHAnsi" w:hAnsiTheme="minorHAnsi" w:cstheme="minorHAnsi"/>
          <w:color w:val="000000" w:themeColor="text1"/>
          <w:sz w:val="22"/>
          <w:szCs w:val="22"/>
        </w:rPr>
      </w:pPr>
    </w:p>
    <w:p w14:paraId="775C58DC"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When dealing with complex investigations, there has to be a higher level of support for the suspect, as there is an increased risk of the suspect committing suicide whilst on police bail or under investigation. This higher risk of suspect’s committing suicide, before a suspect is released from police custody, they are seen by a health professional who will deem them fit to be released or refer them for additional support, the officer in charge of the investigation will provide them with information on external agencies who can offer them support throughout the investigation and will provide information to the family members on external agencies to offer them support. Suspect’s will be returned to their home address or to a family member by the officer in charge, so they are </w:t>
      </w:r>
      <w:r w:rsidRPr="0095222D">
        <w:rPr>
          <w:rFonts w:asciiTheme="minorHAnsi" w:hAnsiTheme="minorHAnsi" w:cstheme="minorHAnsi"/>
          <w:color w:val="000000" w:themeColor="text1"/>
          <w:sz w:val="22"/>
          <w:szCs w:val="22"/>
        </w:rPr>
        <w:lastRenderedPageBreak/>
        <w:t>not alone for the first few hours after release as this period of time after being made aware of the allegation is one of the highest for suicidal risk (Key, Underwood, Farnham, Marzano, &amp; Hawton, 2021).</w:t>
      </w:r>
    </w:p>
    <w:p w14:paraId="3A546BE1" w14:textId="77777777" w:rsidR="005256E9" w:rsidRPr="0095222D" w:rsidRDefault="005256E9" w:rsidP="00340E9A">
      <w:pPr>
        <w:ind w:right="237"/>
      </w:pPr>
    </w:p>
    <w:p w14:paraId="5FE1AC33"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When dealing with the offender, it was made clear from the beginning that the suspect had learning difficulties which influenced the manner of the investigation; as in making sure that the suspect was afforded the right to have an appropriate adult present during the interview and when reading the rights, and the language used by officers was one that the suspect would understand. Even though the suspect was afforded this right, they were still arrested, cautioned, and interviewed as would be with all other suspects. During this investigation, there was a range of emotions, as the suspect was a young person with learning difficulties, and there was doubt of whether the suspect knew or understood that what they had done was wrong, whether they were aware of what they had done or if it was done by accident and if they did know what they were doing, was it done on purpose. To manage these emotions, it was key to remain impartial and continue the investigation as any other investigation would be carried out, by following the police and personal values of being impartial, work with integrity and transparency, whilst carrying out a public service </w:t>
      </w:r>
      <w:sdt>
        <w:sdtPr>
          <w:rPr>
            <w:rFonts w:asciiTheme="minorHAnsi" w:hAnsiTheme="minorHAnsi" w:cstheme="minorHAnsi"/>
            <w:color w:val="000000" w:themeColor="text1"/>
            <w:sz w:val="22"/>
            <w:szCs w:val="22"/>
          </w:rPr>
          <w:id w:val="-788117162"/>
          <w:citation/>
        </w:sdtPr>
        <w:sdtContent>
          <w:r w:rsidRPr="0095222D">
            <w:rPr>
              <w:rFonts w:asciiTheme="minorHAnsi" w:hAnsiTheme="minorHAnsi" w:cstheme="minorHAnsi"/>
              <w:color w:val="000000" w:themeColor="text1"/>
              <w:sz w:val="22"/>
              <w:szCs w:val="22"/>
            </w:rPr>
            <w:fldChar w:fldCharType="begin"/>
          </w:r>
          <w:r w:rsidRPr="0095222D">
            <w:rPr>
              <w:rFonts w:asciiTheme="minorHAnsi" w:hAnsiTheme="minorHAnsi" w:cstheme="minorHAnsi"/>
              <w:color w:val="000000" w:themeColor="text1"/>
              <w:sz w:val="22"/>
              <w:szCs w:val="22"/>
            </w:rPr>
            <w:instrText xml:space="preserve">CITATION Col23 \l 2057 </w:instrText>
          </w:r>
          <w:r w:rsidRPr="0095222D">
            <w:rPr>
              <w:rFonts w:asciiTheme="minorHAnsi" w:hAnsiTheme="minorHAnsi" w:cstheme="minorHAnsi"/>
              <w:color w:val="000000" w:themeColor="text1"/>
              <w:sz w:val="22"/>
              <w:szCs w:val="22"/>
            </w:rPr>
            <w:fldChar w:fldCharType="separate"/>
          </w:r>
          <w:r w:rsidRPr="0095222D">
            <w:rPr>
              <w:rFonts w:asciiTheme="minorHAnsi" w:hAnsiTheme="minorHAnsi" w:cstheme="minorHAnsi"/>
              <w:noProof/>
              <w:color w:val="000000" w:themeColor="text1"/>
              <w:sz w:val="22"/>
              <w:szCs w:val="22"/>
            </w:rPr>
            <w:t>(Competency and Values, 2023)</w:t>
          </w:r>
          <w:r w:rsidRPr="0095222D">
            <w:rPr>
              <w:rFonts w:asciiTheme="minorHAnsi" w:hAnsiTheme="minorHAnsi" w:cstheme="minorHAnsi"/>
              <w:color w:val="000000" w:themeColor="text1"/>
              <w:sz w:val="22"/>
              <w:szCs w:val="22"/>
            </w:rPr>
            <w:fldChar w:fldCharType="end"/>
          </w:r>
        </w:sdtContent>
      </w:sdt>
      <w:r w:rsidRPr="0095222D">
        <w:rPr>
          <w:rFonts w:asciiTheme="minorHAnsi" w:hAnsiTheme="minorHAnsi" w:cstheme="minorHAnsi"/>
          <w:color w:val="000000" w:themeColor="text1"/>
          <w:sz w:val="22"/>
          <w:szCs w:val="22"/>
        </w:rPr>
        <w:t xml:space="preserve">. </w:t>
      </w:r>
    </w:p>
    <w:p w14:paraId="6F981BDB" w14:textId="77777777" w:rsidR="005256E9" w:rsidRPr="0095222D" w:rsidRDefault="005256E9" w:rsidP="005256E9">
      <w:pPr>
        <w:ind w:right="237"/>
        <w:jc w:val="both"/>
        <w:rPr>
          <w:rFonts w:asciiTheme="minorHAnsi" w:hAnsiTheme="minorHAnsi" w:cstheme="minorHAnsi"/>
          <w:color w:val="000000" w:themeColor="text1"/>
          <w:sz w:val="22"/>
          <w:szCs w:val="22"/>
        </w:rPr>
      </w:pPr>
    </w:p>
    <w:p w14:paraId="3971A003" w14:textId="77777777" w:rsidR="005256E9" w:rsidRPr="0095222D" w:rsidRDefault="005256E9" w:rsidP="005256E9">
      <w:pPr>
        <w:ind w:right="237"/>
        <w:jc w:val="both"/>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 xml:space="preserve">Since joining this department that specifically investigates online child sex offences and having brought to justice these offenders, it has been a rewarding role. Before joining the police, having studied Criminology and Psychology, there is understanding that some people’s brain development can be stunted at a certain age and this can impact the decisions they make, and their understanding of the decisions they make **Reference**. During the investigation being discussed in this essay, there was a consideration towards the suspect’s learning difficulties and the possibility that they did not understand or belief that what they were doing was wrong, however this consideration was teamed with consideration for the impact that the suspect’s actions had on the victim(s) and their families. Alongside these considerations was, remembering the reason for becoming a police officer and that was to detect crime and bring to justice offenders </w:t>
      </w:r>
      <w:sdt>
        <w:sdtPr>
          <w:rPr>
            <w:rFonts w:asciiTheme="minorHAnsi" w:hAnsiTheme="minorHAnsi" w:cstheme="minorHAnsi"/>
            <w:color w:val="000000" w:themeColor="text1"/>
            <w:sz w:val="22"/>
            <w:szCs w:val="22"/>
          </w:rPr>
          <w:id w:val="1096832108"/>
          <w:citation/>
        </w:sdtPr>
        <w:sdtContent>
          <w:r w:rsidRPr="0095222D">
            <w:rPr>
              <w:rFonts w:asciiTheme="minorHAnsi" w:hAnsiTheme="minorHAnsi" w:cstheme="minorHAnsi"/>
              <w:color w:val="000000" w:themeColor="text1"/>
              <w:sz w:val="22"/>
              <w:szCs w:val="22"/>
            </w:rPr>
            <w:fldChar w:fldCharType="begin"/>
          </w:r>
          <w:r w:rsidRPr="0095222D">
            <w:rPr>
              <w:rFonts w:asciiTheme="minorHAnsi" w:hAnsiTheme="minorHAnsi" w:cstheme="minorHAnsi"/>
              <w:color w:val="000000" w:themeColor="text1"/>
              <w:sz w:val="22"/>
              <w:szCs w:val="22"/>
            </w:rPr>
            <w:instrText xml:space="preserve"> CITATION Bau20 \l 2057 </w:instrText>
          </w:r>
          <w:r w:rsidRPr="0095222D">
            <w:rPr>
              <w:rFonts w:asciiTheme="minorHAnsi" w:hAnsiTheme="minorHAnsi" w:cstheme="minorHAnsi"/>
              <w:color w:val="000000" w:themeColor="text1"/>
              <w:sz w:val="22"/>
              <w:szCs w:val="22"/>
            </w:rPr>
            <w:fldChar w:fldCharType="separate"/>
          </w:r>
          <w:r w:rsidRPr="0095222D">
            <w:rPr>
              <w:rFonts w:asciiTheme="minorHAnsi" w:hAnsiTheme="minorHAnsi" w:cstheme="minorHAnsi"/>
              <w:noProof/>
              <w:color w:val="000000" w:themeColor="text1"/>
              <w:sz w:val="22"/>
              <w:szCs w:val="22"/>
            </w:rPr>
            <w:t>(Baughman, 2020)</w:t>
          </w:r>
          <w:r w:rsidRPr="0095222D">
            <w:rPr>
              <w:rFonts w:asciiTheme="minorHAnsi" w:hAnsiTheme="minorHAnsi" w:cstheme="minorHAnsi"/>
              <w:color w:val="000000" w:themeColor="text1"/>
              <w:sz w:val="22"/>
              <w:szCs w:val="22"/>
            </w:rPr>
            <w:fldChar w:fldCharType="end"/>
          </w:r>
        </w:sdtContent>
      </w:sdt>
      <w:r w:rsidRPr="0095222D">
        <w:rPr>
          <w:rFonts w:asciiTheme="minorHAnsi" w:hAnsiTheme="minorHAnsi" w:cstheme="minorHAnsi"/>
          <w:color w:val="000000" w:themeColor="text1"/>
          <w:sz w:val="22"/>
          <w:szCs w:val="22"/>
        </w:rPr>
        <w:t xml:space="preserve">. </w:t>
      </w:r>
    </w:p>
    <w:p w14:paraId="57146BE1" w14:textId="77777777" w:rsidR="005256E9" w:rsidRPr="0095222D" w:rsidRDefault="005256E9" w:rsidP="005256E9">
      <w:pPr>
        <w:ind w:right="237"/>
        <w:jc w:val="both"/>
        <w:rPr>
          <w:rFonts w:asciiTheme="minorHAnsi" w:hAnsiTheme="minorHAnsi" w:cstheme="minorHAnsi"/>
          <w:color w:val="000000" w:themeColor="text1"/>
          <w:sz w:val="22"/>
          <w:szCs w:val="22"/>
        </w:rPr>
      </w:pPr>
    </w:p>
    <w:p w14:paraId="69A02354" w14:textId="77777777" w:rsidR="005256E9" w:rsidRDefault="005256E9" w:rsidP="005256E9">
      <w:pPr>
        <w:ind w:right="237"/>
        <w:rPr>
          <w:rFonts w:asciiTheme="minorHAnsi" w:hAnsiTheme="minorHAnsi" w:cstheme="minorHAnsi"/>
          <w:color w:val="000000" w:themeColor="text1"/>
          <w:sz w:val="22"/>
          <w:szCs w:val="22"/>
        </w:rPr>
      </w:pPr>
      <w:r w:rsidRPr="0095222D">
        <w:rPr>
          <w:rFonts w:asciiTheme="minorHAnsi" w:hAnsiTheme="minorHAnsi" w:cstheme="minorHAnsi"/>
          <w:color w:val="000000" w:themeColor="text1"/>
          <w:sz w:val="22"/>
          <w:szCs w:val="22"/>
        </w:rPr>
        <w:t>During this investigation, there was a mental debate of what would be the right outcome in relation to the offender, prison sentence or rehabilitation. However, as this decision is not made by a police officer, it aids the focus on carrying out the best investigation whilst maintaining the safety and well-being of the suspect. As discussed earlier there is a requirement in this department to look after the suspect’s welfare during the investigation, conversely this was a strange concept to understand when initially joining the department, however the suspect is still a person, and at the time of being investigate, they are “innocent until proven guilty” and the decision to become a police officer was made to be able to bring offender’s to justice not for them to harm themselves</w:t>
      </w:r>
    </w:p>
    <w:p w14:paraId="4877412B" w14:textId="7AFDB337" w:rsidR="00A15ACB" w:rsidRPr="0095222D" w:rsidRDefault="00A15ACB" w:rsidP="0095222D">
      <w:pPr>
        <w:ind w:right="237"/>
        <w:jc w:val="both"/>
        <w:rPr>
          <w:rFonts w:asciiTheme="minorHAnsi" w:hAnsiTheme="minorHAnsi" w:cstheme="minorHAnsi"/>
          <w:color w:val="000000" w:themeColor="text1"/>
          <w:sz w:val="22"/>
          <w:szCs w:val="22"/>
        </w:rPr>
      </w:pPr>
    </w:p>
    <w:p w14:paraId="220BF3ED" w14:textId="77777777" w:rsidR="00A15ACB" w:rsidRDefault="00A15ACB" w:rsidP="00A15ACB">
      <w:pPr>
        <w:pStyle w:val="ListParagraph"/>
        <w:numPr>
          <w:ilvl w:val="0"/>
          <w:numId w:val="50"/>
        </w:num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Victims </w:t>
      </w:r>
    </w:p>
    <w:p w14:paraId="3F9994C1" w14:textId="77777777" w:rsidR="00A15ACB" w:rsidRDefault="00A15ACB" w:rsidP="00A15ACB">
      <w:pPr>
        <w:pStyle w:val="ListParagraph"/>
        <w:numPr>
          <w:ilvl w:val="1"/>
          <w:numId w:val="50"/>
        </w:num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Want to protect them. </w:t>
      </w:r>
    </w:p>
    <w:p w14:paraId="01EC78CC" w14:textId="77777777" w:rsidR="00A15ACB" w:rsidRDefault="00A15ACB" w:rsidP="00A15ACB">
      <w:pPr>
        <w:pStyle w:val="ListParagraph"/>
        <w:numPr>
          <w:ilvl w:val="1"/>
          <w:numId w:val="50"/>
        </w:num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When making an initial contact, had to remember to take things slow, reassure them that they are not in trouble and have not done anything wrong. </w:t>
      </w:r>
    </w:p>
    <w:p w14:paraId="67E2E4ED" w14:textId="77777777" w:rsidR="00A15ACB" w:rsidRDefault="00A15ACB" w:rsidP="00A15ACB">
      <w:pPr>
        <w:pStyle w:val="ListParagraph"/>
        <w:numPr>
          <w:ilvl w:val="1"/>
          <w:numId w:val="50"/>
        </w:num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Reassure the family members that their child is now safe. Reassure them that they have not done anything wrong or failed as a parent. </w:t>
      </w:r>
    </w:p>
    <w:p w14:paraId="0C03EBB4" w14:textId="7A4E9EBF" w:rsidR="00A15ACB" w:rsidRPr="00A15ACB" w:rsidRDefault="00A15ACB" w:rsidP="00A15ACB">
      <w:pPr>
        <w:pStyle w:val="ListParagraph"/>
        <w:numPr>
          <w:ilvl w:val="1"/>
          <w:numId w:val="50"/>
        </w:numPr>
        <w:ind w:right="237"/>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Build a rapport with the child, not blame them for being involved with the suspect. </w:t>
      </w:r>
    </w:p>
    <w:p w14:paraId="08F18362" w14:textId="77777777" w:rsidR="00A15ACB" w:rsidRDefault="00A15ACB" w:rsidP="005256E9">
      <w:pPr>
        <w:ind w:right="237"/>
        <w:rPr>
          <w:rFonts w:asciiTheme="minorHAnsi" w:hAnsiTheme="minorHAnsi" w:cstheme="minorHAnsi"/>
          <w:color w:val="000000" w:themeColor="text1"/>
          <w:sz w:val="22"/>
          <w:szCs w:val="22"/>
        </w:rPr>
      </w:pPr>
    </w:p>
    <w:p w14:paraId="20D709BE" w14:textId="749D83DB" w:rsidR="00A15ACB" w:rsidRDefault="00A15ACB" w:rsidP="005256E9">
      <w:pPr>
        <w:ind w:right="237"/>
        <w:rPr>
          <w:rFonts w:asciiTheme="minorHAnsi" w:hAnsiTheme="minorHAnsi" w:cstheme="minorHAnsi"/>
          <w:color w:val="000000" w:themeColor="text1"/>
          <w:sz w:val="22"/>
          <w:szCs w:val="22"/>
        </w:rPr>
      </w:pPr>
    </w:p>
    <w:p w14:paraId="5A2181A9" w14:textId="65B30C78" w:rsidR="00A15ACB" w:rsidRPr="00D54C8E" w:rsidRDefault="00A15ACB" w:rsidP="00A15ACB">
      <w:pPr>
        <w:pStyle w:val="p2"/>
        <w:rPr>
          <w:rFonts w:asciiTheme="minorHAnsi" w:hAnsiTheme="minorHAnsi" w:cstheme="minorHAnsi"/>
          <w:b/>
          <w:bCs/>
        </w:rPr>
      </w:pPr>
      <w:r w:rsidRPr="00D54C8E">
        <w:rPr>
          <w:rFonts w:asciiTheme="minorHAnsi" w:hAnsiTheme="minorHAnsi" w:cstheme="minorHAnsi"/>
          <w:b/>
          <w:bCs/>
        </w:rPr>
        <w:t>Conclusion</w:t>
      </w:r>
      <w:r>
        <w:rPr>
          <w:rFonts w:asciiTheme="minorHAnsi" w:hAnsiTheme="minorHAnsi" w:cstheme="minorHAnsi"/>
          <w:b/>
          <w:bCs/>
        </w:rPr>
        <w:t xml:space="preserve"> plan</w:t>
      </w:r>
    </w:p>
    <w:p w14:paraId="527814A6" w14:textId="77777777" w:rsidR="00A15ACB" w:rsidRPr="00D54C8E" w:rsidRDefault="00A15ACB" w:rsidP="00A15ACB">
      <w:pPr>
        <w:pStyle w:val="p2"/>
        <w:rPr>
          <w:rFonts w:asciiTheme="minorHAnsi" w:hAnsiTheme="minorHAnsi" w:cstheme="minorHAnsi"/>
        </w:rPr>
      </w:pPr>
      <w:r w:rsidRPr="00D54C8E">
        <w:rPr>
          <w:rFonts w:asciiTheme="minorHAnsi" w:hAnsiTheme="minorHAnsi" w:cstheme="minorHAnsi"/>
        </w:rPr>
        <w:t>– positives of processes employed and fast-track actions</w:t>
      </w:r>
    </w:p>
    <w:p w14:paraId="63BCFF7E" w14:textId="77777777" w:rsidR="00A15ACB" w:rsidRPr="00D54C8E" w:rsidRDefault="00A15ACB" w:rsidP="00A15ACB">
      <w:pPr>
        <w:pStyle w:val="p2"/>
        <w:rPr>
          <w:rFonts w:asciiTheme="minorHAnsi" w:hAnsiTheme="minorHAnsi" w:cstheme="minorHAnsi"/>
        </w:rPr>
      </w:pPr>
      <w:r w:rsidRPr="00D54C8E">
        <w:rPr>
          <w:rFonts w:asciiTheme="minorHAnsi" w:hAnsiTheme="minorHAnsi" w:cstheme="minorHAnsi"/>
        </w:rPr>
        <w:lastRenderedPageBreak/>
        <w:t>– learning/improvements</w:t>
      </w:r>
    </w:p>
    <w:p w14:paraId="64A260C9" w14:textId="77777777" w:rsidR="00A15ACB" w:rsidRPr="00D54C8E" w:rsidRDefault="00A15ACB" w:rsidP="00A15ACB">
      <w:pPr>
        <w:pStyle w:val="p2"/>
        <w:rPr>
          <w:rFonts w:asciiTheme="minorHAnsi" w:hAnsiTheme="minorHAnsi" w:cstheme="minorHAnsi"/>
        </w:rPr>
      </w:pPr>
      <w:r w:rsidRPr="00D54C8E">
        <w:rPr>
          <w:rFonts w:asciiTheme="minorHAnsi" w:hAnsiTheme="minorHAnsi" w:cstheme="minorHAnsi"/>
        </w:rPr>
        <w:t>– positives of support offered</w:t>
      </w:r>
    </w:p>
    <w:p w14:paraId="4467DAF5" w14:textId="77777777" w:rsidR="00A15ACB" w:rsidRPr="00D54C8E" w:rsidRDefault="00A15ACB" w:rsidP="00A15ACB">
      <w:pPr>
        <w:pStyle w:val="p2"/>
        <w:spacing w:before="0" w:beforeAutospacing="0" w:after="0" w:afterAutospacing="0"/>
        <w:rPr>
          <w:rFonts w:asciiTheme="minorHAnsi" w:hAnsiTheme="minorHAnsi" w:cstheme="minorHAnsi"/>
          <w:b/>
          <w:bCs/>
          <w:color w:val="000000" w:themeColor="text1"/>
        </w:rPr>
      </w:pPr>
      <w:r w:rsidRPr="00D54C8E">
        <w:rPr>
          <w:rFonts w:asciiTheme="minorHAnsi" w:hAnsiTheme="minorHAnsi" w:cstheme="minorHAnsi"/>
        </w:rPr>
        <w:t>– learning/improvements</w:t>
      </w:r>
    </w:p>
    <w:p w14:paraId="59D84D7C" w14:textId="77777777" w:rsidR="00A15ACB" w:rsidRDefault="00A15ACB" w:rsidP="005256E9">
      <w:pPr>
        <w:ind w:right="237"/>
        <w:rPr>
          <w:rFonts w:asciiTheme="minorHAnsi" w:hAnsiTheme="minorHAnsi" w:cstheme="minorHAnsi"/>
          <w:color w:val="000000" w:themeColor="text1"/>
          <w:sz w:val="22"/>
          <w:szCs w:val="22"/>
        </w:rPr>
      </w:pPr>
    </w:p>
    <w:p w14:paraId="0FF70336" w14:textId="77777777" w:rsidR="0095222D" w:rsidRDefault="0095222D" w:rsidP="005256E9">
      <w:pPr>
        <w:ind w:right="237"/>
      </w:pPr>
    </w:p>
    <w:p w14:paraId="1C6E93E6" w14:textId="1C8F1183" w:rsidR="00025650" w:rsidRPr="00E676F7" w:rsidRDefault="0095222D" w:rsidP="005256E9">
      <w:pPr>
        <w:ind w:right="237"/>
      </w:pPr>
      <w:r>
        <w:t xml:space="preserve">Word count – 2178 </w:t>
      </w:r>
      <w:r w:rsidR="00025650">
        <w:br w:type="page"/>
      </w: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001675F" w:rsidR="0FF883D4" w:rsidRDefault="5CE196A1" w:rsidP="5CE196A1">
      <w:r w:rsidRPr="5CE196A1">
        <w:rPr>
          <w:rFonts w:eastAsia="Arial"/>
          <w:b/>
          <w:bCs/>
          <w:color w:val="000000" w:themeColor="text1"/>
          <w:sz w:val="24"/>
          <w:szCs w:val="24"/>
        </w:rPr>
        <w:t xml:space="preserve">Signed: </w:t>
      </w:r>
      <w:r w:rsidR="00B20AA4">
        <w:rPr>
          <w:rFonts w:eastAsia="Arial"/>
          <w:b/>
          <w:bCs/>
          <w:color w:val="000000" w:themeColor="text1"/>
          <w:sz w:val="24"/>
          <w:szCs w:val="24"/>
        </w:rPr>
        <w:t xml:space="preserve"> S Mitchell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00767E55" w:rsidR="0FF883D4" w:rsidRPr="00B20AA4" w:rsidRDefault="5CE196A1" w:rsidP="00B20AA4">
      <w:pPr>
        <w:sectPr w:rsidR="0FF883D4" w:rsidRPr="00B20AA4"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B20AA4">
        <w:t xml:space="preserve">  </w:t>
      </w:r>
      <w:r w:rsidR="00B20AA4">
        <w:rPr>
          <w:b/>
          <w:bCs/>
          <w:sz w:val="24"/>
          <w:szCs w:val="24"/>
          <w:lang w:eastAsia="zh-TW"/>
        </w:rPr>
        <w:t xml:space="preserve">23-04-23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312A78E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dt>
      <w:sdtPr>
        <w:id w:val="396640727"/>
        <w:docPartObj>
          <w:docPartGallery w:val="Bibliographies"/>
          <w:docPartUnique/>
        </w:docPartObj>
      </w:sdtPr>
      <w:sdtEndPr>
        <w:rPr>
          <w:b w:val="0"/>
          <w:kern w:val="0"/>
          <w:sz w:val="20"/>
        </w:rPr>
      </w:sdtEndPr>
      <w:sdtContent>
        <w:p w14:paraId="1F905AFE" w14:textId="448C7A52" w:rsidR="00B20AA4" w:rsidRDefault="00B20AA4">
          <w:pPr>
            <w:pStyle w:val="Heading1"/>
          </w:pPr>
        </w:p>
        <w:sdt>
          <w:sdtPr>
            <w:id w:val="111145805"/>
            <w:bibliography/>
          </w:sdtPr>
          <w:sdtContent>
            <w:p w14:paraId="2544C158" w14:textId="77777777" w:rsidR="00B20AA4" w:rsidRPr="00B20AA4" w:rsidRDefault="00B20AA4" w:rsidP="00B20AA4">
              <w:pPr>
                <w:pStyle w:val="Bibliography"/>
                <w:ind w:left="720" w:hanging="720"/>
                <w:rPr>
                  <w:noProof/>
                  <w:sz w:val="22"/>
                  <w:szCs w:val="22"/>
                </w:rPr>
              </w:pPr>
              <w:r w:rsidRPr="00B20AA4">
                <w:rPr>
                  <w:sz w:val="22"/>
                  <w:szCs w:val="22"/>
                </w:rPr>
                <w:fldChar w:fldCharType="begin"/>
              </w:r>
              <w:r w:rsidRPr="00B20AA4">
                <w:rPr>
                  <w:sz w:val="22"/>
                  <w:szCs w:val="22"/>
                </w:rPr>
                <w:instrText xml:space="preserve"> BIBLIOGRAPHY </w:instrText>
              </w:r>
              <w:r w:rsidRPr="00B20AA4">
                <w:rPr>
                  <w:sz w:val="22"/>
                  <w:szCs w:val="22"/>
                </w:rPr>
                <w:fldChar w:fldCharType="separate"/>
              </w:r>
              <w:r w:rsidRPr="00B20AA4">
                <w:rPr>
                  <w:noProof/>
                  <w:sz w:val="22"/>
                  <w:szCs w:val="22"/>
                </w:rPr>
                <w:t xml:space="preserve">Baughman, S. (2020). How effective are police? The problem of clearance rates and criminal accountability. </w:t>
              </w:r>
              <w:r w:rsidRPr="00B20AA4">
                <w:rPr>
                  <w:i/>
                  <w:iCs/>
                  <w:noProof/>
                  <w:sz w:val="22"/>
                  <w:szCs w:val="22"/>
                </w:rPr>
                <w:t>Alabama Law Review, 72</w:t>
              </w:r>
              <w:r w:rsidRPr="00B20AA4">
                <w:rPr>
                  <w:noProof/>
                  <w:sz w:val="22"/>
                  <w:szCs w:val="22"/>
                </w:rPr>
                <w:t>, 47-130.</w:t>
              </w:r>
            </w:p>
            <w:p w14:paraId="59BA1CC4" w14:textId="77777777" w:rsidR="00B20AA4" w:rsidRPr="00B20AA4" w:rsidRDefault="00B20AA4" w:rsidP="00B20AA4">
              <w:pPr>
                <w:pStyle w:val="Bibliography"/>
                <w:ind w:left="720" w:hanging="720"/>
                <w:rPr>
                  <w:noProof/>
                  <w:sz w:val="22"/>
                  <w:szCs w:val="22"/>
                </w:rPr>
              </w:pPr>
              <w:r w:rsidRPr="00B20AA4">
                <w:rPr>
                  <w:noProof/>
                  <w:sz w:val="22"/>
                  <w:szCs w:val="22"/>
                </w:rPr>
                <w:t xml:space="preserve">Bullock, K., &amp; Tilley, N. (2009). Evidence-based policing and crime reduction. </w:t>
              </w:r>
              <w:r w:rsidRPr="00B20AA4">
                <w:rPr>
                  <w:i/>
                  <w:iCs/>
                  <w:noProof/>
                  <w:sz w:val="22"/>
                  <w:szCs w:val="22"/>
                </w:rPr>
                <w:t>Policing: A journal of policy and practice., 3(4)</w:t>
              </w:r>
              <w:r w:rsidRPr="00B20AA4">
                <w:rPr>
                  <w:noProof/>
                  <w:sz w:val="22"/>
                  <w:szCs w:val="22"/>
                </w:rPr>
                <w:t>, 381-387.</w:t>
              </w:r>
            </w:p>
            <w:p w14:paraId="53EE7633" w14:textId="77777777" w:rsidR="00B20AA4" w:rsidRPr="00B20AA4" w:rsidRDefault="00B20AA4" w:rsidP="00B20AA4">
              <w:pPr>
                <w:pStyle w:val="Bibliography"/>
                <w:ind w:left="720" w:hanging="720"/>
                <w:rPr>
                  <w:noProof/>
                  <w:sz w:val="22"/>
                  <w:szCs w:val="22"/>
                </w:rPr>
              </w:pPr>
              <w:r w:rsidRPr="00B20AA4">
                <w:rPr>
                  <w:i/>
                  <w:iCs/>
                  <w:noProof/>
                  <w:sz w:val="22"/>
                  <w:szCs w:val="22"/>
                </w:rPr>
                <w:t>Competency and Values.</w:t>
              </w:r>
              <w:r w:rsidRPr="00B20AA4">
                <w:rPr>
                  <w:noProof/>
                  <w:sz w:val="22"/>
                  <w:szCs w:val="22"/>
                </w:rPr>
                <w:t xml:space="preserve"> (2023, 04 19). Retrieved from College of Policing: https://profdev.college.police.uk/competency-values/</w:t>
              </w:r>
            </w:p>
            <w:p w14:paraId="7E396B0D" w14:textId="77777777" w:rsidR="00B20AA4" w:rsidRPr="00B20AA4" w:rsidRDefault="00B20AA4" w:rsidP="00B20AA4">
              <w:pPr>
                <w:pStyle w:val="Bibliography"/>
                <w:ind w:left="720" w:hanging="720"/>
                <w:rPr>
                  <w:noProof/>
                  <w:sz w:val="22"/>
                  <w:szCs w:val="22"/>
                </w:rPr>
              </w:pPr>
              <w:r w:rsidRPr="00B20AA4">
                <w:rPr>
                  <w:noProof/>
                  <w:sz w:val="22"/>
                  <w:szCs w:val="22"/>
                </w:rPr>
                <w:t xml:space="preserve">DeLiema, M., Burnes, D., &amp; Langton, L. (2021). The financial and psychological impact of identity theft among older adults. </w:t>
              </w:r>
              <w:r w:rsidRPr="00B20AA4">
                <w:rPr>
                  <w:i/>
                  <w:iCs/>
                  <w:noProof/>
                  <w:sz w:val="22"/>
                  <w:szCs w:val="22"/>
                </w:rPr>
                <w:t>Innovation in Aging, 5(4)</w:t>
              </w:r>
              <w:r w:rsidRPr="00B20AA4">
                <w:rPr>
                  <w:noProof/>
                  <w:sz w:val="22"/>
                  <w:szCs w:val="22"/>
                </w:rPr>
                <w:t>.</w:t>
              </w:r>
            </w:p>
            <w:p w14:paraId="7BCCBA78" w14:textId="77777777" w:rsidR="00B20AA4" w:rsidRPr="00B20AA4" w:rsidRDefault="00B20AA4" w:rsidP="00B20AA4">
              <w:pPr>
                <w:pStyle w:val="Bibliography"/>
                <w:ind w:left="720" w:hanging="720"/>
                <w:rPr>
                  <w:noProof/>
                  <w:sz w:val="22"/>
                  <w:szCs w:val="22"/>
                </w:rPr>
              </w:pPr>
              <w:r w:rsidRPr="00B20AA4">
                <w:rPr>
                  <w:noProof/>
                  <w:sz w:val="22"/>
                  <w:szCs w:val="22"/>
                </w:rPr>
                <w:t xml:space="preserve">Farrell, G., &amp; Pease, K. (1993). Once bitten, twice bitten: Repeat victimisation and its implications for crime prevention. </w:t>
              </w:r>
              <w:r w:rsidRPr="00B20AA4">
                <w:rPr>
                  <w:i/>
                  <w:iCs/>
                  <w:noProof/>
                  <w:sz w:val="22"/>
                  <w:szCs w:val="22"/>
                </w:rPr>
                <w:t>London: Home Office Police Research Group, 46</w:t>
              </w:r>
              <w:r w:rsidRPr="00B20AA4">
                <w:rPr>
                  <w:noProof/>
                  <w:sz w:val="22"/>
                  <w:szCs w:val="22"/>
                </w:rPr>
                <w:t>.</w:t>
              </w:r>
            </w:p>
            <w:p w14:paraId="781A8B65" w14:textId="77777777" w:rsidR="00B20AA4" w:rsidRPr="00B20AA4" w:rsidRDefault="00B20AA4" w:rsidP="00B20AA4">
              <w:pPr>
                <w:pStyle w:val="Bibliography"/>
                <w:ind w:left="720" w:hanging="720"/>
                <w:rPr>
                  <w:noProof/>
                  <w:sz w:val="22"/>
                  <w:szCs w:val="22"/>
                </w:rPr>
              </w:pPr>
              <w:r w:rsidRPr="00B20AA4">
                <w:rPr>
                  <w:noProof/>
                  <w:sz w:val="22"/>
                  <w:szCs w:val="22"/>
                </w:rPr>
                <w:t xml:space="preserve">Ferguson, L., Elliott, M., &amp; Kim, S. (2023). Examining the connection between missing persons and victimization: An application of lifestyle exposure theory. </w:t>
              </w:r>
              <w:r w:rsidRPr="00B20AA4">
                <w:rPr>
                  <w:i/>
                  <w:iCs/>
                  <w:noProof/>
                  <w:sz w:val="22"/>
                  <w:szCs w:val="22"/>
                </w:rPr>
                <w:t>Crime &amp; Delinquency, 69(3)</w:t>
              </w:r>
              <w:r w:rsidRPr="00B20AA4">
                <w:rPr>
                  <w:noProof/>
                  <w:sz w:val="22"/>
                  <w:szCs w:val="22"/>
                </w:rPr>
                <w:t>, 656-681.</w:t>
              </w:r>
            </w:p>
            <w:p w14:paraId="2D62A0FF" w14:textId="77777777" w:rsidR="00B20AA4" w:rsidRPr="00B20AA4" w:rsidRDefault="00B20AA4" w:rsidP="00B20AA4">
              <w:pPr>
                <w:pStyle w:val="Bibliography"/>
                <w:ind w:left="720" w:hanging="720"/>
                <w:rPr>
                  <w:noProof/>
                  <w:sz w:val="22"/>
                  <w:szCs w:val="22"/>
                </w:rPr>
              </w:pPr>
              <w:r w:rsidRPr="00B20AA4">
                <w:rPr>
                  <w:i/>
                  <w:iCs/>
                  <w:noProof/>
                  <w:sz w:val="22"/>
                  <w:szCs w:val="22"/>
                </w:rPr>
                <w:t>Fraud Act 2006</w:t>
              </w:r>
              <w:r w:rsidRPr="00B20AA4">
                <w:rPr>
                  <w:noProof/>
                  <w:sz w:val="22"/>
                  <w:szCs w:val="22"/>
                </w:rPr>
                <w:t>. (2006). Retrieved 02 05, 2023, from Legislation.gov: https://www.legislation.gov.uk/ukpga/2006/35/section/2</w:t>
              </w:r>
            </w:p>
            <w:p w14:paraId="3BC7217E" w14:textId="77777777" w:rsidR="00B20AA4" w:rsidRPr="00B20AA4" w:rsidRDefault="00B20AA4" w:rsidP="00B20AA4">
              <w:pPr>
                <w:pStyle w:val="Bibliography"/>
                <w:ind w:left="720" w:hanging="720"/>
                <w:rPr>
                  <w:noProof/>
                  <w:sz w:val="22"/>
                  <w:szCs w:val="22"/>
                </w:rPr>
              </w:pPr>
              <w:r w:rsidRPr="00B20AA4">
                <w:rPr>
                  <w:noProof/>
                  <w:sz w:val="22"/>
                  <w:szCs w:val="22"/>
                </w:rPr>
                <w:t xml:space="preserve">Godfrey, B., Richardson, J., &amp; Walklate, S. (2022). The crisis in the courts: Before and beyond COVID. </w:t>
              </w:r>
              <w:r w:rsidRPr="00B20AA4">
                <w:rPr>
                  <w:i/>
                  <w:iCs/>
                  <w:noProof/>
                  <w:sz w:val="22"/>
                  <w:szCs w:val="22"/>
                </w:rPr>
                <w:t>The British Journal of Criminology, 62(4)</w:t>
              </w:r>
              <w:r w:rsidRPr="00B20AA4">
                <w:rPr>
                  <w:noProof/>
                  <w:sz w:val="22"/>
                  <w:szCs w:val="22"/>
                </w:rPr>
                <w:t>, 1036-1053.</w:t>
              </w:r>
            </w:p>
            <w:p w14:paraId="615CA3DB" w14:textId="77777777" w:rsidR="00B20AA4" w:rsidRPr="00B20AA4" w:rsidRDefault="00B20AA4" w:rsidP="00B20AA4">
              <w:pPr>
                <w:pStyle w:val="Bibliography"/>
                <w:ind w:left="720" w:hanging="720"/>
                <w:rPr>
                  <w:noProof/>
                  <w:sz w:val="22"/>
                  <w:szCs w:val="22"/>
                </w:rPr>
              </w:pPr>
              <w:r w:rsidRPr="00B20AA4">
                <w:rPr>
                  <w:noProof/>
                  <w:sz w:val="22"/>
                  <w:szCs w:val="22"/>
                </w:rPr>
                <w:t xml:space="preserve">Hanmer, J., Griffiths, S., &amp; Jerwood, D. (1999). Arresting evidence: domestic violence and repeat victimisation. </w:t>
              </w:r>
              <w:r w:rsidRPr="00B20AA4">
                <w:rPr>
                  <w:i/>
                  <w:iCs/>
                  <w:noProof/>
                  <w:sz w:val="22"/>
                  <w:szCs w:val="22"/>
                </w:rPr>
                <w:t>London: Home Office, 104</w:t>
              </w:r>
              <w:r w:rsidRPr="00B20AA4">
                <w:rPr>
                  <w:noProof/>
                  <w:sz w:val="22"/>
                  <w:szCs w:val="22"/>
                </w:rPr>
                <w:t>.</w:t>
              </w:r>
            </w:p>
            <w:p w14:paraId="3A06F488" w14:textId="77777777" w:rsidR="00B20AA4" w:rsidRPr="00B20AA4" w:rsidRDefault="00B20AA4" w:rsidP="00B20AA4">
              <w:pPr>
                <w:pStyle w:val="Bibliography"/>
                <w:ind w:left="720" w:hanging="720"/>
                <w:rPr>
                  <w:noProof/>
                  <w:sz w:val="22"/>
                  <w:szCs w:val="22"/>
                </w:rPr>
              </w:pPr>
              <w:r w:rsidRPr="00B20AA4">
                <w:rPr>
                  <w:i/>
                  <w:iCs/>
                  <w:noProof/>
                  <w:sz w:val="22"/>
                  <w:szCs w:val="22"/>
                </w:rPr>
                <w:t>Introduction to vulnerability-related risk</w:t>
              </w:r>
              <w:r w:rsidRPr="00B20AA4">
                <w:rPr>
                  <w:noProof/>
                  <w:sz w:val="22"/>
                  <w:szCs w:val="22"/>
                </w:rPr>
                <w:t>. (2021). Retrieved from College of Policing: https://www.college.police.uk/guidance/vulnerability-related-risks/introduction-vulnerability-related-risk#:~:text=This%20states%20that%20a%20person,others%20from%20harm%20or%20exploitation.</w:t>
              </w:r>
            </w:p>
            <w:p w14:paraId="37DFD56E" w14:textId="77777777" w:rsidR="00B20AA4" w:rsidRPr="00B20AA4" w:rsidRDefault="00B20AA4" w:rsidP="00B20AA4">
              <w:pPr>
                <w:pStyle w:val="Bibliography"/>
                <w:ind w:left="720" w:hanging="720"/>
                <w:rPr>
                  <w:noProof/>
                  <w:sz w:val="22"/>
                  <w:szCs w:val="22"/>
                </w:rPr>
              </w:pPr>
              <w:r w:rsidRPr="00B20AA4">
                <w:rPr>
                  <w:i/>
                  <w:iCs/>
                  <w:noProof/>
                  <w:sz w:val="22"/>
                  <w:szCs w:val="22"/>
                </w:rPr>
                <w:t>Investigation Process.</w:t>
              </w:r>
              <w:r w:rsidRPr="00B20AA4">
                <w:rPr>
                  <w:noProof/>
                  <w:sz w:val="22"/>
                  <w:szCs w:val="22"/>
                </w:rPr>
                <w:t xml:space="preserve"> (2022). Retrieved from College of Policing: https://www.college.police.uk/app/investigation/investigation-process#fast-track-actions</w:t>
              </w:r>
            </w:p>
            <w:p w14:paraId="210BB681" w14:textId="77777777" w:rsidR="00B20AA4" w:rsidRPr="00B20AA4" w:rsidRDefault="00B20AA4" w:rsidP="00B20AA4">
              <w:pPr>
                <w:pStyle w:val="Bibliography"/>
                <w:ind w:left="720" w:hanging="720"/>
                <w:rPr>
                  <w:noProof/>
                  <w:sz w:val="22"/>
                  <w:szCs w:val="22"/>
                </w:rPr>
              </w:pPr>
              <w:r w:rsidRPr="00B20AA4">
                <w:rPr>
                  <w:noProof/>
                  <w:sz w:val="22"/>
                  <w:szCs w:val="22"/>
                </w:rPr>
                <w:t xml:space="preserve">Key, R., Underwood, A., Farnham, F., Marzano, L., &amp; Hawton, K. (2021). Suicidal behavior in individuals accused or convicted of child sex abuse or indecent image offenses: Systematic review of prevalence and risk factors. </w:t>
              </w:r>
              <w:r w:rsidRPr="00B20AA4">
                <w:rPr>
                  <w:i/>
                  <w:iCs/>
                  <w:noProof/>
                  <w:sz w:val="22"/>
                  <w:szCs w:val="22"/>
                </w:rPr>
                <w:t>Suicide and Life</w:t>
              </w:r>
              <w:r w:rsidRPr="00B20AA4">
                <w:rPr>
                  <w:rFonts w:ascii="Cambria Math" w:hAnsi="Cambria Math" w:cs="Cambria Math"/>
                  <w:i/>
                  <w:iCs/>
                  <w:noProof/>
                  <w:sz w:val="22"/>
                  <w:szCs w:val="22"/>
                </w:rPr>
                <w:t>‐</w:t>
              </w:r>
              <w:r w:rsidRPr="00B20AA4">
                <w:rPr>
                  <w:i/>
                  <w:iCs/>
                  <w:noProof/>
                  <w:sz w:val="22"/>
                  <w:szCs w:val="22"/>
                </w:rPr>
                <w:t>Threatening Behavior, 51(4)</w:t>
              </w:r>
              <w:r w:rsidRPr="00B20AA4">
                <w:rPr>
                  <w:noProof/>
                  <w:sz w:val="22"/>
                  <w:szCs w:val="22"/>
                </w:rPr>
                <w:t>, 715-728.</w:t>
              </w:r>
            </w:p>
            <w:p w14:paraId="596528A9" w14:textId="77777777" w:rsidR="00B20AA4" w:rsidRPr="00B20AA4" w:rsidRDefault="00B20AA4" w:rsidP="00B20AA4">
              <w:pPr>
                <w:pStyle w:val="Bibliography"/>
                <w:ind w:left="720" w:hanging="720"/>
                <w:rPr>
                  <w:noProof/>
                  <w:sz w:val="22"/>
                  <w:szCs w:val="22"/>
                </w:rPr>
              </w:pPr>
              <w:r w:rsidRPr="00B20AA4">
                <w:rPr>
                  <w:noProof/>
                  <w:sz w:val="22"/>
                  <w:szCs w:val="22"/>
                </w:rPr>
                <w:t xml:space="preserve">Li, Y., Yazdanmehr, A., Wang, J., &amp; Rao, H. (2019). Responding to identity theft: A victimization perspective. </w:t>
              </w:r>
              <w:r w:rsidRPr="00B20AA4">
                <w:rPr>
                  <w:i/>
                  <w:iCs/>
                  <w:noProof/>
                  <w:sz w:val="22"/>
                  <w:szCs w:val="22"/>
                </w:rPr>
                <w:t>Decision Support Systems, 121</w:t>
              </w:r>
              <w:r w:rsidRPr="00B20AA4">
                <w:rPr>
                  <w:noProof/>
                  <w:sz w:val="22"/>
                  <w:szCs w:val="22"/>
                </w:rPr>
                <w:t>, 13-24.</w:t>
              </w:r>
            </w:p>
            <w:p w14:paraId="18D5C545" w14:textId="77777777" w:rsidR="00B20AA4" w:rsidRPr="00B20AA4" w:rsidRDefault="00B20AA4" w:rsidP="00B20AA4">
              <w:pPr>
                <w:pStyle w:val="Bibliography"/>
                <w:ind w:left="720" w:hanging="720"/>
                <w:rPr>
                  <w:noProof/>
                  <w:sz w:val="22"/>
                  <w:szCs w:val="22"/>
                </w:rPr>
              </w:pPr>
              <w:r w:rsidRPr="00B20AA4">
                <w:rPr>
                  <w:noProof/>
                  <w:sz w:val="22"/>
                  <w:szCs w:val="22"/>
                </w:rPr>
                <w:t xml:space="preserve">Liggins, A., Ratcliffe, J., &amp; Bland, M. (2019). Targeting the most harmful offenders for an English police agency: Continuity and change of membership in the “Felonious Few”. </w:t>
              </w:r>
              <w:r w:rsidRPr="00B20AA4">
                <w:rPr>
                  <w:i/>
                  <w:iCs/>
                  <w:noProof/>
                  <w:sz w:val="22"/>
                  <w:szCs w:val="22"/>
                </w:rPr>
                <w:t>Cambridge journal of evidence-based policing, 3</w:t>
              </w:r>
              <w:r w:rsidRPr="00B20AA4">
                <w:rPr>
                  <w:noProof/>
                  <w:sz w:val="22"/>
                  <w:szCs w:val="22"/>
                </w:rPr>
                <w:t>, 80-96.</w:t>
              </w:r>
            </w:p>
            <w:p w14:paraId="5BFDB4CB" w14:textId="77777777" w:rsidR="00B20AA4" w:rsidRPr="00B20AA4" w:rsidRDefault="00B20AA4" w:rsidP="00B20AA4">
              <w:pPr>
                <w:pStyle w:val="Bibliography"/>
                <w:ind w:left="720" w:hanging="720"/>
                <w:rPr>
                  <w:noProof/>
                  <w:sz w:val="22"/>
                  <w:szCs w:val="22"/>
                </w:rPr>
              </w:pPr>
              <w:r w:rsidRPr="00B20AA4">
                <w:rPr>
                  <w:i/>
                  <w:iCs/>
                  <w:noProof/>
                  <w:sz w:val="22"/>
                  <w:szCs w:val="22"/>
                </w:rPr>
                <w:t>Managing Complex Child Abuse Investigations</w:t>
              </w:r>
              <w:r w:rsidRPr="00B20AA4">
                <w:rPr>
                  <w:noProof/>
                  <w:sz w:val="22"/>
                  <w:szCs w:val="22"/>
                </w:rPr>
                <w:t>. (2022, February 24). Retrieved from College of Policing: https://www.college.police.uk/app/major-investigation-and-public-protection/investigating-child-abuse-and-safeguarding-children/managing-complex-child-abuse-investigations</w:t>
              </w:r>
            </w:p>
            <w:p w14:paraId="2F0DA996" w14:textId="77777777" w:rsidR="00B20AA4" w:rsidRPr="00B20AA4" w:rsidRDefault="00B20AA4" w:rsidP="00B20AA4">
              <w:pPr>
                <w:pStyle w:val="Bibliography"/>
                <w:ind w:left="720" w:hanging="720"/>
                <w:rPr>
                  <w:noProof/>
                  <w:sz w:val="22"/>
                  <w:szCs w:val="22"/>
                </w:rPr>
              </w:pPr>
              <w:r w:rsidRPr="00B20AA4">
                <w:rPr>
                  <w:i/>
                  <w:iCs/>
                  <w:noProof/>
                  <w:sz w:val="22"/>
                  <w:szCs w:val="22"/>
                </w:rPr>
                <w:t>Serious Crime Act 2007</w:t>
              </w:r>
              <w:r w:rsidRPr="00B20AA4">
                <w:rPr>
                  <w:noProof/>
                  <w:sz w:val="22"/>
                  <w:szCs w:val="22"/>
                </w:rPr>
                <w:t>. (n.d.). Retrieved from Legislation.gov.uk: https://www.legislation.gov.uk/ukpga/2007/27/schedule/1</w:t>
              </w:r>
            </w:p>
            <w:p w14:paraId="3A2FB12A" w14:textId="77777777" w:rsidR="00B20AA4" w:rsidRPr="00B20AA4" w:rsidRDefault="00B20AA4" w:rsidP="00B20AA4">
              <w:pPr>
                <w:pStyle w:val="Bibliography"/>
                <w:ind w:left="720" w:hanging="720"/>
                <w:rPr>
                  <w:noProof/>
                  <w:sz w:val="22"/>
                  <w:szCs w:val="22"/>
                </w:rPr>
              </w:pPr>
              <w:r w:rsidRPr="00B20AA4">
                <w:rPr>
                  <w:noProof/>
                  <w:sz w:val="22"/>
                  <w:szCs w:val="22"/>
                </w:rPr>
                <w:lastRenderedPageBreak/>
                <w:t xml:space="preserve">Shane, J. (2021). Situational crime prevention. </w:t>
              </w:r>
              <w:r w:rsidRPr="00B20AA4">
                <w:rPr>
                  <w:i/>
                  <w:iCs/>
                  <w:noProof/>
                  <w:sz w:val="22"/>
                  <w:szCs w:val="22"/>
                </w:rPr>
                <w:t>Violence reduction project.</w:t>
              </w:r>
              <w:r w:rsidRPr="00B20AA4">
                <w:rPr>
                  <w:noProof/>
                  <w:sz w:val="22"/>
                  <w:szCs w:val="22"/>
                </w:rPr>
                <w:t xml:space="preserve"> Retrieved from https://qualitypolicing. com/violencereduction/shane.</w:t>
              </w:r>
            </w:p>
            <w:p w14:paraId="52AC71A5" w14:textId="77777777" w:rsidR="00B20AA4" w:rsidRPr="00B20AA4" w:rsidRDefault="00B20AA4" w:rsidP="00B20AA4">
              <w:pPr>
                <w:pStyle w:val="Bibliography"/>
                <w:ind w:left="720" w:hanging="720"/>
                <w:rPr>
                  <w:noProof/>
                  <w:sz w:val="22"/>
                  <w:szCs w:val="22"/>
                </w:rPr>
              </w:pPr>
              <w:r w:rsidRPr="00B20AA4">
                <w:rPr>
                  <w:noProof/>
                  <w:sz w:val="22"/>
                  <w:szCs w:val="22"/>
                </w:rPr>
                <w:t xml:space="preserve">Shao, J., Zhang, Q., Ren, Y., Li, X., &amp; Lin, T. (2019). Why are older adults victims of fraud? Current knowledge and prospects regarding older adults’ vulnerability to fraud. </w:t>
              </w:r>
              <w:r w:rsidRPr="00B20AA4">
                <w:rPr>
                  <w:i/>
                  <w:iCs/>
                  <w:noProof/>
                  <w:sz w:val="22"/>
                  <w:szCs w:val="22"/>
                </w:rPr>
                <w:t>Journal of Elder Abuse &amp; Neglect, 31(3)</w:t>
              </w:r>
              <w:r w:rsidRPr="00B20AA4">
                <w:rPr>
                  <w:noProof/>
                  <w:sz w:val="22"/>
                  <w:szCs w:val="22"/>
                </w:rPr>
                <w:t>, 225-243.</w:t>
              </w:r>
            </w:p>
            <w:p w14:paraId="3C90BB88" w14:textId="77777777" w:rsidR="00B20AA4" w:rsidRPr="00B20AA4" w:rsidRDefault="00B20AA4" w:rsidP="00B20AA4">
              <w:pPr>
                <w:pStyle w:val="Bibliography"/>
                <w:ind w:left="720" w:hanging="720"/>
                <w:rPr>
                  <w:noProof/>
                  <w:sz w:val="22"/>
                  <w:szCs w:val="22"/>
                </w:rPr>
              </w:pPr>
              <w:r w:rsidRPr="00B20AA4">
                <w:rPr>
                  <w:noProof/>
                  <w:sz w:val="22"/>
                  <w:szCs w:val="22"/>
                </w:rPr>
                <w:t xml:space="preserve">Staton, M., Dickson, M., Tillson, M., &amp; Webster, J. (2019). Staying out: Reentry protective factors among rural women offenders. </w:t>
              </w:r>
              <w:r w:rsidRPr="00B20AA4">
                <w:rPr>
                  <w:i/>
                  <w:iCs/>
                  <w:noProof/>
                  <w:sz w:val="22"/>
                  <w:szCs w:val="22"/>
                </w:rPr>
                <w:t>Women &amp; Criminal Justice, 29(6)</w:t>
              </w:r>
              <w:r w:rsidRPr="00B20AA4">
                <w:rPr>
                  <w:noProof/>
                  <w:sz w:val="22"/>
                  <w:szCs w:val="22"/>
                </w:rPr>
                <w:t>, 368-384.</w:t>
              </w:r>
            </w:p>
            <w:p w14:paraId="17771C29" w14:textId="77777777" w:rsidR="00B20AA4" w:rsidRPr="00B20AA4" w:rsidRDefault="00B20AA4" w:rsidP="00B20AA4">
              <w:pPr>
                <w:pStyle w:val="Bibliography"/>
                <w:ind w:left="720" w:hanging="720"/>
                <w:rPr>
                  <w:noProof/>
                  <w:sz w:val="22"/>
                  <w:szCs w:val="22"/>
                </w:rPr>
              </w:pPr>
              <w:r w:rsidRPr="00B20AA4">
                <w:rPr>
                  <w:noProof/>
                  <w:sz w:val="22"/>
                  <w:szCs w:val="22"/>
                </w:rPr>
                <w:t xml:space="preserve">Strøm, I., Kristian Hjemdal, O., O., Myhre, M., Wentzel-Larsen, T., &amp; Thoresen, S. (2020). The social context of violence: A study of repeated victimization in adolescents and young adults. </w:t>
              </w:r>
              <w:r w:rsidRPr="00B20AA4">
                <w:rPr>
                  <w:i/>
                  <w:iCs/>
                  <w:noProof/>
                  <w:sz w:val="22"/>
                  <w:szCs w:val="22"/>
                </w:rPr>
                <w:t>Journal of interpersonal violence, 35(11-12)</w:t>
              </w:r>
              <w:r w:rsidRPr="00B20AA4">
                <w:rPr>
                  <w:noProof/>
                  <w:sz w:val="22"/>
                  <w:szCs w:val="22"/>
                </w:rPr>
                <w:t>, 2210-2235.</w:t>
              </w:r>
            </w:p>
            <w:p w14:paraId="4F801CDF" w14:textId="77777777" w:rsidR="00B20AA4" w:rsidRPr="00B20AA4" w:rsidRDefault="00B20AA4" w:rsidP="00B20AA4">
              <w:pPr>
                <w:pStyle w:val="Bibliography"/>
                <w:ind w:left="720" w:hanging="720"/>
                <w:rPr>
                  <w:noProof/>
                  <w:sz w:val="22"/>
                  <w:szCs w:val="22"/>
                </w:rPr>
              </w:pPr>
              <w:r w:rsidRPr="00B20AA4">
                <w:rPr>
                  <w:i/>
                  <w:iCs/>
                  <w:noProof/>
                  <w:sz w:val="22"/>
                  <w:szCs w:val="22"/>
                </w:rPr>
                <w:t>Theft Act 1968</w:t>
              </w:r>
              <w:r w:rsidRPr="00B20AA4">
                <w:rPr>
                  <w:noProof/>
                  <w:sz w:val="22"/>
                  <w:szCs w:val="22"/>
                </w:rPr>
                <w:t>. (1968). Retrieved 02 05, 2023, from Legislation.gov: https://www.legislation.gov.uk/ukpga/1968/60/crossheading/definition-of-theft</w:t>
              </w:r>
            </w:p>
            <w:p w14:paraId="00E077E6" w14:textId="77777777" w:rsidR="00B20AA4" w:rsidRPr="00B20AA4" w:rsidRDefault="00B20AA4" w:rsidP="00B20AA4">
              <w:pPr>
                <w:pStyle w:val="Bibliography"/>
                <w:ind w:left="720" w:hanging="720"/>
                <w:rPr>
                  <w:noProof/>
                  <w:sz w:val="22"/>
                  <w:szCs w:val="22"/>
                </w:rPr>
              </w:pPr>
              <w:r w:rsidRPr="00B20AA4">
                <w:rPr>
                  <w:noProof/>
                  <w:sz w:val="22"/>
                  <w:szCs w:val="22"/>
                </w:rPr>
                <w:t xml:space="preserve">Walters, M. (2020). Developments in the use of restorative justice for hate crime. </w:t>
              </w:r>
              <w:r w:rsidRPr="00B20AA4">
                <w:rPr>
                  <w:i/>
                  <w:iCs/>
                  <w:noProof/>
                  <w:sz w:val="22"/>
                  <w:szCs w:val="22"/>
                </w:rPr>
                <w:t>The International Journal of Restorative Justice, 3(3)</w:t>
              </w:r>
              <w:r w:rsidRPr="00B20AA4">
                <w:rPr>
                  <w:noProof/>
                  <w:sz w:val="22"/>
                  <w:szCs w:val="22"/>
                </w:rPr>
                <w:t>.</w:t>
              </w:r>
            </w:p>
            <w:p w14:paraId="7FFF7EF6" w14:textId="246D3E62" w:rsidR="00B20AA4" w:rsidRDefault="00B20AA4" w:rsidP="00B20AA4">
              <w:r w:rsidRPr="00B20AA4">
                <w:rPr>
                  <w:b/>
                  <w:bCs/>
                  <w:noProof/>
                  <w:sz w:val="22"/>
                  <w:szCs w:val="22"/>
                </w:rPr>
                <w:fldChar w:fldCharType="end"/>
              </w:r>
            </w:p>
          </w:sdtContent>
        </w:sdt>
      </w:sdtContent>
    </w:sdt>
    <w:p w14:paraId="456CC20E" w14:textId="785D7D42" w:rsidR="005256E9" w:rsidRDefault="005256E9" w:rsidP="00EA28F1">
      <w:pPr>
        <w:keepNext/>
        <w:spacing w:before="240" w:after="60"/>
        <w:ind w:right="237"/>
        <w:jc w:val="both"/>
        <w:rPr>
          <w:sz w:val="24"/>
          <w:szCs w:val="24"/>
        </w:rPr>
      </w:pPr>
    </w:p>
    <w:p w14:paraId="359B3594" w14:textId="77777777" w:rsidR="005256E9" w:rsidRDefault="005256E9" w:rsidP="00EA28F1">
      <w:pPr>
        <w:keepNext/>
        <w:spacing w:before="240" w:after="60"/>
        <w:ind w:right="237"/>
        <w:jc w:val="both"/>
      </w:pPr>
    </w:p>
    <w:sectPr w:rsidR="005256E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19C13" w14:textId="77777777" w:rsidR="003B4B5B" w:rsidRDefault="003B4B5B">
      <w:r>
        <w:separator/>
      </w:r>
    </w:p>
  </w:endnote>
  <w:endnote w:type="continuationSeparator" w:id="0">
    <w:p w14:paraId="3ACB0E5A" w14:textId="77777777" w:rsidR="003B4B5B" w:rsidRDefault="003B4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8B510" w14:textId="77777777" w:rsidR="003B4B5B" w:rsidRDefault="003B4B5B">
      <w:r>
        <w:separator/>
      </w:r>
    </w:p>
  </w:footnote>
  <w:footnote w:type="continuationSeparator" w:id="0">
    <w:p w14:paraId="179253A1" w14:textId="77777777" w:rsidR="003B4B5B" w:rsidRDefault="003B4B5B">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D6B8108A"/>
    <w:lvl w:ilvl="0" w:tplc="DAA219EE">
      <w:start w:val="1"/>
      <w:numFmt w:val="decimal"/>
      <w:lvlText w:val="%1."/>
      <w:lvlJc w:val="left"/>
      <w:pPr>
        <w:ind w:left="720" w:hanging="360"/>
      </w:pPr>
    </w:lvl>
    <w:lvl w:ilvl="1" w:tplc="3DA08474">
      <w:start w:val="1"/>
      <w:numFmt w:val="lowerLetter"/>
      <w:lvlText w:val="%2."/>
      <w:lvlJc w:val="left"/>
      <w:pPr>
        <w:ind w:left="1440" w:hanging="360"/>
      </w:pPr>
    </w:lvl>
    <w:lvl w:ilvl="2" w:tplc="B72C8986">
      <w:start w:val="1"/>
      <w:numFmt w:val="lowerRoman"/>
      <w:lvlText w:val="%3."/>
      <w:lvlJc w:val="right"/>
      <w:pPr>
        <w:ind w:left="2160" w:hanging="180"/>
      </w:pPr>
    </w:lvl>
    <w:lvl w:ilvl="3" w:tplc="61CAE916">
      <w:start w:val="1"/>
      <w:numFmt w:val="decimal"/>
      <w:lvlText w:val="%4."/>
      <w:lvlJc w:val="left"/>
      <w:pPr>
        <w:ind w:left="2880" w:hanging="360"/>
      </w:pPr>
    </w:lvl>
    <w:lvl w:ilvl="4" w:tplc="AD1698FA">
      <w:start w:val="1"/>
      <w:numFmt w:val="lowerLetter"/>
      <w:lvlText w:val="%5."/>
      <w:lvlJc w:val="left"/>
      <w:pPr>
        <w:ind w:left="3600" w:hanging="360"/>
      </w:pPr>
    </w:lvl>
    <w:lvl w:ilvl="5" w:tplc="52446DBA">
      <w:start w:val="1"/>
      <w:numFmt w:val="lowerRoman"/>
      <w:lvlText w:val="%6."/>
      <w:lvlJc w:val="right"/>
      <w:pPr>
        <w:ind w:left="4320" w:hanging="180"/>
      </w:pPr>
    </w:lvl>
    <w:lvl w:ilvl="6" w:tplc="020E29D6">
      <w:start w:val="1"/>
      <w:numFmt w:val="decimal"/>
      <w:lvlText w:val="%7."/>
      <w:lvlJc w:val="left"/>
      <w:pPr>
        <w:ind w:left="5040" w:hanging="360"/>
      </w:pPr>
    </w:lvl>
    <w:lvl w:ilvl="7" w:tplc="76226844">
      <w:start w:val="1"/>
      <w:numFmt w:val="lowerLetter"/>
      <w:lvlText w:val="%8."/>
      <w:lvlJc w:val="left"/>
      <w:pPr>
        <w:ind w:left="5760" w:hanging="360"/>
      </w:pPr>
    </w:lvl>
    <w:lvl w:ilvl="8" w:tplc="851E66F0">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2A16B4"/>
    <w:multiLevelType w:val="hybridMultilevel"/>
    <w:tmpl w:val="80BE60B2"/>
    <w:lvl w:ilvl="0" w:tplc="39EEC232">
      <w:numFmt w:val="bullet"/>
      <w:lvlText w:val=""/>
      <w:lvlJc w:val="left"/>
      <w:pPr>
        <w:ind w:left="720" w:hanging="360"/>
      </w:pPr>
      <w:rPr>
        <w:rFonts w:ascii="Wingdings" w:eastAsia="Times New Roman" w:hAnsi="Wingdings"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94CF194"/>
    <w:multiLevelType w:val="hybridMultilevel"/>
    <w:tmpl w:val="2FF65452"/>
    <w:lvl w:ilvl="0" w:tplc="535E966A">
      <w:start w:val="1"/>
      <w:numFmt w:val="decimal"/>
      <w:lvlText w:val="%1."/>
      <w:lvlJc w:val="left"/>
      <w:pPr>
        <w:ind w:left="720" w:hanging="360"/>
      </w:pPr>
    </w:lvl>
    <w:lvl w:ilvl="1" w:tplc="01BCF8C8">
      <w:start w:val="1"/>
      <w:numFmt w:val="decimal"/>
      <w:lvlText w:val="%2."/>
      <w:lvlJc w:val="left"/>
      <w:pPr>
        <w:ind w:left="1440" w:hanging="360"/>
      </w:pPr>
    </w:lvl>
    <w:lvl w:ilvl="2" w:tplc="AE429134">
      <w:start w:val="1"/>
      <w:numFmt w:val="lowerRoman"/>
      <w:lvlText w:val="%3."/>
      <w:lvlJc w:val="right"/>
      <w:pPr>
        <w:ind w:left="2160" w:hanging="180"/>
      </w:pPr>
    </w:lvl>
    <w:lvl w:ilvl="3" w:tplc="EDCEB684">
      <w:start w:val="1"/>
      <w:numFmt w:val="decimal"/>
      <w:lvlText w:val="%4."/>
      <w:lvlJc w:val="left"/>
      <w:pPr>
        <w:ind w:left="2880" w:hanging="360"/>
      </w:pPr>
    </w:lvl>
    <w:lvl w:ilvl="4" w:tplc="547ED4E6">
      <w:start w:val="1"/>
      <w:numFmt w:val="lowerLetter"/>
      <w:lvlText w:val="%5."/>
      <w:lvlJc w:val="left"/>
      <w:pPr>
        <w:ind w:left="3600" w:hanging="360"/>
      </w:pPr>
    </w:lvl>
    <w:lvl w:ilvl="5" w:tplc="23F49AA6">
      <w:start w:val="1"/>
      <w:numFmt w:val="lowerRoman"/>
      <w:lvlText w:val="%6."/>
      <w:lvlJc w:val="right"/>
      <w:pPr>
        <w:ind w:left="4320" w:hanging="180"/>
      </w:pPr>
    </w:lvl>
    <w:lvl w:ilvl="6" w:tplc="60B687D8">
      <w:start w:val="1"/>
      <w:numFmt w:val="decimal"/>
      <w:lvlText w:val="%7."/>
      <w:lvlJc w:val="left"/>
      <w:pPr>
        <w:ind w:left="5040" w:hanging="360"/>
      </w:pPr>
    </w:lvl>
    <w:lvl w:ilvl="7" w:tplc="E8EEB8C2">
      <w:start w:val="1"/>
      <w:numFmt w:val="lowerLetter"/>
      <w:lvlText w:val="%8."/>
      <w:lvlJc w:val="left"/>
      <w:pPr>
        <w:ind w:left="5760" w:hanging="360"/>
      </w:pPr>
    </w:lvl>
    <w:lvl w:ilvl="8" w:tplc="823CD528">
      <w:start w:val="1"/>
      <w:numFmt w:val="lowerRoman"/>
      <w:lvlText w:val="%9."/>
      <w:lvlJc w:val="right"/>
      <w:pPr>
        <w:ind w:left="6480" w:hanging="18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5185099">
    <w:abstractNumId w:val="48"/>
  </w:num>
  <w:num w:numId="2" w16cid:durableId="1649632792">
    <w:abstractNumId w:val="10"/>
  </w:num>
  <w:num w:numId="3" w16cid:durableId="1878883474">
    <w:abstractNumId w:val="1"/>
    <w:lvlOverride w:ilvl="0">
      <w:lvl w:ilvl="0">
        <w:start w:val="1"/>
        <w:numFmt w:val="bullet"/>
        <w:lvlText w:val=""/>
        <w:lvlJc w:val="left"/>
        <w:pPr>
          <w:ind w:left="720" w:hanging="360"/>
        </w:pPr>
        <w:rPr>
          <w:rFonts w:ascii="Symbol" w:hAnsi="Symbol" w:hint="default"/>
        </w:rPr>
      </w:lvl>
    </w:lvlOverride>
  </w:num>
  <w:num w:numId="4" w16cid:durableId="402920296">
    <w:abstractNumId w:val="22"/>
  </w:num>
  <w:num w:numId="5" w16cid:durableId="1193374272">
    <w:abstractNumId w:val="45"/>
  </w:num>
  <w:num w:numId="6" w16cid:durableId="2000645324">
    <w:abstractNumId w:val="47"/>
  </w:num>
  <w:num w:numId="7" w16cid:durableId="1559626840">
    <w:abstractNumId w:val="35"/>
  </w:num>
  <w:num w:numId="8" w16cid:durableId="1380548332">
    <w:abstractNumId w:val="33"/>
  </w:num>
  <w:num w:numId="9" w16cid:durableId="813255826">
    <w:abstractNumId w:val="30"/>
  </w:num>
  <w:num w:numId="10" w16cid:durableId="1549222516">
    <w:abstractNumId w:val="31"/>
  </w:num>
  <w:num w:numId="11" w16cid:durableId="1638027970">
    <w:abstractNumId w:val="9"/>
  </w:num>
  <w:num w:numId="12" w16cid:durableId="494879915">
    <w:abstractNumId w:val="34"/>
  </w:num>
  <w:num w:numId="13" w16cid:durableId="1684435622">
    <w:abstractNumId w:val="17"/>
  </w:num>
  <w:num w:numId="14" w16cid:durableId="562524002">
    <w:abstractNumId w:val="16"/>
  </w:num>
  <w:num w:numId="15" w16cid:durableId="1776437660">
    <w:abstractNumId w:val="27"/>
  </w:num>
  <w:num w:numId="16" w16cid:durableId="1573420052">
    <w:abstractNumId w:val="7"/>
  </w:num>
  <w:num w:numId="17" w16cid:durableId="254560951">
    <w:abstractNumId w:val="26"/>
  </w:num>
  <w:num w:numId="18" w16cid:durableId="529924463">
    <w:abstractNumId w:val="15"/>
  </w:num>
  <w:num w:numId="19" w16cid:durableId="1429348544">
    <w:abstractNumId w:val="13"/>
  </w:num>
  <w:num w:numId="20" w16cid:durableId="110607176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74076150">
    <w:abstractNumId w:val="23"/>
  </w:num>
  <w:num w:numId="22" w16cid:durableId="1899659144">
    <w:abstractNumId w:val="18"/>
  </w:num>
  <w:num w:numId="23" w16cid:durableId="419956245">
    <w:abstractNumId w:val="14"/>
  </w:num>
  <w:num w:numId="24" w16cid:durableId="1968393222">
    <w:abstractNumId w:val="11"/>
  </w:num>
  <w:num w:numId="25" w16cid:durableId="339699902">
    <w:abstractNumId w:val="28"/>
  </w:num>
  <w:num w:numId="26" w16cid:durableId="1036854744">
    <w:abstractNumId w:val="19"/>
  </w:num>
  <w:num w:numId="27" w16cid:durableId="1252086830">
    <w:abstractNumId w:val="41"/>
  </w:num>
  <w:num w:numId="28" w16cid:durableId="1422531344">
    <w:abstractNumId w:val="36"/>
  </w:num>
  <w:num w:numId="29" w16cid:durableId="945310623">
    <w:abstractNumId w:val="40"/>
  </w:num>
  <w:num w:numId="30" w16cid:durableId="684016707">
    <w:abstractNumId w:val="20"/>
  </w:num>
  <w:num w:numId="31" w16cid:durableId="1001851356">
    <w:abstractNumId w:val="43"/>
  </w:num>
  <w:num w:numId="32" w16cid:durableId="1121192899">
    <w:abstractNumId w:val="32"/>
  </w:num>
  <w:num w:numId="33" w16cid:durableId="1367560364">
    <w:abstractNumId w:val="12"/>
  </w:num>
  <w:num w:numId="34" w16cid:durableId="860778555">
    <w:abstractNumId w:val="44"/>
  </w:num>
  <w:num w:numId="35" w16cid:durableId="464348446">
    <w:abstractNumId w:val="39"/>
  </w:num>
  <w:num w:numId="36" w16cid:durableId="1035928320">
    <w:abstractNumId w:val="4"/>
  </w:num>
  <w:num w:numId="37" w16cid:durableId="1933390305">
    <w:abstractNumId w:val="46"/>
  </w:num>
  <w:num w:numId="38" w16cid:durableId="191840584">
    <w:abstractNumId w:val="42"/>
  </w:num>
  <w:num w:numId="39" w16cid:durableId="2073774054">
    <w:abstractNumId w:val="37"/>
  </w:num>
  <w:num w:numId="40" w16cid:durableId="1167483322">
    <w:abstractNumId w:val="38"/>
  </w:num>
  <w:num w:numId="41" w16cid:durableId="1178541411">
    <w:abstractNumId w:val="3"/>
  </w:num>
  <w:num w:numId="42" w16cid:durableId="1284460322">
    <w:abstractNumId w:val="5"/>
  </w:num>
  <w:num w:numId="43" w16cid:durableId="566190316">
    <w:abstractNumId w:val="25"/>
  </w:num>
  <w:num w:numId="44" w16cid:durableId="208340832">
    <w:abstractNumId w:val="6"/>
  </w:num>
  <w:num w:numId="45" w16cid:durableId="2041393963">
    <w:abstractNumId w:val="2"/>
  </w:num>
  <w:num w:numId="46" w16cid:durableId="1638997716">
    <w:abstractNumId w:val="0"/>
  </w:num>
  <w:num w:numId="47" w16cid:durableId="823933729">
    <w:abstractNumId w:val="21"/>
  </w:num>
  <w:num w:numId="48" w16cid:durableId="897474911">
    <w:abstractNumId w:val="29"/>
  </w:num>
  <w:num w:numId="49" w16cid:durableId="150028287">
    <w:abstractNumId w:val="49"/>
  </w:num>
  <w:num w:numId="50" w16cid:durableId="127451103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5A28"/>
    <w:rsid w:val="00147DE3"/>
    <w:rsid w:val="00150794"/>
    <w:rsid w:val="001608C4"/>
    <w:rsid w:val="00171418"/>
    <w:rsid w:val="00190913"/>
    <w:rsid w:val="001961CF"/>
    <w:rsid w:val="001A59BB"/>
    <w:rsid w:val="001A6A51"/>
    <w:rsid w:val="001A79C4"/>
    <w:rsid w:val="001B331A"/>
    <w:rsid w:val="001C0E74"/>
    <w:rsid w:val="001C2FBF"/>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28C9"/>
    <w:rsid w:val="00385414"/>
    <w:rsid w:val="00386A55"/>
    <w:rsid w:val="00390074"/>
    <w:rsid w:val="00394EC2"/>
    <w:rsid w:val="0039762B"/>
    <w:rsid w:val="003A0C37"/>
    <w:rsid w:val="003A1B6B"/>
    <w:rsid w:val="003A2F82"/>
    <w:rsid w:val="003A46C0"/>
    <w:rsid w:val="003A600E"/>
    <w:rsid w:val="003A6513"/>
    <w:rsid w:val="003B16C7"/>
    <w:rsid w:val="003B4B5B"/>
    <w:rsid w:val="003C19F1"/>
    <w:rsid w:val="003C4186"/>
    <w:rsid w:val="003C458C"/>
    <w:rsid w:val="003C6185"/>
    <w:rsid w:val="003C6759"/>
    <w:rsid w:val="003D0D2D"/>
    <w:rsid w:val="003D4710"/>
    <w:rsid w:val="003E16D7"/>
    <w:rsid w:val="003E197E"/>
    <w:rsid w:val="003E7172"/>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56E9"/>
    <w:rsid w:val="00536FA9"/>
    <w:rsid w:val="005414F4"/>
    <w:rsid w:val="00546187"/>
    <w:rsid w:val="005463F1"/>
    <w:rsid w:val="0055727D"/>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35AC"/>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222D"/>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5ACB"/>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6510"/>
    <w:rsid w:val="00AE7077"/>
    <w:rsid w:val="00AF61C2"/>
    <w:rsid w:val="00AF6CC6"/>
    <w:rsid w:val="00B011CD"/>
    <w:rsid w:val="00B0296A"/>
    <w:rsid w:val="00B12295"/>
    <w:rsid w:val="00B137BE"/>
    <w:rsid w:val="00B17FA0"/>
    <w:rsid w:val="00B20AA4"/>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330B"/>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A64"/>
    <w:rsid w:val="00CD5D3F"/>
    <w:rsid w:val="00CF1E90"/>
    <w:rsid w:val="00CF3DB3"/>
    <w:rsid w:val="00D044DE"/>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legclearfix">
    <w:name w:val="legclearfix"/>
    <w:basedOn w:val="Normal"/>
    <w:rsid w:val="005256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5256E9"/>
  </w:style>
  <w:style w:type="paragraph" w:styleId="PlainText">
    <w:name w:val="Plain Text"/>
    <w:basedOn w:val="Normal"/>
    <w:link w:val="PlainTextChar"/>
    <w:uiPriority w:val="99"/>
    <w:semiHidden/>
    <w:unhideWhenUsed/>
    <w:rsid w:val="003E7172"/>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semiHidden/>
    <w:rsid w:val="003E7172"/>
    <w:rPr>
      <w:rFonts w:ascii="Calibri" w:eastAsiaTheme="minorHAnsi" w:hAnsi="Calibri" w:cstheme="minorBidi"/>
      <w:sz w:val="22"/>
      <w:szCs w:val="21"/>
      <w:lang w:eastAsia="en-US"/>
    </w:rPr>
  </w:style>
  <w:style w:type="paragraph" w:customStyle="1" w:styleId="p2">
    <w:name w:val="p2"/>
    <w:basedOn w:val="Normal"/>
    <w:rsid w:val="00A15ACB"/>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Heading1Char">
    <w:name w:val="Heading 1 Char"/>
    <w:basedOn w:val="DefaultParagraphFont"/>
    <w:link w:val="Heading1"/>
    <w:uiPriority w:val="9"/>
    <w:rsid w:val="00B20AA4"/>
    <w:rPr>
      <w:rFonts w:ascii="Arial" w:hAnsi="Arial" w:cs="Arial"/>
      <w:b/>
      <w:color w:val="000000"/>
      <w:kern w:val="28"/>
      <w:sz w:val="28"/>
      <w:lang w:eastAsia="en-GB"/>
    </w:rPr>
  </w:style>
  <w:style w:type="paragraph" w:styleId="Bibliography">
    <w:name w:val="Bibliography"/>
    <w:basedOn w:val="Normal"/>
    <w:next w:val="Normal"/>
    <w:uiPriority w:val="37"/>
    <w:unhideWhenUsed/>
    <w:rsid w:val="00B20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41532790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767792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Ser</b:Tag>
    <b:SourceType>InternetSite</b:SourceType>
    <b:Guid>{8E7161F8-E253-452A-87CD-1BA7F8A748C0}</b:Guid>
    <b:Title>Serious Crime Act 2007</b:Title>
    <b:InternetSiteTitle>Legislation.gov.uk</b:InternetSiteTitle>
    <b:URL>https://www.legislation.gov.uk/ukpga/2007/27/schedule/1</b:URL>
    <b:RefOrder>18</b:RefOrder>
  </b:Source>
  <b:Source>
    <b:Tag>Key21</b:Tag>
    <b:SourceType>JournalArticle</b:SourceType>
    <b:Guid>{A126B510-CDA4-49E8-A19C-A75AB2E449A4}</b:Guid>
    <b:Title>Suicidal behavior in individuals accused or convicted of child sex abuse or indecent image offenses: Systematic review of prevalence and risk factors</b:Title>
    <b:Year>2021</b:Year>
    <b:JournalName>Suicide and Life‐Threatening Behavior</b:JournalName>
    <b:Pages>715-728</b:Pages>
    <b:Volume>51(4)</b:Volume>
    <b:Author>
      <b:Author>
        <b:NameList>
          <b:Person>
            <b:Last>Key</b:Last>
            <b:First>R</b:First>
          </b:Person>
          <b:Person>
            <b:Last>Underwood</b:Last>
            <b:First>A</b:First>
          </b:Person>
          <b:Person>
            <b:Last>Farnham</b:Last>
            <b:First>F</b:First>
          </b:Person>
          <b:Person>
            <b:Last>Marzano</b:Last>
            <b:First>L</b:First>
          </b:Person>
          <b:Person>
            <b:Last>Hawton</b:Last>
            <b:First>K</b:First>
          </b:Person>
        </b:NameList>
      </b:Author>
    </b:Author>
    <b:RefOrder>19</b:RefOrder>
  </b:Source>
  <b:Source>
    <b:Tag>Man22</b:Tag>
    <b:SourceType>InternetSite</b:SourceType>
    <b:Guid>{8DAC5903-45E0-4637-94F0-F7D1E660F527}</b:Guid>
    <b:Title>Managing Complex Child Abuse Investigations</b:Title>
    <b:Year>2022</b:Year>
    <b:InternetSiteTitle>College of Policing</b:InternetSiteTitle>
    <b:Month>February</b:Month>
    <b:Day>24</b:Day>
    <b:URL>https://www.college.police.uk/app/major-investigation-and-public-protection/investigating-child-abuse-and-safeguarding-children/managing-complex-child-abuse-investigations</b:URL>
    <b:RefOrder>20</b:RefOrder>
  </b:Source>
  <b:Source>
    <b:Tag>Inv22</b:Tag>
    <b:SourceType>DocumentFromInternetSite</b:SourceType>
    <b:Guid>{CBE6BCBC-F2A1-4300-9312-8E830EF2EE7D}</b:Guid>
    <b:Title>Investigation Process</b:Title>
    <b:InternetSiteTitle>College of Policing</b:InternetSiteTitle>
    <b:Year>2022</b:Year>
    <b:URL>https://www.college.police.uk/app/investigation/investigation-process#fast-track-actions</b:URL>
    <b:RefOrder>21</b:RefOrder>
  </b:Source>
  <b:Source>
    <b:Tag>Col23</b:Tag>
    <b:SourceType>DocumentFromInternetSite</b:SourceType>
    <b:Guid>{9B98203E-B4E0-4D40-B9B1-81417F04515B}</b:Guid>
    <b:Title>Competency and Values</b:Title>
    <b:Year>2023</b:Year>
    <b:InternetSiteTitle>College of Policing</b:InternetSiteTitle>
    <b:Month>04</b:Month>
    <b:Day>19</b:Day>
    <b:URL>https://profdev.college.police.uk/competency-values/</b:URL>
    <b:RefOrder>22</b:RefOrder>
  </b:Source>
  <b:Source>
    <b:Tag>Bau20</b:Tag>
    <b:SourceType>JournalArticle</b:SourceType>
    <b:Guid>{D8E88D15-2808-4532-9D56-9F92B07FFADB}</b:Guid>
    <b:Title>How effective are police? The problem of clearance rates and criminal accountability</b:Title>
    <b:Year>2020</b:Year>
    <b:JournalName>Alabama Law Review</b:JournalName>
    <b:Pages>47-130</b:Pages>
    <b:Author>
      <b:Author>
        <b:NameList>
          <b:Person>
            <b:Last>Baughman</b:Last>
            <b:First>S</b:First>
          </b:Person>
        </b:NameList>
      </b:Author>
    </b:Author>
    <b:Volume>72</b:Volume>
    <b:RefOrder>6</b:RefOrder>
  </b:Source>
  <b:Source>
    <b:Tag>Sha19</b:Tag>
    <b:SourceType>JournalArticle</b:SourceType>
    <b:Guid>{2EE11D47-3146-42D1-91A2-DDB0571A466E}</b:Guid>
    <b:Title>Why are older adults victims of fraud? Current knowledge and prospects regarding older adults’ vulnerability to fraud</b:Title>
    <b:JournalName>Journal of Elder Abuse &amp; Neglect</b:JournalName>
    <b:Year>2019</b:Year>
    <b:Pages>225-243</b:Pages>
    <b:Author>
      <b:Author>
        <b:NameList>
          <b:Person>
            <b:Last>Shao</b:Last>
            <b:First>J</b:First>
          </b:Person>
          <b:Person>
            <b:Last>Zhang</b:Last>
            <b:First>Q</b:First>
          </b:Person>
          <b:Person>
            <b:Last>Ren</b:Last>
            <b:First>Y</b:First>
          </b:Person>
          <b:Person>
            <b:Last>Li</b:Last>
            <b:First>X</b:First>
          </b:Person>
          <b:Person>
            <b:Last>Lin</b:Last>
            <b:First>T</b:First>
          </b:Person>
        </b:NameList>
      </b:Author>
    </b:Author>
    <b:Volume>31(3)</b:Volume>
    <b:RefOrder>1</b:RefOrder>
  </b:Source>
  <b:Source>
    <b:Tag>DeL21</b:Tag>
    <b:SourceType>JournalArticle</b:SourceType>
    <b:Guid>{1D7EE6A8-B04C-4945-8388-6125964FE26D}</b:Guid>
    <b:Title>The financial and psychological impact of identity theft among older adults</b:Title>
    <b:JournalName>Innovation in Aging</b:JournalName>
    <b:Year>2021</b:Year>
    <b:Volume>5(4)</b:Volume>
    <b:Author>
      <b:Author>
        <b:NameList>
          <b:Person>
            <b:Last>DeLiema</b:Last>
            <b:First>M</b:First>
          </b:Person>
          <b:Person>
            <b:Last>Burnes</b:Last>
            <b:First>D</b:First>
          </b:Person>
          <b:Person>
            <b:Last>Langton</b:Last>
            <b:First>L</b:First>
          </b:Person>
        </b:NameList>
      </b:Author>
    </b:Author>
    <b:RefOrder>2</b:RefOrder>
  </b:Source>
  <b:Source>
    <b:Tag>The68</b:Tag>
    <b:SourceType>InternetSite</b:SourceType>
    <b:Guid>{BF788099-17B3-45C9-B789-D07F10C5990A}</b:Guid>
    <b:Title>Theft Act 1968</b:Title>
    <b:Year>1968</b:Year>
    <b:InternetSiteTitle>Legislation.gov</b:InternetSiteTitle>
    <b:URL>https://www.legislation.gov.uk/ukpga/1968/60/crossheading/definition-of-theft</b:URL>
    <b:YearAccessed>2023</b:YearAccessed>
    <b:MonthAccessed>02</b:MonthAccessed>
    <b:DayAccessed>05</b:DayAccessed>
    <b:RefOrder>3</b:RefOrder>
  </b:Source>
  <b:Source>
    <b:Tag>Fra06</b:Tag>
    <b:SourceType>InternetSite</b:SourceType>
    <b:Guid>{80B701BD-FE86-4B61-B33F-AD5657F8D2A6}</b:Guid>
    <b:Title>Fraud Act 2006</b:Title>
    <b:InternetSiteTitle>Legislation.gov</b:InternetSiteTitle>
    <b:Year>2006</b:Year>
    <b:URL>https://www.legislation.gov.uk/ukpga/2006/35/section/2</b:URL>
    <b:YearAccessed>2023</b:YearAccessed>
    <b:MonthAccessed>02</b:MonthAccessed>
    <b:DayAccessed>05</b:DayAccessed>
    <b:RefOrder>4</b:RefOrder>
  </b:Source>
  <b:Source>
    <b:Tag>Int21</b:Tag>
    <b:SourceType>InternetSite</b:SourceType>
    <b:Guid>{C847B385-1CC2-44CC-AB3D-DB98556AC976}</b:Guid>
    <b:Title>Introduction to vulnerability-related risk</b:Title>
    <b:Year>2021</b:Year>
    <b:InternetSiteTitle>College of Policing</b:InternetSiteTitle>
    <b:URL>https://www.college.police.uk/guidance/vulnerability-related-risks/introduction-vulnerability-related-risk#:~:text=This%20states%20that%20a%20person,others%20from%20harm%20or%20exploitation.</b:URL>
    <b:RefOrder>5</b:RefOrder>
  </b:Source>
  <b:Source>
    <b:Tag>Bul09</b:Tag>
    <b:SourceType>JournalArticle</b:SourceType>
    <b:Guid>{6565B652-4854-48A0-9269-F511E8268DC4}</b:Guid>
    <b:Title>Evidence-based policing and crime reduction.</b:Title>
    <b:JournalName>Policing: A journal of policy and practice.</b:JournalName>
    <b:Year>2009</b:Year>
    <b:Pages>381-387</b:Pages>
    <b:Author>
      <b:Author>
        <b:NameList>
          <b:Person>
            <b:Last>Bullock</b:Last>
            <b:First>K</b:First>
          </b:Person>
          <b:Person>
            <b:Last>Tilley</b:Last>
            <b:First>N</b:First>
          </b:Person>
        </b:NameList>
      </b:Author>
    </b:Author>
    <b:Volume>3(4)</b:Volume>
    <b:RefOrder>7</b:RefOrder>
  </b:Source>
  <b:Source>
    <b:Tag>Str20</b:Tag>
    <b:SourceType>JournalArticle</b:SourceType>
    <b:Guid>{D5288D17-030D-4530-ADD8-1DC1EBECF6F8}</b:Guid>
    <b:Title>The social context of violence: A study of repeated victimization in adolescents and young adults</b:Title>
    <b:JournalName>Journal of interpersonal violence</b:JournalName>
    <b:Year>2020</b:Year>
    <b:Pages>2210-2235</b:Pages>
    <b:Author>
      <b:Author>
        <b:NameList>
          <b:Person>
            <b:Last>Strøm</b:Last>
            <b:First>I.F</b:First>
          </b:Person>
          <b:Person>
            <b:Last>Kristian Hjemdal</b:Last>
            <b:First>O</b:First>
          </b:Person>
          <b:Person>
            <b:Last>O., Myhre</b:Last>
            <b:First>M.C</b:First>
          </b:Person>
          <b:Person>
            <b:Last>Wentzel-Larsen</b:Last>
            <b:First>T</b:First>
          </b:Person>
          <b:Person>
            <b:Last>Thoresen</b:Last>
            <b:First>S</b:First>
          </b:Person>
        </b:NameList>
      </b:Author>
    </b:Author>
    <b:Volume>35(11-12)</b:Volume>
    <b:RefOrder>8</b:RefOrder>
  </b:Source>
  <b:Source>
    <b:Tag>Fer23</b:Tag>
    <b:SourceType>JournalArticle</b:SourceType>
    <b:Guid>{7B3356A2-63EC-41A1-9FFA-EFAB0D517F69}</b:Guid>
    <b:Title>Examining the connection between missing persons and victimization: An application of lifestyle exposure theory</b:Title>
    <b:JournalName>Crime &amp; Delinquency</b:JournalName>
    <b:Year>2023</b:Year>
    <b:Pages>656-681</b:Pages>
    <b:Author>
      <b:Author>
        <b:NameList>
          <b:Person>
            <b:Last>Ferguson</b:Last>
            <b:First>L</b:First>
          </b:Person>
          <b:Person>
            <b:Last>Elliott</b:Last>
            <b:First>M</b:First>
          </b:Person>
          <b:Person>
            <b:Last>Kim</b:Last>
            <b:First>S</b:First>
          </b:Person>
        </b:NameList>
      </b:Author>
    </b:Author>
    <b:Volume>69(3)</b:Volume>
    <b:RefOrder>9</b:RefOrder>
  </b:Source>
  <b:Source>
    <b:Tag>LiY19</b:Tag>
    <b:SourceType>JournalArticle</b:SourceType>
    <b:Guid>{C33F9723-834E-4D51-99DE-4665F6808963}</b:Guid>
    <b:Title>Responding to identity theft: A victimization perspective</b:Title>
    <b:JournalName>Decision Support Systems</b:JournalName>
    <b:Year>2019</b:Year>
    <b:Pages>13-24</b:Pages>
    <b:Volume>121</b:Volume>
    <b:Author>
      <b:Author>
        <b:NameList>
          <b:Person>
            <b:Last>Li</b:Last>
            <b:First>Y</b:First>
          </b:Person>
          <b:Person>
            <b:Last>Yazdanmehr</b:Last>
            <b:First>A</b:First>
          </b:Person>
          <b:Person>
            <b:Last>Wang</b:Last>
            <b:First>J</b:First>
          </b:Person>
          <b:Person>
            <b:Last>Rao</b:Last>
            <b:First>H.R</b:First>
          </b:Person>
        </b:NameList>
      </b:Author>
    </b:Author>
    <b:RefOrder>10</b:RefOrder>
  </b:Source>
  <b:Source>
    <b:Tag>Han99</b:Tag>
    <b:SourceType>JournalArticle</b:SourceType>
    <b:Guid>{2D7B2081-6B46-45E0-847E-AB6FC8B00994}</b:Guid>
    <b:Title>Arresting evidence: domestic violence and repeat victimisation</b:Title>
    <b:Year>1999</b:Year>
    <b:JournalName>London: Home Office</b:JournalName>
    <b:Author>
      <b:Author>
        <b:NameList>
          <b:Person>
            <b:Last>Hanmer</b:Last>
            <b:First>J</b:First>
          </b:Person>
          <b:Person>
            <b:Last>Griffiths</b:Last>
            <b:First>S</b:First>
          </b:Person>
          <b:Person>
            <b:Last>Jerwood</b:Last>
            <b:First>D</b:First>
          </b:Person>
        </b:NameList>
      </b:Author>
    </b:Author>
    <b:Volume>104</b:Volume>
    <b:RefOrder>11</b:RefOrder>
  </b:Source>
  <b:Source>
    <b:Tag>Far93</b:Tag>
    <b:SourceType>JournalArticle</b:SourceType>
    <b:Guid>{E0E28365-F8EA-446A-8DBE-9E548534AF7E}</b:Guid>
    <b:Title>Once bitten, twice bitten: Repeat victimisation and its implications for crime prevention</b:Title>
    <b:JournalName>London: Home Office Police Research Group</b:JournalName>
    <b:Year>1993</b:Year>
    <b:Author>
      <b:Author>
        <b:NameList>
          <b:Person>
            <b:Last>Farrell</b:Last>
            <b:First>G</b:First>
          </b:Person>
          <b:Person>
            <b:Last>Pease</b:Last>
            <b:First>K</b:First>
          </b:Person>
        </b:NameList>
      </b:Author>
    </b:Author>
    <b:Volume>46</b:Volume>
    <b:RefOrder>12</b:RefOrder>
  </b:Source>
  <b:Source>
    <b:Tag>Sha21</b:Tag>
    <b:SourceType>JournalArticle</b:SourceType>
    <b:Guid>{78C60BD8-87D8-4F20-95C3-251BF48D32F0}</b:Guid>
    <b:Title>Situational crime prevention.</b:Title>
    <b:JournalName>Violence reduction project.</b:JournalName>
    <b:Year>2021</b:Year>
    <b:Author>
      <b:Author>
        <b:NameList>
          <b:Person>
            <b:Last>Shane</b:Last>
            <b:First>J</b:First>
          </b:Person>
        </b:NameList>
      </b:Author>
    </b:Author>
    <b:URL>https://qualitypolicing. com/violencereduction/shane.</b:URL>
    <b:RefOrder>13</b:RefOrder>
  </b:Source>
  <b:Source>
    <b:Tag>Lig19</b:Tag>
    <b:SourceType>JournalArticle</b:SourceType>
    <b:Guid>{D3016904-8886-41FF-AF9A-402959372075}</b:Guid>
    <b:Title>Targeting the most harmful offenders for an English police agency: Continuity and change of membership in the “Felonious Few”</b:Title>
    <b:JournalName>Cambridge journal of evidence-based policing</b:JournalName>
    <b:Year>2019</b:Year>
    <b:Pages>80-96</b:Pages>
    <b:Volume>3</b:Volume>
    <b:Author>
      <b:Author>
        <b:NameList>
          <b:Person>
            <b:Last>Liggins</b:Last>
            <b:First>A</b:First>
          </b:Person>
          <b:Person>
            <b:Last>Ratcliffe</b:Last>
            <b:First>J.H</b:First>
          </b:Person>
          <b:Person>
            <b:Last>Bland</b:Last>
            <b:First>M</b:First>
          </b:Person>
        </b:NameList>
      </b:Author>
    </b:Author>
    <b:RefOrder>14</b:RefOrder>
  </b:Source>
  <b:Source>
    <b:Tag>Sta19</b:Tag>
    <b:SourceType>JournalArticle</b:SourceType>
    <b:Guid>{09D11ABA-5456-49A4-ABC0-4445925509D9}</b:Guid>
    <b:Title>Staying out: Reentry protective factors among rural women offenders.</b:Title>
    <b:JournalName>Women &amp; Criminal Justice</b:JournalName>
    <b:Year>2019</b:Year>
    <b:Pages>368-384</b:Pages>
    <b:Author>
      <b:Author>
        <b:NameList>
          <b:Person>
            <b:Last>Staton</b:Last>
            <b:First>M</b:First>
          </b:Person>
          <b:Person>
            <b:Last>Dickson</b:Last>
            <b:First>M.F</b:First>
          </b:Person>
          <b:Person>
            <b:Last>Tillson</b:Last>
            <b:First>M</b:First>
          </b:Person>
          <b:Person>
            <b:Last>Webster</b:Last>
            <b:First>J</b:First>
          </b:Person>
        </b:NameList>
      </b:Author>
    </b:Author>
    <b:Volume>29(6)</b:Volume>
    <b:RefOrder>15</b:RefOrder>
  </b:Source>
  <b:Source>
    <b:Tag>God22</b:Tag>
    <b:SourceType>JournalArticle</b:SourceType>
    <b:Guid>{853BAF05-7816-4817-9939-832CD07CA0A4}</b:Guid>
    <b:Title>The crisis in the courts: Before and beyond COVID</b:Title>
    <b:JournalName>The British Journal of Criminology</b:JournalName>
    <b:Year>2022</b:Year>
    <b:Pages>1036-1053</b:Pages>
    <b:Author>
      <b:Author>
        <b:NameList>
          <b:Person>
            <b:Last>Godfrey</b:Last>
            <b:First>B</b:First>
          </b:Person>
          <b:Person>
            <b:Last>Richardson</b:Last>
            <b:First>J.C</b:First>
          </b:Person>
          <b:Person>
            <b:Last>Walklate</b:Last>
            <b:First>S</b:First>
          </b:Person>
        </b:NameList>
      </b:Author>
    </b:Author>
    <b:Volume>62(4)</b:Volume>
    <b:RefOrder>16</b:RefOrder>
  </b:Source>
  <b:Source>
    <b:Tag>Wal20</b:Tag>
    <b:SourceType>JournalArticle</b:SourceType>
    <b:Guid>{982DEB2D-6C88-4206-8BF8-74E982A9AE4F}</b:Guid>
    <b:Title>Developments in the use of restorative justice for hate crime.</b:Title>
    <b:Year>2020</b:Year>
    <b:JournalName>The International Journal of Restorative Justice</b:JournalName>
    <b:Author>
      <b:Author>
        <b:NameList>
          <b:Person>
            <b:Last>Walters</b:Last>
            <b:First>M</b:First>
          </b:Person>
        </b:NameList>
      </b:Author>
    </b:Author>
    <b:Volume>3(3)</b:Volume>
    <b:RefOrder>17</b:RefOrder>
  </b:Source>
</b:Sourc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DD5855-BF4A-4819-B9D9-780A11FB4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6469</Words>
  <Characters>36878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Mitchell</cp:lastModifiedBy>
  <cp:revision>4</cp:revision>
  <cp:lastPrinted>2014-08-26T08:55:00Z</cp:lastPrinted>
  <dcterms:created xsi:type="dcterms:W3CDTF">2023-04-23T21:30:00Z</dcterms:created>
  <dcterms:modified xsi:type="dcterms:W3CDTF">2023-04-23T21:35:00Z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2023-01-08T17:17:35Z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2a5fcc73-75a3-41ac-a7ed-caee38c10522</vt:lpwstr>
  </property>
  <property fmtid="{D5CDD505-2E9C-101B-9397-08002B2CF9AE}" pid="9" name="MSIP_Label_66cf8fe5-b7b7-4df7-b38d-1c61ac2f6639_ContentBits">
    <vt:lpwstr>0</vt:lpwstr>
  </property>
</Properties>
</file>