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421A7"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17BF961"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C1AE5C9"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5EEE5145"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77B0AAA4" w14:textId="77777777" w:rsidR="00B121CA" w:rsidRPr="001658A8" w:rsidRDefault="00B121CA" w:rsidP="00B121CA">
      <w:pP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LCHS7006 Quality Assurance and Service Improvements</w:t>
      </w:r>
    </w:p>
    <w:p w14:paraId="4F8F48F8" w14:textId="77777777" w:rsidR="00B121CA" w:rsidRPr="004721C1" w:rsidRDefault="00B121CA" w:rsidP="00B121CA">
      <w:pPr>
        <w:spacing w:before="120" w:after="120" w:line="360" w:lineRule="auto"/>
        <w:jc w:val="center"/>
        <w:rPr>
          <w:rFonts w:ascii="Arial" w:eastAsia="Arial" w:hAnsi="Arial" w:cs="Arial"/>
          <w:b/>
          <w:bCs/>
          <w:sz w:val="22"/>
          <w:szCs w:val="22"/>
          <w:lang w:val="en-GB"/>
        </w:rPr>
      </w:pPr>
      <w:r w:rsidRPr="004721C1">
        <w:rPr>
          <w:rFonts w:ascii="Arial" w:eastAsia="Arial" w:hAnsi="Arial" w:cs="Arial"/>
          <w:b/>
          <w:bCs/>
          <w:sz w:val="22"/>
          <w:szCs w:val="22"/>
          <w:lang w:val="en-GB"/>
        </w:rPr>
        <w:t>Component 2</w:t>
      </w:r>
    </w:p>
    <w:p w14:paraId="46EF2171" w14:textId="77777777" w:rsidR="00B121CA" w:rsidRPr="004721C1" w:rsidRDefault="00B121CA" w:rsidP="00B121CA">
      <w:pPr>
        <w:spacing w:before="120" w:after="120" w:line="360" w:lineRule="auto"/>
        <w:jc w:val="center"/>
        <w:rPr>
          <w:rFonts w:ascii="Arial" w:eastAsia="Arial" w:hAnsi="Arial" w:cs="Arial"/>
          <w:b/>
          <w:bCs/>
          <w:sz w:val="22"/>
          <w:szCs w:val="22"/>
          <w:lang w:val="en-GB"/>
        </w:rPr>
      </w:pPr>
      <w:r w:rsidRPr="004721C1">
        <w:rPr>
          <w:rFonts w:ascii="Arial" w:eastAsia="Arial" w:hAnsi="Arial" w:cs="Arial"/>
          <w:b/>
          <w:bCs/>
          <w:sz w:val="22"/>
          <w:szCs w:val="22"/>
          <w:lang w:val="en-GB"/>
        </w:rPr>
        <w:t>Service Improvement Report</w:t>
      </w:r>
    </w:p>
    <w:p w14:paraId="3A656D0E" w14:textId="042D43B0" w:rsidR="004721C1" w:rsidRPr="004721C1" w:rsidRDefault="004721C1" w:rsidP="00B121CA">
      <w:pPr>
        <w:spacing w:before="120" w:after="120" w:line="360" w:lineRule="auto"/>
        <w:jc w:val="center"/>
        <w:rPr>
          <w:rFonts w:ascii="Arial" w:eastAsia="Arial" w:hAnsi="Arial" w:cs="Arial"/>
          <w:b/>
          <w:bCs/>
          <w:sz w:val="22"/>
          <w:szCs w:val="22"/>
          <w:lang w:val="en-GB"/>
        </w:rPr>
      </w:pPr>
      <w:r w:rsidRPr="004721C1">
        <w:rPr>
          <w:rFonts w:ascii="Arial" w:eastAsia="Arial" w:hAnsi="Arial" w:cs="Arial"/>
          <w:b/>
          <w:bCs/>
          <w:sz w:val="22"/>
          <w:szCs w:val="22"/>
          <w:lang w:val="en-GB"/>
        </w:rPr>
        <w:t xml:space="preserve">Student Name: Dhwani Patel </w:t>
      </w:r>
    </w:p>
    <w:p w14:paraId="74EA6D20" w14:textId="4E492259" w:rsidR="004721C1" w:rsidRPr="004721C1" w:rsidRDefault="004721C1" w:rsidP="00B121CA">
      <w:pPr>
        <w:spacing w:before="120" w:after="120" w:line="360" w:lineRule="auto"/>
        <w:jc w:val="center"/>
        <w:rPr>
          <w:rFonts w:ascii="Arial" w:eastAsia="Arial" w:hAnsi="Arial" w:cs="Arial"/>
          <w:b/>
          <w:bCs/>
          <w:sz w:val="22"/>
          <w:szCs w:val="22"/>
          <w:lang w:val="en-GB"/>
        </w:rPr>
      </w:pPr>
      <w:r w:rsidRPr="004721C1">
        <w:rPr>
          <w:rFonts w:ascii="Arial" w:eastAsia="Arial" w:hAnsi="Arial" w:cs="Arial"/>
          <w:b/>
          <w:bCs/>
          <w:sz w:val="22"/>
          <w:szCs w:val="22"/>
          <w:lang w:val="en-GB"/>
        </w:rPr>
        <w:t>Student Number:2431311</w:t>
      </w:r>
    </w:p>
    <w:p w14:paraId="293137AF" w14:textId="34B28AB4" w:rsidR="004721C1" w:rsidRPr="001658A8" w:rsidRDefault="004721C1" w:rsidP="00B121CA">
      <w:pPr>
        <w:spacing w:before="120" w:after="120" w:line="360" w:lineRule="auto"/>
        <w:jc w:val="center"/>
        <w:rPr>
          <w:rFonts w:ascii="Arial" w:eastAsia="Arial" w:hAnsi="Arial" w:cs="Arial"/>
          <w:sz w:val="22"/>
          <w:szCs w:val="22"/>
          <w:lang w:val="en-GB"/>
        </w:rPr>
      </w:pPr>
      <w:r w:rsidRPr="004721C1">
        <w:rPr>
          <w:rFonts w:ascii="Arial" w:eastAsia="Arial" w:hAnsi="Arial" w:cs="Arial"/>
          <w:b/>
          <w:bCs/>
          <w:sz w:val="22"/>
          <w:szCs w:val="22"/>
          <w:lang w:val="en-GB"/>
        </w:rPr>
        <w:t>Lecturer’s name: Arif Ahmed</w:t>
      </w:r>
      <w:r>
        <w:rPr>
          <w:rFonts w:ascii="Arial" w:eastAsia="Arial" w:hAnsi="Arial" w:cs="Arial"/>
          <w:sz w:val="22"/>
          <w:szCs w:val="22"/>
          <w:lang w:val="en-GB"/>
        </w:rPr>
        <w:t xml:space="preserve"> </w:t>
      </w:r>
    </w:p>
    <w:p w14:paraId="5EE2D39A"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2F6CF2E2"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01AE8E2A" w14:textId="77777777" w:rsidR="00B121CA" w:rsidRPr="001658A8" w:rsidRDefault="00B121CA" w:rsidP="00B121CA">
      <w:pP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The Bristol Royal Infirmary Inquiry</w:t>
      </w:r>
    </w:p>
    <w:p w14:paraId="20908E5E"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4B26CF6"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3EE45E7F" w14:textId="0502591A" w:rsidR="00B121CA" w:rsidRPr="001658A8" w:rsidRDefault="00B121CA" w:rsidP="00B121CA">
      <w:pPr>
        <w:spacing w:before="120" w:after="120" w:line="360" w:lineRule="auto"/>
        <w:jc w:val="center"/>
        <w:rPr>
          <w:rFonts w:ascii="Arial" w:eastAsia="Arial" w:hAnsi="Arial" w:cs="Arial"/>
          <w:sz w:val="22"/>
          <w:szCs w:val="22"/>
          <w:lang w:val="en-GB"/>
        </w:rPr>
      </w:pPr>
      <w:r w:rsidRPr="001658A8">
        <w:rPr>
          <w:lang w:val="en-GB"/>
        </w:rPr>
        <w:br w:type="page"/>
      </w:r>
    </w:p>
    <w:p w14:paraId="5A0A12FD" w14:textId="77777777" w:rsidR="00B121CA" w:rsidRPr="001658A8" w:rsidRDefault="00B121CA" w:rsidP="00B121CA">
      <w:pPr>
        <w:spacing w:before="120" w:after="120" w:line="360" w:lineRule="auto"/>
        <w:jc w:val="center"/>
        <w:rPr>
          <w:rFonts w:ascii="Arial" w:eastAsia="Arial" w:hAnsi="Arial" w:cs="Arial"/>
          <w:b/>
          <w:bCs/>
          <w:lang w:val="en-GB"/>
        </w:rPr>
      </w:pPr>
      <w:r w:rsidRPr="001658A8">
        <w:rPr>
          <w:rFonts w:ascii="Arial" w:eastAsia="Arial" w:hAnsi="Arial" w:cs="Arial"/>
          <w:b/>
          <w:bCs/>
          <w:lang w:val="en-GB"/>
        </w:rPr>
        <w:lastRenderedPageBreak/>
        <w:t>Table of Contents</w:t>
      </w:r>
    </w:p>
    <w:sdt>
      <w:sdtPr>
        <w:rPr>
          <w:lang w:val="en-GB"/>
        </w:rPr>
        <w:id w:val="1131911996"/>
        <w:docPartObj>
          <w:docPartGallery w:val="Table of Contents"/>
          <w:docPartUnique/>
        </w:docPartObj>
      </w:sdtPr>
      <w:sdtContent>
        <w:p w14:paraId="4F87607B" w14:textId="77777777" w:rsidR="00B121CA" w:rsidRPr="001658A8" w:rsidRDefault="00B121CA" w:rsidP="00B121CA">
          <w:pPr>
            <w:pStyle w:val="TOC1"/>
            <w:tabs>
              <w:tab w:val="right" w:leader="dot" w:pos="9350"/>
            </w:tabs>
            <w:rPr>
              <w:noProof/>
              <w:lang w:val="en-GB"/>
            </w:rPr>
          </w:pPr>
          <w:r w:rsidRPr="001658A8">
            <w:rPr>
              <w:lang w:val="en-GB"/>
            </w:rPr>
            <w:fldChar w:fldCharType="begin"/>
          </w:r>
          <w:r w:rsidRPr="001658A8">
            <w:rPr>
              <w:lang w:val="en-GB"/>
            </w:rPr>
            <w:instrText xml:space="preserve"> TOC \h \u \z \t "Heading 1,1,Heading 2,2,Heading 3,3,Heading 4,4,Heading 5,5,Heading 6,6,"</w:instrText>
          </w:r>
          <w:r w:rsidRPr="001658A8">
            <w:rPr>
              <w:lang w:val="en-GB"/>
            </w:rPr>
            <w:fldChar w:fldCharType="separate"/>
          </w:r>
          <w:hyperlink w:anchor="_Toc226647868" w:history="1">
            <w:r w:rsidRPr="001658A8">
              <w:rPr>
                <w:rStyle w:val="Hyperlink"/>
                <w:noProof/>
                <w:lang w:val="en-GB"/>
              </w:rPr>
              <w:t>1. Introduction</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_Toc226647868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178D3018" w14:textId="77777777" w:rsidR="00B121CA" w:rsidRPr="001658A8" w:rsidRDefault="00B121CA" w:rsidP="00B121CA">
          <w:pPr>
            <w:pStyle w:val="TOC2"/>
            <w:tabs>
              <w:tab w:val="right" w:leader="dot" w:pos="9350"/>
            </w:tabs>
            <w:rPr>
              <w:noProof/>
              <w:lang w:val="en-GB"/>
            </w:rPr>
          </w:pPr>
          <w:hyperlink w:anchor="_Toc226647869" w:history="1">
            <w:r w:rsidRPr="001658A8">
              <w:rPr>
                <w:rStyle w:val="Hyperlink"/>
                <w:noProof/>
                <w:lang w:val="en-GB"/>
              </w:rPr>
              <w:t>1.1 Context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_Toc226647869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1E7AC14B" w14:textId="77777777" w:rsidR="00B121CA" w:rsidRPr="001658A8" w:rsidRDefault="00B121CA" w:rsidP="00B121CA">
          <w:pPr>
            <w:pStyle w:val="TOC2"/>
            <w:tabs>
              <w:tab w:val="right" w:leader="dot" w:pos="9350"/>
            </w:tabs>
            <w:rPr>
              <w:noProof/>
              <w:lang w:val="en-GB"/>
            </w:rPr>
          </w:pPr>
          <w:hyperlink w:anchor="_Toc226647870" w:history="1">
            <w:r w:rsidRPr="001658A8">
              <w:rPr>
                <w:rStyle w:val="Hyperlink"/>
                <w:noProof/>
                <w:lang w:val="en-GB"/>
              </w:rPr>
              <w:t>1.2 Problem Statement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_Toc226647870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6656130A" w14:textId="77777777" w:rsidR="00B121CA" w:rsidRPr="001658A8" w:rsidRDefault="00B121CA" w:rsidP="00B121CA">
          <w:pPr>
            <w:pStyle w:val="TOC1"/>
            <w:tabs>
              <w:tab w:val="right" w:leader="dot" w:pos="9350"/>
            </w:tabs>
            <w:rPr>
              <w:noProof/>
              <w:lang w:val="en-GB"/>
            </w:rPr>
          </w:pPr>
          <w:hyperlink w:anchor="_Toc226647871" w:history="1">
            <w:r w:rsidRPr="001658A8">
              <w:rPr>
                <w:rStyle w:val="Hyperlink"/>
                <w:noProof/>
                <w:lang w:val="en-GB"/>
              </w:rPr>
              <w:t>2. Main Body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_Toc226647871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0F255AB3" w14:textId="77777777" w:rsidR="00B121CA" w:rsidRPr="001658A8" w:rsidRDefault="00B121CA" w:rsidP="00B121CA">
          <w:pPr>
            <w:pStyle w:val="TOC2"/>
            <w:tabs>
              <w:tab w:val="right" w:leader="dot" w:pos="9350"/>
            </w:tabs>
            <w:rPr>
              <w:noProof/>
              <w:lang w:val="en-GB"/>
            </w:rPr>
          </w:pPr>
          <w:hyperlink w:anchor="_Toc226647872" w:history="1">
            <w:r w:rsidRPr="001658A8">
              <w:rPr>
                <w:rStyle w:val="Hyperlink"/>
                <w:noProof/>
                <w:lang w:val="en-GB"/>
              </w:rPr>
              <w:t>2.1 Persistent high mortality reflects failure of organisational learning and feedback mechanisms within an interconnected healthcare system</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_Toc226647872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2715465E" w14:textId="77777777" w:rsidR="00B121CA" w:rsidRPr="001658A8" w:rsidRDefault="00B121CA" w:rsidP="00B121CA">
          <w:pPr>
            <w:pStyle w:val="TOC2"/>
            <w:tabs>
              <w:tab w:val="right" w:leader="dot" w:pos="9350"/>
            </w:tabs>
            <w:rPr>
              <w:noProof/>
              <w:lang w:val="en-GB"/>
            </w:rPr>
          </w:pPr>
          <w:hyperlink w:anchor="_Toc226647873" w:history="1">
            <w:r w:rsidRPr="001658A8">
              <w:rPr>
                <w:rStyle w:val="Hyperlink"/>
                <w:noProof/>
                <w:lang w:val="en-GB"/>
              </w:rPr>
              <w:t>2.2 High mortality outcomes resulted from the alignment of weaknesses in monitoring, governance, and regulatory oversight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_Toc226647873 \h </w:instrText>
            </w:r>
            <w:r w:rsidRPr="001658A8">
              <w:rPr>
                <w:noProof/>
                <w:webHidden/>
                <w:lang w:val="en-GB"/>
              </w:rPr>
            </w:r>
            <w:r w:rsidRPr="001658A8">
              <w:rPr>
                <w:noProof/>
                <w:webHidden/>
                <w:lang w:val="en-GB"/>
              </w:rPr>
              <w:fldChar w:fldCharType="separate"/>
            </w:r>
            <w:r w:rsidRPr="001658A8">
              <w:rPr>
                <w:noProof/>
                <w:webHidden/>
                <w:lang w:val="en-GB"/>
              </w:rPr>
              <w:t>5</w:t>
            </w:r>
            <w:r w:rsidRPr="001658A8">
              <w:rPr>
                <w:noProof/>
                <w:webHidden/>
                <w:lang w:val="en-GB"/>
              </w:rPr>
              <w:fldChar w:fldCharType="end"/>
            </w:r>
          </w:hyperlink>
        </w:p>
        <w:p w14:paraId="7639469B" w14:textId="77777777" w:rsidR="00B121CA" w:rsidRPr="001658A8" w:rsidRDefault="00B121CA" w:rsidP="00B121CA">
          <w:pPr>
            <w:pStyle w:val="TOC2"/>
            <w:tabs>
              <w:tab w:val="right" w:leader="dot" w:pos="9350"/>
            </w:tabs>
            <w:rPr>
              <w:noProof/>
              <w:lang w:val="en-GB"/>
            </w:rPr>
          </w:pPr>
          <w:hyperlink w:anchor="_Toc226647874" w:history="1">
            <w:r w:rsidRPr="001658A8">
              <w:rPr>
                <w:rStyle w:val="Hyperlink"/>
                <w:noProof/>
                <w:lang w:val="en-GB"/>
              </w:rPr>
              <w:t>2.3 The absence of performance benchmarking and audit systems represents the central root cause of governance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_Toc226647874 \h </w:instrText>
            </w:r>
            <w:r w:rsidRPr="001658A8">
              <w:rPr>
                <w:noProof/>
                <w:webHidden/>
                <w:lang w:val="en-GB"/>
              </w:rPr>
            </w:r>
            <w:r w:rsidRPr="001658A8">
              <w:rPr>
                <w:noProof/>
                <w:webHidden/>
                <w:lang w:val="en-GB"/>
              </w:rPr>
              <w:fldChar w:fldCharType="separate"/>
            </w:r>
            <w:r w:rsidRPr="001658A8">
              <w:rPr>
                <w:noProof/>
                <w:webHidden/>
                <w:lang w:val="en-GB"/>
              </w:rPr>
              <w:t>6</w:t>
            </w:r>
            <w:r w:rsidRPr="001658A8">
              <w:rPr>
                <w:noProof/>
                <w:webHidden/>
                <w:lang w:val="en-GB"/>
              </w:rPr>
              <w:fldChar w:fldCharType="end"/>
            </w:r>
          </w:hyperlink>
        </w:p>
        <w:p w14:paraId="0E56ACEF" w14:textId="77777777" w:rsidR="00B121CA" w:rsidRPr="001658A8" w:rsidRDefault="00B121CA" w:rsidP="00B121CA">
          <w:pPr>
            <w:pStyle w:val="TOC2"/>
            <w:tabs>
              <w:tab w:val="right" w:leader="dot" w:pos="9350"/>
            </w:tabs>
            <w:rPr>
              <w:noProof/>
              <w:lang w:val="en-GB"/>
            </w:rPr>
          </w:pPr>
          <w:hyperlink w:anchor="_Toc226647875" w:history="1">
            <w:r w:rsidRPr="001658A8">
              <w:rPr>
                <w:rStyle w:val="Hyperlink"/>
                <w:noProof/>
                <w:lang w:val="en-GB"/>
              </w:rPr>
              <w:t>2.4 Interacting weaknesses across people, processes, data systems, and organisational culture reinforced system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_Toc226647875 \h </w:instrText>
            </w:r>
            <w:r w:rsidRPr="001658A8">
              <w:rPr>
                <w:noProof/>
                <w:webHidden/>
                <w:lang w:val="en-GB"/>
              </w:rPr>
            </w:r>
            <w:r w:rsidRPr="001658A8">
              <w:rPr>
                <w:noProof/>
                <w:webHidden/>
                <w:lang w:val="en-GB"/>
              </w:rPr>
              <w:fldChar w:fldCharType="separate"/>
            </w:r>
            <w:r w:rsidRPr="001658A8">
              <w:rPr>
                <w:noProof/>
                <w:webHidden/>
                <w:lang w:val="en-GB"/>
              </w:rPr>
              <w:t>7</w:t>
            </w:r>
            <w:r w:rsidRPr="001658A8">
              <w:rPr>
                <w:noProof/>
                <w:webHidden/>
                <w:lang w:val="en-GB"/>
              </w:rPr>
              <w:fldChar w:fldCharType="end"/>
            </w:r>
          </w:hyperlink>
        </w:p>
        <w:p w14:paraId="2E3513C8" w14:textId="77777777" w:rsidR="00B121CA" w:rsidRPr="001658A8" w:rsidRDefault="00B121CA" w:rsidP="00B121CA">
          <w:pPr>
            <w:pStyle w:val="TOC2"/>
            <w:tabs>
              <w:tab w:val="right" w:leader="dot" w:pos="9350"/>
            </w:tabs>
            <w:rPr>
              <w:noProof/>
              <w:lang w:val="en-GB"/>
            </w:rPr>
          </w:pPr>
          <w:hyperlink w:anchor="_Toc226647876" w:history="1">
            <w:r w:rsidRPr="001658A8">
              <w:rPr>
                <w:rStyle w:val="Hyperlink"/>
                <w:noProof/>
                <w:lang w:val="en-GB"/>
              </w:rPr>
              <w:t>2.5 Structural and process weaknesses directly contributed to adverse clinical outcomes and loss of patient safety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_Toc226647876 \h </w:instrText>
            </w:r>
            <w:r w:rsidRPr="001658A8">
              <w:rPr>
                <w:noProof/>
                <w:webHidden/>
                <w:lang w:val="en-GB"/>
              </w:rPr>
            </w:r>
            <w:r w:rsidRPr="001658A8">
              <w:rPr>
                <w:noProof/>
                <w:webHidden/>
                <w:lang w:val="en-GB"/>
              </w:rPr>
              <w:fldChar w:fldCharType="separate"/>
            </w:r>
            <w:r w:rsidRPr="001658A8">
              <w:rPr>
                <w:noProof/>
                <w:webHidden/>
                <w:lang w:val="en-GB"/>
              </w:rPr>
              <w:t>7</w:t>
            </w:r>
            <w:r w:rsidRPr="001658A8">
              <w:rPr>
                <w:noProof/>
                <w:webHidden/>
                <w:lang w:val="en-GB"/>
              </w:rPr>
              <w:fldChar w:fldCharType="end"/>
            </w:r>
          </w:hyperlink>
        </w:p>
        <w:p w14:paraId="4544BA05" w14:textId="77777777" w:rsidR="00B121CA" w:rsidRPr="001658A8" w:rsidRDefault="00B121CA" w:rsidP="00B121CA">
          <w:pPr>
            <w:pStyle w:val="TOC2"/>
            <w:tabs>
              <w:tab w:val="right" w:leader="dot" w:pos="9350"/>
            </w:tabs>
            <w:rPr>
              <w:noProof/>
              <w:lang w:val="en-GB"/>
            </w:rPr>
          </w:pPr>
          <w:hyperlink w:anchor="_Toc226647877" w:history="1">
            <w:r w:rsidRPr="001658A8">
              <w:rPr>
                <w:rStyle w:val="Hyperlink"/>
                <w:noProof/>
                <w:lang w:val="en-GB"/>
              </w:rPr>
              <w:t>2.6 Governance and regulatory failure reflects the absence of national standards and external accountability mechanisms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_Toc226647877 \h </w:instrText>
            </w:r>
            <w:r w:rsidRPr="001658A8">
              <w:rPr>
                <w:noProof/>
                <w:webHidden/>
                <w:lang w:val="en-GB"/>
              </w:rPr>
            </w:r>
            <w:r w:rsidRPr="001658A8">
              <w:rPr>
                <w:noProof/>
                <w:webHidden/>
                <w:lang w:val="en-GB"/>
              </w:rPr>
              <w:fldChar w:fldCharType="separate"/>
            </w:r>
            <w:r w:rsidRPr="001658A8">
              <w:rPr>
                <w:noProof/>
                <w:webHidden/>
                <w:lang w:val="en-GB"/>
              </w:rPr>
              <w:t>8</w:t>
            </w:r>
            <w:r w:rsidRPr="001658A8">
              <w:rPr>
                <w:noProof/>
                <w:webHidden/>
                <w:lang w:val="en-GB"/>
              </w:rPr>
              <w:fldChar w:fldCharType="end"/>
            </w:r>
          </w:hyperlink>
        </w:p>
        <w:p w14:paraId="78A12DE6" w14:textId="77777777" w:rsidR="00B121CA" w:rsidRPr="001658A8" w:rsidRDefault="00B121CA" w:rsidP="00B121CA">
          <w:pPr>
            <w:pStyle w:val="TOC2"/>
            <w:tabs>
              <w:tab w:val="right" w:leader="dot" w:pos="9350"/>
            </w:tabs>
            <w:rPr>
              <w:noProof/>
              <w:lang w:val="en-GB"/>
            </w:rPr>
          </w:pPr>
          <w:hyperlink w:anchor="_Toc226647878" w:history="1">
            <w:r w:rsidRPr="001658A8">
              <w:rPr>
                <w:rStyle w:val="Hyperlink"/>
                <w:noProof/>
                <w:lang w:val="en-GB"/>
              </w:rPr>
              <w:t>2.7 Strategic analysis highlights systemic weaknesses in performance monitoring and opportunities for governance reform (SWOT)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_Toc226647878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A6AD9D2" w14:textId="77777777" w:rsidR="00B121CA" w:rsidRPr="001658A8" w:rsidRDefault="00B121CA" w:rsidP="00B121CA">
          <w:pPr>
            <w:pStyle w:val="TOC1"/>
            <w:tabs>
              <w:tab w:val="right" w:leader="dot" w:pos="9350"/>
            </w:tabs>
            <w:rPr>
              <w:noProof/>
              <w:lang w:val="en-GB"/>
            </w:rPr>
          </w:pPr>
          <w:hyperlink w:anchor="_Toc226647879" w:history="1">
            <w:r w:rsidRPr="001658A8">
              <w:rPr>
                <w:rStyle w:val="Hyperlink"/>
                <w:noProof/>
                <w:lang w:val="en-GB"/>
              </w:rPr>
              <w:t>3. Recommendations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_Toc226647879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0334480" w14:textId="77777777" w:rsidR="00B121CA" w:rsidRPr="001658A8" w:rsidRDefault="00B121CA" w:rsidP="00B121CA">
          <w:pPr>
            <w:pStyle w:val="TOC2"/>
            <w:tabs>
              <w:tab w:val="right" w:leader="dot" w:pos="9350"/>
            </w:tabs>
            <w:rPr>
              <w:noProof/>
              <w:lang w:val="en-GB"/>
            </w:rPr>
          </w:pPr>
          <w:hyperlink w:anchor="_Toc226647880" w:history="1">
            <w:r w:rsidRPr="001658A8">
              <w:rPr>
                <w:rStyle w:val="Hyperlink"/>
                <w:noProof/>
                <w:lang w:val="en-GB"/>
              </w:rPr>
              <w:t>3.1 Establishing robust performance monitoring and benchmarking systems is essential to prevent the recurrence of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_Toc226647880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9D7BBF7" w14:textId="77777777" w:rsidR="00B121CA" w:rsidRPr="001658A8" w:rsidRDefault="00B121CA" w:rsidP="00B121CA">
          <w:pPr>
            <w:pStyle w:val="TOC2"/>
            <w:tabs>
              <w:tab w:val="right" w:leader="dot" w:pos="9350"/>
            </w:tabs>
            <w:rPr>
              <w:noProof/>
              <w:lang w:val="en-GB"/>
            </w:rPr>
          </w:pPr>
          <w:hyperlink w:anchor="_Toc226647881" w:history="1">
            <w:r w:rsidRPr="001658A8">
              <w:rPr>
                <w:rStyle w:val="Hyperlink"/>
                <w:noProof/>
                <w:lang w:val="en-GB"/>
              </w:rPr>
              <w:t>3.2 Improving data systems and transparency is necessary to enhance organisational learning and patient safety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_Toc226647881 \h </w:instrText>
            </w:r>
            <w:r w:rsidRPr="001658A8">
              <w:rPr>
                <w:noProof/>
                <w:webHidden/>
                <w:lang w:val="en-GB"/>
              </w:rPr>
            </w:r>
            <w:r w:rsidRPr="001658A8">
              <w:rPr>
                <w:noProof/>
                <w:webHidden/>
                <w:lang w:val="en-GB"/>
              </w:rPr>
              <w:fldChar w:fldCharType="separate"/>
            </w:r>
            <w:r w:rsidRPr="001658A8">
              <w:rPr>
                <w:noProof/>
                <w:webHidden/>
                <w:lang w:val="en-GB"/>
              </w:rPr>
              <w:t>10</w:t>
            </w:r>
            <w:r w:rsidRPr="001658A8">
              <w:rPr>
                <w:noProof/>
                <w:webHidden/>
                <w:lang w:val="en-GB"/>
              </w:rPr>
              <w:fldChar w:fldCharType="end"/>
            </w:r>
          </w:hyperlink>
        </w:p>
        <w:p w14:paraId="4452C7ED" w14:textId="77777777" w:rsidR="00B121CA" w:rsidRPr="001658A8" w:rsidRDefault="00B121CA" w:rsidP="00B121CA">
          <w:pPr>
            <w:pStyle w:val="TOC2"/>
            <w:tabs>
              <w:tab w:val="right" w:leader="dot" w:pos="9350"/>
            </w:tabs>
            <w:rPr>
              <w:noProof/>
              <w:lang w:val="en-GB"/>
            </w:rPr>
          </w:pPr>
          <w:hyperlink w:anchor="_Toc226647882" w:history="1">
            <w:r w:rsidRPr="001658A8">
              <w:rPr>
                <w:rStyle w:val="Hyperlink"/>
                <w:noProof/>
                <w:lang w:val="en-GB"/>
              </w:rPr>
              <w:t>3.3 Sustained improvement requires integration of continuous quality improvement approaches across the healthcare system</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_Toc226647882 \h </w:instrText>
            </w:r>
            <w:r w:rsidRPr="001658A8">
              <w:rPr>
                <w:noProof/>
                <w:webHidden/>
                <w:lang w:val="en-GB"/>
              </w:rPr>
            </w:r>
            <w:r w:rsidRPr="001658A8">
              <w:rPr>
                <w:noProof/>
                <w:webHidden/>
                <w:lang w:val="en-GB"/>
              </w:rPr>
              <w:fldChar w:fldCharType="separate"/>
            </w:r>
            <w:r w:rsidRPr="001658A8">
              <w:rPr>
                <w:noProof/>
                <w:webHidden/>
                <w:lang w:val="en-GB"/>
              </w:rPr>
              <w:t>10</w:t>
            </w:r>
            <w:r w:rsidRPr="001658A8">
              <w:rPr>
                <w:noProof/>
                <w:webHidden/>
                <w:lang w:val="en-GB"/>
              </w:rPr>
              <w:fldChar w:fldCharType="end"/>
            </w:r>
          </w:hyperlink>
        </w:p>
        <w:p w14:paraId="36CC96BB" w14:textId="77777777" w:rsidR="00B121CA" w:rsidRPr="001658A8" w:rsidRDefault="00B121CA" w:rsidP="00B121CA">
          <w:pPr>
            <w:pStyle w:val="TOC1"/>
            <w:tabs>
              <w:tab w:val="right" w:leader="dot" w:pos="9350"/>
            </w:tabs>
            <w:rPr>
              <w:noProof/>
              <w:lang w:val="en-GB"/>
            </w:rPr>
          </w:pPr>
          <w:hyperlink w:anchor="_Toc226647883" w:history="1">
            <w:r w:rsidRPr="001658A8">
              <w:rPr>
                <w:rStyle w:val="Hyperlink"/>
                <w:noProof/>
                <w:lang w:val="en-GB"/>
              </w:rPr>
              <w:t>4. Conclusion</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_Toc226647883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61BF5049" w14:textId="77777777" w:rsidR="00B121CA" w:rsidRPr="001658A8" w:rsidRDefault="00B121CA" w:rsidP="00B121CA">
          <w:pPr>
            <w:pStyle w:val="TOC2"/>
            <w:tabs>
              <w:tab w:val="right" w:leader="dot" w:pos="9350"/>
            </w:tabs>
            <w:rPr>
              <w:noProof/>
              <w:lang w:val="en-GB"/>
            </w:rPr>
          </w:pPr>
          <w:hyperlink w:anchor="_Toc226647884" w:history="1">
            <w:r w:rsidRPr="001658A8">
              <w:rPr>
                <w:rStyle w:val="Hyperlink"/>
                <w:noProof/>
                <w:lang w:val="en-GB"/>
              </w:rPr>
              <w:t>4.1 Summary of Findings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_Toc226647884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0377DDE2" w14:textId="77777777" w:rsidR="00B121CA" w:rsidRPr="001658A8" w:rsidRDefault="00B121CA" w:rsidP="00B121CA">
          <w:pPr>
            <w:pStyle w:val="TOC2"/>
            <w:tabs>
              <w:tab w:val="right" w:leader="dot" w:pos="9350"/>
            </w:tabs>
            <w:rPr>
              <w:noProof/>
              <w:lang w:val="en-GB"/>
            </w:rPr>
          </w:pPr>
          <w:hyperlink w:anchor="_Toc226647885" w:history="1">
            <w:r w:rsidRPr="001658A8">
              <w:rPr>
                <w:rStyle w:val="Hyperlink"/>
                <w:noProof/>
                <w:lang w:val="en-GB"/>
              </w:rPr>
              <w:t>4.2 Key Analytical Insights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_Toc226647885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2887E704" w14:textId="77777777" w:rsidR="00B121CA" w:rsidRPr="001658A8" w:rsidRDefault="00B121CA" w:rsidP="00B121CA">
          <w:pPr>
            <w:pStyle w:val="TOC1"/>
            <w:tabs>
              <w:tab w:val="right" w:leader="dot" w:pos="9350"/>
            </w:tabs>
            <w:rPr>
              <w:noProof/>
              <w:lang w:val="en-GB"/>
            </w:rPr>
          </w:pPr>
          <w:hyperlink w:anchor="_Toc226647886" w:history="1">
            <w:r w:rsidRPr="001658A8">
              <w:rPr>
                <w:rStyle w:val="Hyperlink"/>
                <w:noProof/>
                <w:lang w:val="en-GB"/>
              </w:rPr>
              <w:t>References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_Toc226647886 \h </w:instrText>
            </w:r>
            <w:r w:rsidRPr="001658A8">
              <w:rPr>
                <w:noProof/>
                <w:webHidden/>
                <w:lang w:val="en-GB"/>
              </w:rPr>
            </w:r>
            <w:r w:rsidRPr="001658A8">
              <w:rPr>
                <w:noProof/>
                <w:webHidden/>
                <w:lang w:val="en-GB"/>
              </w:rPr>
              <w:fldChar w:fldCharType="separate"/>
            </w:r>
            <w:r w:rsidRPr="001658A8">
              <w:rPr>
                <w:noProof/>
                <w:webHidden/>
                <w:lang w:val="en-GB"/>
              </w:rPr>
              <w:t>12</w:t>
            </w:r>
            <w:r w:rsidRPr="001658A8">
              <w:rPr>
                <w:noProof/>
                <w:webHidden/>
                <w:lang w:val="en-GB"/>
              </w:rPr>
              <w:fldChar w:fldCharType="end"/>
            </w:r>
          </w:hyperlink>
        </w:p>
        <w:p w14:paraId="00B65BF9" w14:textId="77777777" w:rsidR="00B121CA" w:rsidRPr="001658A8" w:rsidRDefault="00B121CA" w:rsidP="00B121CA">
          <w:pPr>
            <w:widowControl w:val="0"/>
            <w:tabs>
              <w:tab w:val="right" w:leader="dot" w:pos="12000"/>
            </w:tabs>
            <w:spacing w:before="60" w:after="0" w:line="240" w:lineRule="auto"/>
            <w:rPr>
              <w:b/>
              <w:bCs/>
              <w:color w:val="000000"/>
              <w:lang w:val="en-GB"/>
            </w:rPr>
          </w:pPr>
          <w:r w:rsidRPr="001658A8">
            <w:rPr>
              <w:lang w:val="en-GB"/>
            </w:rPr>
            <w:fldChar w:fldCharType="end"/>
          </w:r>
        </w:p>
      </w:sdtContent>
    </w:sdt>
    <w:p w14:paraId="6EF318ED" w14:textId="77777777" w:rsidR="00B121CA" w:rsidRPr="001658A8" w:rsidRDefault="00B121CA" w:rsidP="00B121CA">
      <w:pPr>
        <w:spacing w:before="120" w:after="120" w:line="360" w:lineRule="auto"/>
        <w:jc w:val="center"/>
        <w:rPr>
          <w:rFonts w:ascii="Arial" w:eastAsia="Arial" w:hAnsi="Arial" w:cs="Arial"/>
          <w:sz w:val="22"/>
          <w:szCs w:val="22"/>
          <w:lang w:val="en-GB"/>
        </w:rPr>
      </w:pPr>
      <w:r w:rsidRPr="001658A8">
        <w:rPr>
          <w:lang w:val="en-GB"/>
        </w:rPr>
        <w:br w:type="page"/>
      </w:r>
    </w:p>
    <w:p w14:paraId="7F102226" w14:textId="77777777" w:rsidR="00B121CA" w:rsidRPr="001658A8" w:rsidRDefault="00B121CA" w:rsidP="00B121CA">
      <w:pPr>
        <w:pStyle w:val="Heading1"/>
        <w:rPr>
          <w:lang w:val="en-GB"/>
        </w:rPr>
      </w:pPr>
      <w:bookmarkStart w:id="0" w:name="_Toc226647868"/>
      <w:r w:rsidRPr="001658A8">
        <w:rPr>
          <w:lang w:val="en-GB"/>
        </w:rPr>
        <w:lastRenderedPageBreak/>
        <w:t>1. Introduction</w:t>
      </w:r>
      <w:bookmarkEnd w:id="0"/>
    </w:p>
    <w:p w14:paraId="28FB0052" w14:textId="77777777" w:rsidR="00B121CA" w:rsidRPr="001658A8" w:rsidRDefault="00B121CA" w:rsidP="00B121CA">
      <w:pPr>
        <w:pStyle w:val="Heading2"/>
        <w:rPr>
          <w:lang w:val="en-GB"/>
        </w:rPr>
      </w:pPr>
      <w:bookmarkStart w:id="1" w:name="_Toc226647869"/>
      <w:r w:rsidRPr="001658A8">
        <w:rPr>
          <w:lang w:val="en-GB"/>
        </w:rPr>
        <w:t>1.1 Context</w:t>
      </w:r>
      <w:bookmarkEnd w:id="1"/>
    </w:p>
    <w:p w14:paraId="40480EA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Between 1984 and 1995, there was evidence of serious failures in paediatric cardiac surgery at Bristol Royal Infirmary, which was examined by the Bristol Royal Infirmary Inquiry in 2001 (Kennedy, 2001). The unit, which had performed open-heart operations on children with several congenital heart defects, recorded significantly higher mortality rates compared to national averages (Kennedy, 2001). Regarding the children under </w:t>
      </w:r>
      <w:proofErr w:type="gramStart"/>
      <w:r w:rsidRPr="001658A8">
        <w:rPr>
          <w:rFonts w:ascii="Arial" w:eastAsia="Arial" w:hAnsi="Arial" w:cs="Arial"/>
          <w:sz w:val="22"/>
          <w:szCs w:val="22"/>
          <w:lang w:val="en-GB"/>
        </w:rPr>
        <w:t>one year</w:t>
      </w:r>
      <w:proofErr w:type="gramEnd"/>
      <w:r w:rsidRPr="001658A8">
        <w:rPr>
          <w:rFonts w:ascii="Arial" w:eastAsia="Arial" w:hAnsi="Arial" w:cs="Arial"/>
          <w:sz w:val="22"/>
          <w:szCs w:val="22"/>
          <w:lang w:val="en-GB"/>
        </w:rPr>
        <w:t xml:space="preserve">, overall death rates were around twice compared to other English centres in most years between 1988 and 1994 (Mayor, 2001). This also resulted in around 19 to 24 excess deaths between 1991 and 1995. In 1988, several concerns regarding poor outcomes were starting to be raised internally by anaesthetist Dr Stephen Bolsin and others. However, decisive action was taken after several years (Government of the UK, 2026). The programme kept on operating until it was suspended in 1995 when an infant died after a particularly controversial operation (Fox, 2001). </w:t>
      </w:r>
    </w:p>
    <w:p w14:paraId="2766CD60" w14:textId="77777777" w:rsidR="00B121CA" w:rsidRPr="001658A8" w:rsidRDefault="00B121CA" w:rsidP="00B121CA">
      <w:pPr>
        <w:pStyle w:val="Heading2"/>
        <w:rPr>
          <w:lang w:val="en-GB"/>
        </w:rPr>
      </w:pPr>
      <w:bookmarkStart w:id="2" w:name="_Toc226647870"/>
      <w:r w:rsidRPr="001658A8">
        <w:rPr>
          <w:lang w:val="en-GB"/>
        </w:rPr>
        <w:t>1.2 Problem Statement</w:t>
      </w:r>
      <w:bookmarkEnd w:id="2"/>
    </w:p>
    <w:p w14:paraId="2DE191E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Core quality failures are known to have included the absence of outcome benchmarking, along with ineffective audit and performance monitoring systems. The inquiry reframed the tragedy as profound systemic governance, alongside performance monitoring failure rather than isolated individual clinical incompetence. This is due to several known risks that persisted unaddressed as there </w:t>
      </w:r>
      <w:proofErr w:type="gramStart"/>
      <w:r w:rsidRPr="001658A8">
        <w:rPr>
          <w:rFonts w:ascii="Arial" w:eastAsia="Arial" w:hAnsi="Arial" w:cs="Arial"/>
          <w:sz w:val="22"/>
          <w:szCs w:val="22"/>
          <w:lang w:val="en-GB"/>
        </w:rPr>
        <w:t>were</w:t>
      </w:r>
      <w:proofErr w:type="gramEnd"/>
      <w:r w:rsidRPr="001658A8">
        <w:rPr>
          <w:rFonts w:ascii="Arial" w:eastAsia="Arial" w:hAnsi="Arial" w:cs="Arial"/>
          <w:sz w:val="22"/>
          <w:szCs w:val="22"/>
          <w:lang w:val="en-GB"/>
        </w:rPr>
        <w:t xml:space="preserve"> weaker oversight, ineffective monitoring systems, along with an organisational culture prioritising reputation over patient safety (Kennedy, 2001). </w:t>
      </w:r>
    </w:p>
    <w:p w14:paraId="41A6FCF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b/>
          <w:bCs/>
          <w:sz w:val="22"/>
          <w:szCs w:val="22"/>
          <w:lang w:val="en-GB"/>
        </w:rPr>
        <w:t>1.3 Report Aim</w:t>
      </w:r>
    </w:p>
    <w:p w14:paraId="3E439CD2"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Analyse systemic causes of failure in clinical governance and monitoring</w:t>
      </w:r>
    </w:p>
    <w:p w14:paraId="42E3FF41"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Evaluate gaps in policy, regulation, and accountability</w:t>
      </w:r>
    </w:p>
    <w:p w14:paraId="3FC427B8"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Apply quality frameworks to interpret system breakdown</w:t>
      </w:r>
    </w:p>
    <w:p w14:paraId="6334A624"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Propose evidence-based improvements supported by structured quality improvement approaches</w:t>
      </w:r>
    </w:p>
    <w:p w14:paraId="75D6AD49" w14:textId="77777777" w:rsidR="00B121CA" w:rsidRPr="001658A8" w:rsidRDefault="00B121CA" w:rsidP="00B121CA">
      <w:pPr>
        <w:pStyle w:val="Heading1"/>
        <w:rPr>
          <w:lang w:val="en-GB"/>
        </w:rPr>
      </w:pPr>
      <w:bookmarkStart w:id="3" w:name="_Toc226647871"/>
      <w:r w:rsidRPr="001658A8">
        <w:rPr>
          <w:lang w:val="en-GB"/>
        </w:rPr>
        <w:t>2. Main Body</w:t>
      </w:r>
      <w:bookmarkEnd w:id="3"/>
    </w:p>
    <w:p w14:paraId="47C2AD2D" w14:textId="77777777" w:rsidR="00B121CA" w:rsidRPr="001658A8" w:rsidRDefault="00B121CA" w:rsidP="00B121CA">
      <w:pPr>
        <w:pStyle w:val="Heading2"/>
        <w:keepNext w:val="0"/>
        <w:keepLines w:val="0"/>
        <w:rPr>
          <w:lang w:val="en-GB"/>
        </w:rPr>
      </w:pPr>
      <w:bookmarkStart w:id="4" w:name="_Toc226647872"/>
      <w:r w:rsidRPr="001658A8">
        <w:rPr>
          <w:lang w:val="en-GB"/>
        </w:rPr>
        <w:t>2.1 Persistent high mortality reflects failure of organisational learning and feedback mechanisms within an interconnected healthcare system</w:t>
      </w:r>
      <w:bookmarkEnd w:id="4"/>
    </w:p>
    <w:p w14:paraId="127A614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Several concerns regarding surgical outcomes at the Bristol Royal Infirmary emerged in 1988. Dr Stephen Bolsin, consultant anaesthetist, informed the inquiry that following his appointment in 1988, he was concerned at an early stage regarding the conduct of open-heart surgery. He noticed that overall operations were taking significantly longer than he had experienced in London, along with the mortality rates being abnormally high (Kennedy, 2001). From 1990 to 1994, </w:t>
      </w:r>
      <w:proofErr w:type="gramStart"/>
      <w:r w:rsidRPr="001658A8">
        <w:rPr>
          <w:rFonts w:ascii="Arial" w:eastAsia="Arial" w:hAnsi="Arial" w:cs="Arial"/>
          <w:sz w:val="22"/>
          <w:szCs w:val="22"/>
          <w:lang w:val="en-GB"/>
        </w:rPr>
        <w:t>particular operations</w:t>
      </w:r>
      <w:proofErr w:type="gramEnd"/>
      <w:r w:rsidRPr="001658A8">
        <w:rPr>
          <w:rFonts w:ascii="Arial" w:eastAsia="Arial" w:hAnsi="Arial" w:cs="Arial"/>
          <w:sz w:val="22"/>
          <w:szCs w:val="22"/>
          <w:lang w:val="en-GB"/>
        </w:rPr>
        <w:t xml:space="preserve"> such as the Atrio-Ventricular Septal Defect repairs started to indicate mortality rates which were far exceeding the national norms.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xml:space="preserve"> is known to have conducted an informal audit in 1993 as medicine became a clinical audit. This resulted in confirming higher-than-expected deaths, compared to the voluntary UK Cardiac Surgical Register (Elliott, 2014). He started to raise such concerns with his colleagues, along with the clinical director, and hospital management, repeatedly. However, meaningful corrective action was significantly delayed for many years. The service kept on operating until it was suspended in 1995, after the death of an infant following a particularly controversial operation (Fox, 2001).</w:t>
      </w:r>
    </w:p>
    <w:p w14:paraId="7BF3AB8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clinical, managerial, along with regulatory subsystems are known to have operated in isolation. Anaesthetists, along with surgeons, were known to have worked within a small team that had limited external input. On the other hand, hospital managers were prioritising operational continuity over clinical risk escalation (</w:t>
      </w: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2016). There were also the regulatory bodies that lacked transparent mechanisms or any kind of authority to intervene proactively at that time (Butler, 2002). There was also a lack of structured feedback loops that resulted in performance data, despite being collected informally, not being able to trigger systematic review, learning or any kind of intervention (Walshe and Shortell, 2004). With the absence of formal channels regarding escalation or comparative analysis, the organisation was unable to learn from its outcomes or even adapt practices for combating the emerging harm. Such disconnection between the several subsystems resulted in allowing persistently higher mortality to be continued unchecked. This also showcases a fundamental failure of organisational learning in a healthcare system that is interconnected in nature.</w:t>
      </w:r>
    </w:p>
    <w:p w14:paraId="4E082ABD" w14:textId="77777777" w:rsidR="00B121CA" w:rsidRPr="001658A8" w:rsidRDefault="00B121CA" w:rsidP="00B121CA">
      <w:pPr>
        <w:pStyle w:val="Heading2"/>
        <w:keepNext w:val="0"/>
        <w:keepLines w:val="0"/>
        <w:rPr>
          <w:lang w:val="en-GB"/>
        </w:rPr>
      </w:pPr>
      <w:bookmarkStart w:id="5" w:name="_Toc226647873"/>
      <w:r w:rsidRPr="001658A8">
        <w:rPr>
          <w:lang w:val="en-GB"/>
        </w:rPr>
        <w:t>2.2 High mortality outcomes resulted from the alignment of weaknesses in monitoring, governance, and regulatory oversight</w:t>
      </w:r>
      <w:bookmarkEnd w:id="5"/>
    </w:p>
    <w:p w14:paraId="2A5C86A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It was due to the simultaneous failure of multiple layers of the healthcare system over an extended period that resulted in leading to harm at Bristol. Clinical performance issues were known to have been unidentified, which was mainly due to the lack of routine benchmarking against national data (Kennedy, 2001). There were also the governance structures that had failed within the hospital to act decisively on the data that was already available. For example, there are concerns, along with </w:t>
      </w:r>
      <w:r w:rsidRPr="001658A8">
        <w:rPr>
          <w:rFonts w:ascii="Arial" w:eastAsia="Arial" w:hAnsi="Arial" w:cs="Arial"/>
          <w:sz w:val="22"/>
          <w:szCs w:val="22"/>
          <w:lang w:val="en-GB"/>
        </w:rPr>
        <w:lastRenderedPageBreak/>
        <w:t xml:space="preserve">informal observation of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including prolonged operating times and poor outcomes (Bristol Inquiry, 2001). At the wider level, overall regulatory systems in the pre-2001 NHS are known to have lacked robust mechanisms that could have helped in mandatory external comparison, along with any kind of early intervention whenever performance was being deviated from expected standards (Walshe, 2002).</w:t>
      </w:r>
    </w:p>
    <w:p w14:paraId="3AA58C8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Such weaknesses kept aligning over time. For example, between 1988 and 1994, the mortality rate for children under one year in Bristol who were known to have been undergoing open-heart surgery was significantly higher compared to other English centres in five out of seven years (Aylin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2004). Such a pattern kept on persisting mainly due to the inadequacy of internal monitoring, along with the lack of authority in governance regarding suspending higher-risk operations in healthcare. There was also the external oversight, which did not provide any kind of independent trigger for review until the Bristol Royal Infirmary Inquiry (Dyer, 2014). By aligning with each other, such vulnerabilities resulted in the creation of an environment in which unsafe practices continued without interruption. The outcome included around 30 to 35 children undergoing heart surgery at Bristol Royal Infirmary who died between 1991 and 1995, who would probably have survived if treated elsewhere (Dyer, 2001). The incident results in demonstrating the method in which the combination of systemic weaknesses </w:t>
      </w:r>
      <w:proofErr w:type="gramStart"/>
      <w:r w:rsidRPr="001658A8">
        <w:rPr>
          <w:rFonts w:ascii="Arial" w:eastAsia="Arial" w:hAnsi="Arial" w:cs="Arial"/>
          <w:sz w:val="22"/>
          <w:szCs w:val="22"/>
          <w:lang w:val="en-GB"/>
        </w:rPr>
        <w:t>is able to</w:t>
      </w:r>
      <w:proofErr w:type="gramEnd"/>
      <w:r w:rsidRPr="001658A8">
        <w:rPr>
          <w:rFonts w:ascii="Arial" w:eastAsia="Arial" w:hAnsi="Arial" w:cs="Arial"/>
          <w:sz w:val="22"/>
          <w:szCs w:val="22"/>
          <w:lang w:val="en-GB"/>
        </w:rPr>
        <w:t xml:space="preserve"> amplify overall risk, along with also produce sustained adverse outcomes.</w:t>
      </w:r>
    </w:p>
    <w:p w14:paraId="7C0D002A" w14:textId="77777777" w:rsidR="00B121CA" w:rsidRPr="001658A8" w:rsidRDefault="00B121CA" w:rsidP="00B121CA">
      <w:pPr>
        <w:pStyle w:val="Heading2"/>
        <w:keepNext w:val="0"/>
        <w:keepLines w:val="0"/>
        <w:rPr>
          <w:lang w:val="en-GB"/>
        </w:rPr>
      </w:pPr>
      <w:bookmarkStart w:id="6" w:name="_Toc226647874"/>
      <w:r w:rsidRPr="001658A8">
        <w:rPr>
          <w:lang w:val="en-GB"/>
        </w:rPr>
        <w:t>2.3 The absence of performance benchmarking and audit systems represents the central root cause of governance failure</w:t>
      </w:r>
      <w:bookmarkEnd w:id="6"/>
    </w:p>
    <w:p w14:paraId="19CC4565"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There was no presence of structured mortality review systems, which could have been utilised for routinely analysing deaths, along with identifying patterns. On the other hand, national benchmarks regarding paediatric cardiac surgery outcomes were also not available in mandatory or accessible form (Brown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2015). This left the organisation without any objective yardstick. It is also essential to note that effective audit processes were virtually non-existent (Walshe and Shortell, 2004). Overall, data collection is also known to have been made or done suddenly for a particular purpose, along with limited audits being restricted with no formal follow-up (Gresham, 2015). </w:t>
      </w:r>
    </w:p>
    <w:p w14:paraId="4C8EEA2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It was the lack of measurement systems that resulted in producing cascading effects. This led to the delayed recognition of elevated risks for several years. The problems remained invisible without any comparative data. Overall accountability was also minimal due to performance was not being systematically quantified or even reviewed. Several unsafe practices continued to go </w:t>
      </w:r>
      <w:r w:rsidRPr="001658A8">
        <w:rPr>
          <w:rFonts w:ascii="Arial" w:eastAsia="Arial" w:hAnsi="Arial" w:cs="Arial"/>
          <w:sz w:val="22"/>
          <w:szCs w:val="22"/>
          <w:lang w:val="en-GB"/>
        </w:rPr>
        <w:lastRenderedPageBreak/>
        <w:t>on, along with surgeons undertaking complex cases without external challenge or any support for improvement (Kennedy, 2001). Such failures resulted in preventing organisational learning. Due to the lack of reliable data, along with audit cycles, the unit was unable to close the feedback loop that was present between outcomes and practice change.</w:t>
      </w:r>
    </w:p>
    <w:p w14:paraId="21BA291F" w14:textId="77777777" w:rsidR="00B121CA" w:rsidRPr="001658A8" w:rsidRDefault="00B121CA" w:rsidP="00B121CA">
      <w:pPr>
        <w:pStyle w:val="Heading2"/>
        <w:keepNext w:val="0"/>
        <w:keepLines w:val="0"/>
        <w:rPr>
          <w:lang w:val="en-GB"/>
        </w:rPr>
      </w:pPr>
      <w:bookmarkStart w:id="7" w:name="_Toc226647875"/>
      <w:r w:rsidRPr="001658A8">
        <w:rPr>
          <w:lang w:val="en-GB"/>
        </w:rPr>
        <w:t>2.4 Interacting weaknesses across people, processes, data systems, and organisational culture reinforced system failure</w:t>
      </w:r>
      <w:bookmarkEnd w:id="7"/>
    </w:p>
    <w:p w14:paraId="7DC85842" w14:textId="5CDDCB05" w:rsidR="00B121CA"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The Bristol failure was also due to the dynamic interaction of several weaknesses across multiple domains, compared to any kind of single factor. There was variation in clinical competence, which was combined with resistance to external scrutiny. Some surgeons even lacked insight into their own limitations, along with persisted with higher-risk work (Bristol Inquiry, 2002). Overall processes were also significantly weak, along with a lack of formal audit, escalation or even multidisciplinary review systems that could have flagged concerns. Data systems were also poor, which were only able to provide limited and inconsistent online outcome tracking. This resulted in preventing visibility of trends. According to the inquiry report, there was a “club culture” with insiders and outsiders, the management side was punitive, with an environment which did not promote psychological safety (McMahon et al., 2022)</w:t>
      </w:r>
      <w:r w:rsidR="00A12447">
        <w:rPr>
          <w:rFonts w:ascii="Arial" w:eastAsia="Arial" w:hAnsi="Arial" w:cs="Arial"/>
          <w:sz w:val="22"/>
          <w:szCs w:val="22"/>
          <w:lang w:val="en-GB"/>
        </w:rPr>
        <w:t>.</w:t>
      </w:r>
    </w:p>
    <w:p w14:paraId="43C2702F" w14:textId="5432A576" w:rsidR="00A12447" w:rsidRDefault="00A12447" w:rsidP="00A12447">
      <w:pPr>
        <w:spacing w:before="120" w:after="120" w:line="360" w:lineRule="auto"/>
        <w:jc w:val="center"/>
        <w:rPr>
          <w:rFonts w:ascii="Arial" w:eastAsia="Arial" w:hAnsi="Arial" w:cs="Arial"/>
          <w:sz w:val="22"/>
          <w:szCs w:val="22"/>
          <w:lang w:val="en-GB"/>
        </w:rPr>
      </w:pPr>
      <w:r>
        <w:rPr>
          <w:rFonts w:ascii="Arial" w:eastAsia="Arial" w:hAnsi="Arial" w:cs="Arial"/>
          <w:noProof/>
          <w:sz w:val="22"/>
          <w:szCs w:val="22"/>
          <w:lang w:val="en-GB"/>
        </w:rPr>
        <w:drawing>
          <wp:inline distT="0" distB="0" distL="0" distR="0" wp14:anchorId="08E10A63" wp14:editId="64C66559">
            <wp:extent cx="6436268" cy="33528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60949" cy="3365657"/>
                    </a:xfrm>
                    <a:prstGeom prst="rect">
                      <a:avLst/>
                    </a:prstGeom>
                    <a:noFill/>
                  </pic:spPr>
                </pic:pic>
              </a:graphicData>
            </a:graphic>
          </wp:inline>
        </w:drawing>
      </w:r>
    </w:p>
    <w:p w14:paraId="360292E2" w14:textId="7DB3AE95" w:rsidR="00A12447" w:rsidRDefault="00A12447" w:rsidP="00A12447">
      <w:pPr>
        <w:spacing w:before="120" w:after="120" w:line="360" w:lineRule="auto"/>
        <w:jc w:val="center"/>
        <w:rPr>
          <w:rFonts w:ascii="Arial" w:eastAsia="Arial" w:hAnsi="Arial" w:cs="Arial"/>
          <w:sz w:val="22"/>
          <w:szCs w:val="22"/>
          <w:lang w:val="en-GB"/>
        </w:rPr>
      </w:pPr>
      <w:r>
        <w:rPr>
          <w:rFonts w:ascii="Arial" w:eastAsia="Arial" w:hAnsi="Arial" w:cs="Arial"/>
          <w:b/>
          <w:bCs/>
          <w:sz w:val="22"/>
          <w:szCs w:val="22"/>
          <w:lang w:val="en-GB"/>
        </w:rPr>
        <w:t>Figure 1: Fishbone Diagram of the Bristol Royal Infirmary Incident</w:t>
      </w:r>
    </w:p>
    <w:p w14:paraId="09EEDF8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Such elements resulted in reinforcing one another in a vicious cycle. Poor data systems resulted in limiting the overall visibility of problems. This also enabled a hierarchical culture for dismissing several concerns that were raised by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xml:space="preserve"> (</w:t>
      </w: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xml:space="preserve">, 2021). Rather, the culture of secrecy, along with fear of reputational damage, resulted in blocking the robust audit and escalation process development. Due to weaker governance structures, the organisation failed to break such a cycle through decisive intervention, which led to the development of a self-reinforcing system, in which problems kept on being hidden, unexamined </w:t>
      </w:r>
      <w:proofErr w:type="gramStart"/>
      <w:r w:rsidRPr="001658A8">
        <w:rPr>
          <w:rFonts w:ascii="Arial" w:eastAsia="Arial" w:hAnsi="Arial" w:cs="Arial"/>
          <w:sz w:val="22"/>
          <w:szCs w:val="22"/>
          <w:lang w:val="en-GB"/>
        </w:rPr>
        <w:t>and also</w:t>
      </w:r>
      <w:proofErr w:type="gramEnd"/>
      <w:r w:rsidRPr="001658A8">
        <w:rPr>
          <w:rFonts w:ascii="Arial" w:eastAsia="Arial" w:hAnsi="Arial" w:cs="Arial"/>
          <w:sz w:val="22"/>
          <w:szCs w:val="22"/>
          <w:lang w:val="en-GB"/>
        </w:rPr>
        <w:t xml:space="preserve"> unaddressed. Such a case results in demonstrating that system failure is due to various factors rather than being due to a single weak link.</w:t>
      </w:r>
    </w:p>
    <w:p w14:paraId="2C02FC91" w14:textId="77777777" w:rsidR="00B121CA" w:rsidRPr="001658A8" w:rsidRDefault="00B121CA" w:rsidP="00B121CA">
      <w:pPr>
        <w:pStyle w:val="Heading2"/>
        <w:keepNext w:val="0"/>
        <w:keepLines w:val="0"/>
        <w:rPr>
          <w:lang w:val="en-GB"/>
        </w:rPr>
      </w:pPr>
      <w:bookmarkStart w:id="8" w:name="_Toc226647876"/>
      <w:r w:rsidRPr="001658A8">
        <w:rPr>
          <w:lang w:val="en-GB"/>
        </w:rPr>
        <w:t>2.5 Structural and process weaknesses directly contributed to adverse clinical outcomes and loss of patient safety</w:t>
      </w:r>
      <w:bookmarkEnd w:id="8"/>
    </w:p>
    <w:p w14:paraId="09A0001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structural arrangements, along with flawed processes at Bristol, resulted in the development of several conditions regarding preventable mortality. On the other hand, staffing levels were also insufficient, along with shortages of specialist surgeons, nurses, and intensive care support (Smith, 2001). This led to placing excessive pressure on a team that was small in scale. Governance structures, on the other hand, focused power in several hands without needing to adequately check or balance (Government of the UK, 2025). Clinical decision-making was significantly lacking in multidisciplinary input or any kind of formal risk assessment protocols.</w:t>
      </w:r>
    </w:p>
    <w:p w14:paraId="5A2F919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Such structural weaknesses resulted in directly undermining overall safety processes. Prolonged operating times, along with suboptimal postoperative care was neglected due to the absence of a reliable system, which could have captured and acted on such algorithms. Whenever concerns started to arise, they dissipated without leading to service reconfiguration or external support (Kennedy, 2001). </w:t>
      </w:r>
      <w:proofErr w:type="gramStart"/>
      <w:r w:rsidRPr="001658A8">
        <w:rPr>
          <w:rFonts w:ascii="Arial" w:eastAsia="Arial" w:hAnsi="Arial" w:cs="Arial"/>
          <w:sz w:val="22"/>
          <w:szCs w:val="22"/>
          <w:lang w:val="en-GB"/>
        </w:rPr>
        <w:t>As a consequence</w:t>
      </w:r>
      <w:proofErr w:type="gramEnd"/>
      <w:r w:rsidRPr="001658A8">
        <w:rPr>
          <w:rFonts w:ascii="Arial" w:eastAsia="Arial" w:hAnsi="Arial" w:cs="Arial"/>
          <w:sz w:val="22"/>
          <w:szCs w:val="22"/>
          <w:lang w:val="en-GB"/>
        </w:rPr>
        <w:t xml:space="preserve">, adverse clinical outcomes started to accumulate with higher mortality, along with increased complications </w:t>
      </w:r>
      <w:proofErr w:type="gramStart"/>
      <w:r w:rsidRPr="001658A8">
        <w:rPr>
          <w:rFonts w:ascii="Arial" w:eastAsia="Arial" w:hAnsi="Arial" w:cs="Arial"/>
          <w:sz w:val="22"/>
          <w:szCs w:val="22"/>
          <w:lang w:val="en-GB"/>
        </w:rPr>
        <w:t>and also</w:t>
      </w:r>
      <w:proofErr w:type="gramEnd"/>
      <w:r w:rsidRPr="001658A8">
        <w:rPr>
          <w:rFonts w:ascii="Arial" w:eastAsia="Arial" w:hAnsi="Arial" w:cs="Arial"/>
          <w:sz w:val="22"/>
          <w:szCs w:val="22"/>
          <w:lang w:val="en-GB"/>
        </w:rPr>
        <w:t xml:space="preserve"> long-term harm to the children who had survived, in addition to their families. On the other hand, such erosion of patient safety also resulted in profound public trust loss in the NHS. The incident confirms the fact that poor structures, along with processes, </w:t>
      </w:r>
      <w:proofErr w:type="gramStart"/>
      <w:r w:rsidRPr="001658A8">
        <w:rPr>
          <w:rFonts w:ascii="Arial" w:eastAsia="Arial" w:hAnsi="Arial" w:cs="Arial"/>
          <w:sz w:val="22"/>
          <w:szCs w:val="22"/>
          <w:lang w:val="en-GB"/>
        </w:rPr>
        <w:t>are able to</w:t>
      </w:r>
      <w:proofErr w:type="gramEnd"/>
      <w:r w:rsidRPr="001658A8">
        <w:rPr>
          <w:rFonts w:ascii="Arial" w:eastAsia="Arial" w:hAnsi="Arial" w:cs="Arial"/>
          <w:sz w:val="22"/>
          <w:szCs w:val="22"/>
          <w:lang w:val="en-GB"/>
        </w:rPr>
        <w:t xml:space="preserve"> directly translate latent risks into actual patient harm.</w:t>
      </w:r>
    </w:p>
    <w:p w14:paraId="6DF26DDB" w14:textId="77777777" w:rsidR="00B121CA" w:rsidRPr="001658A8" w:rsidRDefault="00B121CA" w:rsidP="00B121CA">
      <w:pPr>
        <w:pStyle w:val="Heading2"/>
        <w:rPr>
          <w:lang w:val="en-GB"/>
        </w:rPr>
      </w:pPr>
      <w:bookmarkStart w:id="9" w:name="_Toc226647877"/>
      <w:r w:rsidRPr="001658A8">
        <w:rPr>
          <w:lang w:val="en-GB"/>
        </w:rPr>
        <w:t xml:space="preserve">2.6 Governance and regulatory failure </w:t>
      </w:r>
      <w:proofErr w:type="gramStart"/>
      <w:r w:rsidRPr="001658A8">
        <w:rPr>
          <w:lang w:val="en-GB"/>
        </w:rPr>
        <w:t>reflects</w:t>
      </w:r>
      <w:proofErr w:type="gramEnd"/>
      <w:r w:rsidRPr="001658A8">
        <w:rPr>
          <w:lang w:val="en-GB"/>
        </w:rPr>
        <w:t xml:space="preserve"> the absence of national standards and external accountability mechanisms</w:t>
      </w:r>
      <w:bookmarkEnd w:id="9"/>
    </w:p>
    <w:p w14:paraId="086D5662"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Bristol case is known to have mainly occurred in an NHS environment that was lacking mandatory national performance reporting standards. There was also the absence of effective regulatory intervention tools and routine external benchmarking (Kennedy, 2001). Both the </w:t>
      </w:r>
      <w:r w:rsidRPr="001658A8">
        <w:rPr>
          <w:rFonts w:ascii="Arial" w:eastAsia="Arial" w:hAnsi="Arial" w:cs="Arial"/>
          <w:sz w:val="22"/>
          <w:szCs w:val="22"/>
          <w:lang w:val="en-GB"/>
        </w:rPr>
        <w:lastRenderedPageBreak/>
        <w:t>hospital, along with the trust governance, had limited authority for enforcing change against professional resistance, as the National Health Service introduced clinical governance after the Bristol inquiry in 1998 and subsequently built a whole reform program around it (Basic Medical Key, 2017). National oversight bodies were also known to have operated with fragmented responsibilities. There was also no need of requirement that existed regarding units for submitting outcome data for comparative analysis.</w:t>
      </w:r>
    </w:p>
    <w:p w14:paraId="6597AFC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It is essential to note that internal governance had operated without sufficient information or any kind of external pressure. This led to the absence of any kind of clear threshold for intervention, even when concerns reached senior levels, as there were no national standards. Such a gap resulted in allowing local weaknesses in various segments, such as culture, data </w:t>
      </w:r>
      <w:proofErr w:type="gramStart"/>
      <w:r w:rsidRPr="001658A8">
        <w:rPr>
          <w:rFonts w:ascii="Arial" w:eastAsia="Arial" w:hAnsi="Arial" w:cs="Arial"/>
          <w:sz w:val="22"/>
          <w:szCs w:val="22"/>
          <w:lang w:val="en-GB"/>
        </w:rPr>
        <w:t>and also</w:t>
      </w:r>
      <w:proofErr w:type="gramEnd"/>
      <w:r w:rsidRPr="001658A8">
        <w:rPr>
          <w:rFonts w:ascii="Arial" w:eastAsia="Arial" w:hAnsi="Arial" w:cs="Arial"/>
          <w:sz w:val="22"/>
          <w:szCs w:val="22"/>
          <w:lang w:val="en-GB"/>
        </w:rPr>
        <w:t xml:space="preserve"> processes to be left unchecked for many years. Such a failure results in highlighting a wider governance gap, which is that a healthcare system that has no strong external accountability mechanisms will lead to the development of internal deficiencies (</w:t>
      </w: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2016). The case of Bristol also exposed the method in which reliance on professional self-regulation and voluntary data sharing proved inadequate for protecting patients in high-risk specialities.</w:t>
      </w:r>
    </w:p>
    <w:p w14:paraId="073EB498" w14:textId="77777777" w:rsidR="00B121CA" w:rsidRPr="001658A8" w:rsidRDefault="00B121CA" w:rsidP="00B121CA">
      <w:pPr>
        <w:pStyle w:val="Heading2"/>
        <w:keepNext w:val="0"/>
        <w:keepLines w:val="0"/>
        <w:rPr>
          <w:lang w:val="en-GB"/>
        </w:rPr>
      </w:pPr>
      <w:bookmarkStart w:id="10" w:name="_Toc226647878"/>
      <w:r w:rsidRPr="001658A8">
        <w:rPr>
          <w:lang w:val="en-GB"/>
        </w:rPr>
        <w:t>2.7 Strategic analysis highlights systemic weaknesses in performance monitoring and opportunities for governance reform (SWOT)</w:t>
      </w:r>
      <w:bookmarkEnd w:id="1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121CA" w:rsidRPr="001658A8" w14:paraId="3292C05A" w14:textId="77777777" w:rsidTr="002753CF">
        <w:tc>
          <w:tcPr>
            <w:tcW w:w="4680" w:type="dxa"/>
            <w:tcMar>
              <w:top w:w="100" w:type="dxa"/>
              <w:left w:w="100" w:type="dxa"/>
              <w:bottom w:w="100" w:type="dxa"/>
              <w:right w:w="100" w:type="dxa"/>
            </w:tcMar>
          </w:tcPr>
          <w:p w14:paraId="0BA2DC27"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Strengths</w:t>
            </w:r>
          </w:p>
        </w:tc>
        <w:tc>
          <w:tcPr>
            <w:tcW w:w="4680" w:type="dxa"/>
            <w:tcMar>
              <w:top w:w="100" w:type="dxa"/>
              <w:left w:w="100" w:type="dxa"/>
              <w:bottom w:w="100" w:type="dxa"/>
              <w:right w:w="100" w:type="dxa"/>
            </w:tcMar>
          </w:tcPr>
          <w:p w14:paraId="01E468BD"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Weaknesses</w:t>
            </w:r>
          </w:p>
        </w:tc>
      </w:tr>
      <w:tr w:rsidR="00B121CA" w:rsidRPr="001658A8" w14:paraId="33886D46" w14:textId="77777777" w:rsidTr="002753CF">
        <w:tc>
          <w:tcPr>
            <w:tcW w:w="4680" w:type="dxa"/>
            <w:tcMar>
              <w:top w:w="100" w:type="dxa"/>
              <w:left w:w="100" w:type="dxa"/>
              <w:bottom w:w="100" w:type="dxa"/>
              <w:right w:w="100" w:type="dxa"/>
            </w:tcMar>
          </w:tcPr>
          <w:p w14:paraId="42E9FE2F"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Emerging awareness of clinical governance issues and the eventual inquiry-led push for reform, which catalysed national change (Kennedy, 2001).</w:t>
            </w:r>
          </w:p>
        </w:tc>
        <w:tc>
          <w:tcPr>
            <w:tcW w:w="4680" w:type="dxa"/>
            <w:tcMar>
              <w:top w:w="100" w:type="dxa"/>
              <w:left w:w="100" w:type="dxa"/>
              <w:bottom w:w="100" w:type="dxa"/>
              <w:right w:w="100" w:type="dxa"/>
            </w:tcMar>
          </w:tcPr>
          <w:p w14:paraId="25C9387A"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absence of robust data systems, formal audit mechanisms, benchmarking processes, and clear accountability structures (Gresham, 2015; Brown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2015).</w:t>
            </w:r>
          </w:p>
        </w:tc>
      </w:tr>
      <w:tr w:rsidR="00B121CA" w:rsidRPr="001658A8" w14:paraId="5BCCC386" w14:textId="77777777" w:rsidTr="002753CF">
        <w:tc>
          <w:tcPr>
            <w:tcW w:w="4680" w:type="dxa"/>
            <w:tcMar>
              <w:top w:w="100" w:type="dxa"/>
              <w:left w:w="100" w:type="dxa"/>
              <w:bottom w:w="100" w:type="dxa"/>
              <w:right w:w="100" w:type="dxa"/>
            </w:tcMar>
          </w:tcPr>
          <w:p w14:paraId="13D4DED0"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Opportunities</w:t>
            </w:r>
          </w:p>
        </w:tc>
        <w:tc>
          <w:tcPr>
            <w:tcW w:w="4680" w:type="dxa"/>
            <w:tcMar>
              <w:top w:w="100" w:type="dxa"/>
              <w:left w:w="100" w:type="dxa"/>
              <w:bottom w:w="100" w:type="dxa"/>
              <w:right w:w="100" w:type="dxa"/>
            </w:tcMar>
          </w:tcPr>
          <w:p w14:paraId="687496DE"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Threats</w:t>
            </w:r>
          </w:p>
        </w:tc>
      </w:tr>
      <w:tr w:rsidR="00B121CA" w:rsidRPr="001658A8" w14:paraId="08C42BB0" w14:textId="77777777" w:rsidTr="002753CF">
        <w:tc>
          <w:tcPr>
            <w:tcW w:w="4680" w:type="dxa"/>
            <w:tcMar>
              <w:top w:w="100" w:type="dxa"/>
              <w:left w:w="100" w:type="dxa"/>
              <w:bottom w:w="100" w:type="dxa"/>
              <w:right w:w="100" w:type="dxa"/>
            </w:tcMar>
          </w:tcPr>
          <w:p w14:paraId="5975D5B4"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Several opportunities are known to lie in developing national standards for outcome reporting, transparent performance monitoring, and strengthened clinical governance frameworks to enable early </w:t>
            </w:r>
            <w:r w:rsidRPr="001658A8">
              <w:rPr>
                <w:rFonts w:ascii="Arial" w:eastAsia="Arial" w:hAnsi="Arial" w:cs="Arial"/>
                <w:sz w:val="22"/>
                <w:szCs w:val="22"/>
                <w:lang w:val="en-GB"/>
              </w:rPr>
              <w:lastRenderedPageBreak/>
              <w:t>detection and learning.</w:t>
            </w:r>
          </w:p>
        </w:tc>
        <w:tc>
          <w:tcPr>
            <w:tcW w:w="4680" w:type="dxa"/>
            <w:tcMar>
              <w:top w:w="100" w:type="dxa"/>
              <w:left w:w="100" w:type="dxa"/>
              <w:bottom w:w="100" w:type="dxa"/>
              <w:right w:w="100" w:type="dxa"/>
            </w:tcMar>
          </w:tcPr>
          <w:p w14:paraId="1894350E"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Overall threats included deep organisational resistance to change, entrenched professional hierarchies, and a culture that prioritised reputation over openness.</w:t>
            </w:r>
          </w:p>
        </w:tc>
      </w:tr>
    </w:tbl>
    <w:p w14:paraId="68CCAAF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Such interplay of weaknesses, along with threats are known to have directly allowed the prolonged failure. There were poor data audit systems, which were also combined with hierarchical resistance that led to the prevention of timely intervention (Gresham, 2015; </w:t>
      </w: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xml:space="preserve">, 2021). On the other hand, opportunities resulted in identifying post-inquiry, which led to the system redesign through mandatory benchmarking, along with independent oversight and transparent reporting (Coulter, 2002). Such a strategic view results in underscoring the fact that, </w:t>
      </w:r>
      <w:proofErr w:type="gramStart"/>
      <w:r w:rsidRPr="001658A8">
        <w:rPr>
          <w:rFonts w:ascii="Arial" w:eastAsia="Arial" w:hAnsi="Arial" w:cs="Arial"/>
          <w:sz w:val="22"/>
          <w:szCs w:val="22"/>
          <w:lang w:val="en-GB"/>
        </w:rPr>
        <w:t>in order to</w:t>
      </w:r>
      <w:proofErr w:type="gramEnd"/>
      <w:r w:rsidRPr="001658A8">
        <w:rPr>
          <w:rFonts w:ascii="Arial" w:eastAsia="Arial" w:hAnsi="Arial" w:cs="Arial"/>
          <w:sz w:val="22"/>
          <w:szCs w:val="22"/>
          <w:lang w:val="en-GB"/>
        </w:rPr>
        <w:t xml:space="preserve"> gain sustainable improvement, system-level transformation is required (de Castro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2025). Improving performance monitoring, along with governance structures are also essential in the case of converting latent vulnerabilities into resilient, learning-oriented systems.</w:t>
      </w:r>
    </w:p>
    <w:p w14:paraId="0EC8CAFC" w14:textId="77777777" w:rsidR="00B121CA" w:rsidRPr="001658A8" w:rsidRDefault="00B121CA" w:rsidP="00B121CA">
      <w:pPr>
        <w:pStyle w:val="Heading1"/>
        <w:rPr>
          <w:lang w:val="en-GB"/>
        </w:rPr>
      </w:pPr>
      <w:bookmarkStart w:id="11" w:name="_Toc226647879"/>
      <w:r w:rsidRPr="001658A8">
        <w:rPr>
          <w:lang w:val="en-GB"/>
        </w:rPr>
        <w:t>3. Recommendations</w:t>
      </w:r>
      <w:bookmarkEnd w:id="11"/>
    </w:p>
    <w:p w14:paraId="481FF0ED" w14:textId="77777777" w:rsidR="00B121CA" w:rsidRPr="001658A8" w:rsidRDefault="00B121CA" w:rsidP="00B121CA">
      <w:pPr>
        <w:pStyle w:val="Heading2"/>
        <w:keepNext w:val="0"/>
        <w:keepLines w:val="0"/>
        <w:rPr>
          <w:lang w:val="en-GB"/>
        </w:rPr>
      </w:pPr>
      <w:bookmarkStart w:id="12" w:name="_Toc226647880"/>
      <w:r w:rsidRPr="001658A8">
        <w:rPr>
          <w:lang w:val="en-GB"/>
        </w:rPr>
        <w:t>3.1 Establishing robust performance monitoring and benchmarking systems is essential to prevent the recurrence of failure</w:t>
      </w:r>
      <w:bookmarkEnd w:id="12"/>
    </w:p>
    <w:p w14:paraId="0C6A839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National benchmarking systems, along with structured mortality reviews, are necessary for safe paediatric cardiac surgery. Mandatory outcome tracking against several national and international benchmarks will help in the early detection of several poor outcomes (</w:t>
      </w:r>
      <w:proofErr w:type="spellStart"/>
      <w:r w:rsidRPr="001658A8">
        <w:rPr>
          <w:rFonts w:ascii="Arial" w:eastAsia="Arial" w:hAnsi="Arial" w:cs="Arial"/>
          <w:sz w:val="22"/>
          <w:szCs w:val="22"/>
          <w:lang w:val="en-GB"/>
        </w:rPr>
        <w:t>Willmington</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 xml:space="preserve">et al., </w:t>
      </w:r>
      <w:r w:rsidRPr="001658A8">
        <w:rPr>
          <w:rFonts w:ascii="Arial" w:eastAsia="Arial" w:hAnsi="Arial" w:cs="Arial"/>
          <w:sz w:val="22"/>
          <w:szCs w:val="22"/>
          <w:lang w:val="en-GB"/>
        </w:rPr>
        <w:t>2022). Such systems are also able to improve overall accountability as it allows performance to be visible and comparable. It also supports evidence-based decisions regarding service reconfiguration or suspension of underperforming units.</w:t>
      </w:r>
    </w:p>
    <w:p w14:paraId="6D4753B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The</w:t>
      </w:r>
      <w:r w:rsidRPr="001658A8">
        <w:rPr>
          <w:rFonts w:ascii="Arial" w:eastAsia="Arial" w:hAnsi="Arial" w:cs="Arial"/>
          <w:b/>
          <w:bCs/>
          <w:i/>
          <w:iCs/>
          <w:sz w:val="22"/>
          <w:szCs w:val="22"/>
          <w:lang w:val="en-GB"/>
        </w:rPr>
        <w:t xml:space="preserve"> Plan–do–study–act cycles</w:t>
      </w:r>
      <w:r w:rsidRPr="001658A8">
        <w:rPr>
          <w:rFonts w:ascii="Arial" w:eastAsia="Arial" w:hAnsi="Arial" w:cs="Arial"/>
          <w:sz w:val="22"/>
          <w:szCs w:val="22"/>
          <w:lang w:val="en-GB"/>
        </w:rPr>
        <w:t xml:space="preserve"> are known for providing a structure for iterative testing of changes to improve the quality of systems (Taylor </w:t>
      </w:r>
      <w:r w:rsidRPr="001658A8">
        <w:rPr>
          <w:rFonts w:ascii="Arial" w:eastAsia="Arial" w:hAnsi="Arial" w:cs="Arial"/>
          <w:i/>
          <w:iCs/>
          <w:sz w:val="22"/>
          <w:szCs w:val="22"/>
          <w:lang w:val="en-GB"/>
        </w:rPr>
        <w:t xml:space="preserve">et al., </w:t>
      </w:r>
      <w:r w:rsidRPr="001658A8">
        <w:rPr>
          <w:rFonts w:ascii="Arial" w:eastAsia="Arial" w:hAnsi="Arial" w:cs="Arial"/>
          <w:sz w:val="22"/>
          <w:szCs w:val="22"/>
          <w:lang w:val="en-GB"/>
        </w:rPr>
        <w:t xml:space="preserve">2014). This is applied to the recommendation for justifying the points. The </w:t>
      </w:r>
      <w:r w:rsidRPr="001658A8">
        <w:rPr>
          <w:rFonts w:ascii="Arial" w:eastAsia="Arial" w:hAnsi="Arial" w:cs="Arial"/>
          <w:b/>
          <w:bCs/>
          <w:i/>
          <w:iCs/>
          <w:sz w:val="22"/>
          <w:szCs w:val="22"/>
          <w:lang w:val="en-GB"/>
        </w:rPr>
        <w:t xml:space="preserve">plan </w:t>
      </w:r>
      <w:r w:rsidRPr="001658A8">
        <w:rPr>
          <w:rFonts w:ascii="Arial" w:eastAsia="Arial" w:hAnsi="Arial" w:cs="Arial"/>
          <w:sz w:val="22"/>
          <w:szCs w:val="22"/>
          <w:lang w:val="en-GB"/>
        </w:rPr>
        <w:t xml:space="preserve">is to define clear metrics such as 30-day mortality by procedure complexity, along with benchmarks. The </w:t>
      </w:r>
      <w:r w:rsidRPr="001658A8">
        <w:rPr>
          <w:rFonts w:ascii="Arial" w:eastAsia="Arial" w:hAnsi="Arial" w:cs="Arial"/>
          <w:b/>
          <w:bCs/>
          <w:i/>
          <w:iCs/>
          <w:sz w:val="22"/>
          <w:szCs w:val="22"/>
          <w:lang w:val="en-GB"/>
        </w:rPr>
        <w:t xml:space="preserve">“Do” </w:t>
      </w:r>
      <w:r w:rsidRPr="001658A8">
        <w:rPr>
          <w:rFonts w:ascii="Arial" w:eastAsia="Arial" w:hAnsi="Arial" w:cs="Arial"/>
          <w:sz w:val="22"/>
          <w:szCs w:val="22"/>
          <w:lang w:val="en-GB"/>
        </w:rPr>
        <w:t xml:space="preserve">segment will include the collection of data. The </w:t>
      </w:r>
      <w:r w:rsidRPr="001658A8">
        <w:rPr>
          <w:rFonts w:ascii="Arial" w:eastAsia="Arial" w:hAnsi="Arial" w:cs="Arial"/>
          <w:b/>
          <w:bCs/>
          <w:i/>
          <w:iCs/>
          <w:sz w:val="22"/>
          <w:szCs w:val="22"/>
          <w:lang w:val="en-GB"/>
        </w:rPr>
        <w:t>“Study”</w:t>
      </w:r>
      <w:r w:rsidRPr="001658A8">
        <w:rPr>
          <w:rFonts w:ascii="Arial" w:eastAsia="Arial" w:hAnsi="Arial" w:cs="Arial"/>
          <w:sz w:val="22"/>
          <w:szCs w:val="22"/>
          <w:lang w:val="en-GB"/>
        </w:rPr>
        <w:t xml:space="preserve"> segment includes analysing of variations, along with identifying outliers. Lastly, the </w:t>
      </w:r>
      <w:r w:rsidRPr="001658A8">
        <w:rPr>
          <w:rFonts w:ascii="Arial" w:eastAsia="Arial" w:hAnsi="Arial" w:cs="Arial"/>
          <w:b/>
          <w:bCs/>
          <w:i/>
          <w:iCs/>
          <w:sz w:val="22"/>
          <w:szCs w:val="22"/>
          <w:lang w:val="en-GB"/>
        </w:rPr>
        <w:t>“Act”</w:t>
      </w:r>
      <w:r w:rsidRPr="001658A8">
        <w:rPr>
          <w:rFonts w:ascii="Arial" w:eastAsia="Arial" w:hAnsi="Arial" w:cs="Arial"/>
          <w:sz w:val="22"/>
          <w:szCs w:val="22"/>
          <w:lang w:val="en-GB"/>
        </w:rPr>
        <w:t xml:space="preserve"> part includes standardising improvements or adjusting thresholds. It is essential to note that iterative PDSA cycles </w:t>
      </w:r>
      <w:proofErr w:type="gramStart"/>
      <w:r w:rsidRPr="001658A8">
        <w:rPr>
          <w:rFonts w:ascii="Arial" w:eastAsia="Arial" w:hAnsi="Arial" w:cs="Arial"/>
          <w:sz w:val="22"/>
          <w:szCs w:val="22"/>
          <w:lang w:val="en-GB"/>
        </w:rPr>
        <w:t>are able to</w:t>
      </w:r>
      <w:proofErr w:type="gramEnd"/>
      <w:r w:rsidRPr="001658A8">
        <w:rPr>
          <w:rFonts w:ascii="Arial" w:eastAsia="Arial" w:hAnsi="Arial" w:cs="Arial"/>
          <w:sz w:val="22"/>
          <w:szCs w:val="22"/>
          <w:lang w:val="en-GB"/>
        </w:rPr>
        <w:t xml:space="preserve"> ensure monitoring systems evolve with clinical practice, preventing prolonged undetected harm.</w:t>
      </w:r>
    </w:p>
    <w:p w14:paraId="64631966" w14:textId="77777777" w:rsidR="00B121CA" w:rsidRPr="001658A8" w:rsidRDefault="00B121CA" w:rsidP="00B121CA">
      <w:pPr>
        <w:pStyle w:val="Heading2"/>
        <w:keepNext w:val="0"/>
        <w:keepLines w:val="0"/>
        <w:rPr>
          <w:lang w:val="en-GB"/>
        </w:rPr>
      </w:pPr>
      <w:bookmarkStart w:id="13" w:name="_Toc226647881"/>
      <w:r w:rsidRPr="001658A8">
        <w:rPr>
          <w:lang w:val="en-GB"/>
        </w:rPr>
        <w:t>3.2 Improving data systems and transparency is necessary to enhance organisational learning and patient safety</w:t>
      </w:r>
      <w:bookmarkEnd w:id="13"/>
    </w:p>
    <w:p w14:paraId="48D2456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Real-time data systems, along with mandatory outcome reporting and open sharing is recommended to be implemented as those are essential for breaking information silos </w:t>
      </w:r>
      <w:proofErr w:type="gramStart"/>
      <w:r w:rsidRPr="001658A8">
        <w:rPr>
          <w:rFonts w:ascii="Arial" w:eastAsia="Arial" w:hAnsi="Arial" w:cs="Arial"/>
          <w:sz w:val="22"/>
          <w:szCs w:val="22"/>
          <w:lang w:val="en-GB"/>
        </w:rPr>
        <w:t>and also</w:t>
      </w:r>
      <w:proofErr w:type="gramEnd"/>
      <w:r w:rsidRPr="001658A8">
        <w:rPr>
          <w:rFonts w:ascii="Arial" w:eastAsia="Arial" w:hAnsi="Arial" w:cs="Arial"/>
          <w:sz w:val="22"/>
          <w:szCs w:val="22"/>
          <w:lang w:val="en-GB"/>
        </w:rPr>
        <w:t xml:space="preserve"> boosting the safety of patients. Improved digital platforms that </w:t>
      </w:r>
      <w:proofErr w:type="gramStart"/>
      <w:r w:rsidRPr="001658A8">
        <w:rPr>
          <w:rFonts w:ascii="Arial" w:eastAsia="Arial" w:hAnsi="Arial" w:cs="Arial"/>
          <w:sz w:val="22"/>
          <w:szCs w:val="22"/>
          <w:lang w:val="en-GB"/>
        </w:rPr>
        <w:t>are able to</w:t>
      </w:r>
      <w:proofErr w:type="gramEnd"/>
      <w:r w:rsidRPr="001658A8">
        <w:rPr>
          <w:rFonts w:ascii="Arial" w:eastAsia="Arial" w:hAnsi="Arial" w:cs="Arial"/>
          <w:sz w:val="22"/>
          <w:szCs w:val="22"/>
          <w:lang w:val="en-GB"/>
        </w:rPr>
        <w:t xml:space="preserve"> capture surgical outcomes, complications, along with long-term follow-up </w:t>
      </w:r>
      <w:proofErr w:type="gramStart"/>
      <w:r w:rsidRPr="001658A8">
        <w:rPr>
          <w:rFonts w:ascii="Arial" w:eastAsia="Arial" w:hAnsi="Arial" w:cs="Arial"/>
          <w:sz w:val="22"/>
          <w:szCs w:val="22"/>
          <w:lang w:val="en-GB"/>
        </w:rPr>
        <w:t>are able to</w:t>
      </w:r>
      <w:proofErr w:type="gramEnd"/>
      <w:r w:rsidRPr="001658A8">
        <w:rPr>
          <w:rFonts w:ascii="Arial" w:eastAsia="Arial" w:hAnsi="Arial" w:cs="Arial"/>
          <w:sz w:val="22"/>
          <w:szCs w:val="22"/>
          <w:lang w:val="en-GB"/>
        </w:rPr>
        <w:t xml:space="preserve"> enable early detection of adverse trends. This also helps in cross-organisational learning using national databases. Overall transparency will help in ensuring data drives safety. The Plan–Do–Check–Act cycle is a four-step model for carrying out change (ASQ, 2026). Implementing the PDCA cycle will empower this with the </w:t>
      </w:r>
      <w:r w:rsidRPr="001658A8">
        <w:rPr>
          <w:rFonts w:ascii="Arial" w:eastAsia="Arial" w:hAnsi="Arial" w:cs="Arial"/>
          <w:b/>
          <w:bCs/>
          <w:i/>
          <w:iCs/>
          <w:sz w:val="22"/>
          <w:szCs w:val="22"/>
          <w:lang w:val="en-GB"/>
        </w:rPr>
        <w:t>“Plan”</w:t>
      </w:r>
      <w:r w:rsidRPr="001658A8">
        <w:rPr>
          <w:rFonts w:ascii="Arial" w:eastAsia="Arial" w:hAnsi="Arial" w:cs="Arial"/>
          <w:sz w:val="22"/>
          <w:szCs w:val="22"/>
          <w:lang w:val="en-GB"/>
        </w:rPr>
        <w:t xml:space="preserve"> for designing interoperable infrastructure. The </w:t>
      </w:r>
      <w:r w:rsidRPr="001658A8">
        <w:rPr>
          <w:rFonts w:ascii="Arial" w:eastAsia="Arial" w:hAnsi="Arial" w:cs="Arial"/>
          <w:b/>
          <w:bCs/>
          <w:i/>
          <w:iCs/>
          <w:sz w:val="22"/>
          <w:szCs w:val="22"/>
          <w:lang w:val="en-GB"/>
        </w:rPr>
        <w:t>“Do”</w:t>
      </w:r>
      <w:r w:rsidRPr="001658A8">
        <w:rPr>
          <w:rFonts w:ascii="Arial" w:eastAsia="Arial" w:hAnsi="Arial" w:cs="Arial"/>
          <w:sz w:val="22"/>
          <w:szCs w:val="22"/>
          <w:lang w:val="en-GB"/>
        </w:rPr>
        <w:t xml:space="preserve"> will include implementing collection and reporting. The </w:t>
      </w:r>
      <w:r w:rsidRPr="001658A8">
        <w:rPr>
          <w:rFonts w:ascii="Arial" w:eastAsia="Arial" w:hAnsi="Arial" w:cs="Arial"/>
          <w:b/>
          <w:bCs/>
          <w:i/>
          <w:iCs/>
          <w:sz w:val="22"/>
          <w:szCs w:val="22"/>
          <w:lang w:val="en-GB"/>
        </w:rPr>
        <w:t>“Check”</w:t>
      </w:r>
      <w:r w:rsidRPr="001658A8">
        <w:rPr>
          <w:rFonts w:ascii="Arial" w:eastAsia="Arial" w:hAnsi="Arial" w:cs="Arial"/>
          <w:sz w:val="22"/>
          <w:szCs w:val="22"/>
          <w:lang w:val="en-GB"/>
        </w:rPr>
        <w:t xml:space="preserve"> will include evaluating quality, alongside impact. Lastly, the </w:t>
      </w:r>
      <w:r w:rsidRPr="001658A8">
        <w:rPr>
          <w:rFonts w:ascii="Arial" w:eastAsia="Arial" w:hAnsi="Arial" w:cs="Arial"/>
          <w:b/>
          <w:bCs/>
          <w:i/>
          <w:iCs/>
          <w:sz w:val="22"/>
          <w:szCs w:val="22"/>
          <w:lang w:val="en-GB"/>
        </w:rPr>
        <w:t>“Act”</w:t>
      </w:r>
      <w:r w:rsidRPr="001658A8">
        <w:rPr>
          <w:rFonts w:ascii="Arial" w:eastAsia="Arial" w:hAnsi="Arial" w:cs="Arial"/>
          <w:sz w:val="22"/>
          <w:szCs w:val="22"/>
          <w:lang w:val="en-GB"/>
        </w:rPr>
        <w:t xml:space="preserve"> segment will include redefining systems regarding accessibility. It is essential to note that regular PDCA iterations will help in keeping data systems more dynamic, which will also reduce isolation and promote collective NHS learning (PECB, 2025).</w:t>
      </w:r>
    </w:p>
    <w:p w14:paraId="45BC8696" w14:textId="77777777" w:rsidR="00B121CA" w:rsidRPr="001658A8" w:rsidRDefault="00B121CA" w:rsidP="00B121CA">
      <w:pPr>
        <w:pStyle w:val="Heading2"/>
        <w:keepNext w:val="0"/>
        <w:keepLines w:val="0"/>
        <w:rPr>
          <w:lang w:val="en-GB"/>
        </w:rPr>
      </w:pPr>
      <w:bookmarkStart w:id="14" w:name="_Toc226647882"/>
      <w:r w:rsidRPr="001658A8">
        <w:rPr>
          <w:lang w:val="en-GB"/>
        </w:rPr>
        <w:t>3.3 Sustained improvement requires integration of continuous quality improvement approaches across the healthcare system</w:t>
      </w:r>
      <w:bookmarkEnd w:id="14"/>
    </w:p>
    <w:p w14:paraId="6C83F4F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Isolated interventions are known for being insufficient for lasting change. </w:t>
      </w:r>
      <w:proofErr w:type="gramStart"/>
      <w:r w:rsidRPr="001658A8">
        <w:rPr>
          <w:rFonts w:ascii="Arial" w:eastAsia="Arial" w:hAnsi="Arial" w:cs="Arial"/>
          <w:sz w:val="22"/>
          <w:szCs w:val="22"/>
          <w:lang w:val="en-GB"/>
        </w:rPr>
        <w:t>In order to</w:t>
      </w:r>
      <w:proofErr w:type="gramEnd"/>
      <w:r w:rsidRPr="001658A8">
        <w:rPr>
          <w:rFonts w:ascii="Arial" w:eastAsia="Arial" w:hAnsi="Arial" w:cs="Arial"/>
          <w:sz w:val="22"/>
          <w:szCs w:val="22"/>
          <w:lang w:val="en-GB"/>
        </w:rPr>
        <w:t xml:space="preserve"> gain meaningful and system-wide improvement, continuous and data-driven quality methodologies need to be embedded at every level of the NHS (</w:t>
      </w:r>
      <w:proofErr w:type="spellStart"/>
      <w:r w:rsidRPr="001658A8">
        <w:rPr>
          <w:rFonts w:ascii="Arial" w:eastAsia="Arial" w:hAnsi="Arial" w:cs="Arial"/>
          <w:sz w:val="22"/>
          <w:szCs w:val="22"/>
          <w:lang w:val="en-GB"/>
        </w:rPr>
        <w:t>Lighterness</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2024). It is essential to note that governance, along with clinical teams and regulators, is required to align around structured approaches that will be supporting iterative testing, evaluation, along with scaling. The Lean method will be able to eliminate waste in the process, including delays in various audit feedback or any kind of unnecessary steps in reporting (Barr and Brannan, 2024). On the other hand, the Six Sigma method will help in transforming quality assurance, such as transitioning from reactive fixes to proactive prevention (Ilin and Bohlen, 2023). This will help in building on the legacy of the Bristol Inquiry regarding restoring public trust and safeguarding patient safety.</w:t>
      </w:r>
    </w:p>
    <w:p w14:paraId="1D5A9F93" w14:textId="77777777" w:rsidR="00B121CA" w:rsidRPr="001658A8" w:rsidRDefault="00B121CA" w:rsidP="00B121CA">
      <w:pPr>
        <w:pStyle w:val="Heading1"/>
        <w:rPr>
          <w:lang w:val="en-GB"/>
        </w:rPr>
      </w:pPr>
      <w:bookmarkStart w:id="15" w:name="_Toc226647883"/>
      <w:r w:rsidRPr="001658A8">
        <w:rPr>
          <w:lang w:val="en-GB"/>
        </w:rPr>
        <w:t>4. Conclusion</w:t>
      </w:r>
      <w:bookmarkEnd w:id="15"/>
    </w:p>
    <w:p w14:paraId="38A88213" w14:textId="77777777" w:rsidR="00B121CA" w:rsidRPr="001658A8" w:rsidRDefault="00B121CA" w:rsidP="00B121CA">
      <w:pPr>
        <w:pStyle w:val="Heading2"/>
        <w:keepNext w:val="0"/>
        <w:keepLines w:val="0"/>
        <w:rPr>
          <w:lang w:val="en-GB"/>
        </w:rPr>
      </w:pPr>
      <w:bookmarkStart w:id="16" w:name="_Toc226647884"/>
      <w:r w:rsidRPr="001658A8">
        <w:rPr>
          <w:lang w:val="en-GB"/>
        </w:rPr>
        <w:t>4.1 Summary of Findings</w:t>
      </w:r>
      <w:bookmarkEnd w:id="16"/>
    </w:p>
    <w:p w14:paraId="3392EB2B"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Bristol Royal Infirmary Inquiry helped in revealing a profound systemic failure in paediatric cardiac surgery services between 1984 and 1995. There were persistently higher mortality rates, with significantly excessive deaths in children under one year. All of which stemmed from critical deficiencies in clinical governance, performance monitoring, and accountability mechanisms. Due to the lack of benchmarking, along with the presence of ineffective audit systems, weak regulatory oversight, and a reputation-prioritising culture, such concerns remained unaddressed for several </w:t>
      </w:r>
      <w:r w:rsidRPr="001658A8">
        <w:rPr>
          <w:rFonts w:ascii="Arial" w:eastAsia="Arial" w:hAnsi="Arial" w:cs="Arial"/>
          <w:sz w:val="22"/>
          <w:szCs w:val="22"/>
          <w:lang w:val="en-GB"/>
        </w:rPr>
        <w:lastRenderedPageBreak/>
        <w:t>years. Such interconnected failures across various organisational subsystems resulted in preventing timely intervention, along with organisational learning.</w:t>
      </w:r>
    </w:p>
    <w:p w14:paraId="2654A96A" w14:textId="77777777" w:rsidR="00B121CA" w:rsidRPr="001658A8" w:rsidRDefault="00B121CA" w:rsidP="00B121CA">
      <w:pPr>
        <w:pStyle w:val="Heading2"/>
        <w:keepNext w:val="0"/>
        <w:keepLines w:val="0"/>
        <w:rPr>
          <w:lang w:val="en-GB"/>
        </w:rPr>
      </w:pPr>
      <w:bookmarkStart w:id="17" w:name="_Toc226647885"/>
      <w:r w:rsidRPr="001658A8">
        <w:rPr>
          <w:lang w:val="en-GB"/>
        </w:rPr>
        <w:t>4.2 Key Analytical Insights</w:t>
      </w:r>
      <w:bookmarkEnd w:id="17"/>
    </w:p>
    <w:p w14:paraId="18F4045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the tragedy occurred not due to isolated individual errors or clinical incompetence, but it was due to the alignment, along with reinforcement of several systemic weaknesses. There was evidence of deficiencies in data systems, governance structures, along with feedback loops and organisational culture at that time, which had interacted dynamically. This resulted in the creation of several conditions in which poor performance persisted undetected and unchallenged. Such an incident results in highlighting the necessity of treating healthcare safety as an interconnected system issue.</w:t>
      </w:r>
      <w:r w:rsidRPr="001658A8">
        <w:rPr>
          <w:lang w:val="en-GB"/>
        </w:rPr>
        <w:br w:type="page"/>
      </w:r>
    </w:p>
    <w:p w14:paraId="6457B70D" w14:textId="77777777" w:rsidR="00B121CA" w:rsidRPr="001658A8" w:rsidRDefault="00B121CA" w:rsidP="00B121CA">
      <w:pPr>
        <w:pStyle w:val="Heading1"/>
        <w:rPr>
          <w:lang w:val="en-GB"/>
        </w:rPr>
      </w:pPr>
      <w:bookmarkStart w:id="18" w:name="_Toc226647886"/>
      <w:r w:rsidRPr="001658A8">
        <w:rPr>
          <w:lang w:val="en-GB"/>
        </w:rPr>
        <w:lastRenderedPageBreak/>
        <w:t>References</w:t>
      </w:r>
      <w:bookmarkEnd w:id="18"/>
    </w:p>
    <w:p w14:paraId="14165D12"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ASQ (2026). </w:t>
      </w:r>
      <w:r w:rsidRPr="001658A8">
        <w:rPr>
          <w:rFonts w:ascii="Arial" w:eastAsia="Arial" w:hAnsi="Arial" w:cs="Arial"/>
          <w:i/>
          <w:iCs/>
          <w:sz w:val="22"/>
          <w:szCs w:val="22"/>
          <w:lang w:val="en-GB"/>
        </w:rPr>
        <w:t>PDCA Cycle - What is the Plan-Do-Check-Act Cycle? | ASQ</w:t>
      </w:r>
      <w:r w:rsidRPr="001658A8">
        <w:rPr>
          <w:rFonts w:ascii="Arial" w:eastAsia="Arial" w:hAnsi="Arial" w:cs="Arial"/>
          <w:sz w:val="22"/>
          <w:szCs w:val="22"/>
          <w:lang w:val="en-GB"/>
        </w:rPr>
        <w:t>. [online] Asq.org. Available at: https://asq.org/quality-resources/pdca-cycle?srsltid=AfmBOoqd53nZr7v2Sf66KJyuvzwMI1xJtdwcxMDruGkzokQfwaZS2NJU [Accessed 8 Apr. 2026].</w:t>
      </w:r>
    </w:p>
    <w:p w14:paraId="38FD2BDE"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Aylin, P., Bottle, A., Jarman, B. and Elliott, P. (2004). Paediatric cardiac surgical mortality in England after Bristol: descriptive analysis of hospital episode statistics 1991-2002.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329(7470), p.825. doi:</w:t>
      </w:r>
      <w:r>
        <w:fldChar w:fldCharType="begin"/>
      </w:r>
      <w:r w:rsidRPr="00BC5245">
        <w:rPr>
          <w:lang w:val="sv-SE"/>
        </w:rPr>
        <w:instrText>HYPERLINK "https://doi.org/10.1136/bmj.329.7470.825" \h</w:instrText>
      </w:r>
      <w:r>
        <w:fldChar w:fldCharType="separate"/>
      </w:r>
      <w:r w:rsidRPr="00BC5245">
        <w:rPr>
          <w:rFonts w:ascii="Arial" w:eastAsia="Arial" w:hAnsi="Arial" w:cs="Arial"/>
          <w:color w:val="1155CC"/>
          <w:sz w:val="22"/>
          <w:szCs w:val="22"/>
          <w:u w:val="single"/>
          <w:lang w:val="sv-SE"/>
        </w:rPr>
        <w:t>https://doi.org/10.1136/bmj.329.7470.825</w:t>
      </w:r>
      <w:r>
        <w:fldChar w:fldCharType="end"/>
      </w:r>
      <w:r w:rsidRPr="00BC5245">
        <w:rPr>
          <w:rFonts w:ascii="Arial" w:eastAsia="Arial" w:hAnsi="Arial" w:cs="Arial"/>
          <w:sz w:val="22"/>
          <w:szCs w:val="22"/>
          <w:lang w:val="sv-SE"/>
        </w:rPr>
        <w:t>.</w:t>
      </w:r>
    </w:p>
    <w:p w14:paraId="6388C38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BC5245">
        <w:rPr>
          <w:rFonts w:ascii="Arial" w:eastAsia="Arial" w:hAnsi="Arial" w:cs="Arial"/>
          <w:sz w:val="22"/>
          <w:szCs w:val="22"/>
          <w:lang w:val="sv-SE"/>
        </w:rPr>
        <w:t xml:space="preserve">Barr, E. and Brannan, G.D. (2024). </w:t>
      </w:r>
      <w:r w:rsidRPr="001658A8">
        <w:rPr>
          <w:rFonts w:ascii="Arial" w:eastAsia="Arial" w:hAnsi="Arial" w:cs="Arial"/>
          <w:i/>
          <w:iCs/>
          <w:sz w:val="22"/>
          <w:szCs w:val="22"/>
          <w:lang w:val="en-GB"/>
        </w:rPr>
        <w:t>Quality improvement methods (LEAN, PDSA, SIX SIGMA)</w:t>
      </w:r>
      <w:r w:rsidRPr="001658A8">
        <w:rPr>
          <w:rFonts w:ascii="Arial" w:eastAsia="Arial" w:hAnsi="Arial" w:cs="Arial"/>
          <w:sz w:val="22"/>
          <w:szCs w:val="22"/>
          <w:lang w:val="en-GB"/>
        </w:rPr>
        <w:t>. [online] PubMed. Available at: https://www.ncbi.nlm.nih.gov/books/NBK599556/ [Accessed 8 Apr. 2026].</w:t>
      </w:r>
    </w:p>
    <w:p w14:paraId="10C30B9C"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Basic Medical Key (2017). </w:t>
      </w:r>
      <w:r w:rsidRPr="001658A8">
        <w:rPr>
          <w:rFonts w:ascii="Arial" w:eastAsia="Arial" w:hAnsi="Arial" w:cs="Arial"/>
          <w:i/>
          <w:iCs/>
          <w:sz w:val="22"/>
          <w:szCs w:val="22"/>
          <w:lang w:val="en-GB"/>
        </w:rPr>
        <w:t>Clinical governance</w:t>
      </w:r>
      <w:r w:rsidRPr="001658A8">
        <w:rPr>
          <w:rFonts w:ascii="Arial" w:eastAsia="Arial" w:hAnsi="Arial" w:cs="Arial"/>
          <w:sz w:val="22"/>
          <w:szCs w:val="22"/>
          <w:lang w:val="en-GB"/>
        </w:rPr>
        <w:t xml:space="preserve">. [online] </w:t>
      </w:r>
      <w:proofErr w:type="spellStart"/>
      <w:r w:rsidRPr="001658A8">
        <w:rPr>
          <w:rFonts w:ascii="Arial" w:eastAsia="Arial" w:hAnsi="Arial" w:cs="Arial"/>
          <w:sz w:val="22"/>
          <w:szCs w:val="22"/>
          <w:lang w:val="en-GB"/>
        </w:rPr>
        <w:t>Basicmedical</w:t>
      </w:r>
      <w:proofErr w:type="spellEnd"/>
      <w:r w:rsidRPr="001658A8">
        <w:rPr>
          <w:rFonts w:ascii="Arial" w:eastAsia="Arial" w:hAnsi="Arial" w:cs="Arial"/>
          <w:sz w:val="22"/>
          <w:szCs w:val="22"/>
          <w:lang w:val="en-GB"/>
        </w:rPr>
        <w:t xml:space="preserve"> Key. Available at: https://basicmedicalkey.com/clinical-governance-3/ [Accessed 8 Apr. 2026].</w:t>
      </w:r>
    </w:p>
    <w:p w14:paraId="25A11E2A"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A.-L., </w:t>
      </w:r>
      <w:proofErr w:type="spellStart"/>
      <w:r w:rsidRPr="001658A8">
        <w:rPr>
          <w:rFonts w:ascii="Arial" w:eastAsia="Arial" w:hAnsi="Arial" w:cs="Arial"/>
          <w:sz w:val="22"/>
          <w:szCs w:val="22"/>
          <w:lang w:val="en-GB"/>
        </w:rPr>
        <w:t>Demeritt</w:t>
      </w:r>
      <w:proofErr w:type="spellEnd"/>
      <w:r w:rsidRPr="001658A8">
        <w:rPr>
          <w:rFonts w:ascii="Arial" w:eastAsia="Arial" w:hAnsi="Arial" w:cs="Arial"/>
          <w:sz w:val="22"/>
          <w:szCs w:val="22"/>
          <w:lang w:val="en-GB"/>
        </w:rPr>
        <w:t xml:space="preserve">, D., Griffiths, A. and Rothstein, H. (2016). Accounting for failure: risk-based Regulation and the Problems of Ensuring Healthcare Quality in the NHS. </w:t>
      </w:r>
      <w:r w:rsidRPr="001658A8">
        <w:rPr>
          <w:rFonts w:ascii="Arial" w:eastAsia="Arial" w:hAnsi="Arial" w:cs="Arial"/>
          <w:i/>
          <w:iCs/>
          <w:sz w:val="22"/>
          <w:szCs w:val="22"/>
          <w:lang w:val="en-GB"/>
        </w:rPr>
        <w:t>Health, Risk &amp; Society</w:t>
      </w:r>
      <w:r w:rsidRPr="001658A8">
        <w:rPr>
          <w:rFonts w:ascii="Arial" w:eastAsia="Arial" w:hAnsi="Arial" w:cs="Arial"/>
          <w:sz w:val="22"/>
          <w:szCs w:val="22"/>
          <w:lang w:val="en-GB"/>
        </w:rPr>
        <w:t>, 18(3-4), pp.205–224.</w:t>
      </w:r>
    </w:p>
    <w:p w14:paraId="310EF77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Bristol Inquiry (2001). </w:t>
      </w:r>
      <w:r w:rsidRPr="001658A8">
        <w:rPr>
          <w:rFonts w:ascii="Arial" w:eastAsia="Arial" w:hAnsi="Arial" w:cs="Arial"/>
          <w:i/>
          <w:iCs/>
          <w:sz w:val="22"/>
          <w:szCs w:val="22"/>
          <w:lang w:val="en-GB"/>
        </w:rPr>
        <w:t>Final Report: Concerns</w:t>
      </w:r>
      <w:r w:rsidRPr="001658A8">
        <w:rPr>
          <w:rFonts w:ascii="Arial" w:eastAsia="Arial" w:hAnsi="Arial" w:cs="Arial"/>
          <w:sz w:val="22"/>
          <w:szCs w:val="22"/>
          <w:lang w:val="en-GB"/>
        </w:rPr>
        <w:t>. [online] Bristol-inquiry.org.uk. Available at: https://bristol-inquiry.org.uk/final_report/report/sec1_chap_11_.htm [Accessed 8 Apr. 2026].</w:t>
      </w:r>
    </w:p>
    <w:p w14:paraId="263871A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Bristol Inquiry (2002). </w:t>
      </w:r>
      <w:r w:rsidRPr="001658A8">
        <w:rPr>
          <w:rFonts w:ascii="Arial" w:eastAsia="Arial" w:hAnsi="Arial" w:cs="Arial"/>
          <w:i/>
          <w:iCs/>
          <w:sz w:val="22"/>
          <w:szCs w:val="22"/>
          <w:lang w:val="en-GB"/>
        </w:rPr>
        <w:t>Summary Terms of Reference</w:t>
      </w:r>
      <w:r w:rsidRPr="001658A8">
        <w:rPr>
          <w:rFonts w:ascii="Arial" w:eastAsia="Arial" w:hAnsi="Arial" w:cs="Arial"/>
          <w:sz w:val="22"/>
          <w:szCs w:val="22"/>
          <w:lang w:val="en-GB"/>
        </w:rPr>
        <w:t xml:space="preserve">. [online] Available at: </w:t>
      </w:r>
      <w:hyperlink r:id="rId8">
        <w:r w:rsidRPr="001658A8">
          <w:rPr>
            <w:rFonts w:ascii="Arial" w:eastAsia="Arial" w:hAnsi="Arial" w:cs="Arial"/>
            <w:color w:val="1155CC"/>
            <w:sz w:val="22"/>
            <w:szCs w:val="22"/>
            <w:u w:val="single"/>
            <w:lang w:val="en-GB"/>
          </w:rPr>
          <w:t>https://www.bristol-inquiry.org.uk/final_report/Summary.pdf</w:t>
        </w:r>
      </w:hyperlink>
      <w:r w:rsidRPr="001658A8">
        <w:rPr>
          <w:rFonts w:ascii="Arial" w:eastAsia="Arial" w:hAnsi="Arial" w:cs="Arial"/>
          <w:sz w:val="22"/>
          <w:szCs w:val="22"/>
          <w:lang w:val="en-GB"/>
        </w:rPr>
        <w:t>.</w:t>
      </w:r>
    </w:p>
    <w:p w14:paraId="5E6C592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Brown, K.L., Crowe, S., Franklin, R., McLean, A., Cunningham, D., Barron, D., Tsang, V., Pagel, C. and Utley, M. (2015). Trends in 30-day mortality rate and case mix for paediatric cardiac surgery in the UK between 2000 and 2010. </w:t>
      </w:r>
      <w:r w:rsidRPr="001658A8">
        <w:rPr>
          <w:rFonts w:ascii="Arial" w:eastAsia="Arial" w:hAnsi="Arial" w:cs="Arial"/>
          <w:i/>
          <w:iCs/>
          <w:sz w:val="22"/>
          <w:szCs w:val="22"/>
          <w:lang w:val="en-GB"/>
        </w:rPr>
        <w:t>Open Heart</w:t>
      </w:r>
      <w:r w:rsidRPr="001658A8">
        <w:rPr>
          <w:rFonts w:ascii="Arial" w:eastAsia="Arial" w:hAnsi="Arial" w:cs="Arial"/>
          <w:sz w:val="22"/>
          <w:szCs w:val="22"/>
          <w:lang w:val="en-GB"/>
        </w:rPr>
        <w:t xml:space="preserve">, 2(1), p.e000157. </w:t>
      </w:r>
      <w:proofErr w:type="spellStart"/>
      <w:r w:rsidRPr="001658A8">
        <w:rPr>
          <w:rFonts w:ascii="Arial" w:eastAsia="Arial" w:hAnsi="Arial" w:cs="Arial"/>
          <w:sz w:val="22"/>
          <w:szCs w:val="22"/>
          <w:lang w:val="en-GB"/>
        </w:rPr>
        <w:t>doi:</w:t>
      </w:r>
      <w:hyperlink r:id="rId9">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://doi.org/10.1136/openhrt-2014-000157</w:t>
        </w:r>
      </w:hyperlink>
      <w:r w:rsidRPr="001658A8">
        <w:rPr>
          <w:rFonts w:ascii="Arial" w:eastAsia="Arial" w:hAnsi="Arial" w:cs="Arial"/>
          <w:sz w:val="22"/>
          <w:szCs w:val="22"/>
          <w:lang w:val="en-GB"/>
        </w:rPr>
        <w:t>.</w:t>
      </w:r>
    </w:p>
    <w:p w14:paraId="7DA4E5F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Butler, P. (2002). </w:t>
      </w:r>
      <w:r w:rsidRPr="001658A8">
        <w:rPr>
          <w:rFonts w:ascii="Arial" w:eastAsia="Arial" w:hAnsi="Arial" w:cs="Arial"/>
          <w:i/>
          <w:iCs/>
          <w:sz w:val="22"/>
          <w:szCs w:val="22"/>
          <w:lang w:val="en-GB"/>
        </w:rPr>
        <w:t>The Bristol Royal infirmary inquiry: the issue explained</w:t>
      </w:r>
      <w:r w:rsidRPr="001658A8">
        <w:rPr>
          <w:rFonts w:ascii="Arial" w:eastAsia="Arial" w:hAnsi="Arial" w:cs="Arial"/>
          <w:sz w:val="22"/>
          <w:szCs w:val="22"/>
          <w:lang w:val="en-GB"/>
        </w:rPr>
        <w:t>. [online] the Guardian. Available at: https://www.theguardian.com/society/2002/jan/17/5 [Accessed 8 Apr. 2026].</w:t>
      </w:r>
    </w:p>
    <w:p w14:paraId="3A17026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Coulter, A. (2002). After Bristol: putting patients at the centre * Commentary: Patient centred care: timely, but is it practical?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324(7338), pp.648–651. </w:t>
      </w:r>
      <w:proofErr w:type="spellStart"/>
      <w:r w:rsidRPr="001658A8">
        <w:rPr>
          <w:rFonts w:ascii="Arial" w:eastAsia="Arial" w:hAnsi="Arial" w:cs="Arial"/>
          <w:sz w:val="22"/>
          <w:szCs w:val="22"/>
          <w:lang w:val="en-GB"/>
        </w:rPr>
        <w:t>doi:</w:t>
      </w:r>
      <w:hyperlink r:id="rId10">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://doi.org/10.1136/bmj.324.7338.648</w:t>
        </w:r>
      </w:hyperlink>
      <w:r w:rsidRPr="001658A8">
        <w:rPr>
          <w:rFonts w:ascii="Arial" w:eastAsia="Arial" w:hAnsi="Arial" w:cs="Arial"/>
          <w:sz w:val="22"/>
          <w:szCs w:val="22"/>
          <w:lang w:val="en-GB"/>
        </w:rPr>
        <w:t>.</w:t>
      </w:r>
    </w:p>
    <w:p w14:paraId="1FC51DB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de Castro, F., de </w:t>
      </w:r>
      <w:proofErr w:type="spellStart"/>
      <w:r w:rsidRPr="001658A8">
        <w:rPr>
          <w:rFonts w:ascii="Arial" w:eastAsia="Arial" w:hAnsi="Arial" w:cs="Arial"/>
          <w:sz w:val="22"/>
          <w:szCs w:val="22"/>
          <w:lang w:val="en-GB"/>
        </w:rPr>
        <w:t>Theije</w:t>
      </w:r>
      <w:proofErr w:type="spellEnd"/>
      <w:r w:rsidRPr="001658A8">
        <w:rPr>
          <w:rFonts w:ascii="Arial" w:eastAsia="Arial" w:hAnsi="Arial" w:cs="Arial"/>
          <w:sz w:val="22"/>
          <w:szCs w:val="22"/>
          <w:lang w:val="en-GB"/>
        </w:rPr>
        <w:t xml:space="preserve">, M., Jain, A. and Adger, </w:t>
      </w:r>
      <w:proofErr w:type="spellStart"/>
      <w:proofErr w:type="gramStart"/>
      <w:r w:rsidRPr="001658A8">
        <w:rPr>
          <w:rFonts w:ascii="Arial" w:eastAsia="Arial" w:hAnsi="Arial" w:cs="Arial"/>
          <w:sz w:val="22"/>
          <w:szCs w:val="22"/>
          <w:lang w:val="en-GB"/>
        </w:rPr>
        <w:t>W.Neil</w:t>
      </w:r>
      <w:proofErr w:type="spellEnd"/>
      <w:proofErr w:type="gramEnd"/>
      <w:r w:rsidRPr="001658A8">
        <w:rPr>
          <w:rFonts w:ascii="Arial" w:eastAsia="Arial" w:hAnsi="Arial" w:cs="Arial"/>
          <w:sz w:val="22"/>
          <w:szCs w:val="22"/>
          <w:lang w:val="en-GB"/>
        </w:rPr>
        <w:t xml:space="preserve">. (2025). Transformations to sustainability: Processes, practices, and pathways. </w:t>
      </w:r>
      <w:r w:rsidRPr="001658A8">
        <w:rPr>
          <w:rFonts w:ascii="Arial" w:eastAsia="Arial" w:hAnsi="Arial" w:cs="Arial"/>
          <w:i/>
          <w:iCs/>
          <w:sz w:val="22"/>
          <w:szCs w:val="22"/>
          <w:lang w:val="en-GB"/>
        </w:rPr>
        <w:t>Global Environmental Change</w:t>
      </w:r>
      <w:r w:rsidRPr="001658A8">
        <w:rPr>
          <w:rFonts w:ascii="Arial" w:eastAsia="Arial" w:hAnsi="Arial" w:cs="Arial"/>
          <w:sz w:val="22"/>
          <w:szCs w:val="22"/>
          <w:lang w:val="en-GB"/>
        </w:rPr>
        <w:t xml:space="preserve">, 92, p.103007. </w:t>
      </w:r>
      <w:proofErr w:type="spellStart"/>
      <w:r w:rsidRPr="001658A8">
        <w:rPr>
          <w:rFonts w:ascii="Arial" w:eastAsia="Arial" w:hAnsi="Arial" w:cs="Arial"/>
          <w:sz w:val="22"/>
          <w:szCs w:val="22"/>
          <w:lang w:val="en-GB"/>
        </w:rPr>
        <w:t>doi:</w:t>
      </w:r>
      <w:hyperlink r:id="rId11">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://doi.org/10.1016/j.gloenvcha.2025.103007</w:t>
        </w:r>
      </w:hyperlink>
      <w:r w:rsidRPr="001658A8">
        <w:rPr>
          <w:rFonts w:ascii="Arial" w:eastAsia="Arial" w:hAnsi="Arial" w:cs="Arial"/>
          <w:sz w:val="22"/>
          <w:szCs w:val="22"/>
          <w:lang w:val="en-GB"/>
        </w:rPr>
        <w:t>.</w:t>
      </w:r>
    </w:p>
    <w:p w14:paraId="6812A51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Dyer, C. (2001). Bristol inquiry.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[online] 323(7306), pp.181–181. </w:t>
      </w:r>
      <w:proofErr w:type="spellStart"/>
      <w:r w:rsidRPr="001658A8">
        <w:rPr>
          <w:rFonts w:ascii="Arial" w:eastAsia="Arial" w:hAnsi="Arial" w:cs="Arial"/>
          <w:sz w:val="22"/>
          <w:szCs w:val="22"/>
          <w:lang w:val="en-GB"/>
        </w:rPr>
        <w:t>doi:</w:t>
      </w:r>
      <w:hyperlink r:id="rId12">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://doi.org/10.1136/bmj.323.7306.181</w:t>
        </w:r>
      </w:hyperlink>
      <w:r w:rsidRPr="001658A8">
        <w:rPr>
          <w:rFonts w:ascii="Arial" w:eastAsia="Arial" w:hAnsi="Arial" w:cs="Arial"/>
          <w:sz w:val="22"/>
          <w:szCs w:val="22"/>
          <w:lang w:val="en-GB"/>
        </w:rPr>
        <w:t>.</w:t>
      </w:r>
    </w:p>
    <w:p w14:paraId="2E543D7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Dyer, C. (2014). NHS England sets up new inquiry into children’s heart surgery deaths in Bristol.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348(feb17 16), </w:t>
      </w:r>
      <w:proofErr w:type="gramStart"/>
      <w:r w:rsidRPr="001658A8">
        <w:rPr>
          <w:rFonts w:ascii="Arial" w:eastAsia="Arial" w:hAnsi="Arial" w:cs="Arial"/>
          <w:sz w:val="22"/>
          <w:szCs w:val="22"/>
          <w:lang w:val="en-GB"/>
        </w:rPr>
        <w:t>pp.g</w:t>
      </w:r>
      <w:proofErr w:type="gramEnd"/>
      <w:r w:rsidRPr="001658A8">
        <w:rPr>
          <w:rFonts w:ascii="Arial" w:eastAsia="Arial" w:hAnsi="Arial" w:cs="Arial"/>
          <w:sz w:val="22"/>
          <w:szCs w:val="22"/>
          <w:lang w:val="en-GB"/>
        </w:rPr>
        <w:t xml:space="preserve">1623–g1623. </w:t>
      </w:r>
      <w:proofErr w:type="spellStart"/>
      <w:r w:rsidRPr="001658A8">
        <w:rPr>
          <w:rFonts w:ascii="Arial" w:eastAsia="Arial" w:hAnsi="Arial" w:cs="Arial"/>
          <w:sz w:val="22"/>
          <w:szCs w:val="22"/>
          <w:lang w:val="en-GB"/>
        </w:rPr>
        <w:t>doi:</w:t>
      </w:r>
      <w:hyperlink r:id="rId13">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://doi.org/10.1136/bmj.g1623</w:t>
        </w:r>
      </w:hyperlink>
      <w:r w:rsidRPr="001658A8">
        <w:rPr>
          <w:rFonts w:ascii="Arial" w:eastAsia="Arial" w:hAnsi="Arial" w:cs="Arial"/>
          <w:sz w:val="22"/>
          <w:szCs w:val="22"/>
          <w:lang w:val="en-GB"/>
        </w:rPr>
        <w:t>.</w:t>
      </w:r>
    </w:p>
    <w:p w14:paraId="70C7F85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Elliott, M.J. (2014). Lessons Learned from the Public Inquiry into Children’s Heart Surgery at the Bristol Royal Infirmary and the English Safe and Sustainable Cardiac Review. </w:t>
      </w:r>
      <w:r w:rsidRPr="001658A8">
        <w:rPr>
          <w:rFonts w:ascii="Arial" w:eastAsia="Arial" w:hAnsi="Arial" w:cs="Arial"/>
          <w:i/>
          <w:iCs/>
          <w:sz w:val="22"/>
          <w:szCs w:val="22"/>
          <w:lang w:val="en-GB"/>
        </w:rPr>
        <w:t>Springer eBooks</w:t>
      </w:r>
      <w:r w:rsidRPr="001658A8">
        <w:rPr>
          <w:rFonts w:ascii="Arial" w:eastAsia="Arial" w:hAnsi="Arial" w:cs="Arial"/>
          <w:sz w:val="22"/>
          <w:szCs w:val="22"/>
          <w:lang w:val="en-GB"/>
        </w:rPr>
        <w:t xml:space="preserve">, pp.243–259. </w:t>
      </w:r>
      <w:proofErr w:type="spellStart"/>
      <w:r w:rsidRPr="001658A8">
        <w:rPr>
          <w:rFonts w:ascii="Arial" w:eastAsia="Arial" w:hAnsi="Arial" w:cs="Arial"/>
          <w:sz w:val="22"/>
          <w:szCs w:val="22"/>
          <w:lang w:val="en-GB"/>
        </w:rPr>
        <w:t>doi:</w:t>
      </w:r>
      <w:hyperlink r:id="rId14">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://doi.org/10.1007/978-1-4471-6566-8_19</w:t>
        </w:r>
      </w:hyperlink>
      <w:r w:rsidRPr="001658A8">
        <w:rPr>
          <w:rFonts w:ascii="Arial" w:eastAsia="Arial" w:hAnsi="Arial" w:cs="Arial"/>
          <w:sz w:val="22"/>
          <w:szCs w:val="22"/>
          <w:lang w:val="en-GB"/>
        </w:rPr>
        <w:t>.</w:t>
      </w:r>
    </w:p>
    <w:p w14:paraId="428E2AB2"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xml:space="preserve">, N. (2021). To what extent does hierarchical leadership affect health care outcomes? </w:t>
      </w:r>
      <w:r w:rsidRPr="001658A8">
        <w:rPr>
          <w:rFonts w:ascii="Arial" w:eastAsia="Arial" w:hAnsi="Arial" w:cs="Arial"/>
          <w:i/>
          <w:iCs/>
          <w:sz w:val="22"/>
          <w:szCs w:val="22"/>
          <w:lang w:val="en-GB"/>
        </w:rPr>
        <w:t>Medical Journal of The Islamic Republic of Iran</w:t>
      </w:r>
      <w:r w:rsidRPr="001658A8">
        <w:rPr>
          <w:rFonts w:ascii="Arial" w:eastAsia="Arial" w:hAnsi="Arial" w:cs="Arial"/>
          <w:sz w:val="22"/>
          <w:szCs w:val="22"/>
          <w:lang w:val="en-GB"/>
        </w:rPr>
        <w:t xml:space="preserve">, [online] 35(117). </w:t>
      </w:r>
      <w:proofErr w:type="spellStart"/>
      <w:r w:rsidRPr="001658A8">
        <w:rPr>
          <w:rFonts w:ascii="Arial" w:eastAsia="Arial" w:hAnsi="Arial" w:cs="Arial"/>
          <w:sz w:val="22"/>
          <w:szCs w:val="22"/>
          <w:lang w:val="en-GB"/>
        </w:rPr>
        <w:t>doi:</w:t>
      </w:r>
      <w:hyperlink r:id="rId15">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://doi.org/10.47176/mjiri.35.117</w:t>
        </w:r>
      </w:hyperlink>
      <w:r w:rsidRPr="001658A8">
        <w:rPr>
          <w:rFonts w:ascii="Arial" w:eastAsia="Arial" w:hAnsi="Arial" w:cs="Arial"/>
          <w:sz w:val="22"/>
          <w:szCs w:val="22"/>
          <w:lang w:val="en-GB"/>
        </w:rPr>
        <w:t>.</w:t>
      </w:r>
    </w:p>
    <w:p w14:paraId="6308BE7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Fox, R. (2001). Bristol Scandal. </w:t>
      </w:r>
      <w:r w:rsidRPr="001658A8">
        <w:rPr>
          <w:rFonts w:ascii="Arial" w:eastAsia="Arial" w:hAnsi="Arial" w:cs="Arial"/>
          <w:i/>
          <w:iCs/>
          <w:sz w:val="22"/>
          <w:szCs w:val="22"/>
          <w:lang w:val="en-GB"/>
        </w:rPr>
        <w:t>Circulation</w:t>
      </w:r>
      <w:r w:rsidRPr="001658A8">
        <w:rPr>
          <w:rFonts w:ascii="Arial" w:eastAsia="Arial" w:hAnsi="Arial" w:cs="Arial"/>
          <w:sz w:val="22"/>
          <w:szCs w:val="22"/>
          <w:lang w:val="en-GB"/>
        </w:rPr>
        <w:t xml:space="preserve">, 104(7). </w:t>
      </w:r>
      <w:proofErr w:type="spellStart"/>
      <w:r w:rsidRPr="001658A8">
        <w:rPr>
          <w:rFonts w:ascii="Arial" w:eastAsia="Arial" w:hAnsi="Arial" w:cs="Arial"/>
          <w:sz w:val="22"/>
          <w:szCs w:val="22"/>
          <w:lang w:val="en-GB"/>
        </w:rPr>
        <w:t>doi:</w:t>
      </w:r>
      <w:hyperlink r:id="rId16">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://doi.org/10.1161/hc3201.097067</w:t>
        </w:r>
      </w:hyperlink>
      <w:r w:rsidRPr="001658A8">
        <w:rPr>
          <w:rFonts w:ascii="Arial" w:eastAsia="Arial" w:hAnsi="Arial" w:cs="Arial"/>
          <w:sz w:val="22"/>
          <w:szCs w:val="22"/>
          <w:lang w:val="en-GB"/>
        </w:rPr>
        <w:t>.</w:t>
      </w:r>
    </w:p>
    <w:p w14:paraId="617F9FD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Government of the UK (2025). </w:t>
      </w:r>
      <w:r w:rsidRPr="001658A8">
        <w:rPr>
          <w:rFonts w:ascii="Arial" w:eastAsia="Arial" w:hAnsi="Arial" w:cs="Arial"/>
          <w:i/>
          <w:iCs/>
          <w:sz w:val="22"/>
          <w:szCs w:val="22"/>
          <w:lang w:val="en-GB"/>
        </w:rPr>
        <w:t>Bristol Royal Infirmary Inquiry - Hansard - UK Parliament</w:t>
      </w:r>
      <w:r w:rsidRPr="001658A8">
        <w:rPr>
          <w:rFonts w:ascii="Arial" w:eastAsia="Arial" w:hAnsi="Arial" w:cs="Arial"/>
          <w:sz w:val="22"/>
          <w:szCs w:val="22"/>
          <w:lang w:val="en-GB"/>
        </w:rPr>
        <w:t>. [online] Parliament.uk. Available at: https://hansard.parliament.uk/Commons/2001-07-18/debates/d63c46fc-44f9-4d92-8ad1-d4e7a6a3f289/BristolRoyalInfirmaryInquiry [Accessed 8 Apr. 2026].</w:t>
      </w:r>
    </w:p>
    <w:p w14:paraId="7824C9C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Government of the UK (2026). </w:t>
      </w:r>
      <w:r w:rsidRPr="001658A8">
        <w:rPr>
          <w:rFonts w:ascii="Arial" w:eastAsia="Arial" w:hAnsi="Arial" w:cs="Arial"/>
          <w:i/>
          <w:iCs/>
          <w:sz w:val="22"/>
          <w:szCs w:val="22"/>
          <w:lang w:val="en-GB"/>
        </w:rPr>
        <w:t>CRC0006 - Evidence on Complaints and Raising Concerns</w:t>
      </w:r>
      <w:r w:rsidRPr="001658A8">
        <w:rPr>
          <w:rFonts w:ascii="Arial" w:eastAsia="Arial" w:hAnsi="Arial" w:cs="Arial"/>
          <w:sz w:val="22"/>
          <w:szCs w:val="22"/>
          <w:lang w:val="en-GB"/>
        </w:rPr>
        <w:t>. [online] Parliament.uk. Available at: https://committees.parliament.uk/writtenevidence/48726/html/ [Accessed 8 Apr. 2026].</w:t>
      </w:r>
    </w:p>
    <w:p w14:paraId="365EF2F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Gresham (2015). </w:t>
      </w:r>
      <w:r w:rsidRPr="001658A8">
        <w:rPr>
          <w:rFonts w:ascii="Arial" w:eastAsia="Arial" w:hAnsi="Arial" w:cs="Arial"/>
          <w:i/>
          <w:iCs/>
          <w:sz w:val="22"/>
          <w:szCs w:val="22"/>
          <w:lang w:val="en-GB"/>
        </w:rPr>
        <w:t>The Bristol Scandal and its Consequences: Politics, Rationalisation and the Use and Abuse of Information</w:t>
      </w:r>
      <w:r w:rsidRPr="001658A8">
        <w:rPr>
          <w:rFonts w:ascii="Arial" w:eastAsia="Arial" w:hAnsi="Arial" w:cs="Arial"/>
          <w:sz w:val="22"/>
          <w:szCs w:val="22"/>
          <w:lang w:val="en-GB"/>
        </w:rPr>
        <w:t>. [online] www.gresham.ac.uk. Available at: https://www.gresham.ac.uk/watch-now/bristol-scandal-and-its-consequences-politics-rationalisation-and-use.</w:t>
      </w:r>
    </w:p>
    <w:p w14:paraId="739B2BB7"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Ilin, M. and Bohlen, J. (2023). </w:t>
      </w:r>
      <w:r w:rsidRPr="001658A8">
        <w:rPr>
          <w:rFonts w:ascii="Arial" w:eastAsia="Arial" w:hAnsi="Arial" w:cs="Arial"/>
          <w:i/>
          <w:iCs/>
          <w:sz w:val="22"/>
          <w:szCs w:val="22"/>
          <w:lang w:val="en-GB"/>
        </w:rPr>
        <w:t>Six Sigma Method</w:t>
      </w:r>
      <w:r w:rsidRPr="001658A8">
        <w:rPr>
          <w:rFonts w:ascii="Arial" w:eastAsia="Arial" w:hAnsi="Arial" w:cs="Arial"/>
          <w:sz w:val="22"/>
          <w:szCs w:val="22"/>
          <w:lang w:val="en-GB"/>
        </w:rPr>
        <w:t xml:space="preserve">. [online] PubMed. Available at: </w:t>
      </w:r>
      <w:hyperlink r:id="rId17">
        <w:r w:rsidRPr="001658A8">
          <w:rPr>
            <w:rFonts w:ascii="Arial" w:eastAsia="Arial" w:hAnsi="Arial" w:cs="Arial"/>
            <w:color w:val="1155CC"/>
            <w:sz w:val="22"/>
            <w:szCs w:val="22"/>
            <w:u w:val="single"/>
            <w:lang w:val="en-GB"/>
          </w:rPr>
          <w:t>https://www.ncbi.nlm.nih.gov/books/NBK589666/</w:t>
        </w:r>
      </w:hyperlink>
      <w:r w:rsidRPr="001658A8">
        <w:rPr>
          <w:rFonts w:ascii="Arial" w:eastAsia="Arial" w:hAnsi="Arial" w:cs="Arial"/>
          <w:sz w:val="22"/>
          <w:szCs w:val="22"/>
          <w:lang w:val="en-GB"/>
        </w:rPr>
        <w:t>.</w:t>
      </w:r>
    </w:p>
    <w:p w14:paraId="22E90AB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Kennedy, I. (2001). </w:t>
      </w:r>
      <w:r w:rsidRPr="001658A8">
        <w:rPr>
          <w:rFonts w:ascii="Arial" w:eastAsia="Arial" w:hAnsi="Arial" w:cs="Arial"/>
          <w:i/>
          <w:iCs/>
          <w:sz w:val="22"/>
          <w:szCs w:val="22"/>
          <w:lang w:val="en-GB"/>
        </w:rPr>
        <w:t>The report of the public inquiry into children’s heart surgery at the Bristol royal infirmary learning from Bristol</w:t>
      </w:r>
      <w:r w:rsidRPr="001658A8">
        <w:rPr>
          <w:rFonts w:ascii="Arial" w:eastAsia="Arial" w:hAnsi="Arial" w:cs="Arial"/>
          <w:sz w:val="22"/>
          <w:szCs w:val="22"/>
          <w:lang w:val="en-GB"/>
        </w:rPr>
        <w:t>. [online] Available at: https://www.bristol-inquiry.org.uk/final_report/the_report.pdf [Accessed 8 Apr. 2026].</w:t>
      </w:r>
    </w:p>
    <w:p w14:paraId="614CAC13"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lastRenderedPageBreak/>
        <w:t>Lighterness</w:t>
      </w:r>
      <w:proofErr w:type="spellEnd"/>
      <w:r w:rsidRPr="001658A8">
        <w:rPr>
          <w:rFonts w:ascii="Arial" w:eastAsia="Arial" w:hAnsi="Arial" w:cs="Arial"/>
          <w:sz w:val="22"/>
          <w:szCs w:val="22"/>
          <w:lang w:val="en-GB"/>
        </w:rPr>
        <w:t xml:space="preserve">, A., Adcock, M., Scanlon, L.A. and Price, G. (2024). Data Quality–Driven Improvement in Health Care: Systematic Literature Review. </w:t>
      </w:r>
      <w:r w:rsidRPr="001658A8">
        <w:rPr>
          <w:rFonts w:ascii="Arial" w:eastAsia="Arial" w:hAnsi="Arial" w:cs="Arial"/>
          <w:i/>
          <w:iCs/>
          <w:sz w:val="22"/>
          <w:szCs w:val="22"/>
          <w:lang w:val="en-GB"/>
        </w:rPr>
        <w:t>Journal of Medical Internet Research</w:t>
      </w:r>
      <w:r w:rsidRPr="001658A8">
        <w:rPr>
          <w:rFonts w:ascii="Arial" w:eastAsia="Arial" w:hAnsi="Arial" w:cs="Arial"/>
          <w:sz w:val="22"/>
          <w:szCs w:val="22"/>
          <w:lang w:val="en-GB"/>
        </w:rPr>
        <w:t xml:space="preserve">, [online] 26, p.e57615. </w:t>
      </w:r>
      <w:proofErr w:type="spellStart"/>
      <w:r w:rsidRPr="001658A8">
        <w:rPr>
          <w:rFonts w:ascii="Arial" w:eastAsia="Arial" w:hAnsi="Arial" w:cs="Arial"/>
          <w:sz w:val="22"/>
          <w:szCs w:val="22"/>
          <w:lang w:val="en-GB"/>
        </w:rPr>
        <w:t>doi:</w:t>
      </w:r>
      <w:hyperlink r:id="rId18">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://doi.org/10.2196/57615</w:t>
        </w:r>
      </w:hyperlink>
      <w:r w:rsidRPr="001658A8">
        <w:rPr>
          <w:rFonts w:ascii="Arial" w:eastAsia="Arial" w:hAnsi="Arial" w:cs="Arial"/>
          <w:sz w:val="22"/>
          <w:szCs w:val="22"/>
          <w:lang w:val="en-GB"/>
        </w:rPr>
        <w:t>.</w:t>
      </w:r>
    </w:p>
    <w:p w14:paraId="55724B70"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Mayor, S. (2001). Mortality for paediatric cardiac surgery at Bristol was twice that at other centres. </w:t>
      </w:r>
      <w:proofErr w:type="gramStart"/>
      <w:r w:rsidRPr="001658A8">
        <w:rPr>
          <w:rFonts w:ascii="Arial" w:eastAsia="Arial" w:hAnsi="Arial" w:cs="Arial"/>
          <w:i/>
          <w:iCs/>
          <w:sz w:val="22"/>
          <w:szCs w:val="22"/>
          <w:lang w:val="en-GB"/>
        </w:rPr>
        <w:t>BMJ :</w:t>
      </w:r>
      <w:proofErr w:type="gramEnd"/>
      <w:r w:rsidRPr="001658A8">
        <w:rPr>
          <w:rFonts w:ascii="Arial" w:eastAsia="Arial" w:hAnsi="Arial" w:cs="Arial"/>
          <w:i/>
          <w:iCs/>
          <w:sz w:val="22"/>
          <w:szCs w:val="22"/>
          <w:lang w:val="en-GB"/>
        </w:rPr>
        <w:t xml:space="preserve"> British Medical Journal</w:t>
      </w:r>
      <w:r w:rsidRPr="001658A8">
        <w:rPr>
          <w:rFonts w:ascii="Arial" w:eastAsia="Arial" w:hAnsi="Arial" w:cs="Arial"/>
          <w:sz w:val="22"/>
          <w:szCs w:val="22"/>
          <w:lang w:val="en-GB"/>
        </w:rPr>
        <w:t xml:space="preserve">, [online] 323(7305), p.125. Available at: </w:t>
      </w:r>
      <w:hyperlink r:id="rId19">
        <w:r w:rsidRPr="001658A8">
          <w:rPr>
            <w:rFonts w:ascii="Arial" w:eastAsia="Arial" w:hAnsi="Arial" w:cs="Arial"/>
            <w:color w:val="1155CC"/>
            <w:sz w:val="22"/>
            <w:szCs w:val="22"/>
            <w:u w:val="single"/>
            <w:lang w:val="en-GB"/>
          </w:rPr>
          <w:t>https://pmc.ncbi.nlm.nih.gov/articles/PMC1120772/</w:t>
        </w:r>
      </w:hyperlink>
      <w:r w:rsidRPr="001658A8">
        <w:rPr>
          <w:rFonts w:ascii="Arial" w:eastAsia="Arial" w:hAnsi="Arial" w:cs="Arial"/>
          <w:sz w:val="22"/>
          <w:szCs w:val="22"/>
          <w:lang w:val="en-GB"/>
        </w:rPr>
        <w:t>.</w:t>
      </w:r>
    </w:p>
    <w:p w14:paraId="1CC4EF2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McMahon, C.J., Hickey, E.J., </w:t>
      </w:r>
      <w:proofErr w:type="spellStart"/>
      <w:r w:rsidRPr="001658A8">
        <w:rPr>
          <w:rFonts w:ascii="Arial" w:eastAsia="Arial" w:hAnsi="Arial" w:cs="Arial"/>
          <w:sz w:val="22"/>
          <w:szCs w:val="22"/>
          <w:lang w:val="en-GB"/>
        </w:rPr>
        <w:t>Nolke</w:t>
      </w:r>
      <w:proofErr w:type="spellEnd"/>
      <w:r w:rsidRPr="001658A8">
        <w:rPr>
          <w:rFonts w:ascii="Arial" w:eastAsia="Arial" w:hAnsi="Arial" w:cs="Arial"/>
          <w:sz w:val="22"/>
          <w:szCs w:val="22"/>
          <w:lang w:val="en-GB"/>
        </w:rPr>
        <w:t xml:space="preserve">, L. and Penny, D.J. (2022). Organizational Culture as a Determinant of Outcome in Teams: Implications for the </w:t>
      </w:r>
      <w:proofErr w:type="spellStart"/>
      <w:r w:rsidRPr="001658A8">
        <w:rPr>
          <w:rFonts w:ascii="Arial" w:eastAsia="Arial" w:hAnsi="Arial" w:cs="Arial"/>
          <w:sz w:val="22"/>
          <w:szCs w:val="22"/>
          <w:lang w:val="en-GB"/>
        </w:rPr>
        <w:t>Pediatric</w:t>
      </w:r>
      <w:proofErr w:type="spellEnd"/>
      <w:r w:rsidRPr="001658A8">
        <w:rPr>
          <w:rFonts w:ascii="Arial" w:eastAsia="Arial" w:hAnsi="Arial" w:cs="Arial"/>
          <w:sz w:val="22"/>
          <w:szCs w:val="22"/>
          <w:lang w:val="en-GB"/>
        </w:rPr>
        <w:t xml:space="preserve"> Cardiac Specialist. </w:t>
      </w:r>
      <w:proofErr w:type="spellStart"/>
      <w:r w:rsidRPr="001658A8">
        <w:rPr>
          <w:rFonts w:ascii="Arial" w:eastAsia="Arial" w:hAnsi="Arial" w:cs="Arial"/>
          <w:i/>
          <w:iCs/>
          <w:sz w:val="22"/>
          <w:szCs w:val="22"/>
          <w:lang w:val="en-GB"/>
        </w:rPr>
        <w:t>Pediatric</w:t>
      </w:r>
      <w:proofErr w:type="spellEnd"/>
      <w:r w:rsidRPr="001658A8">
        <w:rPr>
          <w:rFonts w:ascii="Arial" w:eastAsia="Arial" w:hAnsi="Arial" w:cs="Arial"/>
          <w:i/>
          <w:iCs/>
          <w:sz w:val="22"/>
          <w:szCs w:val="22"/>
          <w:lang w:val="en-GB"/>
        </w:rPr>
        <w:t xml:space="preserve"> Cardiology</w:t>
      </w:r>
      <w:r w:rsidRPr="001658A8">
        <w:rPr>
          <w:rFonts w:ascii="Arial" w:eastAsia="Arial" w:hAnsi="Arial" w:cs="Arial"/>
          <w:sz w:val="22"/>
          <w:szCs w:val="22"/>
          <w:lang w:val="en-GB"/>
        </w:rPr>
        <w:t xml:space="preserve">, 44(2), pp.530–539. </w:t>
      </w:r>
      <w:proofErr w:type="spellStart"/>
      <w:r w:rsidRPr="001658A8">
        <w:rPr>
          <w:rFonts w:ascii="Arial" w:eastAsia="Arial" w:hAnsi="Arial" w:cs="Arial"/>
          <w:sz w:val="22"/>
          <w:szCs w:val="22"/>
          <w:lang w:val="en-GB"/>
        </w:rPr>
        <w:t>doi:</w:t>
      </w:r>
      <w:hyperlink r:id="rId20">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://doi.org/10.1007/s00246-022-03041-5</w:t>
        </w:r>
      </w:hyperlink>
      <w:r w:rsidRPr="001658A8">
        <w:rPr>
          <w:rFonts w:ascii="Arial" w:eastAsia="Arial" w:hAnsi="Arial" w:cs="Arial"/>
          <w:sz w:val="22"/>
          <w:szCs w:val="22"/>
          <w:lang w:val="en-GB"/>
        </w:rPr>
        <w:t>.</w:t>
      </w:r>
    </w:p>
    <w:p w14:paraId="4A17F22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PECB (2025). </w:t>
      </w:r>
      <w:r w:rsidRPr="001658A8">
        <w:rPr>
          <w:rFonts w:ascii="Arial" w:eastAsia="Arial" w:hAnsi="Arial" w:cs="Arial"/>
          <w:i/>
          <w:iCs/>
          <w:sz w:val="22"/>
          <w:szCs w:val="22"/>
          <w:lang w:val="en-GB"/>
        </w:rPr>
        <w:t>The Plan-Do-Check-Act (PDCA) Cycle: A Guide to Continuous Improvement - PECB</w:t>
      </w:r>
      <w:r w:rsidRPr="001658A8">
        <w:rPr>
          <w:rFonts w:ascii="Arial" w:eastAsia="Arial" w:hAnsi="Arial" w:cs="Arial"/>
          <w:sz w:val="22"/>
          <w:szCs w:val="22"/>
          <w:lang w:val="en-GB"/>
        </w:rPr>
        <w:t>. [online] PECB. Available at: https://pecb.com/en/article/the-plan-do-check-act-pdca-cycle-a-guide-to-continuous-improvement [Accessed 8 Apr. 2026].</w:t>
      </w:r>
    </w:p>
    <w:p w14:paraId="13B292F9"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Smith, R. (2001). One Bristol, but there could have been many.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323(7306), pp.179–180. doi:</w:t>
      </w:r>
      <w:r>
        <w:fldChar w:fldCharType="begin"/>
      </w:r>
      <w:r w:rsidRPr="00BC5245">
        <w:rPr>
          <w:lang w:val="sv-SE"/>
        </w:rPr>
        <w:instrText>HYPERLINK "https://doi.org/10.1136/bmj.323.7306.179" \h</w:instrText>
      </w:r>
      <w:r>
        <w:fldChar w:fldCharType="separate"/>
      </w:r>
      <w:r w:rsidRPr="00BC5245">
        <w:rPr>
          <w:rFonts w:ascii="Arial" w:eastAsia="Arial" w:hAnsi="Arial" w:cs="Arial"/>
          <w:color w:val="1155CC"/>
          <w:sz w:val="22"/>
          <w:szCs w:val="22"/>
          <w:u w:val="single"/>
          <w:lang w:val="sv-SE"/>
        </w:rPr>
        <w:t>https://doi.org/10.1136/bmj.323.7306.179</w:t>
      </w:r>
      <w:r>
        <w:fldChar w:fldCharType="end"/>
      </w:r>
      <w:r w:rsidRPr="00BC5245">
        <w:rPr>
          <w:rFonts w:ascii="Arial" w:eastAsia="Arial" w:hAnsi="Arial" w:cs="Arial"/>
          <w:sz w:val="22"/>
          <w:szCs w:val="22"/>
          <w:lang w:val="sv-SE"/>
        </w:rPr>
        <w:t>.</w:t>
      </w:r>
    </w:p>
    <w:p w14:paraId="44BD202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Taylor, M.J., McNicholas, C., Nicolay, C., Darzi, A., Bell, D. and Reed, J.E. (2014). Systematic Review of the Application of the Plan–do–study–act Method to Improve Quality in Healthcare. </w:t>
      </w:r>
      <w:r w:rsidRPr="001658A8">
        <w:rPr>
          <w:rFonts w:ascii="Arial" w:eastAsia="Arial" w:hAnsi="Arial" w:cs="Arial"/>
          <w:i/>
          <w:iCs/>
          <w:sz w:val="22"/>
          <w:szCs w:val="22"/>
          <w:lang w:val="en-GB"/>
        </w:rPr>
        <w:t>BMJ Quality &amp; Safety</w:t>
      </w:r>
      <w:r w:rsidRPr="001658A8">
        <w:rPr>
          <w:rFonts w:ascii="Arial" w:eastAsia="Arial" w:hAnsi="Arial" w:cs="Arial"/>
          <w:sz w:val="22"/>
          <w:szCs w:val="22"/>
          <w:lang w:val="en-GB"/>
        </w:rPr>
        <w:t xml:space="preserve">, [online] 23(4), pp.290–298. </w:t>
      </w:r>
      <w:proofErr w:type="spellStart"/>
      <w:r w:rsidRPr="001658A8">
        <w:rPr>
          <w:rFonts w:ascii="Arial" w:eastAsia="Arial" w:hAnsi="Arial" w:cs="Arial"/>
          <w:sz w:val="22"/>
          <w:szCs w:val="22"/>
          <w:lang w:val="en-GB"/>
        </w:rPr>
        <w:t>doi:</w:t>
      </w:r>
      <w:hyperlink r:id="rId21">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://doi.org/10.1136/bmjqs-2013-001862</w:t>
        </w:r>
      </w:hyperlink>
      <w:r w:rsidRPr="001658A8">
        <w:rPr>
          <w:rFonts w:ascii="Arial" w:eastAsia="Arial" w:hAnsi="Arial" w:cs="Arial"/>
          <w:sz w:val="22"/>
          <w:szCs w:val="22"/>
          <w:lang w:val="en-GB"/>
        </w:rPr>
        <w:t>.</w:t>
      </w:r>
    </w:p>
    <w:p w14:paraId="2686DC12"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Walshe, K. (2002). The rise of regulation in the NHS.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324(7343), pp.967–970. doi:</w:t>
      </w:r>
      <w:r>
        <w:fldChar w:fldCharType="begin"/>
      </w:r>
      <w:r w:rsidRPr="00BC5245">
        <w:rPr>
          <w:lang w:val="sv-SE"/>
        </w:rPr>
        <w:instrText>HYPERLINK "https://doi.org/10.1136/bmj.324.7343.967" \h</w:instrText>
      </w:r>
      <w:r>
        <w:fldChar w:fldCharType="separate"/>
      </w:r>
      <w:r w:rsidRPr="00BC5245">
        <w:rPr>
          <w:rFonts w:ascii="Arial" w:eastAsia="Arial" w:hAnsi="Arial" w:cs="Arial"/>
          <w:color w:val="1155CC"/>
          <w:sz w:val="22"/>
          <w:szCs w:val="22"/>
          <w:u w:val="single"/>
          <w:lang w:val="sv-SE"/>
        </w:rPr>
        <w:t>https://doi.org/10.1136/bmj.324.7343.967</w:t>
      </w:r>
      <w:r>
        <w:fldChar w:fldCharType="end"/>
      </w:r>
      <w:r w:rsidRPr="00BC5245">
        <w:rPr>
          <w:rFonts w:ascii="Arial" w:eastAsia="Arial" w:hAnsi="Arial" w:cs="Arial"/>
          <w:sz w:val="22"/>
          <w:szCs w:val="22"/>
          <w:lang w:val="sv-SE"/>
        </w:rPr>
        <w:t>.</w:t>
      </w:r>
    </w:p>
    <w:p w14:paraId="1EB573F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Walshe, K. and Shortell, S.M. (2004). When Things Go Wrong: How Health Care Organizations Deal </w:t>
      </w:r>
      <w:proofErr w:type="gramStart"/>
      <w:r w:rsidRPr="001658A8">
        <w:rPr>
          <w:rFonts w:ascii="Arial" w:eastAsia="Arial" w:hAnsi="Arial" w:cs="Arial"/>
          <w:sz w:val="22"/>
          <w:szCs w:val="22"/>
          <w:lang w:val="en-GB"/>
        </w:rPr>
        <w:t>With</w:t>
      </w:r>
      <w:proofErr w:type="gramEnd"/>
      <w:r w:rsidRPr="001658A8">
        <w:rPr>
          <w:rFonts w:ascii="Arial" w:eastAsia="Arial" w:hAnsi="Arial" w:cs="Arial"/>
          <w:sz w:val="22"/>
          <w:szCs w:val="22"/>
          <w:lang w:val="en-GB"/>
        </w:rPr>
        <w:t xml:space="preserve"> Major Failures. </w:t>
      </w:r>
      <w:r w:rsidRPr="001658A8">
        <w:rPr>
          <w:rFonts w:ascii="Arial" w:eastAsia="Arial" w:hAnsi="Arial" w:cs="Arial"/>
          <w:i/>
          <w:iCs/>
          <w:sz w:val="22"/>
          <w:szCs w:val="22"/>
          <w:lang w:val="en-GB"/>
        </w:rPr>
        <w:t>Health Affairs</w:t>
      </w:r>
      <w:r w:rsidRPr="001658A8">
        <w:rPr>
          <w:rFonts w:ascii="Arial" w:eastAsia="Arial" w:hAnsi="Arial" w:cs="Arial"/>
          <w:sz w:val="22"/>
          <w:szCs w:val="22"/>
          <w:lang w:val="en-GB"/>
        </w:rPr>
        <w:t xml:space="preserve">, 23(3), pp.103–111. </w:t>
      </w:r>
      <w:proofErr w:type="spellStart"/>
      <w:r w:rsidRPr="001658A8">
        <w:rPr>
          <w:rFonts w:ascii="Arial" w:eastAsia="Arial" w:hAnsi="Arial" w:cs="Arial"/>
          <w:sz w:val="22"/>
          <w:szCs w:val="22"/>
          <w:lang w:val="en-GB"/>
        </w:rPr>
        <w:t>doi:</w:t>
      </w:r>
      <w:hyperlink r:id="rId22">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://doi.org/10.1377/hlthaff.23.3.103</w:t>
        </w:r>
      </w:hyperlink>
      <w:r w:rsidRPr="001658A8">
        <w:rPr>
          <w:rFonts w:ascii="Arial" w:eastAsia="Arial" w:hAnsi="Arial" w:cs="Arial"/>
          <w:sz w:val="22"/>
          <w:szCs w:val="22"/>
          <w:lang w:val="en-GB"/>
        </w:rPr>
        <w:t>.</w:t>
      </w:r>
    </w:p>
    <w:p w14:paraId="685B70ED" w14:textId="344B4697" w:rsidR="008B2AA1"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Willmington</w:t>
      </w:r>
      <w:proofErr w:type="spellEnd"/>
      <w:r w:rsidRPr="001658A8">
        <w:rPr>
          <w:rFonts w:ascii="Arial" w:eastAsia="Arial" w:hAnsi="Arial" w:cs="Arial"/>
          <w:sz w:val="22"/>
          <w:szCs w:val="22"/>
          <w:lang w:val="en-GB"/>
        </w:rPr>
        <w:t xml:space="preserve">, C., Belardi, P., Murante, A.M. and </w:t>
      </w:r>
      <w:proofErr w:type="spellStart"/>
      <w:r w:rsidRPr="001658A8">
        <w:rPr>
          <w:rFonts w:ascii="Arial" w:eastAsia="Arial" w:hAnsi="Arial" w:cs="Arial"/>
          <w:sz w:val="22"/>
          <w:szCs w:val="22"/>
          <w:lang w:val="en-GB"/>
        </w:rPr>
        <w:t>Vainieri</w:t>
      </w:r>
      <w:proofErr w:type="spellEnd"/>
      <w:r w:rsidRPr="001658A8">
        <w:rPr>
          <w:rFonts w:ascii="Arial" w:eastAsia="Arial" w:hAnsi="Arial" w:cs="Arial"/>
          <w:sz w:val="22"/>
          <w:szCs w:val="22"/>
          <w:lang w:val="en-GB"/>
        </w:rPr>
        <w:t xml:space="preserve">, M. (2022). The contribution of benchmarking to quality improvement in healthcare. A systematic literature review. </w:t>
      </w:r>
      <w:r w:rsidRPr="001658A8">
        <w:rPr>
          <w:rFonts w:ascii="Arial" w:eastAsia="Arial" w:hAnsi="Arial" w:cs="Arial"/>
          <w:i/>
          <w:iCs/>
          <w:sz w:val="22"/>
          <w:szCs w:val="22"/>
          <w:lang w:val="en-GB"/>
        </w:rPr>
        <w:t>Biomed Central (BMC) Health Services Research</w:t>
      </w:r>
      <w:r w:rsidRPr="001658A8">
        <w:rPr>
          <w:rFonts w:ascii="Arial" w:eastAsia="Arial" w:hAnsi="Arial" w:cs="Arial"/>
          <w:sz w:val="22"/>
          <w:szCs w:val="22"/>
          <w:lang w:val="en-GB"/>
        </w:rPr>
        <w:t xml:space="preserve">, [online] 22(1), pp.1–20. </w:t>
      </w:r>
      <w:proofErr w:type="spellStart"/>
      <w:r w:rsidRPr="001658A8">
        <w:rPr>
          <w:rFonts w:ascii="Arial" w:eastAsia="Arial" w:hAnsi="Arial" w:cs="Arial"/>
          <w:sz w:val="22"/>
          <w:szCs w:val="22"/>
          <w:lang w:val="en-GB"/>
        </w:rPr>
        <w:t>doi:</w:t>
      </w:r>
      <w:hyperlink r:id="rId23">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://doi.org/10.1186/s12913-022-07467-8</w:t>
        </w:r>
      </w:hyperlink>
      <w:r w:rsidRPr="001658A8">
        <w:rPr>
          <w:rFonts w:ascii="Arial" w:eastAsia="Arial" w:hAnsi="Arial" w:cs="Arial"/>
          <w:sz w:val="22"/>
          <w:szCs w:val="22"/>
          <w:lang w:val="en-GB"/>
        </w:rPr>
        <w:t>.</w:t>
      </w:r>
    </w:p>
    <w:sectPr w:rsidR="008B2AA1" w:rsidRPr="001658A8">
      <w:headerReference w:type="default" r:id="rId24"/>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61965" w14:textId="77777777" w:rsidR="009F37D1" w:rsidRDefault="009F37D1">
      <w:pPr>
        <w:spacing w:before="0" w:after="0" w:line="240" w:lineRule="auto"/>
      </w:pPr>
      <w:r>
        <w:separator/>
      </w:r>
    </w:p>
  </w:endnote>
  <w:endnote w:type="continuationSeparator" w:id="0">
    <w:p w14:paraId="2A464F6A" w14:textId="77777777" w:rsidR="009F37D1" w:rsidRDefault="009F37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03753" w14:textId="77777777" w:rsidR="000931B0" w:rsidRDefault="00C77F8F">
    <w:pPr>
      <w:jc w:val="right"/>
      <w:rPr>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471DF" w14:textId="77777777" w:rsidR="009F37D1" w:rsidRDefault="009F37D1">
      <w:pPr>
        <w:spacing w:before="0" w:after="0" w:line="240" w:lineRule="auto"/>
      </w:pPr>
      <w:r>
        <w:separator/>
      </w:r>
    </w:p>
  </w:footnote>
  <w:footnote w:type="continuationSeparator" w:id="0">
    <w:p w14:paraId="38DA6E69" w14:textId="77777777" w:rsidR="009F37D1" w:rsidRDefault="009F37D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0E188" w14:textId="77777777" w:rsidR="000931B0" w:rsidRDefault="000931B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1944"/>
    <w:multiLevelType w:val="multilevel"/>
    <w:tmpl w:val="EE12E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43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CA"/>
    <w:rsid w:val="000931B0"/>
    <w:rsid w:val="001139BD"/>
    <w:rsid w:val="00114AAB"/>
    <w:rsid w:val="001658A8"/>
    <w:rsid w:val="004721C1"/>
    <w:rsid w:val="0081055C"/>
    <w:rsid w:val="008B2AA1"/>
    <w:rsid w:val="009F37D1"/>
    <w:rsid w:val="00A12447"/>
    <w:rsid w:val="00B121CA"/>
    <w:rsid w:val="00BC5245"/>
    <w:rsid w:val="00C77F8F"/>
    <w:rsid w:val="00CD0B98"/>
    <w:rsid w:val="00CD51A7"/>
    <w:rsid w:val="00EA1BE1"/>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CB088"/>
  <w15:chartTrackingRefBased/>
  <w15:docId w15:val="{D732CA30-9A21-4F15-8A4F-C436ED5C5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1CA"/>
    <w:pPr>
      <w:spacing w:before="240" w:after="240" w:line="276" w:lineRule="auto"/>
    </w:pPr>
    <w:rPr>
      <w:rFonts w:ascii="Calibri" w:eastAsia="Calibri" w:hAnsi="Calibri" w:cs="Calibri"/>
      <w:sz w:val="24"/>
      <w:szCs w:val="24"/>
      <w:lang w:val="en"/>
    </w:rPr>
  </w:style>
  <w:style w:type="paragraph" w:styleId="Heading1">
    <w:name w:val="heading 1"/>
    <w:basedOn w:val="Normal"/>
    <w:next w:val="Normal"/>
    <w:link w:val="Heading1Char"/>
    <w:uiPriority w:val="9"/>
    <w:qFormat/>
    <w:rsid w:val="00B121CA"/>
    <w:pPr>
      <w:keepNext/>
      <w:keepLines/>
      <w:spacing w:before="120" w:after="120" w:line="360" w:lineRule="auto"/>
      <w:jc w:val="both"/>
      <w:outlineLvl w:val="0"/>
    </w:pPr>
    <w:rPr>
      <w:rFonts w:ascii="Arial" w:eastAsia="Arial" w:hAnsi="Arial" w:cs="Arial"/>
      <w:b/>
      <w:bCs/>
      <w:sz w:val="22"/>
      <w:szCs w:val="22"/>
    </w:rPr>
  </w:style>
  <w:style w:type="paragraph" w:styleId="Heading2">
    <w:name w:val="heading 2"/>
    <w:basedOn w:val="Normal"/>
    <w:next w:val="Normal"/>
    <w:link w:val="Heading2Char"/>
    <w:uiPriority w:val="9"/>
    <w:unhideWhenUsed/>
    <w:qFormat/>
    <w:rsid w:val="00B121CA"/>
    <w:pPr>
      <w:keepNext/>
      <w:keepLines/>
      <w:spacing w:before="120" w:after="120" w:line="360" w:lineRule="auto"/>
      <w:jc w:val="both"/>
      <w:outlineLvl w:val="1"/>
    </w:pPr>
    <w:rPr>
      <w:rFonts w:ascii="Arial" w:eastAsia="Arial" w:hAnsi="Arial" w:cs="Arial"/>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1CA"/>
    <w:rPr>
      <w:rFonts w:ascii="Arial" w:eastAsia="Arial" w:hAnsi="Arial" w:cs="Arial"/>
      <w:b/>
      <w:bCs/>
      <w:lang w:val="en"/>
    </w:rPr>
  </w:style>
  <w:style w:type="character" w:customStyle="1" w:styleId="Heading2Char">
    <w:name w:val="Heading 2 Char"/>
    <w:basedOn w:val="DefaultParagraphFont"/>
    <w:link w:val="Heading2"/>
    <w:uiPriority w:val="9"/>
    <w:rsid w:val="00B121CA"/>
    <w:rPr>
      <w:rFonts w:ascii="Arial" w:eastAsia="Arial" w:hAnsi="Arial" w:cs="Arial"/>
      <w:b/>
      <w:bCs/>
      <w:lang w:val="en"/>
    </w:rPr>
  </w:style>
  <w:style w:type="paragraph" w:styleId="TOC1">
    <w:name w:val="toc 1"/>
    <w:basedOn w:val="Normal"/>
    <w:next w:val="Normal"/>
    <w:autoRedefine/>
    <w:uiPriority w:val="39"/>
    <w:unhideWhenUsed/>
    <w:rsid w:val="00B121CA"/>
    <w:pPr>
      <w:spacing w:after="100"/>
    </w:pPr>
  </w:style>
  <w:style w:type="paragraph" w:styleId="TOC2">
    <w:name w:val="toc 2"/>
    <w:basedOn w:val="Normal"/>
    <w:next w:val="Normal"/>
    <w:autoRedefine/>
    <w:uiPriority w:val="39"/>
    <w:unhideWhenUsed/>
    <w:rsid w:val="00B121CA"/>
    <w:pPr>
      <w:spacing w:after="100"/>
      <w:ind w:left="240"/>
    </w:pPr>
  </w:style>
  <w:style w:type="character" w:styleId="Hyperlink">
    <w:name w:val="Hyperlink"/>
    <w:basedOn w:val="DefaultParagraphFont"/>
    <w:uiPriority w:val="99"/>
    <w:unhideWhenUsed/>
    <w:rsid w:val="00B121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inquiry.org.uk/final_report/Summary.pdf" TargetMode="External"/><Relationship Id="rId13" Type="http://schemas.openxmlformats.org/officeDocument/2006/relationships/hyperlink" Target="https://doi.org/10.1136/bmj.g1623" TargetMode="External"/><Relationship Id="rId18" Type="http://schemas.openxmlformats.org/officeDocument/2006/relationships/hyperlink" Target="https://doi.org/10.2196/5761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36/bmjqs-2013-001862" TargetMode="External"/><Relationship Id="rId7" Type="http://schemas.openxmlformats.org/officeDocument/2006/relationships/image" Target="media/image1.png"/><Relationship Id="rId12" Type="http://schemas.openxmlformats.org/officeDocument/2006/relationships/hyperlink" Target="https://doi.org/10.1136/bmj.323.7306.181" TargetMode="External"/><Relationship Id="rId17" Type="http://schemas.openxmlformats.org/officeDocument/2006/relationships/hyperlink" Target="https://www.ncbi.nlm.nih.gov/books/NBK58966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61/hc3201.097067" TargetMode="External"/><Relationship Id="rId20" Type="http://schemas.openxmlformats.org/officeDocument/2006/relationships/hyperlink" Target="https://doi.org/10.1007/s00246-022-0304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gloenvcha.2025.103007"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47176/mjiri.35.117" TargetMode="External"/><Relationship Id="rId23" Type="http://schemas.openxmlformats.org/officeDocument/2006/relationships/hyperlink" Target="https://doi.org/10.1186/s12913-022-07467-8" TargetMode="External"/><Relationship Id="rId10" Type="http://schemas.openxmlformats.org/officeDocument/2006/relationships/hyperlink" Target="https://doi.org/10.1136/bmj.324.7338.648" TargetMode="External"/><Relationship Id="rId19" Type="http://schemas.openxmlformats.org/officeDocument/2006/relationships/hyperlink" Target="https://pmc.ncbi.nlm.nih.gov/articles/PMC1120772/" TargetMode="External"/><Relationship Id="rId4" Type="http://schemas.openxmlformats.org/officeDocument/2006/relationships/webSettings" Target="webSettings.xml"/><Relationship Id="rId9" Type="http://schemas.openxmlformats.org/officeDocument/2006/relationships/hyperlink" Target="https://doi.org/10.1136/openhrt-2014-000157" TargetMode="External"/><Relationship Id="rId14" Type="http://schemas.openxmlformats.org/officeDocument/2006/relationships/hyperlink" Target="https://doi.org/10.1007/978-1-4471-6566-8_19" TargetMode="External"/><Relationship Id="rId22" Type="http://schemas.openxmlformats.org/officeDocument/2006/relationships/hyperlink" Target="https://doi.org/10.1377/hlthaff.23.3.10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4576</Words>
  <Characters>26084</Characters>
  <Application>Microsoft Office Word</Application>
  <DocSecurity>0</DocSecurity>
  <Lines>217</Lines>
  <Paragraphs>61</Paragraphs>
  <ScaleCrop>false</ScaleCrop>
  <Company/>
  <LinksUpToDate>false</LinksUpToDate>
  <CharactersWithSpaces>30599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dhwani patel</cp:lastModifiedBy>
  <cp:revision>2</cp:revision>
  <dcterms:created xsi:type="dcterms:W3CDTF">2026-04-16T20:09:00Z</dcterms:created>
  <dcterms:modified xsi:type="dcterms:W3CDTF">2026-04-16T20:09:00Z</dcterms:modified>
</cp:coreProperties>
</file>