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F8168" w14:textId="77777777" w:rsidR="0091638B" w:rsidRPr="004F2AE6" w:rsidRDefault="0091638B" w:rsidP="0091638B">
      <w:pPr>
        <w:jc w:val="center"/>
        <w:rPr>
          <w:rFonts w:cs="Times New Roman"/>
        </w:rPr>
      </w:pPr>
      <w:r w:rsidRPr="004F2AE6">
        <w:rPr>
          <w:rFonts w:cs="Times New Roman"/>
          <w:noProof/>
        </w:rPr>
        <w:drawing>
          <wp:inline distT="0" distB="0" distL="0" distR="0" wp14:anchorId="63DA8F1A" wp14:editId="52B0BB80">
            <wp:extent cx="2149162" cy="857250"/>
            <wp:effectExtent l="0" t="0" r="3810" b="0"/>
            <wp:docPr id="3" name="Picture 3"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University Transcription Servic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7310" cy="860500"/>
                    </a:xfrm>
                    <a:prstGeom prst="rect">
                      <a:avLst/>
                    </a:prstGeom>
                    <a:noFill/>
                    <a:ln>
                      <a:noFill/>
                    </a:ln>
                  </pic:spPr>
                </pic:pic>
              </a:graphicData>
            </a:graphic>
          </wp:inline>
        </w:drawing>
      </w:r>
    </w:p>
    <w:p w14:paraId="73B444FA" w14:textId="77777777" w:rsidR="0091638B" w:rsidRPr="0045408B" w:rsidRDefault="0091638B" w:rsidP="0091638B">
      <w:pPr>
        <w:jc w:val="center"/>
        <w:rPr>
          <w:b/>
          <w:sz w:val="28"/>
        </w:rPr>
      </w:pPr>
      <w:r w:rsidRPr="0045408B">
        <w:rPr>
          <w:b/>
          <w:sz w:val="28"/>
        </w:rPr>
        <w:t>International Meetings Management BMIH6007</w:t>
      </w:r>
    </w:p>
    <w:p w14:paraId="65C70E9F" w14:textId="77777777" w:rsidR="0091638B" w:rsidRPr="0045408B" w:rsidRDefault="0091638B" w:rsidP="0091638B">
      <w:pPr>
        <w:jc w:val="center"/>
        <w:rPr>
          <w:b/>
          <w:sz w:val="28"/>
        </w:rPr>
      </w:pPr>
      <w:r w:rsidRPr="0045408B">
        <w:rPr>
          <w:b/>
          <w:sz w:val="28"/>
        </w:rPr>
        <w:t>Assignment 2: Event Strategic Planning and Delivery Considerations for an International Meeting / Event.</w:t>
      </w:r>
    </w:p>
    <w:p w14:paraId="2088E7DE" w14:textId="77777777" w:rsidR="0091638B" w:rsidRPr="0045408B" w:rsidRDefault="0091638B" w:rsidP="0091638B">
      <w:pPr>
        <w:jc w:val="center"/>
        <w:rPr>
          <w:b/>
          <w:sz w:val="28"/>
        </w:rPr>
      </w:pPr>
      <w:r w:rsidRPr="0045408B">
        <w:rPr>
          <w:b/>
          <w:sz w:val="28"/>
        </w:rPr>
        <w:t>Assignment Title: Planning and Delivering an International Meeting/Event</w:t>
      </w:r>
    </w:p>
    <w:p w14:paraId="3F33FE06" w14:textId="77777777" w:rsidR="0091638B" w:rsidRPr="0045408B" w:rsidRDefault="0091638B" w:rsidP="0091638B">
      <w:pPr>
        <w:jc w:val="center"/>
        <w:rPr>
          <w:b/>
          <w:sz w:val="28"/>
        </w:rPr>
      </w:pPr>
      <w:r w:rsidRPr="0045408B">
        <w:rPr>
          <w:b/>
          <w:sz w:val="28"/>
        </w:rPr>
        <w:t>Event Theme: VISIT WALES’ = “YEAR OF CROESO 2025”</w:t>
      </w:r>
    </w:p>
    <w:p w14:paraId="48A505DE" w14:textId="77777777" w:rsidR="0091638B" w:rsidRDefault="0091638B" w:rsidP="0091638B">
      <w:pPr>
        <w:jc w:val="center"/>
        <w:rPr>
          <w:b/>
          <w:sz w:val="28"/>
        </w:rPr>
      </w:pPr>
      <w:r w:rsidRPr="0045408B">
        <w:rPr>
          <w:b/>
          <w:sz w:val="28"/>
        </w:rPr>
        <w:t>Green Croeso: Sustainable Tourism &amp; Eco-Hospitality</w:t>
      </w:r>
    </w:p>
    <w:p w14:paraId="7DDEFFBE" w14:textId="77777777" w:rsidR="0091638B" w:rsidRPr="0045408B" w:rsidRDefault="0091638B" w:rsidP="0091638B">
      <w:pPr>
        <w:jc w:val="center"/>
        <w:rPr>
          <w:b/>
          <w:sz w:val="28"/>
        </w:rPr>
      </w:pPr>
    </w:p>
    <w:p w14:paraId="6F062404" w14:textId="77777777" w:rsidR="0091638B" w:rsidRPr="00205E91" w:rsidRDefault="0091638B" w:rsidP="0091638B">
      <w:pPr>
        <w:jc w:val="center"/>
        <w:rPr>
          <w:b/>
          <w:bCs/>
          <w:sz w:val="32"/>
          <w:szCs w:val="32"/>
        </w:rPr>
      </w:pPr>
      <w:r w:rsidRPr="00205E91">
        <w:rPr>
          <w:b/>
          <w:bCs/>
          <w:sz w:val="32"/>
          <w:szCs w:val="32"/>
        </w:rPr>
        <w:t>Student Name: Salam Al-Masoud</w:t>
      </w:r>
    </w:p>
    <w:p w14:paraId="59A0A15E" w14:textId="77777777" w:rsidR="0091638B" w:rsidRPr="00205E91" w:rsidRDefault="0091638B" w:rsidP="0091638B">
      <w:pPr>
        <w:jc w:val="center"/>
        <w:rPr>
          <w:b/>
          <w:bCs/>
          <w:sz w:val="32"/>
          <w:szCs w:val="32"/>
        </w:rPr>
      </w:pPr>
      <w:r w:rsidRPr="00205E91">
        <w:rPr>
          <w:b/>
          <w:bCs/>
          <w:sz w:val="32"/>
          <w:szCs w:val="32"/>
        </w:rPr>
        <w:t>Student ID: 2235444</w:t>
      </w:r>
    </w:p>
    <w:p w14:paraId="025B6CFE" w14:textId="77777777" w:rsidR="0091638B" w:rsidRPr="00205E91" w:rsidRDefault="0091638B" w:rsidP="0091638B">
      <w:pPr>
        <w:jc w:val="center"/>
        <w:rPr>
          <w:b/>
          <w:bCs/>
          <w:sz w:val="32"/>
          <w:szCs w:val="32"/>
        </w:rPr>
      </w:pPr>
      <w:r w:rsidRPr="00205E91">
        <w:rPr>
          <w:b/>
          <w:bCs/>
          <w:sz w:val="32"/>
          <w:szCs w:val="32"/>
        </w:rPr>
        <w:t>Lecturer Name: Kathryn Flynn</w:t>
      </w:r>
    </w:p>
    <w:p w14:paraId="0870F796" w14:textId="77777777" w:rsidR="0091638B" w:rsidRPr="004F2AE6" w:rsidRDefault="0091638B" w:rsidP="0091638B">
      <w:pPr>
        <w:jc w:val="center"/>
        <w:rPr>
          <w:rFonts w:cs="Times New Roman"/>
        </w:rPr>
      </w:pPr>
    </w:p>
    <w:p w14:paraId="70D6E885" w14:textId="77777777" w:rsidR="0091638B" w:rsidRPr="004F2AE6" w:rsidRDefault="0091638B" w:rsidP="0091638B">
      <w:pPr>
        <w:spacing w:line="259" w:lineRule="auto"/>
        <w:jc w:val="left"/>
        <w:rPr>
          <w:rFonts w:cs="Times New Roman"/>
        </w:rPr>
      </w:pPr>
      <w:r w:rsidRPr="004F2AE6">
        <w:rPr>
          <w:rFonts w:cs="Times New Roman"/>
        </w:rPr>
        <w:br w:type="page"/>
      </w:r>
    </w:p>
    <w:p w14:paraId="7FA31B88" w14:textId="77777777" w:rsidR="0091638B" w:rsidRPr="004F2AE6" w:rsidRDefault="0091638B" w:rsidP="0091638B">
      <w:pPr>
        <w:pStyle w:val="Heading1"/>
        <w:rPr>
          <w:rFonts w:cs="Times New Roman"/>
        </w:rPr>
      </w:pPr>
      <w:bookmarkStart w:id="0" w:name="_Toc200607415"/>
      <w:r w:rsidRPr="004F2AE6">
        <w:rPr>
          <w:rFonts w:cs="Times New Roman"/>
        </w:rPr>
        <w:lastRenderedPageBreak/>
        <w:t>Executive Summary</w:t>
      </w:r>
      <w:bookmarkEnd w:id="0"/>
      <w:r w:rsidRPr="004F2AE6">
        <w:rPr>
          <w:rFonts w:cs="Times New Roman"/>
        </w:rPr>
        <w:t xml:space="preserve"> </w:t>
      </w:r>
    </w:p>
    <w:p w14:paraId="2F64309C" w14:textId="77777777" w:rsidR="0091638B" w:rsidRPr="004F2AE6" w:rsidRDefault="0091638B" w:rsidP="0091638B">
      <w:r w:rsidRPr="004F2AE6">
        <w:t xml:space="preserve">Welsh sustainable tourism and eco-friendly hospitality will be promoted at Green Croeso, an educational conference and exhibition. Welsh cultural warmth and ecological tourism leadership are highlighted in </w:t>
      </w:r>
      <w:r>
        <w:t>the Visit</w:t>
      </w:r>
      <w:r w:rsidRPr="004F2AE6">
        <w:t xml:space="preserve"> Wales Year of Croeso 2025. </w:t>
      </w:r>
      <w:r>
        <w:t>At the summit, international eco-hospitality CEOs, legislators, environmental NGOs, sustainability experts, and tourism influencers will share best practices, innovations, and local successes</w:t>
      </w:r>
      <w:r w:rsidRPr="004F2AE6">
        <w:t xml:space="preserve">. </w:t>
      </w:r>
      <w:r>
        <w:t>The forum</w:t>
      </w:r>
      <w:r w:rsidRPr="004F2AE6">
        <w:t xml:space="preserve"> will be hosted at </w:t>
      </w:r>
      <w:r>
        <w:t xml:space="preserve">the </w:t>
      </w:r>
      <w:r w:rsidRPr="004F2AE6">
        <w:t>eco-friendly National Botanic Garden of Wales. It features panel talks with international and Welsh experts, an exhibition of green accommodations and initiatives, and guided eco-tours of Wales' natural surroundings. Forum for hospitality and tourism sustainability experts. Strategy includes site, staffing, sustainable catering, low-impact logistics, and budget forecast. Visit Wales, social media, and green tourism influencers will promote. Wales wants economic growth and sustainable tourism. The forum's authenticity and education boost Welsh tourism and sustainability.</w:t>
      </w:r>
    </w:p>
    <w:p w14:paraId="31A9A26B" w14:textId="77777777" w:rsidR="0091638B" w:rsidRPr="004F2AE6" w:rsidRDefault="0091638B" w:rsidP="0091638B">
      <w:pPr>
        <w:spacing w:line="259" w:lineRule="auto"/>
        <w:jc w:val="left"/>
        <w:rPr>
          <w:rFonts w:cs="Times New Roman"/>
          <w:lang w:eastAsia="en-GB"/>
        </w:rPr>
      </w:pPr>
      <w:r w:rsidRPr="004F2AE6">
        <w:rPr>
          <w:rFonts w:cs="Times New Roman"/>
          <w:lang w:eastAsia="en-GB"/>
        </w:rPr>
        <w:br w:type="page"/>
      </w:r>
    </w:p>
    <w:sdt>
      <w:sdtPr>
        <w:rPr>
          <w:rFonts w:ascii="Times New Roman" w:eastAsiaTheme="minorHAnsi" w:hAnsi="Times New Roman" w:cstheme="minorBidi"/>
          <w:color w:val="auto"/>
          <w:sz w:val="24"/>
          <w:szCs w:val="22"/>
          <w:lang w:val="en-GB"/>
        </w:rPr>
        <w:id w:val="-1899969476"/>
        <w:docPartObj>
          <w:docPartGallery w:val="Table of Contents"/>
          <w:docPartUnique/>
        </w:docPartObj>
      </w:sdtPr>
      <w:sdtEndPr>
        <w:rPr>
          <w:b/>
          <w:bCs/>
        </w:rPr>
      </w:sdtEndPr>
      <w:sdtContent>
        <w:p w14:paraId="53C8C33A" w14:textId="77777777" w:rsidR="0091638B" w:rsidRPr="004F2AE6" w:rsidRDefault="0091638B" w:rsidP="0091638B">
          <w:pPr>
            <w:pStyle w:val="TOCHeading"/>
            <w:rPr>
              <w:lang w:val="en-GB"/>
            </w:rPr>
          </w:pPr>
          <w:r w:rsidRPr="004F2AE6">
            <w:rPr>
              <w:lang w:val="en-GB"/>
            </w:rPr>
            <w:t>Table of Contents</w:t>
          </w:r>
        </w:p>
        <w:p w14:paraId="57F67889" w14:textId="77777777" w:rsidR="0091638B" w:rsidRDefault="0091638B" w:rsidP="0091638B">
          <w:pPr>
            <w:pStyle w:val="TOC1"/>
            <w:tabs>
              <w:tab w:val="right" w:leader="dot" w:pos="9350"/>
            </w:tabs>
            <w:rPr>
              <w:rFonts w:asciiTheme="minorHAnsi" w:eastAsiaTheme="minorEastAsia" w:hAnsiTheme="minorHAnsi"/>
              <w:noProof/>
              <w:sz w:val="22"/>
              <w:lang w:val="en-US"/>
            </w:rPr>
          </w:pPr>
          <w:r w:rsidRPr="004F2AE6">
            <w:fldChar w:fldCharType="begin"/>
          </w:r>
          <w:r w:rsidRPr="004F2AE6">
            <w:instrText xml:space="preserve"> TOC \o "1-3" \h \z \u </w:instrText>
          </w:r>
          <w:r w:rsidRPr="004F2AE6">
            <w:fldChar w:fldCharType="separate"/>
          </w:r>
          <w:hyperlink w:anchor="_Toc200607415" w:history="1">
            <w:r w:rsidRPr="00B606CB">
              <w:rPr>
                <w:rStyle w:val="Hyperlink"/>
                <w:rFonts w:cs="Times New Roman"/>
                <w:noProof/>
              </w:rPr>
              <w:t>Executive Summary</w:t>
            </w:r>
            <w:r>
              <w:rPr>
                <w:noProof/>
                <w:webHidden/>
              </w:rPr>
              <w:tab/>
            </w:r>
            <w:r>
              <w:rPr>
                <w:noProof/>
                <w:webHidden/>
              </w:rPr>
              <w:fldChar w:fldCharType="begin"/>
            </w:r>
            <w:r>
              <w:rPr>
                <w:noProof/>
                <w:webHidden/>
              </w:rPr>
              <w:instrText xml:space="preserve"> PAGEREF _Toc200607415 \h </w:instrText>
            </w:r>
            <w:r>
              <w:rPr>
                <w:noProof/>
                <w:webHidden/>
              </w:rPr>
            </w:r>
            <w:r>
              <w:rPr>
                <w:noProof/>
                <w:webHidden/>
              </w:rPr>
              <w:fldChar w:fldCharType="separate"/>
            </w:r>
            <w:r>
              <w:rPr>
                <w:noProof/>
                <w:webHidden/>
              </w:rPr>
              <w:t>2</w:t>
            </w:r>
            <w:r>
              <w:rPr>
                <w:noProof/>
                <w:webHidden/>
              </w:rPr>
              <w:fldChar w:fldCharType="end"/>
            </w:r>
          </w:hyperlink>
        </w:p>
        <w:p w14:paraId="257B1243"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16" w:history="1">
            <w:r w:rsidRPr="00B606CB">
              <w:rPr>
                <w:rStyle w:val="Hyperlink"/>
                <w:noProof/>
                <w:lang w:eastAsia="en-GB"/>
              </w:rPr>
              <w:t>Introduction</w:t>
            </w:r>
            <w:r>
              <w:rPr>
                <w:noProof/>
                <w:webHidden/>
              </w:rPr>
              <w:tab/>
            </w:r>
            <w:r>
              <w:rPr>
                <w:noProof/>
                <w:webHidden/>
              </w:rPr>
              <w:fldChar w:fldCharType="begin"/>
            </w:r>
            <w:r>
              <w:rPr>
                <w:noProof/>
                <w:webHidden/>
              </w:rPr>
              <w:instrText xml:space="preserve"> PAGEREF _Toc200607416 \h </w:instrText>
            </w:r>
            <w:r>
              <w:rPr>
                <w:noProof/>
                <w:webHidden/>
              </w:rPr>
            </w:r>
            <w:r>
              <w:rPr>
                <w:noProof/>
                <w:webHidden/>
              </w:rPr>
              <w:fldChar w:fldCharType="separate"/>
            </w:r>
            <w:r>
              <w:rPr>
                <w:noProof/>
                <w:webHidden/>
              </w:rPr>
              <w:t>4</w:t>
            </w:r>
            <w:r>
              <w:rPr>
                <w:noProof/>
                <w:webHidden/>
              </w:rPr>
              <w:fldChar w:fldCharType="end"/>
            </w:r>
          </w:hyperlink>
        </w:p>
        <w:p w14:paraId="7D785CCB"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17" w:history="1">
            <w:r w:rsidRPr="00B606CB">
              <w:rPr>
                <w:rStyle w:val="Hyperlink"/>
                <w:noProof/>
              </w:rPr>
              <w:t>The Event Cycle</w:t>
            </w:r>
            <w:r>
              <w:rPr>
                <w:noProof/>
                <w:webHidden/>
              </w:rPr>
              <w:tab/>
            </w:r>
            <w:r>
              <w:rPr>
                <w:noProof/>
                <w:webHidden/>
              </w:rPr>
              <w:fldChar w:fldCharType="begin"/>
            </w:r>
            <w:r>
              <w:rPr>
                <w:noProof/>
                <w:webHidden/>
              </w:rPr>
              <w:instrText xml:space="preserve"> PAGEREF _Toc200607417 \h </w:instrText>
            </w:r>
            <w:r>
              <w:rPr>
                <w:noProof/>
                <w:webHidden/>
              </w:rPr>
            </w:r>
            <w:r>
              <w:rPr>
                <w:noProof/>
                <w:webHidden/>
              </w:rPr>
              <w:fldChar w:fldCharType="separate"/>
            </w:r>
            <w:r>
              <w:rPr>
                <w:noProof/>
                <w:webHidden/>
              </w:rPr>
              <w:t>5</w:t>
            </w:r>
            <w:r>
              <w:rPr>
                <w:noProof/>
                <w:webHidden/>
              </w:rPr>
              <w:fldChar w:fldCharType="end"/>
            </w:r>
          </w:hyperlink>
        </w:p>
        <w:p w14:paraId="0D8CCA64"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18" w:history="1">
            <w:r w:rsidRPr="00B606CB">
              <w:rPr>
                <w:rStyle w:val="Hyperlink"/>
                <w:noProof/>
              </w:rPr>
              <w:t>Event Concept</w:t>
            </w:r>
            <w:r>
              <w:rPr>
                <w:noProof/>
                <w:webHidden/>
              </w:rPr>
              <w:tab/>
            </w:r>
            <w:r>
              <w:rPr>
                <w:noProof/>
                <w:webHidden/>
              </w:rPr>
              <w:fldChar w:fldCharType="begin"/>
            </w:r>
            <w:r>
              <w:rPr>
                <w:noProof/>
                <w:webHidden/>
              </w:rPr>
              <w:instrText xml:space="preserve"> PAGEREF _Toc200607418 \h </w:instrText>
            </w:r>
            <w:r>
              <w:rPr>
                <w:noProof/>
                <w:webHidden/>
              </w:rPr>
            </w:r>
            <w:r>
              <w:rPr>
                <w:noProof/>
                <w:webHidden/>
              </w:rPr>
              <w:fldChar w:fldCharType="separate"/>
            </w:r>
            <w:r>
              <w:rPr>
                <w:noProof/>
                <w:webHidden/>
              </w:rPr>
              <w:t>7</w:t>
            </w:r>
            <w:r>
              <w:rPr>
                <w:noProof/>
                <w:webHidden/>
              </w:rPr>
              <w:fldChar w:fldCharType="end"/>
            </w:r>
          </w:hyperlink>
        </w:p>
        <w:p w14:paraId="6D3D0E81"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19" w:history="1">
            <w:r w:rsidRPr="00B606CB">
              <w:rPr>
                <w:rStyle w:val="Hyperlink"/>
                <w:noProof/>
              </w:rPr>
              <w:t>Aim and Objectives of the Meeting / Event</w:t>
            </w:r>
            <w:r>
              <w:rPr>
                <w:noProof/>
                <w:webHidden/>
              </w:rPr>
              <w:tab/>
            </w:r>
            <w:r>
              <w:rPr>
                <w:noProof/>
                <w:webHidden/>
              </w:rPr>
              <w:fldChar w:fldCharType="begin"/>
            </w:r>
            <w:r>
              <w:rPr>
                <w:noProof/>
                <w:webHidden/>
              </w:rPr>
              <w:instrText xml:space="preserve"> PAGEREF _Toc200607419 \h </w:instrText>
            </w:r>
            <w:r>
              <w:rPr>
                <w:noProof/>
                <w:webHidden/>
              </w:rPr>
            </w:r>
            <w:r>
              <w:rPr>
                <w:noProof/>
                <w:webHidden/>
              </w:rPr>
              <w:fldChar w:fldCharType="separate"/>
            </w:r>
            <w:r>
              <w:rPr>
                <w:noProof/>
                <w:webHidden/>
              </w:rPr>
              <w:t>8</w:t>
            </w:r>
            <w:r>
              <w:rPr>
                <w:noProof/>
                <w:webHidden/>
              </w:rPr>
              <w:fldChar w:fldCharType="end"/>
            </w:r>
          </w:hyperlink>
        </w:p>
        <w:p w14:paraId="5A626332"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0" w:history="1">
            <w:r w:rsidRPr="00B606CB">
              <w:rPr>
                <w:rStyle w:val="Hyperlink"/>
                <w:noProof/>
              </w:rPr>
              <w:t>Event Management</w:t>
            </w:r>
            <w:r>
              <w:rPr>
                <w:noProof/>
                <w:webHidden/>
              </w:rPr>
              <w:tab/>
            </w:r>
            <w:r>
              <w:rPr>
                <w:noProof/>
                <w:webHidden/>
              </w:rPr>
              <w:fldChar w:fldCharType="begin"/>
            </w:r>
            <w:r>
              <w:rPr>
                <w:noProof/>
                <w:webHidden/>
              </w:rPr>
              <w:instrText xml:space="preserve"> PAGEREF _Toc200607420 \h </w:instrText>
            </w:r>
            <w:r>
              <w:rPr>
                <w:noProof/>
                <w:webHidden/>
              </w:rPr>
            </w:r>
            <w:r>
              <w:rPr>
                <w:noProof/>
                <w:webHidden/>
              </w:rPr>
              <w:fldChar w:fldCharType="separate"/>
            </w:r>
            <w:r>
              <w:rPr>
                <w:noProof/>
                <w:webHidden/>
              </w:rPr>
              <w:t>9</w:t>
            </w:r>
            <w:r>
              <w:rPr>
                <w:noProof/>
                <w:webHidden/>
              </w:rPr>
              <w:fldChar w:fldCharType="end"/>
            </w:r>
          </w:hyperlink>
        </w:p>
        <w:p w14:paraId="0B846A95"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1" w:history="1">
            <w:r w:rsidRPr="00B606CB">
              <w:rPr>
                <w:rStyle w:val="Hyperlink"/>
                <w:noProof/>
              </w:rPr>
              <w:t>Event Budget</w:t>
            </w:r>
            <w:r>
              <w:rPr>
                <w:noProof/>
                <w:webHidden/>
              </w:rPr>
              <w:tab/>
            </w:r>
            <w:r>
              <w:rPr>
                <w:noProof/>
                <w:webHidden/>
              </w:rPr>
              <w:fldChar w:fldCharType="begin"/>
            </w:r>
            <w:r>
              <w:rPr>
                <w:noProof/>
                <w:webHidden/>
              </w:rPr>
              <w:instrText xml:space="preserve"> PAGEREF _Toc200607421 \h </w:instrText>
            </w:r>
            <w:r>
              <w:rPr>
                <w:noProof/>
                <w:webHidden/>
              </w:rPr>
            </w:r>
            <w:r>
              <w:rPr>
                <w:noProof/>
                <w:webHidden/>
              </w:rPr>
              <w:fldChar w:fldCharType="separate"/>
            </w:r>
            <w:r>
              <w:rPr>
                <w:noProof/>
                <w:webHidden/>
              </w:rPr>
              <w:t>12</w:t>
            </w:r>
            <w:r>
              <w:rPr>
                <w:noProof/>
                <w:webHidden/>
              </w:rPr>
              <w:fldChar w:fldCharType="end"/>
            </w:r>
          </w:hyperlink>
        </w:p>
        <w:p w14:paraId="71F97B71"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2" w:history="1">
            <w:r w:rsidRPr="00B606CB">
              <w:rPr>
                <w:rStyle w:val="Hyperlink"/>
                <w:noProof/>
              </w:rPr>
              <w:t>Industry Trends, Issues, and Impacts</w:t>
            </w:r>
            <w:r>
              <w:rPr>
                <w:noProof/>
                <w:webHidden/>
              </w:rPr>
              <w:tab/>
            </w:r>
            <w:r>
              <w:rPr>
                <w:noProof/>
                <w:webHidden/>
              </w:rPr>
              <w:fldChar w:fldCharType="begin"/>
            </w:r>
            <w:r>
              <w:rPr>
                <w:noProof/>
                <w:webHidden/>
              </w:rPr>
              <w:instrText xml:space="preserve"> PAGEREF _Toc200607422 \h </w:instrText>
            </w:r>
            <w:r>
              <w:rPr>
                <w:noProof/>
                <w:webHidden/>
              </w:rPr>
            </w:r>
            <w:r>
              <w:rPr>
                <w:noProof/>
                <w:webHidden/>
              </w:rPr>
              <w:fldChar w:fldCharType="separate"/>
            </w:r>
            <w:r>
              <w:rPr>
                <w:noProof/>
                <w:webHidden/>
              </w:rPr>
              <w:t>13</w:t>
            </w:r>
            <w:r>
              <w:rPr>
                <w:noProof/>
                <w:webHidden/>
              </w:rPr>
              <w:fldChar w:fldCharType="end"/>
            </w:r>
          </w:hyperlink>
        </w:p>
        <w:p w14:paraId="0B01896D"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3" w:history="1">
            <w:r w:rsidRPr="00B606CB">
              <w:rPr>
                <w:rStyle w:val="Hyperlink"/>
                <w:noProof/>
              </w:rPr>
              <w:t>Situational and Cultural Considerations</w:t>
            </w:r>
            <w:r>
              <w:rPr>
                <w:noProof/>
                <w:webHidden/>
              </w:rPr>
              <w:tab/>
            </w:r>
            <w:r>
              <w:rPr>
                <w:noProof/>
                <w:webHidden/>
              </w:rPr>
              <w:fldChar w:fldCharType="begin"/>
            </w:r>
            <w:r>
              <w:rPr>
                <w:noProof/>
                <w:webHidden/>
              </w:rPr>
              <w:instrText xml:space="preserve"> PAGEREF _Toc200607423 \h </w:instrText>
            </w:r>
            <w:r>
              <w:rPr>
                <w:noProof/>
                <w:webHidden/>
              </w:rPr>
            </w:r>
            <w:r>
              <w:rPr>
                <w:noProof/>
                <w:webHidden/>
              </w:rPr>
              <w:fldChar w:fldCharType="separate"/>
            </w:r>
            <w:r>
              <w:rPr>
                <w:noProof/>
                <w:webHidden/>
              </w:rPr>
              <w:t>15</w:t>
            </w:r>
            <w:r>
              <w:rPr>
                <w:noProof/>
                <w:webHidden/>
              </w:rPr>
              <w:fldChar w:fldCharType="end"/>
            </w:r>
          </w:hyperlink>
        </w:p>
        <w:p w14:paraId="5501D950"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4" w:history="1">
            <w:r w:rsidRPr="00B606CB">
              <w:rPr>
                <w:rStyle w:val="Hyperlink"/>
                <w:noProof/>
              </w:rPr>
              <w:t>Conclusion</w:t>
            </w:r>
            <w:r>
              <w:rPr>
                <w:noProof/>
                <w:webHidden/>
              </w:rPr>
              <w:tab/>
            </w:r>
            <w:r>
              <w:rPr>
                <w:noProof/>
                <w:webHidden/>
              </w:rPr>
              <w:fldChar w:fldCharType="begin"/>
            </w:r>
            <w:r>
              <w:rPr>
                <w:noProof/>
                <w:webHidden/>
              </w:rPr>
              <w:instrText xml:space="preserve"> PAGEREF _Toc200607424 \h </w:instrText>
            </w:r>
            <w:r>
              <w:rPr>
                <w:noProof/>
                <w:webHidden/>
              </w:rPr>
            </w:r>
            <w:r>
              <w:rPr>
                <w:noProof/>
                <w:webHidden/>
              </w:rPr>
              <w:fldChar w:fldCharType="separate"/>
            </w:r>
            <w:r>
              <w:rPr>
                <w:noProof/>
                <w:webHidden/>
              </w:rPr>
              <w:t>17</w:t>
            </w:r>
            <w:r>
              <w:rPr>
                <w:noProof/>
                <w:webHidden/>
              </w:rPr>
              <w:fldChar w:fldCharType="end"/>
            </w:r>
          </w:hyperlink>
        </w:p>
        <w:p w14:paraId="42FAAD2D"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5" w:history="1">
            <w:r w:rsidRPr="00B606CB">
              <w:rPr>
                <w:rStyle w:val="Hyperlink"/>
                <w:noProof/>
              </w:rPr>
              <w:t>References</w:t>
            </w:r>
            <w:r>
              <w:rPr>
                <w:noProof/>
                <w:webHidden/>
              </w:rPr>
              <w:tab/>
            </w:r>
            <w:r>
              <w:rPr>
                <w:noProof/>
                <w:webHidden/>
              </w:rPr>
              <w:fldChar w:fldCharType="begin"/>
            </w:r>
            <w:r>
              <w:rPr>
                <w:noProof/>
                <w:webHidden/>
              </w:rPr>
              <w:instrText xml:space="preserve"> PAGEREF _Toc200607425 \h </w:instrText>
            </w:r>
            <w:r>
              <w:rPr>
                <w:noProof/>
                <w:webHidden/>
              </w:rPr>
            </w:r>
            <w:r>
              <w:rPr>
                <w:noProof/>
                <w:webHidden/>
              </w:rPr>
              <w:fldChar w:fldCharType="separate"/>
            </w:r>
            <w:r>
              <w:rPr>
                <w:noProof/>
                <w:webHidden/>
              </w:rPr>
              <w:t>18</w:t>
            </w:r>
            <w:r>
              <w:rPr>
                <w:noProof/>
                <w:webHidden/>
              </w:rPr>
              <w:fldChar w:fldCharType="end"/>
            </w:r>
          </w:hyperlink>
        </w:p>
        <w:p w14:paraId="25D26C65" w14:textId="77777777" w:rsidR="0091638B" w:rsidRDefault="0091638B" w:rsidP="0091638B">
          <w:pPr>
            <w:pStyle w:val="TOC1"/>
            <w:tabs>
              <w:tab w:val="right" w:leader="dot" w:pos="9350"/>
            </w:tabs>
            <w:rPr>
              <w:rFonts w:asciiTheme="minorHAnsi" w:eastAsiaTheme="minorEastAsia" w:hAnsiTheme="minorHAnsi"/>
              <w:noProof/>
              <w:sz w:val="22"/>
              <w:lang w:val="en-US"/>
            </w:rPr>
          </w:pPr>
          <w:hyperlink w:anchor="_Toc200607426" w:history="1">
            <w:r w:rsidRPr="00B606CB">
              <w:rPr>
                <w:rStyle w:val="Hyperlink"/>
                <w:noProof/>
              </w:rPr>
              <w:t>Appendices</w:t>
            </w:r>
            <w:r>
              <w:rPr>
                <w:noProof/>
                <w:webHidden/>
              </w:rPr>
              <w:tab/>
            </w:r>
            <w:r>
              <w:rPr>
                <w:noProof/>
                <w:webHidden/>
              </w:rPr>
              <w:fldChar w:fldCharType="begin"/>
            </w:r>
            <w:r>
              <w:rPr>
                <w:noProof/>
                <w:webHidden/>
              </w:rPr>
              <w:instrText xml:space="preserve"> PAGEREF _Toc200607426 \h </w:instrText>
            </w:r>
            <w:r>
              <w:rPr>
                <w:noProof/>
                <w:webHidden/>
              </w:rPr>
            </w:r>
            <w:r>
              <w:rPr>
                <w:noProof/>
                <w:webHidden/>
              </w:rPr>
              <w:fldChar w:fldCharType="separate"/>
            </w:r>
            <w:r>
              <w:rPr>
                <w:noProof/>
                <w:webHidden/>
              </w:rPr>
              <w:t>21</w:t>
            </w:r>
            <w:r>
              <w:rPr>
                <w:noProof/>
                <w:webHidden/>
              </w:rPr>
              <w:fldChar w:fldCharType="end"/>
            </w:r>
          </w:hyperlink>
        </w:p>
        <w:p w14:paraId="14951864" w14:textId="77777777" w:rsidR="0091638B" w:rsidRDefault="0091638B" w:rsidP="0091638B">
          <w:pPr>
            <w:pStyle w:val="TOC2"/>
            <w:tabs>
              <w:tab w:val="right" w:leader="dot" w:pos="9350"/>
            </w:tabs>
            <w:rPr>
              <w:rFonts w:asciiTheme="minorHAnsi" w:eastAsiaTheme="minorEastAsia" w:hAnsiTheme="minorHAnsi"/>
              <w:noProof/>
              <w:sz w:val="22"/>
              <w:lang w:val="en-US"/>
            </w:rPr>
          </w:pPr>
          <w:hyperlink w:anchor="_Toc200607427" w:history="1">
            <w:r w:rsidRPr="00B606CB">
              <w:rPr>
                <w:rStyle w:val="Hyperlink"/>
                <w:noProof/>
              </w:rPr>
              <w:t>SWOT Analysis</w:t>
            </w:r>
            <w:r>
              <w:rPr>
                <w:noProof/>
                <w:webHidden/>
              </w:rPr>
              <w:tab/>
            </w:r>
            <w:r>
              <w:rPr>
                <w:noProof/>
                <w:webHidden/>
              </w:rPr>
              <w:fldChar w:fldCharType="begin"/>
            </w:r>
            <w:r>
              <w:rPr>
                <w:noProof/>
                <w:webHidden/>
              </w:rPr>
              <w:instrText xml:space="preserve"> PAGEREF _Toc200607427 \h </w:instrText>
            </w:r>
            <w:r>
              <w:rPr>
                <w:noProof/>
                <w:webHidden/>
              </w:rPr>
            </w:r>
            <w:r>
              <w:rPr>
                <w:noProof/>
                <w:webHidden/>
              </w:rPr>
              <w:fldChar w:fldCharType="separate"/>
            </w:r>
            <w:r>
              <w:rPr>
                <w:noProof/>
                <w:webHidden/>
              </w:rPr>
              <w:t>21</w:t>
            </w:r>
            <w:r>
              <w:rPr>
                <w:noProof/>
                <w:webHidden/>
              </w:rPr>
              <w:fldChar w:fldCharType="end"/>
            </w:r>
          </w:hyperlink>
        </w:p>
        <w:p w14:paraId="36D5628F" w14:textId="77777777" w:rsidR="0091638B" w:rsidRDefault="0091638B" w:rsidP="0091638B">
          <w:pPr>
            <w:pStyle w:val="TOC2"/>
            <w:tabs>
              <w:tab w:val="right" w:leader="dot" w:pos="9350"/>
            </w:tabs>
            <w:rPr>
              <w:rFonts w:asciiTheme="minorHAnsi" w:eastAsiaTheme="minorEastAsia" w:hAnsiTheme="minorHAnsi"/>
              <w:noProof/>
              <w:sz w:val="22"/>
              <w:lang w:val="en-US"/>
            </w:rPr>
          </w:pPr>
          <w:hyperlink w:anchor="_Toc200607428" w:history="1">
            <w:r w:rsidRPr="00B606CB">
              <w:rPr>
                <w:rStyle w:val="Hyperlink"/>
                <w:noProof/>
              </w:rPr>
              <w:t>PESTLE Analysis</w:t>
            </w:r>
            <w:r>
              <w:rPr>
                <w:noProof/>
                <w:webHidden/>
              </w:rPr>
              <w:tab/>
            </w:r>
            <w:r>
              <w:rPr>
                <w:noProof/>
                <w:webHidden/>
              </w:rPr>
              <w:fldChar w:fldCharType="begin"/>
            </w:r>
            <w:r>
              <w:rPr>
                <w:noProof/>
                <w:webHidden/>
              </w:rPr>
              <w:instrText xml:space="preserve"> PAGEREF _Toc200607428 \h </w:instrText>
            </w:r>
            <w:r>
              <w:rPr>
                <w:noProof/>
                <w:webHidden/>
              </w:rPr>
            </w:r>
            <w:r>
              <w:rPr>
                <w:noProof/>
                <w:webHidden/>
              </w:rPr>
              <w:fldChar w:fldCharType="separate"/>
            </w:r>
            <w:r>
              <w:rPr>
                <w:noProof/>
                <w:webHidden/>
              </w:rPr>
              <w:t>21</w:t>
            </w:r>
            <w:r>
              <w:rPr>
                <w:noProof/>
                <w:webHidden/>
              </w:rPr>
              <w:fldChar w:fldCharType="end"/>
            </w:r>
          </w:hyperlink>
        </w:p>
        <w:p w14:paraId="3332E490" w14:textId="77777777" w:rsidR="0091638B" w:rsidRDefault="0091638B" w:rsidP="0091638B">
          <w:pPr>
            <w:pStyle w:val="TOC2"/>
            <w:tabs>
              <w:tab w:val="right" w:leader="dot" w:pos="9350"/>
            </w:tabs>
            <w:rPr>
              <w:rFonts w:asciiTheme="minorHAnsi" w:eastAsiaTheme="minorEastAsia" w:hAnsiTheme="minorHAnsi"/>
              <w:noProof/>
              <w:sz w:val="22"/>
              <w:lang w:val="en-US"/>
            </w:rPr>
          </w:pPr>
          <w:hyperlink w:anchor="_Toc200607429" w:history="1">
            <w:r w:rsidRPr="00B606CB">
              <w:rPr>
                <w:rStyle w:val="Hyperlink"/>
                <w:noProof/>
              </w:rPr>
              <w:t>Gantt chart</w:t>
            </w:r>
            <w:r>
              <w:rPr>
                <w:noProof/>
                <w:webHidden/>
              </w:rPr>
              <w:tab/>
            </w:r>
            <w:r>
              <w:rPr>
                <w:noProof/>
                <w:webHidden/>
              </w:rPr>
              <w:fldChar w:fldCharType="begin"/>
            </w:r>
            <w:r>
              <w:rPr>
                <w:noProof/>
                <w:webHidden/>
              </w:rPr>
              <w:instrText xml:space="preserve"> PAGEREF _Toc200607429 \h </w:instrText>
            </w:r>
            <w:r>
              <w:rPr>
                <w:noProof/>
                <w:webHidden/>
              </w:rPr>
            </w:r>
            <w:r>
              <w:rPr>
                <w:noProof/>
                <w:webHidden/>
              </w:rPr>
              <w:fldChar w:fldCharType="separate"/>
            </w:r>
            <w:r>
              <w:rPr>
                <w:noProof/>
                <w:webHidden/>
              </w:rPr>
              <w:t>22</w:t>
            </w:r>
            <w:r>
              <w:rPr>
                <w:noProof/>
                <w:webHidden/>
              </w:rPr>
              <w:fldChar w:fldCharType="end"/>
            </w:r>
          </w:hyperlink>
        </w:p>
        <w:p w14:paraId="42772F45" w14:textId="77777777" w:rsidR="0091638B" w:rsidRPr="004F2AE6" w:rsidRDefault="0091638B" w:rsidP="0091638B">
          <w:r w:rsidRPr="004F2AE6">
            <w:rPr>
              <w:b/>
              <w:bCs/>
            </w:rPr>
            <w:fldChar w:fldCharType="end"/>
          </w:r>
        </w:p>
      </w:sdtContent>
    </w:sdt>
    <w:p w14:paraId="715D446D" w14:textId="77777777" w:rsidR="0091638B" w:rsidRPr="004F2AE6" w:rsidRDefault="0091638B" w:rsidP="0091638B">
      <w:pPr>
        <w:pStyle w:val="Heading1"/>
        <w:rPr>
          <w:lang w:eastAsia="en-GB"/>
        </w:rPr>
      </w:pPr>
      <w:r w:rsidRPr="004F2AE6">
        <w:rPr>
          <w:lang w:eastAsia="en-GB"/>
        </w:rPr>
        <w:br w:type="page"/>
      </w:r>
      <w:bookmarkStart w:id="1" w:name="_Toc200607416"/>
      <w:r w:rsidRPr="004F2AE6">
        <w:rPr>
          <w:lang w:eastAsia="en-GB"/>
        </w:rPr>
        <w:lastRenderedPageBreak/>
        <w:t>Introduction</w:t>
      </w:r>
      <w:bookmarkEnd w:id="1"/>
      <w:r w:rsidRPr="004F2AE6">
        <w:rPr>
          <w:lang w:eastAsia="en-GB"/>
        </w:rPr>
        <w:t xml:space="preserve"> </w:t>
      </w:r>
    </w:p>
    <w:p w14:paraId="22170C0D" w14:textId="77777777" w:rsidR="0091638B" w:rsidRDefault="0091638B" w:rsidP="0091638B">
      <w:r w:rsidRPr="004F2AE6">
        <w:t xml:space="preserve">Visit Wales' </w:t>
      </w:r>
      <w:r>
        <w:t>“</w:t>
      </w:r>
      <w:r w:rsidRPr="004F2AE6">
        <w:t>Year of Croeso 2025</w:t>
      </w:r>
      <w:r>
        <w:t>”</w:t>
      </w:r>
      <w:r w:rsidRPr="004F2AE6">
        <w:t xml:space="preserve"> campaign aims to promote Wales' hospitality, culture, and natural beauty. Green Croeso: Sustainable Tourism &amp; Eco-Hospitality Forum is the proposed </w:t>
      </w:r>
      <w:r>
        <w:t>e</w:t>
      </w:r>
      <w:r w:rsidRPr="004F2AE6">
        <w:t>vent in Assessment 1. Travel and hospitality sust</w:t>
      </w:r>
      <w:r>
        <w:t>ainability is rising worldwide</w:t>
      </w:r>
      <w:r w:rsidRPr="004F2AE6">
        <w:t>. Wales' regional practices and ideas make it a prominent eco-tourism and environmental responsibility destination</w:t>
      </w:r>
      <w:r>
        <w:t xml:space="preserve"> </w:t>
      </w:r>
      <w:r w:rsidRPr="004F2AE6">
        <w:rPr>
          <w:rFonts w:eastAsia="Times New Roman" w:cs="Times New Roman"/>
          <w:szCs w:val="24"/>
          <w:lang w:val="en-US"/>
        </w:rPr>
        <w:t>(Visitwales.com, 2025)</w:t>
      </w:r>
      <w:r w:rsidRPr="004F2AE6">
        <w:t xml:space="preserve">. Focus on the forum's environmental goals and the National Botanic Garden of Wales' green space. Context and content linger with delegates. </w:t>
      </w:r>
      <w:r>
        <w:t>The site</w:t>
      </w:r>
      <w:r w:rsidRPr="004F2AE6">
        <w:t xml:space="preserve"> encourages Welsh government tourism decentralisation, regional economic benefits, and environmental protection. Wales can lead in sustainable hospitality and eco-tourism, a global responsible travel trend, hence this meeting was chosen. Since green conferences and </w:t>
      </w:r>
      <w:r>
        <w:t xml:space="preserve">the </w:t>
      </w:r>
      <w:r w:rsidRPr="004F2AE6">
        <w:t xml:space="preserve">tourist </w:t>
      </w:r>
      <w:r>
        <w:t>industry's</w:t>
      </w:r>
      <w:r w:rsidRPr="004F2AE6">
        <w:t xml:space="preserve"> carbon reduction are in demand, the proposed event meets national and global aims. At the event, environmental NGOs, sustainability experts, hospitality innovators, and travel influencers share best </w:t>
      </w:r>
      <w:r>
        <w:t>practices</w:t>
      </w:r>
      <w:r w:rsidRPr="004F2AE6">
        <w:t xml:space="preserve"> and network to promote sustainable tourism in Wales and beyond.</w:t>
      </w:r>
    </w:p>
    <w:p w14:paraId="69360B56" w14:textId="77777777" w:rsidR="0091638B" w:rsidRDefault="0091638B" w:rsidP="0091638B"/>
    <w:p w14:paraId="595DE06C" w14:textId="77777777" w:rsidR="0091638B" w:rsidRDefault="0091638B" w:rsidP="0091638B"/>
    <w:p w14:paraId="01776495" w14:textId="77777777" w:rsidR="0091638B" w:rsidRDefault="0091638B" w:rsidP="0091638B"/>
    <w:p w14:paraId="5C5A5755" w14:textId="77777777" w:rsidR="0091638B" w:rsidRDefault="0091638B" w:rsidP="0091638B"/>
    <w:p w14:paraId="10D5425B" w14:textId="77777777" w:rsidR="0091638B" w:rsidRDefault="0091638B" w:rsidP="0091638B"/>
    <w:p w14:paraId="605F6045" w14:textId="77777777" w:rsidR="0091638B" w:rsidRDefault="0091638B" w:rsidP="0091638B"/>
    <w:p w14:paraId="45FD0E48" w14:textId="77777777" w:rsidR="0091638B" w:rsidRDefault="0091638B" w:rsidP="0091638B"/>
    <w:p w14:paraId="1819CA7B" w14:textId="77777777" w:rsidR="0091638B" w:rsidRDefault="0091638B" w:rsidP="0091638B"/>
    <w:p w14:paraId="3079A0DC" w14:textId="77777777" w:rsidR="0091638B" w:rsidRDefault="0091638B" w:rsidP="0091638B"/>
    <w:p w14:paraId="451CD909" w14:textId="77777777" w:rsidR="0091638B" w:rsidRDefault="0091638B" w:rsidP="0091638B"/>
    <w:p w14:paraId="7EBF0230" w14:textId="77777777" w:rsidR="0091638B" w:rsidRDefault="0091638B" w:rsidP="0091638B"/>
    <w:p w14:paraId="00C3D611" w14:textId="77777777" w:rsidR="0091638B" w:rsidRDefault="0091638B" w:rsidP="0091638B"/>
    <w:p w14:paraId="73F7E991" w14:textId="77777777" w:rsidR="0091638B" w:rsidRPr="004F2AE6" w:rsidRDefault="0091638B" w:rsidP="0091638B">
      <w:pPr>
        <w:rPr>
          <w:rFonts w:eastAsia="Times New Roman" w:cs="Times New Roman"/>
          <w:szCs w:val="24"/>
          <w:lang w:val="en-US"/>
        </w:rPr>
      </w:pPr>
    </w:p>
    <w:p w14:paraId="08C86401" w14:textId="77777777" w:rsidR="0091638B" w:rsidRPr="004F2AE6" w:rsidRDefault="0091638B" w:rsidP="0091638B">
      <w:pPr>
        <w:pStyle w:val="Heading1"/>
      </w:pPr>
      <w:bookmarkStart w:id="2" w:name="_Toc200607417"/>
      <w:r w:rsidRPr="004F2AE6">
        <w:t>The Event Cycle</w:t>
      </w:r>
      <w:bookmarkEnd w:id="2"/>
    </w:p>
    <w:p w14:paraId="0AB130D7" w14:textId="77777777" w:rsidR="0091638B" w:rsidRPr="004F2AE6" w:rsidRDefault="0091638B" w:rsidP="0091638B">
      <w:r>
        <w:t>The event</w:t>
      </w:r>
      <w:r w:rsidRPr="004F2AE6">
        <w:t xml:space="preserve"> cycle guides event planning, execution, and evaluation. Event goals are linked to realistic delivery methods for a systematic origin-to-lega</w:t>
      </w:r>
      <w:r>
        <w:t>cy strategy. Bowdin et al. (2023</w:t>
      </w:r>
      <w:r w:rsidRPr="004F2AE6">
        <w:t xml:space="preserve">) list event management phases as Initiation, Planning, Implementation, The Event, and Closure/Legacy. This cycle discusses how to deliver the Green Croeso: Sustainable Tourism &amp; Eco-Hospitality Forum within strategic restrictions and industry expectations. </w:t>
      </w:r>
    </w:p>
    <w:p w14:paraId="4AAB5D9B" w14:textId="77777777" w:rsidR="0091638B" w:rsidRPr="004F2AE6" w:rsidRDefault="0091638B" w:rsidP="0091638B">
      <w:pPr>
        <w:rPr>
          <w:rFonts w:eastAsia="Times New Roman" w:cs="Times New Roman"/>
          <w:szCs w:val="24"/>
          <w:lang w:val="en-US"/>
        </w:rPr>
      </w:pPr>
      <w:r w:rsidRPr="004F2AE6">
        <w:rPr>
          <w:b/>
        </w:rPr>
        <w:t>Initiation Stage:</w:t>
      </w:r>
      <w:r w:rsidRPr="004F2AE6">
        <w:t xml:space="preserve"> Event goals come first. Visit Wales' "Year of Croeso 2025," which promotes hospitality and culture, launched Green Croeso. The hotel industry promoted eco-tourism and sustainability since market research demonstrated a global desire for green travel. The forum promotes Wales' green tourism leadership</w:t>
      </w:r>
      <w:r>
        <w:t xml:space="preserve"> </w:t>
      </w:r>
      <w:r w:rsidRPr="004F2AE6">
        <w:rPr>
          <w:rFonts w:eastAsia="Times New Roman" w:cs="Times New Roman"/>
          <w:szCs w:val="24"/>
          <w:lang w:val="en-US"/>
        </w:rPr>
        <w:t>(Raub and Martin-Rios, 2019)</w:t>
      </w:r>
      <w:r w:rsidRPr="004F2AE6">
        <w:t xml:space="preserve">. Local tourism authorities, environmental NGOs, eco-hospitality advocates, and Visit Wales engaged stakeholders. The National Botanic Garden of Wales was chosen for exhibitions and conferences due to its sustainability, flexibility, and adaptability. This facility encourages green events. </w:t>
      </w:r>
    </w:p>
    <w:p w14:paraId="2B32D14F" w14:textId="77777777" w:rsidR="0091638B" w:rsidRPr="004F2AE6" w:rsidRDefault="0091638B" w:rsidP="0091638B">
      <w:pPr>
        <w:rPr>
          <w:rFonts w:eastAsia="Times New Roman" w:cs="Times New Roman"/>
          <w:szCs w:val="24"/>
          <w:lang w:val="en-US"/>
        </w:rPr>
      </w:pPr>
      <w:r w:rsidRPr="004F2AE6">
        <w:rPr>
          <w:b/>
        </w:rPr>
        <w:t xml:space="preserve">Planning Stage: </w:t>
      </w:r>
      <w:r w:rsidRPr="004F2AE6">
        <w:t>Planning is the most crucial event cycle step. Logistics, finance, marketing, sustainability, HR, and risk management were planned here</w:t>
      </w:r>
      <w:r>
        <w:t xml:space="preserve"> </w:t>
      </w:r>
      <w:r w:rsidRPr="004F2AE6">
        <w:rPr>
          <w:rFonts w:eastAsia="Times New Roman" w:cs="Times New Roman"/>
          <w:szCs w:val="24"/>
          <w:lang w:val="en-US"/>
        </w:rPr>
        <w:t>(Fox et al., 2014)</w:t>
      </w:r>
      <w:r w:rsidRPr="004F2AE6">
        <w:t xml:space="preserve">. </w:t>
      </w:r>
      <w:r>
        <w:t>The organisers</w:t>
      </w:r>
      <w:r w:rsidRPr="004F2AE6">
        <w:t xml:space="preserve"> had keynotes, interactive sessions, curated displays, and eco-tours. These features taught and engaged delegates about sustainable tourism. Visit Wales used trade news releases, digital marketing, and sustainable travel influencers. Solar-powered lighting, biodegradable materials, digital ticketing, and recycling kiosks reduced the event's environmental impact</w:t>
      </w:r>
      <w:r>
        <w:t xml:space="preserve"> </w:t>
      </w:r>
      <w:r w:rsidRPr="004F2AE6">
        <w:rPr>
          <w:rFonts w:eastAsia="Times New Roman" w:cs="Times New Roman"/>
          <w:szCs w:val="24"/>
          <w:lang w:val="en-US"/>
        </w:rPr>
        <w:t>(Getz and Page, 2019)</w:t>
      </w:r>
      <w:r w:rsidRPr="004F2AE6">
        <w:t xml:space="preserve">. Budgeting and choosing ticket sales, government financing, and sponsorships were financial planning. Each job was tied to event strategic goals using manpower and operational resources. Health, safety, weather, and reputational risk were examined and contingencies devised. </w:t>
      </w:r>
    </w:p>
    <w:p w14:paraId="5794A0E9" w14:textId="77777777" w:rsidR="0091638B" w:rsidRPr="007B3331" w:rsidRDefault="0091638B" w:rsidP="0091638B">
      <w:pPr>
        <w:rPr>
          <w:rFonts w:eastAsia="Times New Roman" w:cs="Times New Roman"/>
          <w:szCs w:val="24"/>
          <w:lang w:val="en-US"/>
        </w:rPr>
      </w:pPr>
      <w:r w:rsidRPr="004F2AE6">
        <w:rPr>
          <w:b/>
        </w:rPr>
        <w:t>Implementation Stage:</w:t>
      </w:r>
      <w:r w:rsidRPr="004F2AE6">
        <w:t xml:space="preserve"> Plan execution occurs during implementation. Phase mobilises </w:t>
      </w:r>
      <w:r>
        <w:t xml:space="preserve">the </w:t>
      </w:r>
      <w:r w:rsidRPr="004F2AE6">
        <w:t>Green Croeso forum's physical and people resources. Exhibition booth preparation, audio</w:t>
      </w:r>
      <w:r>
        <w:t>-</w:t>
      </w:r>
      <w:r w:rsidRPr="004F2AE6">
        <w:t>visual system testing, sitting zone setup, and local organic food catering are pre-event logistics</w:t>
      </w:r>
      <w:r>
        <w:t xml:space="preserve"> </w:t>
      </w:r>
      <w:r w:rsidRPr="007B3331">
        <w:rPr>
          <w:rFonts w:eastAsia="Times New Roman" w:cs="Times New Roman"/>
          <w:szCs w:val="24"/>
          <w:lang w:val="en-US"/>
        </w:rPr>
        <w:t>(Smith and Mair, 2022)</w:t>
      </w:r>
      <w:r w:rsidRPr="004F2AE6">
        <w:t xml:space="preserve">. Facility layout maximises delegate and exhibition space interaction. Staff and volunteers learn communication, sustainability, and accountability. On event day, a central coordinator will </w:t>
      </w:r>
      <w:r w:rsidRPr="004F2AE6">
        <w:lastRenderedPageBreak/>
        <w:t xml:space="preserve">address issues. </w:t>
      </w:r>
      <w:r>
        <w:t>E</w:t>
      </w:r>
      <w:r w:rsidRPr="004F2AE6">
        <w:t xml:space="preserve">vent mobile app will manage all communication, including schedule changes and emergency instructions. Reviewing on-site sustainability will ensure the event's practical elements fulfil low-impact planning requirements. </w:t>
      </w:r>
    </w:p>
    <w:p w14:paraId="7BEDE2FB" w14:textId="77777777" w:rsidR="0091638B" w:rsidRPr="004F2AE6" w:rsidRDefault="0091638B" w:rsidP="0091638B">
      <w:r w:rsidRPr="004F2AE6">
        <w:rPr>
          <w:b/>
        </w:rPr>
        <w:t>The Event:</w:t>
      </w:r>
      <w:r w:rsidRPr="004F2AE6">
        <w:t xml:space="preserve"> For success, the Green Croeso forum will plan and include delegates. It will feature global thought leaders, Welsh tourism stakeholders on moderated panels, and networking</w:t>
      </w:r>
      <w:r>
        <w:t xml:space="preserve"> </w:t>
      </w:r>
      <w:r w:rsidRPr="004F2AE6">
        <w:rPr>
          <w:rFonts w:eastAsia="Times New Roman" w:cs="Times New Roman"/>
          <w:szCs w:val="24"/>
          <w:lang w:val="en-US"/>
        </w:rPr>
        <w:t>(Traveltrade, 2025)</w:t>
      </w:r>
      <w:r w:rsidRPr="004F2AE6">
        <w:t xml:space="preserve">. Computerised feedback allows daily examination and changes. Celebration of the "Year of Croeso" will emphasise Wales' culture and nature to develop a sense of place. Afternoon ecology tours of the Botanic Garden and neighbouring areas teach about local green projects. Sustainability, innovation, and delegate cultural celebration will guide execution. </w:t>
      </w:r>
    </w:p>
    <w:p w14:paraId="7029BD4D" w14:textId="77777777" w:rsidR="0091638B" w:rsidRDefault="0091638B" w:rsidP="0091638B">
      <w:r w:rsidRPr="004F2AE6">
        <w:rPr>
          <w:b/>
        </w:rPr>
        <w:t>Closure and Legacy:</w:t>
      </w:r>
      <w:r w:rsidRPr="004F2AE6">
        <w:t xml:space="preserve"> Event cycle ends with legacy development and analysis. After reviewing feedback surveys, financial statistics, media coverage, and attendance, </w:t>
      </w:r>
      <w:r>
        <w:t xml:space="preserve">the </w:t>
      </w:r>
      <w:r w:rsidRPr="004F2AE6">
        <w:t>Green Croeso forum will close. Stakeholder debriefs evaluate event outcomes and offer modifications. Sustainability impact reports assess event eco-strategies</w:t>
      </w:r>
      <w:r>
        <w:t xml:space="preserve"> </w:t>
      </w:r>
      <w:r w:rsidRPr="007B3331">
        <w:rPr>
          <w:rFonts w:eastAsia="Times New Roman" w:cs="Times New Roman"/>
          <w:szCs w:val="24"/>
          <w:lang w:val="en-US"/>
        </w:rPr>
        <w:t>(Rogers and Wynn-Moylan, 2022)</w:t>
      </w:r>
      <w:r w:rsidRPr="004F2AE6">
        <w:t>. This report will cover trash management, energy use, travel emissions, and delegate opinion on the event's green features. Delegates, government agencies, and hospitality professionals receive a white paper after the event. The report will include lessons, discussion, and policy recommendations. The programme will encourage stakeholders to build long-term sustainable tourism ties in Wales and overseas.</w:t>
      </w:r>
    </w:p>
    <w:p w14:paraId="0C503893" w14:textId="77777777" w:rsidR="0091638B" w:rsidRDefault="0091638B" w:rsidP="0091638B">
      <w:pPr>
        <w:rPr>
          <w:rFonts w:eastAsia="Times New Roman" w:cs="Times New Roman"/>
          <w:szCs w:val="24"/>
          <w:lang w:val="en-US"/>
        </w:rPr>
      </w:pPr>
      <w:r>
        <w:rPr>
          <w:rFonts w:eastAsia="Times New Roman" w:cs="Times New Roman"/>
          <w:noProof/>
          <w:szCs w:val="24"/>
          <w:lang w:val="en-US"/>
        </w:rPr>
        <w:drawing>
          <wp:inline distT="0" distB="0" distL="0" distR="0" wp14:anchorId="6115FC48" wp14:editId="237C4DBE">
            <wp:extent cx="5951220" cy="2552700"/>
            <wp:effectExtent l="0" t="0" r="1143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C970DC8" w14:textId="77777777" w:rsidR="0091638B" w:rsidRPr="004F2AE6" w:rsidRDefault="0091638B" w:rsidP="0091638B">
      <w:pPr>
        <w:jc w:val="center"/>
      </w:pPr>
      <w:r>
        <w:rPr>
          <w:rFonts w:eastAsia="Times New Roman" w:cs="Times New Roman"/>
          <w:szCs w:val="24"/>
          <w:lang w:val="en-US"/>
        </w:rPr>
        <w:t xml:space="preserve">Figure 1: </w:t>
      </w:r>
      <w:r w:rsidRPr="004F2AE6">
        <w:t>The Event Cycle</w:t>
      </w:r>
    </w:p>
    <w:p w14:paraId="49F89C34" w14:textId="77777777" w:rsidR="0091638B" w:rsidRPr="007B3331" w:rsidRDefault="0091638B" w:rsidP="0091638B">
      <w:pPr>
        <w:jc w:val="center"/>
        <w:rPr>
          <w:rFonts w:eastAsia="Times New Roman" w:cs="Times New Roman"/>
          <w:szCs w:val="24"/>
          <w:lang w:val="en-US"/>
        </w:rPr>
      </w:pPr>
      <w:r>
        <w:rPr>
          <w:rFonts w:eastAsia="Times New Roman" w:cs="Times New Roman"/>
          <w:szCs w:val="24"/>
          <w:lang w:val="en-US"/>
        </w:rPr>
        <w:lastRenderedPageBreak/>
        <w:t>Source: (</w:t>
      </w:r>
      <w:r>
        <w:t>Bowdin et al., 2023</w:t>
      </w:r>
      <w:r w:rsidRPr="004F2AE6">
        <w:t>)</w:t>
      </w:r>
    </w:p>
    <w:p w14:paraId="618D5C1E" w14:textId="77777777" w:rsidR="0091638B" w:rsidRPr="004F2AE6" w:rsidRDefault="0091638B" w:rsidP="0091638B">
      <w:pPr>
        <w:pStyle w:val="Heading1"/>
      </w:pPr>
      <w:bookmarkStart w:id="3" w:name="_Toc200607418"/>
      <w:r w:rsidRPr="004F2AE6">
        <w:t>Event Concept</w:t>
      </w:r>
      <w:bookmarkEnd w:id="3"/>
    </w:p>
    <w:p w14:paraId="0713D3F4" w14:textId="77777777" w:rsidR="0091638B" w:rsidRPr="007B3331" w:rsidRDefault="0091638B" w:rsidP="0091638B">
      <w:pPr>
        <w:rPr>
          <w:rFonts w:eastAsia="Times New Roman" w:cs="Times New Roman"/>
          <w:szCs w:val="24"/>
          <w:lang w:val="en-US"/>
        </w:rPr>
      </w:pPr>
      <w:r w:rsidRPr="004F2AE6">
        <w:t>The Green Croeso: Sustainable Tourism &amp; Eco-Hospitality Forum will be fascinating and educational. Welsh culture and sustainable tourism are elements of the “Year of Croeso” event structure</w:t>
      </w:r>
      <w:r>
        <w:t xml:space="preserve"> </w:t>
      </w:r>
      <w:r w:rsidRPr="007B3331">
        <w:rPr>
          <w:rFonts w:eastAsia="Times New Roman" w:cs="Times New Roman"/>
          <w:szCs w:val="24"/>
          <w:lang w:val="en-US"/>
        </w:rPr>
        <w:t>(Price, 2025)</w:t>
      </w:r>
      <w:r w:rsidRPr="004F2AE6">
        <w:t xml:space="preserve">. At the National Botanic Garden of Wales, noted for its environmental consciousness and beauty, the one-day forum will promote its theme and strategic goals. </w:t>
      </w:r>
    </w:p>
    <w:tbl>
      <w:tblPr>
        <w:tblStyle w:val="GridTable4-Accent6"/>
        <w:tblW w:w="0" w:type="auto"/>
        <w:tblLook w:val="04A0" w:firstRow="1" w:lastRow="0" w:firstColumn="1" w:lastColumn="0" w:noHBand="0" w:noVBand="1"/>
      </w:tblPr>
      <w:tblGrid>
        <w:gridCol w:w="1615"/>
        <w:gridCol w:w="7735"/>
      </w:tblGrid>
      <w:tr w:rsidR="0091638B" w:rsidRPr="003D6CAB" w14:paraId="0C8E5475" w14:textId="77777777" w:rsidTr="00480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1EB6DE15" w14:textId="77777777" w:rsidR="0091638B" w:rsidRPr="003D6CAB" w:rsidRDefault="0091638B" w:rsidP="00480EA7">
            <w:pPr>
              <w:rPr>
                <w:color w:val="auto"/>
              </w:rPr>
            </w:pPr>
            <w:r w:rsidRPr="003D6CAB">
              <w:rPr>
                <w:color w:val="auto"/>
              </w:rPr>
              <w:t>Time</w:t>
            </w:r>
          </w:p>
        </w:tc>
        <w:tc>
          <w:tcPr>
            <w:tcW w:w="7735" w:type="dxa"/>
            <w:hideMark/>
          </w:tcPr>
          <w:p w14:paraId="68728612"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Activity Description</w:t>
            </w:r>
          </w:p>
        </w:tc>
      </w:tr>
      <w:tr w:rsidR="0091638B" w:rsidRPr="003D6CAB" w14:paraId="58402E0E"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4B4ABFE8" w14:textId="77777777" w:rsidR="0091638B" w:rsidRPr="003D6CAB" w:rsidRDefault="0091638B" w:rsidP="00480EA7">
            <w:r w:rsidRPr="003D6CAB">
              <w:t>09:00 – 09:45</w:t>
            </w:r>
          </w:p>
        </w:tc>
        <w:tc>
          <w:tcPr>
            <w:tcW w:w="7735" w:type="dxa"/>
            <w:hideMark/>
          </w:tcPr>
          <w:p w14:paraId="0DB0F1FD"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Delegate Registration and Organic Welsh Breakfast Reception</w:t>
            </w:r>
          </w:p>
        </w:tc>
      </w:tr>
      <w:tr w:rsidR="0091638B" w:rsidRPr="003D6CAB" w14:paraId="65BFC178" w14:textId="77777777" w:rsidTr="00480EA7">
        <w:tc>
          <w:tcPr>
            <w:cnfStyle w:val="001000000000" w:firstRow="0" w:lastRow="0" w:firstColumn="1" w:lastColumn="0" w:oddVBand="0" w:evenVBand="0" w:oddHBand="0" w:evenHBand="0" w:firstRowFirstColumn="0" w:firstRowLastColumn="0" w:lastRowFirstColumn="0" w:lastRowLastColumn="0"/>
            <w:tcW w:w="1615" w:type="dxa"/>
            <w:hideMark/>
          </w:tcPr>
          <w:p w14:paraId="3133C34D" w14:textId="77777777" w:rsidR="0091638B" w:rsidRPr="003D6CAB" w:rsidRDefault="0091638B" w:rsidP="00480EA7">
            <w:r w:rsidRPr="003D6CAB">
              <w:t>09:45 – 10:00</w:t>
            </w:r>
          </w:p>
        </w:tc>
        <w:tc>
          <w:tcPr>
            <w:tcW w:w="7735" w:type="dxa"/>
            <w:hideMark/>
          </w:tcPr>
          <w:p w14:paraId="29D83040"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Opening Remarks and Welcome Address from Visit Wales Official</w:t>
            </w:r>
          </w:p>
        </w:tc>
      </w:tr>
      <w:tr w:rsidR="0091638B" w:rsidRPr="003D6CAB" w14:paraId="64EF637B"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086DF79B" w14:textId="77777777" w:rsidR="0091638B" w:rsidRPr="003D6CAB" w:rsidRDefault="0091638B" w:rsidP="00480EA7">
            <w:r w:rsidRPr="003D6CAB">
              <w:t>10:00 – 11:00</w:t>
            </w:r>
          </w:p>
        </w:tc>
        <w:tc>
          <w:tcPr>
            <w:tcW w:w="7735" w:type="dxa"/>
            <w:hideMark/>
          </w:tcPr>
          <w:p w14:paraId="7DC0B512"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Keynote Address: “Eco-Tourism as the Future of Hospitality” – Global Expert</w:t>
            </w:r>
          </w:p>
        </w:tc>
      </w:tr>
      <w:tr w:rsidR="0091638B" w:rsidRPr="003D6CAB" w14:paraId="3FBDC618" w14:textId="77777777" w:rsidTr="00480EA7">
        <w:tc>
          <w:tcPr>
            <w:cnfStyle w:val="001000000000" w:firstRow="0" w:lastRow="0" w:firstColumn="1" w:lastColumn="0" w:oddVBand="0" w:evenVBand="0" w:oddHBand="0" w:evenHBand="0" w:firstRowFirstColumn="0" w:firstRowLastColumn="0" w:lastRowFirstColumn="0" w:lastRowLastColumn="0"/>
            <w:tcW w:w="1615" w:type="dxa"/>
            <w:hideMark/>
          </w:tcPr>
          <w:p w14:paraId="4EC84DE9" w14:textId="77777777" w:rsidR="0091638B" w:rsidRPr="003D6CAB" w:rsidRDefault="0091638B" w:rsidP="00480EA7">
            <w:r w:rsidRPr="003D6CAB">
              <w:t>11:00 – 11:45</w:t>
            </w:r>
          </w:p>
        </w:tc>
        <w:tc>
          <w:tcPr>
            <w:tcW w:w="7735" w:type="dxa"/>
            <w:hideMark/>
          </w:tcPr>
          <w:p w14:paraId="7561B085"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Panel Discussion: “Sustainable Travel &amp; Local Communities” – Welsh and Intl. Leaders</w:t>
            </w:r>
          </w:p>
        </w:tc>
      </w:tr>
      <w:tr w:rsidR="0091638B" w:rsidRPr="003D6CAB" w14:paraId="4971C3FD"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6E655039" w14:textId="77777777" w:rsidR="0091638B" w:rsidRPr="003D6CAB" w:rsidRDefault="0091638B" w:rsidP="00480EA7">
            <w:r w:rsidRPr="003D6CAB">
              <w:t>11:45 – 12:15</w:t>
            </w:r>
          </w:p>
        </w:tc>
        <w:tc>
          <w:tcPr>
            <w:tcW w:w="7735" w:type="dxa"/>
            <w:hideMark/>
          </w:tcPr>
          <w:p w14:paraId="3FC37BD0"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Networking Break with Fair Trade Beverages and Local Produce</w:t>
            </w:r>
          </w:p>
        </w:tc>
      </w:tr>
      <w:tr w:rsidR="0091638B" w:rsidRPr="003D6CAB" w14:paraId="4D3C63C9" w14:textId="77777777" w:rsidTr="00480EA7">
        <w:tc>
          <w:tcPr>
            <w:cnfStyle w:val="001000000000" w:firstRow="0" w:lastRow="0" w:firstColumn="1" w:lastColumn="0" w:oddVBand="0" w:evenVBand="0" w:oddHBand="0" w:evenHBand="0" w:firstRowFirstColumn="0" w:firstRowLastColumn="0" w:lastRowFirstColumn="0" w:lastRowLastColumn="0"/>
            <w:tcW w:w="1615" w:type="dxa"/>
            <w:hideMark/>
          </w:tcPr>
          <w:p w14:paraId="2C788A31" w14:textId="77777777" w:rsidR="0091638B" w:rsidRPr="003D6CAB" w:rsidRDefault="0091638B" w:rsidP="00480EA7">
            <w:r w:rsidRPr="003D6CAB">
              <w:t>12:15 – 13:15</w:t>
            </w:r>
          </w:p>
        </w:tc>
        <w:tc>
          <w:tcPr>
            <w:tcW w:w="7735" w:type="dxa"/>
            <w:hideMark/>
          </w:tcPr>
          <w:p w14:paraId="275A4601"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Workshop Sessions: Circular Hospitality / Renewable Energy in Tourism</w:t>
            </w:r>
          </w:p>
        </w:tc>
      </w:tr>
      <w:tr w:rsidR="0091638B" w:rsidRPr="003D6CAB" w14:paraId="08E0766F"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20CD048A" w14:textId="77777777" w:rsidR="0091638B" w:rsidRPr="003D6CAB" w:rsidRDefault="0091638B" w:rsidP="00480EA7">
            <w:r w:rsidRPr="003D6CAB">
              <w:t>13:15 – 14:15</w:t>
            </w:r>
          </w:p>
        </w:tc>
        <w:tc>
          <w:tcPr>
            <w:tcW w:w="7735" w:type="dxa"/>
            <w:hideMark/>
          </w:tcPr>
          <w:p w14:paraId="7433F8E6"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Sustainable Lunch Sourced from Local Organic Farms</w:t>
            </w:r>
          </w:p>
        </w:tc>
      </w:tr>
      <w:tr w:rsidR="0091638B" w:rsidRPr="003D6CAB" w14:paraId="1B4A1FBF" w14:textId="77777777" w:rsidTr="00480EA7">
        <w:tc>
          <w:tcPr>
            <w:cnfStyle w:val="001000000000" w:firstRow="0" w:lastRow="0" w:firstColumn="1" w:lastColumn="0" w:oddVBand="0" w:evenVBand="0" w:oddHBand="0" w:evenHBand="0" w:firstRowFirstColumn="0" w:firstRowLastColumn="0" w:lastRowFirstColumn="0" w:lastRowLastColumn="0"/>
            <w:tcW w:w="1615" w:type="dxa"/>
            <w:hideMark/>
          </w:tcPr>
          <w:p w14:paraId="262C42F0" w14:textId="77777777" w:rsidR="0091638B" w:rsidRPr="003D6CAB" w:rsidRDefault="0091638B" w:rsidP="00480EA7">
            <w:r w:rsidRPr="003D6CAB">
              <w:t>14:15 – 15:00</w:t>
            </w:r>
          </w:p>
        </w:tc>
        <w:tc>
          <w:tcPr>
            <w:tcW w:w="7735" w:type="dxa"/>
            <w:hideMark/>
          </w:tcPr>
          <w:p w14:paraId="0B10B706"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Exhibition Visit: Innovations in Eco-Hospitality from Welsh Enterprises</w:t>
            </w:r>
          </w:p>
        </w:tc>
      </w:tr>
      <w:tr w:rsidR="0091638B" w:rsidRPr="003D6CAB" w14:paraId="0D5940E5"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05B0AF91" w14:textId="77777777" w:rsidR="0091638B" w:rsidRPr="003D6CAB" w:rsidRDefault="0091638B" w:rsidP="00480EA7">
            <w:r w:rsidRPr="003D6CAB">
              <w:t>15:00 – 16:00</w:t>
            </w:r>
          </w:p>
        </w:tc>
        <w:tc>
          <w:tcPr>
            <w:tcW w:w="7735" w:type="dxa"/>
            <w:hideMark/>
          </w:tcPr>
          <w:p w14:paraId="664C0499"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Guided Eco-Tour of the Garden &amp; Biodiversity Hotspots</w:t>
            </w:r>
          </w:p>
        </w:tc>
      </w:tr>
      <w:tr w:rsidR="0091638B" w:rsidRPr="003D6CAB" w14:paraId="4A1EA383" w14:textId="77777777" w:rsidTr="00480EA7">
        <w:tc>
          <w:tcPr>
            <w:cnfStyle w:val="001000000000" w:firstRow="0" w:lastRow="0" w:firstColumn="1" w:lastColumn="0" w:oddVBand="0" w:evenVBand="0" w:oddHBand="0" w:evenHBand="0" w:firstRowFirstColumn="0" w:firstRowLastColumn="0" w:lastRowFirstColumn="0" w:lastRowLastColumn="0"/>
            <w:tcW w:w="1615" w:type="dxa"/>
            <w:hideMark/>
          </w:tcPr>
          <w:p w14:paraId="341B4677" w14:textId="77777777" w:rsidR="0091638B" w:rsidRPr="003D6CAB" w:rsidRDefault="0091638B" w:rsidP="00480EA7">
            <w:r w:rsidRPr="003D6CAB">
              <w:t>16:00 – 16:45</w:t>
            </w:r>
          </w:p>
        </w:tc>
        <w:tc>
          <w:tcPr>
            <w:tcW w:w="7735" w:type="dxa"/>
            <w:hideMark/>
          </w:tcPr>
          <w:p w14:paraId="156B22B1"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Policy Forum: “Creating Green Standards for Global Tourism”</w:t>
            </w:r>
          </w:p>
        </w:tc>
      </w:tr>
      <w:tr w:rsidR="0091638B" w:rsidRPr="003D6CAB" w14:paraId="01D86112"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1473AFCF" w14:textId="77777777" w:rsidR="0091638B" w:rsidRPr="003D6CAB" w:rsidRDefault="0091638B" w:rsidP="00480EA7">
            <w:r w:rsidRPr="003D6CAB">
              <w:t>16:45 – 17:00</w:t>
            </w:r>
          </w:p>
        </w:tc>
        <w:tc>
          <w:tcPr>
            <w:tcW w:w="7735" w:type="dxa"/>
            <w:hideMark/>
          </w:tcPr>
          <w:p w14:paraId="352C5C29"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Closing Remarks and Announcement of Future Collaboration Opportunities</w:t>
            </w:r>
          </w:p>
        </w:tc>
      </w:tr>
    </w:tbl>
    <w:p w14:paraId="6510B0A6" w14:textId="77777777" w:rsidR="0091638B" w:rsidRPr="004F2AE6" w:rsidRDefault="0091638B" w:rsidP="0091638B"/>
    <w:p w14:paraId="4C55CA97" w14:textId="77777777" w:rsidR="0091638B" w:rsidRDefault="0091638B" w:rsidP="0091638B">
      <w:r w:rsidRPr="004F2AE6">
        <w:t xml:space="preserve">Training and networking foster industry cooperation and knowledge transfer. Membership and a Welsh organic breakfast reception start sustainable and cultural programs. Visit Wales personnel repeat </w:t>
      </w:r>
      <w:r>
        <w:t xml:space="preserve">the </w:t>
      </w:r>
      <w:r w:rsidRPr="004F2AE6">
        <w:t>Year of Croeso visitor targets in the morning. A global eco-tourism pioneer teaching hospitality sustainability</w:t>
      </w:r>
      <w:r>
        <w:t xml:space="preserve"> </w:t>
      </w:r>
      <w:r w:rsidRPr="007B3331">
        <w:rPr>
          <w:rFonts w:eastAsia="Times New Roman" w:cs="Times New Roman"/>
          <w:szCs w:val="24"/>
          <w:lang w:val="en-US"/>
        </w:rPr>
        <w:t>(Font et al., 2021)</w:t>
      </w:r>
      <w:r w:rsidRPr="004F2AE6">
        <w:t>. Welsh tourism stakeholders and international sustainability experts participate. The panels analyse global and regional perspectives to improve learning. A well-structured networking break after this presentation lets delegates develop partnerships over sustainable Welsh refreshments. Lunchtime hospitality</w:t>
      </w:r>
      <w:r>
        <w:t>,</w:t>
      </w:r>
      <w:r w:rsidRPr="004F2AE6">
        <w:t xml:space="preserve"> circular economy</w:t>
      </w:r>
      <w:r>
        <w:t>,</w:t>
      </w:r>
      <w:r w:rsidRPr="004F2AE6">
        <w:t xml:space="preserve"> and renewable energy workshops. Practical events attract organisational strategists. Following a sustainable lunch, attendees witness the Welsh eco-tourism display with best practices and latest </w:t>
      </w:r>
      <w:r w:rsidRPr="004F2AE6">
        <w:lastRenderedPageBreak/>
        <w:t>technologies</w:t>
      </w:r>
      <w:r>
        <w:t xml:space="preserve"> </w:t>
      </w:r>
      <w:r w:rsidRPr="007B3331">
        <w:rPr>
          <w:rFonts w:eastAsia="Times New Roman" w:cs="Times New Roman"/>
          <w:szCs w:val="24"/>
          <w:lang w:val="en-US"/>
        </w:rPr>
        <w:t>(Higham, Font and Wu, 2021)</w:t>
      </w:r>
      <w:r w:rsidRPr="004F2AE6">
        <w:t xml:space="preserve">. Here, visitors meet suppliers, inventors, and local businesses. </w:t>
      </w:r>
    </w:p>
    <w:p w14:paraId="1249DE1F" w14:textId="77777777" w:rsidR="0091638B" w:rsidRPr="004F2AE6" w:rsidRDefault="0091638B" w:rsidP="0091638B">
      <w:pPr>
        <w:pStyle w:val="Heading1"/>
      </w:pPr>
      <w:bookmarkStart w:id="4" w:name="_Toc200607419"/>
      <w:r w:rsidRPr="004F2AE6">
        <w:t>Aim and Objectives of the Meeting / Event</w:t>
      </w:r>
      <w:bookmarkEnd w:id="4"/>
    </w:p>
    <w:p w14:paraId="36DB07E1" w14:textId="77777777" w:rsidR="0091638B" w:rsidRPr="003D6CAB" w:rsidRDefault="0091638B" w:rsidP="0091638B">
      <w:pPr>
        <w:rPr>
          <w:b/>
        </w:rPr>
      </w:pPr>
      <w:r w:rsidRPr="003D6CAB">
        <w:rPr>
          <w:b/>
        </w:rPr>
        <w:t>Aim</w:t>
      </w:r>
    </w:p>
    <w:p w14:paraId="0BCA1A8F" w14:textId="77777777" w:rsidR="0091638B" w:rsidRPr="004F2AE6" w:rsidRDefault="0091638B" w:rsidP="0091638B">
      <w:pPr>
        <w:pStyle w:val="ListParagraph"/>
        <w:numPr>
          <w:ilvl w:val="0"/>
          <w:numId w:val="1"/>
        </w:numPr>
      </w:pPr>
      <w:r w:rsidRPr="004F2AE6">
        <w:t>To promote Wales as a global destination for sustainable tourism and eco-hospitality innovation</w:t>
      </w:r>
    </w:p>
    <w:p w14:paraId="63698EED" w14:textId="77777777" w:rsidR="0091638B" w:rsidRPr="003D6CAB" w:rsidRDefault="0091638B" w:rsidP="0091638B">
      <w:pPr>
        <w:rPr>
          <w:b/>
        </w:rPr>
      </w:pPr>
      <w:r w:rsidRPr="003D6CAB">
        <w:rPr>
          <w:b/>
        </w:rPr>
        <w:t xml:space="preserve">SMART Objectives </w:t>
      </w:r>
    </w:p>
    <w:tbl>
      <w:tblPr>
        <w:tblStyle w:val="GridTable4-Accent1"/>
        <w:tblW w:w="5000" w:type="pct"/>
        <w:tblLook w:val="04A0" w:firstRow="1" w:lastRow="0" w:firstColumn="1" w:lastColumn="0" w:noHBand="0" w:noVBand="1"/>
      </w:tblPr>
      <w:tblGrid>
        <w:gridCol w:w="1255"/>
        <w:gridCol w:w="2586"/>
        <w:gridCol w:w="1431"/>
        <w:gridCol w:w="1350"/>
        <w:gridCol w:w="1552"/>
        <w:gridCol w:w="1176"/>
      </w:tblGrid>
      <w:tr w:rsidR="0091638B" w:rsidRPr="003D6CAB" w14:paraId="29EB60F6" w14:textId="77777777" w:rsidTr="00480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tcPr>
          <w:p w14:paraId="639D1607" w14:textId="77777777" w:rsidR="0091638B" w:rsidRPr="003D6CAB" w:rsidRDefault="0091638B" w:rsidP="00480EA7"/>
        </w:tc>
        <w:tc>
          <w:tcPr>
            <w:tcW w:w="1383" w:type="pct"/>
            <w:hideMark/>
          </w:tcPr>
          <w:p w14:paraId="1C62F505"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Specific</w:t>
            </w:r>
          </w:p>
        </w:tc>
        <w:tc>
          <w:tcPr>
            <w:tcW w:w="765" w:type="pct"/>
            <w:hideMark/>
          </w:tcPr>
          <w:p w14:paraId="1B5E7891"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Measurable</w:t>
            </w:r>
          </w:p>
        </w:tc>
        <w:tc>
          <w:tcPr>
            <w:tcW w:w="722" w:type="pct"/>
            <w:hideMark/>
          </w:tcPr>
          <w:p w14:paraId="12440B8D"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Achievable</w:t>
            </w:r>
          </w:p>
        </w:tc>
        <w:tc>
          <w:tcPr>
            <w:tcW w:w="830" w:type="pct"/>
            <w:hideMark/>
          </w:tcPr>
          <w:p w14:paraId="577BCE87"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Relevant</w:t>
            </w:r>
          </w:p>
        </w:tc>
        <w:tc>
          <w:tcPr>
            <w:tcW w:w="629" w:type="pct"/>
            <w:hideMark/>
          </w:tcPr>
          <w:p w14:paraId="43AEF49F"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Time-bound</w:t>
            </w:r>
          </w:p>
        </w:tc>
      </w:tr>
      <w:tr w:rsidR="0091638B" w:rsidRPr="003D6CAB" w14:paraId="7AF9DE46"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tcPr>
          <w:p w14:paraId="45F3981B" w14:textId="77777777" w:rsidR="0091638B" w:rsidRPr="003D6CAB" w:rsidRDefault="0091638B" w:rsidP="00480EA7">
            <w:pPr>
              <w:rPr>
                <w:b w:val="0"/>
              </w:rPr>
            </w:pPr>
            <w:r w:rsidRPr="003D6CAB">
              <w:rPr>
                <w:b w:val="0"/>
              </w:rPr>
              <w:t>Objectives  1</w:t>
            </w:r>
          </w:p>
        </w:tc>
        <w:tc>
          <w:tcPr>
            <w:tcW w:w="1383" w:type="pct"/>
            <w:hideMark/>
          </w:tcPr>
          <w:p w14:paraId="2D1F1C60"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Attract a diverse audience from the global eco-tourism and hospitality sectors.</w:t>
            </w:r>
          </w:p>
        </w:tc>
        <w:tc>
          <w:tcPr>
            <w:tcW w:w="765" w:type="pct"/>
            <w:hideMark/>
          </w:tcPr>
          <w:p w14:paraId="1D905D2D"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Minimum 285 delegates in total</w:t>
            </w:r>
          </w:p>
        </w:tc>
        <w:tc>
          <w:tcPr>
            <w:tcW w:w="722" w:type="pct"/>
            <w:hideMark/>
          </w:tcPr>
          <w:p w14:paraId="46535A12"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Based on market demand and venue capacity</w:t>
            </w:r>
          </w:p>
        </w:tc>
        <w:tc>
          <w:tcPr>
            <w:tcW w:w="830" w:type="pct"/>
            <w:hideMark/>
          </w:tcPr>
          <w:p w14:paraId="06B32C66"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Supports Wales’ tourism promotion strategy under the Year of Croeso</w:t>
            </w:r>
          </w:p>
        </w:tc>
        <w:tc>
          <w:tcPr>
            <w:tcW w:w="629" w:type="pct"/>
            <w:hideMark/>
          </w:tcPr>
          <w:p w14:paraId="22BAFFF3"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By May 2025</w:t>
            </w:r>
          </w:p>
        </w:tc>
      </w:tr>
      <w:tr w:rsidR="0091638B" w:rsidRPr="003D6CAB" w14:paraId="5288AFF1" w14:textId="77777777" w:rsidTr="00480EA7">
        <w:tc>
          <w:tcPr>
            <w:cnfStyle w:val="001000000000" w:firstRow="0" w:lastRow="0" w:firstColumn="1" w:lastColumn="0" w:oddVBand="0" w:evenVBand="0" w:oddHBand="0" w:evenHBand="0" w:firstRowFirstColumn="0" w:firstRowLastColumn="0" w:lastRowFirstColumn="0" w:lastRowLastColumn="0"/>
            <w:tcW w:w="671" w:type="pct"/>
          </w:tcPr>
          <w:p w14:paraId="5ED10AD4" w14:textId="77777777" w:rsidR="0091638B" w:rsidRPr="003D6CAB" w:rsidRDefault="0091638B" w:rsidP="00480EA7">
            <w:pPr>
              <w:rPr>
                <w:b w:val="0"/>
              </w:rPr>
            </w:pPr>
            <w:r w:rsidRPr="003D6CAB">
              <w:rPr>
                <w:b w:val="0"/>
              </w:rPr>
              <w:t>Objectives 2</w:t>
            </w:r>
          </w:p>
        </w:tc>
        <w:tc>
          <w:tcPr>
            <w:tcW w:w="1383" w:type="pct"/>
            <w:hideMark/>
          </w:tcPr>
          <w:p w14:paraId="14995A55"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Facilitate collaborative partnerships between local and international sustainable tourism stakeholders.</w:t>
            </w:r>
          </w:p>
        </w:tc>
        <w:tc>
          <w:tcPr>
            <w:tcW w:w="765" w:type="pct"/>
            <w:hideMark/>
          </w:tcPr>
          <w:p w14:paraId="5A2B3742"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At least five formal agreements</w:t>
            </w:r>
          </w:p>
        </w:tc>
        <w:tc>
          <w:tcPr>
            <w:tcW w:w="722" w:type="pct"/>
            <w:hideMark/>
          </w:tcPr>
          <w:p w14:paraId="46F3CAA6"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Through targeted networking and workshops</w:t>
            </w:r>
          </w:p>
        </w:tc>
        <w:tc>
          <w:tcPr>
            <w:tcW w:w="830" w:type="pct"/>
            <w:hideMark/>
          </w:tcPr>
          <w:p w14:paraId="11B21CD2"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Reinforces strategic cooperation in sustainable tourism</w:t>
            </w:r>
          </w:p>
        </w:tc>
        <w:tc>
          <w:tcPr>
            <w:tcW w:w="629" w:type="pct"/>
            <w:hideMark/>
          </w:tcPr>
          <w:p w14:paraId="790867F2"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During the two-day forum</w:t>
            </w:r>
          </w:p>
        </w:tc>
      </w:tr>
      <w:tr w:rsidR="0091638B" w:rsidRPr="003D6CAB" w14:paraId="5A06BB7A"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tcPr>
          <w:p w14:paraId="60D2824C" w14:textId="77777777" w:rsidR="0091638B" w:rsidRPr="003D6CAB" w:rsidRDefault="0091638B" w:rsidP="00480EA7">
            <w:pPr>
              <w:rPr>
                <w:b w:val="0"/>
              </w:rPr>
            </w:pPr>
            <w:r w:rsidRPr="003D6CAB">
              <w:rPr>
                <w:b w:val="0"/>
              </w:rPr>
              <w:t>Objectives 3</w:t>
            </w:r>
          </w:p>
        </w:tc>
        <w:tc>
          <w:tcPr>
            <w:tcW w:w="1383" w:type="pct"/>
            <w:hideMark/>
          </w:tcPr>
          <w:p w14:paraId="06DD7DF9"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Deliver a high-quality event experience for attendees</w:t>
            </w:r>
          </w:p>
        </w:tc>
        <w:tc>
          <w:tcPr>
            <w:tcW w:w="765" w:type="pct"/>
            <w:hideMark/>
          </w:tcPr>
          <w:p w14:paraId="7A365D32"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85% satisfaction score or higher</w:t>
            </w:r>
          </w:p>
        </w:tc>
        <w:tc>
          <w:tcPr>
            <w:tcW w:w="722" w:type="pct"/>
            <w:hideMark/>
          </w:tcPr>
          <w:p w14:paraId="12A239A8"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Through expert panels and eco-tour delivery</w:t>
            </w:r>
          </w:p>
        </w:tc>
        <w:tc>
          <w:tcPr>
            <w:tcW w:w="830" w:type="pct"/>
            <w:hideMark/>
          </w:tcPr>
          <w:p w14:paraId="748AAA7C"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Enhances Wales’ reputation for green hospitality and educational excellence</w:t>
            </w:r>
          </w:p>
        </w:tc>
        <w:tc>
          <w:tcPr>
            <w:tcW w:w="629" w:type="pct"/>
            <w:hideMark/>
          </w:tcPr>
          <w:p w14:paraId="06BB49B1"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Evaluated through a post-event survey</w:t>
            </w:r>
          </w:p>
        </w:tc>
      </w:tr>
    </w:tbl>
    <w:p w14:paraId="4F532FA8" w14:textId="77777777" w:rsidR="0091638B" w:rsidRPr="004F2AE6" w:rsidRDefault="0091638B" w:rsidP="0091638B">
      <w:r w:rsidRPr="004F2AE6">
        <w:t xml:space="preserve"> </w:t>
      </w:r>
    </w:p>
    <w:p w14:paraId="45580EEE" w14:textId="77777777" w:rsidR="0091638B" w:rsidRPr="004F2AE6" w:rsidRDefault="0091638B" w:rsidP="0091638B">
      <w:pPr>
        <w:pStyle w:val="Heading1"/>
      </w:pPr>
      <w:bookmarkStart w:id="5" w:name="_Toc200607420"/>
      <w:r w:rsidRPr="004F2AE6">
        <w:lastRenderedPageBreak/>
        <w:t>Event Management</w:t>
      </w:r>
      <w:bookmarkEnd w:id="5"/>
    </w:p>
    <w:p w14:paraId="5E41A490" w14:textId="77777777" w:rsidR="0091638B" w:rsidRPr="007B3331" w:rsidRDefault="0091638B" w:rsidP="0091638B">
      <w:pPr>
        <w:rPr>
          <w:rFonts w:eastAsia="Times New Roman" w:cs="Times New Roman"/>
          <w:szCs w:val="24"/>
          <w:lang w:val="en-US"/>
        </w:rPr>
      </w:pPr>
      <w:r w:rsidRPr="004F2AE6">
        <w:t xml:space="preserve">Green Croeso Forum event management encompasses logistics, theory, and execution. Sustainable tourism and eco-hospitality are Visit </w:t>
      </w:r>
      <w:r>
        <w:t>Wales'</w:t>
      </w:r>
      <w:r w:rsidRPr="004F2AE6">
        <w:t xml:space="preserve"> "Year of Croeso" forum topics. Event management for this program requires competent staff, strategic resources, and clear operational, planning, and marketing communication</w:t>
      </w:r>
      <w:r>
        <w:t xml:space="preserve"> </w:t>
      </w:r>
      <w:r w:rsidRPr="007B3331">
        <w:rPr>
          <w:rFonts w:eastAsia="Times New Roman" w:cs="Times New Roman"/>
          <w:szCs w:val="24"/>
          <w:lang w:val="en-US"/>
        </w:rPr>
        <w:t xml:space="preserve">(Bladen </w:t>
      </w:r>
      <w:r w:rsidRPr="00205E91">
        <w:rPr>
          <w:rFonts w:eastAsia="Times New Roman" w:cs="Times New Roman"/>
          <w:i/>
          <w:iCs/>
          <w:szCs w:val="24"/>
          <w:lang w:val="en-US"/>
        </w:rPr>
        <w:t>et al.,</w:t>
      </w:r>
      <w:r w:rsidRPr="007B3331">
        <w:rPr>
          <w:rFonts w:eastAsia="Times New Roman" w:cs="Times New Roman"/>
          <w:szCs w:val="24"/>
          <w:lang w:val="en-US"/>
        </w:rPr>
        <w:t xml:space="preserve"> 2022)</w:t>
      </w:r>
      <w:r w:rsidRPr="004F2AE6">
        <w:t xml:space="preserve">. </w:t>
      </w:r>
    </w:p>
    <w:p w14:paraId="17531BEE" w14:textId="77777777" w:rsidR="0091638B" w:rsidRPr="003D6CAB" w:rsidRDefault="0091638B" w:rsidP="0091638B">
      <w:r w:rsidRPr="003D6CAB">
        <w:rPr>
          <w:b/>
        </w:rPr>
        <w:t>Operational Requirements:</w:t>
      </w:r>
      <w:r>
        <w:t xml:space="preserve"> </w:t>
      </w:r>
      <w:r w:rsidRPr="004F2AE6">
        <w:t xml:space="preserve">It takes labour to deliver events. Welsh National Botanic Garden infrastructure facilitates events. </w:t>
      </w:r>
      <w:r>
        <w:t>The organisers</w:t>
      </w:r>
      <w:r w:rsidRPr="004F2AE6">
        <w:t xml:space="preserve"> manage delegate registration, service coordination, venue preparation, health and safety, and the environment</w:t>
      </w:r>
      <w:r>
        <w:t xml:space="preserve"> </w:t>
      </w:r>
      <w:r w:rsidRPr="007B3331">
        <w:rPr>
          <w:rFonts w:eastAsia="Times New Roman" w:cs="Times New Roman"/>
          <w:szCs w:val="24"/>
          <w:lang w:val="en-US"/>
        </w:rPr>
        <w:t>(Granadillo, Zarzosa and Diaz, 2021)</w:t>
      </w:r>
      <w:r w:rsidRPr="004F2AE6">
        <w:t xml:space="preserve">. Event organisers, registration managers, hotel workers, interpreters (for foreign delegates), technical crews, and environmental health and safety officials are needed. Smartphone registration, event scheduling, and digital ticketing streamline access control. Audio-visual technicians will run keynotes, panels, and exhibitions. Crowds, data, and </w:t>
      </w:r>
      <w:r>
        <w:t>politicians</w:t>
      </w:r>
      <w:r w:rsidRPr="004F2AE6">
        <w:t xml:space="preserve"> and foreign </w:t>
      </w:r>
      <w:r>
        <w:t>delegates</w:t>
      </w:r>
      <w:r w:rsidRPr="004F2AE6">
        <w:t xml:space="preserve"> are security concerns. Compostable food and local organic suppliers are used in zero-waste catering. Water refilling, recycling, and solar (and energy-efficient) lighting enhance environmental compliance</w:t>
      </w:r>
      <w:r>
        <w:t xml:space="preserve"> </w:t>
      </w:r>
      <w:r w:rsidRPr="007B3331">
        <w:rPr>
          <w:rFonts w:eastAsia="Times New Roman" w:cs="Times New Roman"/>
          <w:szCs w:val="24"/>
          <w:lang w:val="en-US"/>
        </w:rPr>
        <w:t>(Evans, 2024)</w:t>
      </w:r>
      <w:r w:rsidRPr="004F2AE6">
        <w:t>. Shuttle buses from adjacent hubs, electric vehicle charging, and cycle-friendly access will be managed. Site signage directs visitors to forums, displays, and eco-tours.</w:t>
      </w:r>
    </w:p>
    <w:p w14:paraId="6A633759" w14:textId="77777777" w:rsidR="0091638B" w:rsidRDefault="0091638B" w:rsidP="0091638B">
      <w:r w:rsidRPr="003D6CAB">
        <w:rPr>
          <w:b/>
        </w:rPr>
        <w:t>Strategic Planning Considerations:</w:t>
      </w:r>
      <w:r>
        <w:t xml:space="preserve"> </w:t>
      </w:r>
      <w:r w:rsidRPr="004F2AE6">
        <w:t>The Event Management Body of Knowledge (EMBOK) guides administrative, design, marketing, operations, and risk planning. Operating handles resource allocation, staffing, and stakeholder relations; administrative handles budget, finance, scheduling, and procurement</w:t>
      </w:r>
      <w:r>
        <w:t xml:space="preserve"> </w:t>
      </w:r>
      <w:r w:rsidRPr="006C3E84">
        <w:rPr>
          <w:rFonts w:eastAsia="Times New Roman" w:cs="Times New Roman"/>
          <w:szCs w:val="24"/>
          <w:lang w:val="en-US"/>
        </w:rPr>
        <w:t xml:space="preserve">(Allen </w:t>
      </w:r>
      <w:r w:rsidRPr="00205E91">
        <w:rPr>
          <w:rFonts w:eastAsia="Times New Roman" w:cs="Times New Roman"/>
          <w:i/>
          <w:iCs/>
          <w:szCs w:val="24"/>
          <w:lang w:val="en-US"/>
        </w:rPr>
        <w:t>et al</w:t>
      </w:r>
      <w:r w:rsidRPr="006C3E84">
        <w:rPr>
          <w:rFonts w:eastAsia="Times New Roman" w:cs="Times New Roman"/>
          <w:szCs w:val="24"/>
          <w:lang w:val="en-US"/>
        </w:rPr>
        <w:t>., 2022)</w:t>
      </w:r>
      <w:r w:rsidRPr="004F2AE6">
        <w:t xml:space="preserve">. A complete risk registry includes weather, transit, and IT issues. Power backups, indoor pavilions, and on-call tech are contingencies. Welsh health and safety legislation </w:t>
      </w:r>
      <w:r>
        <w:t>governs</w:t>
      </w:r>
      <w:r w:rsidRPr="004F2AE6">
        <w:t xml:space="preserve"> risk assessments and technique descriptions. ISO 20121 sustainability planning comprises stakeholder participation, continuous improvement, and socially responsible sourcing</w:t>
      </w:r>
      <w:r>
        <w:t xml:space="preserve"> </w:t>
      </w:r>
      <w:r w:rsidRPr="006C3E84">
        <w:rPr>
          <w:rFonts w:eastAsia="Times New Roman" w:cs="Times New Roman"/>
          <w:szCs w:val="24"/>
          <w:lang w:val="en-US"/>
        </w:rPr>
        <w:t>(ISO, 2024)</w:t>
      </w:r>
      <w:r w:rsidRPr="004F2AE6">
        <w:t xml:space="preserve">. Supplier and local government discussions before the event will ensure ethical sourcing, accessibility, and environmental best practices. Gantt charts, stakeholder matrices, and critical path analysis organise, communicate, and meet deadlines. Teams are responsible for quality, timelines, and budgets. </w:t>
      </w:r>
    </w:p>
    <w:p w14:paraId="7B4F52E1" w14:textId="77777777" w:rsidR="0091638B" w:rsidRDefault="0091638B" w:rsidP="0091638B">
      <w:pPr>
        <w:jc w:val="center"/>
      </w:pPr>
      <w:r>
        <w:rPr>
          <w:noProof/>
          <w:lang w:val="en-US"/>
        </w:rPr>
        <w:lastRenderedPageBreak/>
        <w:drawing>
          <wp:inline distT="0" distB="0" distL="0" distR="0" wp14:anchorId="72BF47F7" wp14:editId="2F38B5AF">
            <wp:extent cx="4419600" cy="1859280"/>
            <wp:effectExtent l="0" t="0" r="0" b="7620"/>
            <wp:docPr id="7" name="Picture 7"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600" cy="1859280"/>
                    </a:xfrm>
                    <a:prstGeom prst="rect">
                      <a:avLst/>
                    </a:prstGeom>
                    <a:noFill/>
                    <a:ln>
                      <a:noFill/>
                    </a:ln>
                  </pic:spPr>
                </pic:pic>
              </a:graphicData>
            </a:graphic>
          </wp:inline>
        </w:drawing>
      </w:r>
    </w:p>
    <w:p w14:paraId="2D2B841D" w14:textId="77777777" w:rsidR="0091638B" w:rsidRDefault="0091638B" w:rsidP="0091638B">
      <w:pPr>
        <w:jc w:val="center"/>
      </w:pPr>
      <w:r>
        <w:t>Figure 2: EMBOK</w:t>
      </w:r>
    </w:p>
    <w:p w14:paraId="79782878" w14:textId="77777777" w:rsidR="0091638B" w:rsidRPr="003D6CAB" w:rsidRDefault="0091638B" w:rsidP="0091638B">
      <w:pPr>
        <w:jc w:val="center"/>
      </w:pPr>
      <w:r>
        <w:t xml:space="preserve">Source: </w:t>
      </w:r>
      <w:r w:rsidRPr="006C3E84">
        <w:rPr>
          <w:rFonts w:eastAsia="Times New Roman" w:cs="Times New Roman"/>
          <w:szCs w:val="24"/>
          <w:lang w:val="en-US"/>
        </w:rPr>
        <w:t>(Allen et al., 2022)</w:t>
      </w:r>
    </w:p>
    <w:p w14:paraId="11B57EEE" w14:textId="77777777" w:rsidR="0091638B" w:rsidRPr="003D6CAB" w:rsidRDefault="0091638B" w:rsidP="0091638B">
      <w:pPr>
        <w:rPr>
          <w:b/>
        </w:rPr>
      </w:pPr>
      <w:r w:rsidRPr="003D6CAB">
        <w:rPr>
          <w:b/>
        </w:rPr>
        <w:t>Marketing Management</w:t>
      </w:r>
    </w:p>
    <w:p w14:paraId="7AD32356" w14:textId="77777777" w:rsidR="0091638B" w:rsidRDefault="0091638B" w:rsidP="0091638B">
      <w:r w:rsidRPr="004F2AE6">
        <w:t>The marketing 7Ps (Product, Price, Place, Promotion, People, Process, and Physical Evidence) will lead the Green Croeso Forum's meetings and events marketing strategy to ensure brand consistency, focused communicat</w:t>
      </w:r>
      <w:r>
        <w:t>ion, and effective positioning.</w:t>
      </w:r>
    </w:p>
    <w:p w14:paraId="10FF80E6" w14:textId="77777777" w:rsidR="0091638B" w:rsidRDefault="0091638B" w:rsidP="0091638B">
      <w:r>
        <w:rPr>
          <w:noProof/>
          <w:lang w:val="en-US"/>
        </w:rPr>
        <w:drawing>
          <wp:inline distT="0" distB="0" distL="0" distR="0" wp14:anchorId="2D9EC43B" wp14:editId="3EDAD41D">
            <wp:extent cx="5943600" cy="3127460"/>
            <wp:effectExtent l="0" t="0" r="0" b="0"/>
            <wp:docPr id="8" name="Picture 8" descr="What Are 7Ps of the Marketing Mix?｜MAツール「Bow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7Ps of the Marketing Mix?｜MAツール「BowNo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127460"/>
                    </a:xfrm>
                    <a:prstGeom prst="rect">
                      <a:avLst/>
                    </a:prstGeom>
                    <a:noFill/>
                    <a:ln>
                      <a:noFill/>
                    </a:ln>
                  </pic:spPr>
                </pic:pic>
              </a:graphicData>
            </a:graphic>
          </wp:inline>
        </w:drawing>
      </w:r>
    </w:p>
    <w:p w14:paraId="3500A556" w14:textId="77777777" w:rsidR="0091638B" w:rsidRDefault="0091638B" w:rsidP="0091638B">
      <w:pPr>
        <w:jc w:val="center"/>
      </w:pPr>
      <w:r>
        <w:t>Figure 3: Marketing 7Ps</w:t>
      </w:r>
    </w:p>
    <w:p w14:paraId="74D3AD67" w14:textId="77777777" w:rsidR="0091638B" w:rsidRDefault="0091638B" w:rsidP="0091638B">
      <w:pPr>
        <w:jc w:val="center"/>
      </w:pPr>
      <w:r>
        <w:t xml:space="preserve">Source: </w:t>
      </w:r>
      <w:r w:rsidRPr="007B3331">
        <w:rPr>
          <w:rFonts w:eastAsia="Times New Roman" w:cs="Times New Roman"/>
          <w:szCs w:val="24"/>
          <w:lang w:val="en-US"/>
        </w:rPr>
        <w:t>(Evans, 2024)</w:t>
      </w:r>
    </w:p>
    <w:p w14:paraId="77B04E76" w14:textId="77777777" w:rsidR="0091638B" w:rsidRPr="006C3E84" w:rsidRDefault="0091638B" w:rsidP="0091638B">
      <w:pPr>
        <w:rPr>
          <w:rFonts w:eastAsia="Times New Roman" w:cs="Times New Roman"/>
          <w:szCs w:val="24"/>
          <w:lang w:val="en-US"/>
        </w:rPr>
      </w:pPr>
      <w:r w:rsidRPr="004F2AE6">
        <w:rPr>
          <w:b/>
        </w:rPr>
        <w:lastRenderedPageBreak/>
        <w:t>Product:</w:t>
      </w:r>
      <w:r w:rsidRPr="004F2AE6">
        <w:t xml:space="preserve"> Knowledge forums, panel discussions, speaker presentations, exhibitions, and eco-tours are the core offerings</w:t>
      </w:r>
      <w:r>
        <w:t xml:space="preserve"> </w:t>
      </w:r>
      <w:r w:rsidRPr="006C3E84">
        <w:rPr>
          <w:rFonts w:eastAsia="Times New Roman" w:cs="Times New Roman"/>
          <w:szCs w:val="24"/>
          <w:lang w:val="en-US"/>
        </w:rPr>
        <w:t>(Bilgihan and Ricci, 2023)</w:t>
      </w:r>
      <w:r w:rsidRPr="004F2AE6">
        <w:t xml:space="preserve">. Welsh ecotourism, cultural integration, and sustainable innovation define the experience. Consistency in environmental responsibility benefits professionals. </w:t>
      </w:r>
    </w:p>
    <w:p w14:paraId="41BF036C" w14:textId="77777777" w:rsidR="0091638B" w:rsidRPr="004F2AE6" w:rsidRDefault="0091638B" w:rsidP="0091638B">
      <w:r w:rsidRPr="004F2AE6">
        <w:rPr>
          <w:b/>
        </w:rPr>
        <w:t>Price:</w:t>
      </w:r>
      <w:r w:rsidRPr="004F2AE6">
        <w:t xml:space="preserve"> Ticket prices depend on content value, running costs, and business delegate market expectations. Like industry peers, standard delegate tickets cost £95. Group pricing, early bird options, and non-profit delegate visas boost market competition and inclusivity. </w:t>
      </w:r>
    </w:p>
    <w:p w14:paraId="57F31821" w14:textId="77777777" w:rsidR="0091638B" w:rsidRPr="006C3E84" w:rsidRDefault="0091638B" w:rsidP="0091638B">
      <w:pPr>
        <w:rPr>
          <w:rFonts w:eastAsia="Times New Roman" w:cs="Times New Roman"/>
          <w:szCs w:val="24"/>
          <w:lang w:val="en-US"/>
        </w:rPr>
      </w:pPr>
      <w:r w:rsidRPr="004F2AE6">
        <w:rPr>
          <w:b/>
        </w:rPr>
        <w:t>Place:</w:t>
      </w:r>
      <w:r w:rsidRPr="004F2AE6">
        <w:t xml:space="preserve"> Site determines event appeal. The National Botanic Garden of Wales offers immersive environmental experiences near major transport linkages</w:t>
      </w:r>
      <w:r>
        <w:t xml:space="preserve"> </w:t>
      </w:r>
      <w:r w:rsidRPr="006C3E84">
        <w:rPr>
          <w:rFonts w:eastAsia="Times New Roman" w:cs="Times New Roman"/>
          <w:szCs w:val="24"/>
          <w:lang w:val="en-US"/>
        </w:rPr>
        <w:t>(Ziółkowska, 2021)</w:t>
      </w:r>
      <w:r w:rsidRPr="004F2AE6">
        <w:t xml:space="preserve">. Educational prestige, infrastructure, and environment make the institution forum-worthy. </w:t>
      </w:r>
    </w:p>
    <w:p w14:paraId="23F19849" w14:textId="77777777" w:rsidR="0091638B" w:rsidRPr="004F2AE6" w:rsidRDefault="0091638B" w:rsidP="0091638B">
      <w:r w:rsidRPr="004F2AE6">
        <w:rPr>
          <w:b/>
        </w:rPr>
        <w:t>Promotion:</w:t>
      </w:r>
      <w:r w:rsidRPr="004F2AE6">
        <w:t xml:space="preserve"> Traditional, digital, PR, and partnership promotion. Event listings, briefings, and promotional movies help Welsh tourism. LinkedIn, Twitter, and Instagram users will love interactive content, live updates, and speaker highlights. Travel and sustainability activists boost ecotourism. </w:t>
      </w:r>
    </w:p>
    <w:p w14:paraId="066BEA63" w14:textId="77777777" w:rsidR="0091638B" w:rsidRPr="006C3E84" w:rsidRDefault="0091638B" w:rsidP="0091638B">
      <w:pPr>
        <w:rPr>
          <w:rFonts w:eastAsia="Times New Roman" w:cs="Times New Roman"/>
          <w:szCs w:val="24"/>
          <w:lang w:val="en-US"/>
        </w:rPr>
      </w:pPr>
      <w:r w:rsidRPr="004F2AE6">
        <w:rPr>
          <w:b/>
        </w:rPr>
        <w:t>People:</w:t>
      </w:r>
      <w:r w:rsidRPr="004F2AE6">
        <w:t xml:space="preserve"> Event attendees include front-line workers, volunteers, speakers, and sponsors. Speakers will be picked for credibility, variety, and forum longevity</w:t>
      </w:r>
      <w:r>
        <w:t xml:space="preserve"> </w:t>
      </w:r>
      <w:r w:rsidRPr="006C3E84">
        <w:rPr>
          <w:rFonts w:eastAsia="Times New Roman" w:cs="Times New Roman"/>
          <w:szCs w:val="24"/>
          <w:lang w:val="en-US"/>
        </w:rPr>
        <w:t>(Wang, 2021)</w:t>
      </w:r>
      <w:r w:rsidRPr="004F2AE6">
        <w:t xml:space="preserve">. Volunteers and staff learn </w:t>
      </w:r>
      <w:r>
        <w:t>guest service</w:t>
      </w:r>
      <w:r w:rsidRPr="004F2AE6">
        <w:t xml:space="preserve">, eco-friendly, and inclusive behaviour. </w:t>
      </w:r>
    </w:p>
    <w:p w14:paraId="750B7E7A" w14:textId="77777777" w:rsidR="0091638B" w:rsidRPr="004F2AE6" w:rsidRDefault="0091638B" w:rsidP="0091638B">
      <w:r w:rsidRPr="004F2AE6">
        <w:rPr>
          <w:b/>
        </w:rPr>
        <w:t>Process:</w:t>
      </w:r>
      <w:r w:rsidRPr="004F2AE6">
        <w:t xml:space="preserve"> Process strategy needs effective operations and communication. Online registration, automated confirmation emails, and smartphone event scheduling apps simplify delegate travel. Delivery improves with media, speaker, and exhibitor access. </w:t>
      </w:r>
    </w:p>
    <w:p w14:paraId="54FFF618" w14:textId="77777777" w:rsidR="0091638B" w:rsidRPr="006C3E84" w:rsidRDefault="0091638B" w:rsidP="0091638B">
      <w:pPr>
        <w:rPr>
          <w:rFonts w:eastAsia="Times New Roman" w:cs="Times New Roman"/>
          <w:szCs w:val="24"/>
          <w:lang w:val="en-US"/>
        </w:rPr>
      </w:pPr>
      <w:r w:rsidRPr="004F2AE6">
        <w:rPr>
          <w:b/>
        </w:rPr>
        <w:t>Physical Evidence:</w:t>
      </w:r>
      <w:r w:rsidRPr="004F2AE6">
        <w:t xml:space="preserve"> Branding, venue decor, signage, and printed materials improve events. Regional and recycling designs will be on banners, delegate lanyards, eco-friendly gift bags, and exhibition displays</w:t>
      </w:r>
      <w:r>
        <w:t xml:space="preserve"> </w:t>
      </w:r>
      <w:r w:rsidRPr="006C3E84">
        <w:rPr>
          <w:rFonts w:eastAsia="Times New Roman" w:cs="Times New Roman"/>
          <w:szCs w:val="24"/>
          <w:lang w:val="en-US"/>
        </w:rPr>
        <w:t>(Wang and Guo, 2024)</w:t>
      </w:r>
      <w:r w:rsidRPr="004F2AE6">
        <w:t xml:space="preserve">. The venue will save paper via infographics, QR-coded directions, and living plant walls. </w:t>
      </w:r>
    </w:p>
    <w:p w14:paraId="7A90E695" w14:textId="77777777" w:rsidR="0091638B" w:rsidRDefault="0091638B" w:rsidP="0091638B"/>
    <w:p w14:paraId="23EAE99A" w14:textId="77777777" w:rsidR="0091638B" w:rsidRDefault="0091638B" w:rsidP="0091638B"/>
    <w:p w14:paraId="06107C03" w14:textId="77777777" w:rsidR="0091638B" w:rsidRDefault="0091638B" w:rsidP="0091638B"/>
    <w:p w14:paraId="41722202" w14:textId="77777777" w:rsidR="0091638B" w:rsidRPr="004F2AE6" w:rsidRDefault="0091638B" w:rsidP="0091638B">
      <w:pPr>
        <w:pStyle w:val="Heading1"/>
      </w:pPr>
      <w:bookmarkStart w:id="6" w:name="_Toc200607421"/>
      <w:r w:rsidRPr="004F2AE6">
        <w:lastRenderedPageBreak/>
        <w:t>Event Budget</w:t>
      </w:r>
      <w:bookmarkEnd w:id="6"/>
      <w:r w:rsidRPr="004F2AE6">
        <w:t xml:space="preserve"> </w:t>
      </w:r>
    </w:p>
    <w:p w14:paraId="528F72EE" w14:textId="77777777" w:rsidR="0091638B" w:rsidRPr="006C3E84" w:rsidRDefault="0091638B" w:rsidP="0091638B">
      <w:pPr>
        <w:rPr>
          <w:rFonts w:eastAsia="Times New Roman" w:cs="Times New Roman"/>
          <w:szCs w:val="24"/>
          <w:lang w:val="en-US"/>
        </w:rPr>
      </w:pPr>
      <w:r w:rsidRPr="004F2AE6">
        <w:t xml:space="preserve">The </w:t>
      </w:r>
      <w:r>
        <w:t>table below</w:t>
      </w:r>
      <w:r w:rsidRPr="004F2AE6">
        <w:t xml:space="preserve"> displays balanced, purposeful event budgeting. Consider eight elements to determine event costs at £30,000. Status, accessibility, and sustainability make venue hire the most expensive at £7,000. Local and sustainable food is included in the £6,500 catering and beverages package</w:t>
      </w:r>
      <w:r>
        <w:t xml:space="preserve"> </w:t>
      </w:r>
      <w:r w:rsidRPr="006C3E84">
        <w:rPr>
          <w:rFonts w:eastAsia="Times New Roman" w:cs="Times New Roman"/>
          <w:szCs w:val="24"/>
          <w:lang w:val="en-US"/>
        </w:rPr>
        <w:t>(Antonius et al., 2024)</w:t>
      </w:r>
      <w:r w:rsidRPr="004F2AE6">
        <w:t xml:space="preserve">. Marketing and promotion receive £3,000 to reach </w:t>
      </w:r>
      <w:r>
        <w:t xml:space="preserve">the </w:t>
      </w:r>
      <w:r w:rsidRPr="004F2AE6">
        <w:t>target au</w:t>
      </w:r>
      <w:r>
        <w:t xml:space="preserve">dience and boost attendance. </w:t>
      </w:r>
      <w:r w:rsidRPr="004F2AE6">
        <w:t>Professional speakers and £5,000 honorariums increase content authenticity and listenership. Staffing and security cost £2,000 and coordinate operational safety and logistics, while equipment and technical setup cost £3,000 and enable digital presentations, AV systems, and accessibility. The £2,500 eco-tour logistics budget prioritises sustainability education</w:t>
      </w:r>
      <w:r>
        <w:t xml:space="preserve"> </w:t>
      </w:r>
      <w:r w:rsidRPr="006C3E84">
        <w:rPr>
          <w:rFonts w:eastAsia="Times New Roman" w:cs="Times New Roman"/>
          <w:szCs w:val="24"/>
          <w:lang w:val="en-US"/>
        </w:rPr>
        <w:t>(Richards et al., 2022)</w:t>
      </w:r>
      <w:r w:rsidRPr="004F2AE6">
        <w:t>. Sometimes overlooked, a £1,000 miscellaneous fund covers insurance and licensing. It anticipates £30,575 sales and £575 surplus. Visit Wales funding of £3,000 and local sponsorships of £500 boost ticket sales to £27,075. Small excesses boost break-even and financial resilience. Predicted event income and expenses demonstrate good planning, cost allocation, and finance.</w:t>
      </w:r>
    </w:p>
    <w:tbl>
      <w:tblPr>
        <w:tblStyle w:val="GridTable4-Accent2"/>
        <w:tblW w:w="5000" w:type="pct"/>
        <w:tblLook w:val="04A0" w:firstRow="1" w:lastRow="0" w:firstColumn="1" w:lastColumn="0" w:noHBand="0" w:noVBand="1"/>
      </w:tblPr>
      <w:tblGrid>
        <w:gridCol w:w="4047"/>
        <w:gridCol w:w="2547"/>
        <w:gridCol w:w="2756"/>
      </w:tblGrid>
      <w:tr w:rsidR="0091638B" w:rsidRPr="003D6CAB" w14:paraId="007D7F13" w14:textId="77777777" w:rsidTr="00480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6438E3E2" w14:textId="77777777" w:rsidR="0091638B" w:rsidRPr="003D6CAB" w:rsidRDefault="0091638B" w:rsidP="00480EA7">
            <w:pPr>
              <w:rPr>
                <w:color w:val="auto"/>
              </w:rPr>
            </w:pPr>
            <w:r w:rsidRPr="003D6CAB">
              <w:rPr>
                <w:color w:val="auto"/>
              </w:rPr>
              <w:t>Category</w:t>
            </w:r>
          </w:p>
        </w:tc>
        <w:tc>
          <w:tcPr>
            <w:tcW w:w="1362" w:type="pct"/>
            <w:hideMark/>
          </w:tcPr>
          <w:p w14:paraId="758B439E"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Estimated Cost (£)</w:t>
            </w:r>
          </w:p>
        </w:tc>
        <w:tc>
          <w:tcPr>
            <w:tcW w:w="1474" w:type="pct"/>
            <w:hideMark/>
          </w:tcPr>
          <w:p w14:paraId="7AAE0187" w14:textId="77777777" w:rsidR="0091638B" w:rsidRPr="003D6CAB"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3D6CAB">
              <w:rPr>
                <w:color w:val="auto"/>
              </w:rPr>
              <w:t>Revenue/Income (£)</w:t>
            </w:r>
          </w:p>
        </w:tc>
      </w:tr>
      <w:tr w:rsidR="0091638B" w:rsidRPr="003D6CAB" w14:paraId="70686390"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6980A616" w14:textId="77777777" w:rsidR="0091638B" w:rsidRPr="003D6CAB" w:rsidRDefault="0091638B" w:rsidP="00480EA7">
            <w:pPr>
              <w:rPr>
                <w:b w:val="0"/>
              </w:rPr>
            </w:pPr>
            <w:r w:rsidRPr="003D6CAB">
              <w:rPr>
                <w:b w:val="0"/>
              </w:rPr>
              <w:t>Venue Hire</w:t>
            </w:r>
          </w:p>
        </w:tc>
        <w:tc>
          <w:tcPr>
            <w:tcW w:w="1362" w:type="pct"/>
            <w:hideMark/>
          </w:tcPr>
          <w:p w14:paraId="07707DF4"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7,000</w:t>
            </w:r>
          </w:p>
        </w:tc>
        <w:tc>
          <w:tcPr>
            <w:tcW w:w="1474" w:type="pct"/>
            <w:hideMark/>
          </w:tcPr>
          <w:p w14:paraId="019C9E0F"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r>
      <w:tr w:rsidR="0091638B" w:rsidRPr="003D6CAB" w14:paraId="31024C9E" w14:textId="77777777" w:rsidTr="00480EA7">
        <w:tc>
          <w:tcPr>
            <w:cnfStyle w:val="001000000000" w:firstRow="0" w:lastRow="0" w:firstColumn="1" w:lastColumn="0" w:oddVBand="0" w:evenVBand="0" w:oddHBand="0" w:evenHBand="0" w:firstRowFirstColumn="0" w:firstRowLastColumn="0" w:lastRowFirstColumn="0" w:lastRowLastColumn="0"/>
            <w:tcW w:w="2164" w:type="pct"/>
            <w:hideMark/>
          </w:tcPr>
          <w:p w14:paraId="6FC07B67" w14:textId="77777777" w:rsidR="0091638B" w:rsidRPr="003D6CAB" w:rsidRDefault="0091638B" w:rsidP="00480EA7">
            <w:pPr>
              <w:rPr>
                <w:b w:val="0"/>
              </w:rPr>
            </w:pPr>
            <w:r w:rsidRPr="003D6CAB">
              <w:rPr>
                <w:b w:val="0"/>
              </w:rPr>
              <w:t>Catering &amp; Refreshments</w:t>
            </w:r>
          </w:p>
        </w:tc>
        <w:tc>
          <w:tcPr>
            <w:tcW w:w="1362" w:type="pct"/>
            <w:hideMark/>
          </w:tcPr>
          <w:p w14:paraId="464B1FF8"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6,500</w:t>
            </w:r>
          </w:p>
        </w:tc>
        <w:tc>
          <w:tcPr>
            <w:tcW w:w="1474" w:type="pct"/>
            <w:hideMark/>
          </w:tcPr>
          <w:p w14:paraId="4B16492E"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p>
        </w:tc>
      </w:tr>
      <w:tr w:rsidR="0091638B" w:rsidRPr="003D6CAB" w14:paraId="1E80FB76"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40421A3F" w14:textId="77777777" w:rsidR="0091638B" w:rsidRPr="003D6CAB" w:rsidRDefault="0091638B" w:rsidP="00480EA7">
            <w:pPr>
              <w:rPr>
                <w:b w:val="0"/>
              </w:rPr>
            </w:pPr>
            <w:r w:rsidRPr="003D6CAB">
              <w:rPr>
                <w:b w:val="0"/>
              </w:rPr>
              <w:t>Marketing &amp; Promotion</w:t>
            </w:r>
          </w:p>
        </w:tc>
        <w:tc>
          <w:tcPr>
            <w:tcW w:w="1362" w:type="pct"/>
            <w:hideMark/>
          </w:tcPr>
          <w:p w14:paraId="42F5BC5A"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3,000</w:t>
            </w:r>
          </w:p>
        </w:tc>
        <w:tc>
          <w:tcPr>
            <w:tcW w:w="1474" w:type="pct"/>
            <w:hideMark/>
          </w:tcPr>
          <w:p w14:paraId="68479DE3"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r>
      <w:tr w:rsidR="0091638B" w:rsidRPr="003D6CAB" w14:paraId="3C63D5B6" w14:textId="77777777" w:rsidTr="00480EA7">
        <w:tc>
          <w:tcPr>
            <w:cnfStyle w:val="001000000000" w:firstRow="0" w:lastRow="0" w:firstColumn="1" w:lastColumn="0" w:oddVBand="0" w:evenVBand="0" w:oddHBand="0" w:evenHBand="0" w:firstRowFirstColumn="0" w:firstRowLastColumn="0" w:lastRowFirstColumn="0" w:lastRowLastColumn="0"/>
            <w:tcW w:w="2164" w:type="pct"/>
            <w:hideMark/>
          </w:tcPr>
          <w:p w14:paraId="553BAA38" w14:textId="77777777" w:rsidR="0091638B" w:rsidRPr="003D6CAB" w:rsidRDefault="0091638B" w:rsidP="00480EA7">
            <w:pPr>
              <w:rPr>
                <w:b w:val="0"/>
              </w:rPr>
            </w:pPr>
            <w:r w:rsidRPr="003D6CAB">
              <w:rPr>
                <w:b w:val="0"/>
              </w:rPr>
              <w:t>Speaker Fees &amp; Honorariums</w:t>
            </w:r>
          </w:p>
        </w:tc>
        <w:tc>
          <w:tcPr>
            <w:tcW w:w="1362" w:type="pct"/>
            <w:hideMark/>
          </w:tcPr>
          <w:p w14:paraId="6CFE03B4"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5,000</w:t>
            </w:r>
          </w:p>
        </w:tc>
        <w:tc>
          <w:tcPr>
            <w:tcW w:w="1474" w:type="pct"/>
            <w:hideMark/>
          </w:tcPr>
          <w:p w14:paraId="67E0F6AA"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p>
        </w:tc>
      </w:tr>
      <w:tr w:rsidR="0091638B" w:rsidRPr="003D6CAB" w14:paraId="5CA25B9D"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5D0A8DEB" w14:textId="77777777" w:rsidR="0091638B" w:rsidRPr="003D6CAB" w:rsidRDefault="0091638B" w:rsidP="00480EA7">
            <w:pPr>
              <w:rPr>
                <w:b w:val="0"/>
              </w:rPr>
            </w:pPr>
            <w:r w:rsidRPr="003D6CAB">
              <w:rPr>
                <w:b w:val="0"/>
              </w:rPr>
              <w:t>Staffing &amp; Security</w:t>
            </w:r>
          </w:p>
        </w:tc>
        <w:tc>
          <w:tcPr>
            <w:tcW w:w="1362" w:type="pct"/>
            <w:hideMark/>
          </w:tcPr>
          <w:p w14:paraId="78F3524D"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2,000</w:t>
            </w:r>
          </w:p>
        </w:tc>
        <w:tc>
          <w:tcPr>
            <w:tcW w:w="1474" w:type="pct"/>
            <w:hideMark/>
          </w:tcPr>
          <w:p w14:paraId="29A93D53"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r>
      <w:tr w:rsidR="0091638B" w:rsidRPr="003D6CAB" w14:paraId="37F1E6F0" w14:textId="77777777" w:rsidTr="00480EA7">
        <w:tc>
          <w:tcPr>
            <w:cnfStyle w:val="001000000000" w:firstRow="0" w:lastRow="0" w:firstColumn="1" w:lastColumn="0" w:oddVBand="0" w:evenVBand="0" w:oddHBand="0" w:evenHBand="0" w:firstRowFirstColumn="0" w:firstRowLastColumn="0" w:lastRowFirstColumn="0" w:lastRowLastColumn="0"/>
            <w:tcW w:w="2164" w:type="pct"/>
            <w:hideMark/>
          </w:tcPr>
          <w:p w14:paraId="5BA1744B" w14:textId="77777777" w:rsidR="0091638B" w:rsidRPr="003D6CAB" w:rsidRDefault="0091638B" w:rsidP="00480EA7">
            <w:pPr>
              <w:rPr>
                <w:b w:val="0"/>
              </w:rPr>
            </w:pPr>
            <w:r w:rsidRPr="003D6CAB">
              <w:rPr>
                <w:b w:val="0"/>
              </w:rPr>
              <w:t>Equipment &amp; Technical Setup</w:t>
            </w:r>
          </w:p>
        </w:tc>
        <w:tc>
          <w:tcPr>
            <w:tcW w:w="1362" w:type="pct"/>
            <w:hideMark/>
          </w:tcPr>
          <w:p w14:paraId="5BF74E6A"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3,000</w:t>
            </w:r>
          </w:p>
        </w:tc>
        <w:tc>
          <w:tcPr>
            <w:tcW w:w="1474" w:type="pct"/>
            <w:hideMark/>
          </w:tcPr>
          <w:p w14:paraId="39882B4C"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p>
        </w:tc>
      </w:tr>
      <w:tr w:rsidR="0091638B" w:rsidRPr="003D6CAB" w14:paraId="4C51553E"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56356758" w14:textId="77777777" w:rsidR="0091638B" w:rsidRPr="003D6CAB" w:rsidRDefault="0091638B" w:rsidP="00480EA7">
            <w:pPr>
              <w:rPr>
                <w:b w:val="0"/>
              </w:rPr>
            </w:pPr>
            <w:r w:rsidRPr="003D6CAB">
              <w:rPr>
                <w:b w:val="0"/>
              </w:rPr>
              <w:t>Eco-Tour Logistics</w:t>
            </w:r>
          </w:p>
        </w:tc>
        <w:tc>
          <w:tcPr>
            <w:tcW w:w="1362" w:type="pct"/>
            <w:hideMark/>
          </w:tcPr>
          <w:p w14:paraId="59CA72DC"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2,500</w:t>
            </w:r>
          </w:p>
        </w:tc>
        <w:tc>
          <w:tcPr>
            <w:tcW w:w="1474" w:type="pct"/>
            <w:hideMark/>
          </w:tcPr>
          <w:p w14:paraId="46A53E3C"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r>
      <w:tr w:rsidR="0091638B" w:rsidRPr="003D6CAB" w14:paraId="12F01C73" w14:textId="77777777" w:rsidTr="00480EA7">
        <w:tc>
          <w:tcPr>
            <w:cnfStyle w:val="001000000000" w:firstRow="0" w:lastRow="0" w:firstColumn="1" w:lastColumn="0" w:oddVBand="0" w:evenVBand="0" w:oddHBand="0" w:evenHBand="0" w:firstRowFirstColumn="0" w:firstRowLastColumn="0" w:lastRowFirstColumn="0" w:lastRowLastColumn="0"/>
            <w:tcW w:w="2164" w:type="pct"/>
            <w:hideMark/>
          </w:tcPr>
          <w:p w14:paraId="6740165E" w14:textId="77777777" w:rsidR="0091638B" w:rsidRPr="003D6CAB" w:rsidRDefault="0091638B" w:rsidP="00480EA7">
            <w:pPr>
              <w:rPr>
                <w:b w:val="0"/>
              </w:rPr>
            </w:pPr>
            <w:r w:rsidRPr="003D6CAB">
              <w:rPr>
                <w:b w:val="0"/>
              </w:rPr>
              <w:t>Miscellaneous (insurance, etc.)</w:t>
            </w:r>
          </w:p>
        </w:tc>
        <w:tc>
          <w:tcPr>
            <w:tcW w:w="1362" w:type="pct"/>
            <w:hideMark/>
          </w:tcPr>
          <w:p w14:paraId="20A7151A"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1,000</w:t>
            </w:r>
          </w:p>
        </w:tc>
        <w:tc>
          <w:tcPr>
            <w:tcW w:w="1474" w:type="pct"/>
            <w:hideMark/>
          </w:tcPr>
          <w:p w14:paraId="44E15113"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p>
        </w:tc>
      </w:tr>
      <w:tr w:rsidR="0091638B" w:rsidRPr="003D6CAB" w14:paraId="363EA695"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20801363" w14:textId="77777777" w:rsidR="0091638B" w:rsidRPr="003D6CAB" w:rsidRDefault="0091638B" w:rsidP="00480EA7">
            <w:r w:rsidRPr="003D6CAB">
              <w:t>Total Cost</w:t>
            </w:r>
          </w:p>
        </w:tc>
        <w:tc>
          <w:tcPr>
            <w:tcW w:w="1362" w:type="pct"/>
            <w:hideMark/>
          </w:tcPr>
          <w:p w14:paraId="6C748BDD"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rPr>
                <w:b/>
              </w:rPr>
            </w:pPr>
            <w:r w:rsidRPr="003D6CAB">
              <w:rPr>
                <w:b/>
              </w:rPr>
              <w:t>30,000</w:t>
            </w:r>
          </w:p>
        </w:tc>
        <w:tc>
          <w:tcPr>
            <w:tcW w:w="1474" w:type="pct"/>
            <w:hideMark/>
          </w:tcPr>
          <w:p w14:paraId="4E268164"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r>
      <w:tr w:rsidR="0091638B" w:rsidRPr="003D6CAB" w14:paraId="4CED8BD0" w14:textId="77777777" w:rsidTr="00480EA7">
        <w:tc>
          <w:tcPr>
            <w:cnfStyle w:val="001000000000" w:firstRow="0" w:lastRow="0" w:firstColumn="1" w:lastColumn="0" w:oddVBand="0" w:evenVBand="0" w:oddHBand="0" w:evenHBand="0" w:firstRowFirstColumn="0" w:firstRowLastColumn="0" w:lastRowFirstColumn="0" w:lastRowLastColumn="0"/>
            <w:tcW w:w="2164" w:type="pct"/>
            <w:hideMark/>
          </w:tcPr>
          <w:p w14:paraId="1C896006" w14:textId="77777777" w:rsidR="0091638B" w:rsidRPr="003D6CAB" w:rsidRDefault="0091638B" w:rsidP="00480EA7">
            <w:pPr>
              <w:rPr>
                <w:b w:val="0"/>
              </w:rPr>
            </w:pPr>
            <w:r w:rsidRPr="003D6CAB">
              <w:rPr>
                <w:b w:val="0"/>
              </w:rPr>
              <w:t>Ticket Sales (285 x £95)</w:t>
            </w:r>
          </w:p>
        </w:tc>
        <w:tc>
          <w:tcPr>
            <w:tcW w:w="1362" w:type="pct"/>
            <w:hideMark/>
          </w:tcPr>
          <w:p w14:paraId="5D357B01"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p>
        </w:tc>
        <w:tc>
          <w:tcPr>
            <w:tcW w:w="1474" w:type="pct"/>
            <w:hideMark/>
          </w:tcPr>
          <w:p w14:paraId="67BCB160"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27,075</w:t>
            </w:r>
          </w:p>
        </w:tc>
      </w:tr>
      <w:tr w:rsidR="0091638B" w:rsidRPr="003D6CAB" w14:paraId="74A1EC6E"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50197F88" w14:textId="77777777" w:rsidR="0091638B" w:rsidRPr="003D6CAB" w:rsidRDefault="0091638B" w:rsidP="00480EA7">
            <w:pPr>
              <w:rPr>
                <w:b w:val="0"/>
              </w:rPr>
            </w:pPr>
            <w:r w:rsidRPr="003D6CAB">
              <w:rPr>
                <w:b w:val="0"/>
              </w:rPr>
              <w:t>Visit Wales Support Grant</w:t>
            </w:r>
          </w:p>
        </w:tc>
        <w:tc>
          <w:tcPr>
            <w:tcW w:w="1362" w:type="pct"/>
            <w:hideMark/>
          </w:tcPr>
          <w:p w14:paraId="7D3E5D7E"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c>
          <w:tcPr>
            <w:tcW w:w="1474" w:type="pct"/>
            <w:hideMark/>
          </w:tcPr>
          <w:p w14:paraId="5C95A9DA"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r w:rsidRPr="003D6CAB">
              <w:t>3,000</w:t>
            </w:r>
          </w:p>
        </w:tc>
      </w:tr>
      <w:tr w:rsidR="0091638B" w:rsidRPr="003D6CAB" w14:paraId="4BF5D5A1" w14:textId="77777777" w:rsidTr="00480EA7">
        <w:tc>
          <w:tcPr>
            <w:cnfStyle w:val="001000000000" w:firstRow="0" w:lastRow="0" w:firstColumn="1" w:lastColumn="0" w:oddVBand="0" w:evenVBand="0" w:oddHBand="0" w:evenHBand="0" w:firstRowFirstColumn="0" w:firstRowLastColumn="0" w:lastRowFirstColumn="0" w:lastRowLastColumn="0"/>
            <w:tcW w:w="2164" w:type="pct"/>
            <w:hideMark/>
          </w:tcPr>
          <w:p w14:paraId="02F828CF" w14:textId="77777777" w:rsidR="0091638B" w:rsidRPr="003D6CAB" w:rsidRDefault="0091638B" w:rsidP="00480EA7">
            <w:pPr>
              <w:rPr>
                <w:b w:val="0"/>
              </w:rPr>
            </w:pPr>
            <w:r w:rsidRPr="003D6CAB">
              <w:rPr>
                <w:b w:val="0"/>
              </w:rPr>
              <w:t>Local Business Sponsorships</w:t>
            </w:r>
          </w:p>
        </w:tc>
        <w:tc>
          <w:tcPr>
            <w:tcW w:w="1362" w:type="pct"/>
            <w:hideMark/>
          </w:tcPr>
          <w:p w14:paraId="05422F98"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p>
        </w:tc>
        <w:tc>
          <w:tcPr>
            <w:tcW w:w="1474" w:type="pct"/>
            <w:hideMark/>
          </w:tcPr>
          <w:p w14:paraId="57289C02" w14:textId="77777777" w:rsidR="0091638B" w:rsidRPr="003D6CAB" w:rsidRDefault="0091638B" w:rsidP="00480EA7">
            <w:pPr>
              <w:cnfStyle w:val="000000000000" w:firstRow="0" w:lastRow="0" w:firstColumn="0" w:lastColumn="0" w:oddVBand="0" w:evenVBand="0" w:oddHBand="0" w:evenHBand="0" w:firstRowFirstColumn="0" w:firstRowLastColumn="0" w:lastRowFirstColumn="0" w:lastRowLastColumn="0"/>
            </w:pPr>
            <w:r w:rsidRPr="003D6CAB">
              <w:t>500</w:t>
            </w:r>
          </w:p>
        </w:tc>
      </w:tr>
      <w:tr w:rsidR="0091638B" w:rsidRPr="003D6CAB" w14:paraId="7C0F5335"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hideMark/>
          </w:tcPr>
          <w:p w14:paraId="31115509" w14:textId="77777777" w:rsidR="0091638B" w:rsidRPr="003D6CAB" w:rsidRDefault="0091638B" w:rsidP="00480EA7">
            <w:r w:rsidRPr="003D6CAB">
              <w:t>Total Income</w:t>
            </w:r>
          </w:p>
        </w:tc>
        <w:tc>
          <w:tcPr>
            <w:tcW w:w="1362" w:type="pct"/>
            <w:hideMark/>
          </w:tcPr>
          <w:p w14:paraId="00F8020E"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pPr>
          </w:p>
        </w:tc>
        <w:tc>
          <w:tcPr>
            <w:tcW w:w="1474" w:type="pct"/>
            <w:hideMark/>
          </w:tcPr>
          <w:p w14:paraId="45738703" w14:textId="77777777" w:rsidR="0091638B" w:rsidRPr="003D6CAB" w:rsidRDefault="0091638B" w:rsidP="00480EA7">
            <w:pPr>
              <w:cnfStyle w:val="000000100000" w:firstRow="0" w:lastRow="0" w:firstColumn="0" w:lastColumn="0" w:oddVBand="0" w:evenVBand="0" w:oddHBand="1" w:evenHBand="0" w:firstRowFirstColumn="0" w:firstRowLastColumn="0" w:lastRowFirstColumn="0" w:lastRowLastColumn="0"/>
              <w:rPr>
                <w:b/>
                <w:u w:val="single"/>
              </w:rPr>
            </w:pPr>
            <w:r w:rsidRPr="003D6CAB">
              <w:rPr>
                <w:b/>
                <w:u w:val="single"/>
              </w:rPr>
              <w:t>30,575</w:t>
            </w:r>
          </w:p>
        </w:tc>
      </w:tr>
    </w:tbl>
    <w:p w14:paraId="72F80ABE" w14:textId="77777777" w:rsidR="0091638B" w:rsidRDefault="0091638B" w:rsidP="0091638B">
      <w:r w:rsidRPr="004F2AE6">
        <w:br/>
      </w:r>
    </w:p>
    <w:p w14:paraId="30C109D8" w14:textId="77777777" w:rsidR="0091638B" w:rsidRPr="004F2AE6" w:rsidRDefault="0091638B" w:rsidP="0091638B">
      <w:pPr>
        <w:pStyle w:val="Heading1"/>
      </w:pPr>
      <w:bookmarkStart w:id="7" w:name="_Toc200607422"/>
      <w:r w:rsidRPr="004F2AE6">
        <w:lastRenderedPageBreak/>
        <w:t>Industry Trends, Issues, and Impacts</w:t>
      </w:r>
      <w:bookmarkEnd w:id="7"/>
    </w:p>
    <w:p w14:paraId="78A36FD1" w14:textId="77777777" w:rsidR="0091638B" w:rsidRPr="006C3E84" w:rsidRDefault="0091638B" w:rsidP="0091638B">
      <w:pPr>
        <w:rPr>
          <w:rFonts w:eastAsia="Times New Roman" w:cs="Times New Roman"/>
          <w:szCs w:val="24"/>
          <w:lang w:val="en-US"/>
        </w:rPr>
      </w:pPr>
      <w:r w:rsidRPr="004F2AE6">
        <w:rPr>
          <w:b/>
        </w:rPr>
        <w:t xml:space="preserve">Sustainability as a Core Industry Driver: </w:t>
      </w:r>
      <w:r w:rsidRPr="004F2AE6">
        <w:t xml:space="preserve">Global gatherings and events are driven by sustainability. Event organisers are going green for climate, environmental, and social reasons. Sustainable tourism and eco-hospitality are Green Croeso Forum </w:t>
      </w:r>
      <w:r>
        <w:t>priorities</w:t>
      </w:r>
      <w:r w:rsidRPr="004F2AE6">
        <w:t xml:space="preserve"> due to legislation and stakeholder demands. COP26 in Glasgow showcased zero waste, carbon offsetting, and renewable energy in large gatherings</w:t>
      </w:r>
      <w:r>
        <w:t xml:space="preserve"> </w:t>
      </w:r>
      <w:r w:rsidRPr="006C3E84">
        <w:rPr>
          <w:rFonts w:eastAsia="Times New Roman" w:cs="Times New Roman"/>
          <w:szCs w:val="24"/>
          <w:lang w:val="en-US"/>
        </w:rPr>
        <w:t>(Toscani, Vendraminelli and Vinelli, 2024)</w:t>
      </w:r>
      <w:r w:rsidRPr="004F2AE6">
        <w:t>. GSTC event sustainability requirements encourage ethical procurement, waste management, and community engagement. This trend considerably impacts operational planning. The Green Croeso Forum chose the National Botanic Garden of Wales. Renewable energy and biodiversity-friendly architecture lower event carbon emissions. Sustainability in catering is another trend. The GreenBiz VERGE Conference serves local, organic, and plant-based food to reduce environmental impact</w:t>
      </w:r>
      <w:r>
        <w:t xml:space="preserve"> </w:t>
      </w:r>
      <w:r w:rsidRPr="00B3454E">
        <w:rPr>
          <w:rFonts w:eastAsia="Times New Roman" w:cs="Times New Roman"/>
          <w:szCs w:val="24"/>
          <w:lang w:val="en-US"/>
        </w:rPr>
        <w:t>(Werner, Griese and Hoth, 2023)</w:t>
      </w:r>
      <w:r w:rsidRPr="004F2AE6">
        <w:t xml:space="preserve">. Green Croeso </w:t>
      </w:r>
      <w:r>
        <w:t>will employ</w:t>
      </w:r>
      <w:r w:rsidRPr="004F2AE6">
        <w:t xml:space="preserve"> Welsh organic vegetables to reduce food miles and increase authenticity. </w:t>
      </w:r>
    </w:p>
    <w:p w14:paraId="3105A8A7" w14:textId="77777777" w:rsidR="0091638B" w:rsidRPr="00B3454E" w:rsidRDefault="0091638B" w:rsidP="0091638B">
      <w:pPr>
        <w:rPr>
          <w:rFonts w:eastAsia="Times New Roman" w:cs="Times New Roman"/>
          <w:szCs w:val="24"/>
          <w:lang w:val="en-US"/>
        </w:rPr>
      </w:pPr>
      <w:r w:rsidRPr="004F2AE6">
        <w:rPr>
          <w:b/>
        </w:rPr>
        <w:t>Technological Innovation and Hybrid Events:</w:t>
      </w:r>
      <w:r w:rsidRPr="004F2AE6">
        <w:t xml:space="preserve"> Digitisation altered event delivery. After COVID-19 increased industrial digital use, hybrid and virtual events increased. 75% of event professionals will employ hybrid components to boost reach and eng</w:t>
      </w:r>
      <w:r>
        <w:t xml:space="preserve">agement in 2023 </w:t>
      </w:r>
      <w:r w:rsidRPr="00B3454E">
        <w:rPr>
          <w:rFonts w:eastAsia="Times New Roman" w:cs="Times New Roman"/>
          <w:szCs w:val="24"/>
          <w:lang w:val="en-US"/>
        </w:rPr>
        <w:t>(Celuch and Neuhofer, 2023)</w:t>
      </w:r>
      <w:r w:rsidRPr="004F2AE6">
        <w:t xml:space="preserve">. Face-to-face Welsh nature immersion is the focus of </w:t>
      </w:r>
      <w:r>
        <w:t xml:space="preserve">the </w:t>
      </w:r>
      <w:r w:rsidRPr="004F2AE6">
        <w:t>Green Croeso conference. Livestreamed keynotes or virtual displays could enhance global access. World Travel Market (WTM) London went global and offered networking possibilities using a hybrid strategy</w:t>
      </w:r>
      <w:r>
        <w:t xml:space="preserve"> </w:t>
      </w:r>
      <w:r w:rsidRPr="00B3454E">
        <w:rPr>
          <w:rFonts w:eastAsia="Times New Roman" w:cs="Times New Roman"/>
          <w:szCs w:val="24"/>
          <w:lang w:val="en-US"/>
        </w:rPr>
        <w:t>(Rossetti et al., 2025)</w:t>
      </w:r>
      <w:r w:rsidRPr="004F2AE6">
        <w:t xml:space="preserve">. AI-powered matchmaking, mobile event applications, and real-time feedback boost attendance. Environmental NGOs, policymakers, and industry professionals network through Green Croeso. </w:t>
      </w:r>
    </w:p>
    <w:p w14:paraId="4123CEBB" w14:textId="77777777" w:rsidR="0091638B" w:rsidRPr="00B3454E" w:rsidRDefault="0091638B" w:rsidP="0091638B">
      <w:pPr>
        <w:rPr>
          <w:rFonts w:eastAsia="Times New Roman" w:cs="Times New Roman"/>
          <w:szCs w:val="24"/>
          <w:lang w:val="en-US"/>
        </w:rPr>
      </w:pPr>
      <w:r w:rsidRPr="004F2AE6">
        <w:rPr>
          <w:b/>
        </w:rPr>
        <w:t>Health, Safety, and Regulatory Compliance:</w:t>
      </w:r>
      <w:r w:rsidRPr="004F2AE6">
        <w:t xml:space="preserve"> Post-pandemic planning prioritises health and safety. For participants' safety and confidence, event organisers must follow stricter hygiene, social </w:t>
      </w:r>
      <w:r>
        <w:t>distancing</w:t>
      </w:r>
      <w:r w:rsidRPr="004F2AE6">
        <w:t>, and emergency readiness regulations. Risk assessments and cont</w:t>
      </w:r>
      <w:r>
        <w:t>ingency planning are essential</w:t>
      </w:r>
      <w:r w:rsidRPr="004F2AE6">
        <w:t xml:space="preserve">. These include monitoring visitor flow at exposition stands, ensuring sufficient sanitisation stations, and possibly adapting techniques as public health needs alter closer to the Green Croeso Forum. At the 2021 Tokyo 2020 Olympics, contact tracking and testing protected </w:t>
      </w:r>
      <w:r w:rsidRPr="004F2AE6">
        <w:lastRenderedPageBreak/>
        <w:t>enormous viewers</w:t>
      </w:r>
      <w:r>
        <w:t xml:space="preserve"> </w:t>
      </w:r>
      <w:r w:rsidRPr="00B3454E">
        <w:rPr>
          <w:rFonts w:eastAsia="Times New Roman" w:cs="Times New Roman"/>
          <w:szCs w:val="24"/>
          <w:lang w:val="en-US"/>
        </w:rPr>
        <w:t>(Ziółkowska, 2021)</w:t>
      </w:r>
      <w:r w:rsidRPr="004F2AE6">
        <w:t xml:space="preserve">. Green Croeso's proactive health activities increase its reputation and viability while being smaller. </w:t>
      </w:r>
    </w:p>
    <w:p w14:paraId="15BEC164" w14:textId="77777777" w:rsidR="0091638B" w:rsidRDefault="0091638B" w:rsidP="0091638B">
      <w:r w:rsidRPr="004F2AE6">
        <w:rPr>
          <w:b/>
        </w:rPr>
        <w:t xml:space="preserve">Inclusion and Diversity in Event Programming: </w:t>
      </w:r>
      <w:r w:rsidRPr="004F2AE6">
        <w:t>DEI impacts content, vendors, and attendees. Events that embrace everyone foster civic duty and diversity. Welsh and international eco-hospitality leaders deepen Green Croeso global sustainability discussions</w:t>
      </w:r>
      <w:r>
        <w:t xml:space="preserve"> </w:t>
      </w:r>
      <w:r w:rsidRPr="00B3454E">
        <w:rPr>
          <w:rFonts w:eastAsia="Times New Roman" w:cs="Times New Roman"/>
          <w:szCs w:val="24"/>
          <w:lang w:val="en-US"/>
        </w:rPr>
        <w:t>(Ziółkowska, 2021)</w:t>
      </w:r>
      <w:r w:rsidRPr="004F2AE6">
        <w:t xml:space="preserve">. Modern meetings should be inclusive. The event provides disabled and international delegates with physical, sensory, and language support. </w:t>
      </w:r>
    </w:p>
    <w:p w14:paraId="520DCA8E" w14:textId="77777777" w:rsidR="0091638B" w:rsidRDefault="0091638B" w:rsidP="0091638B">
      <w:pPr>
        <w:rPr>
          <w:rFonts w:eastAsia="Times New Roman" w:cs="Times New Roman"/>
          <w:szCs w:val="24"/>
          <w:lang w:val="en-US"/>
        </w:rPr>
      </w:pPr>
      <w:r>
        <w:rPr>
          <w:rFonts w:eastAsia="Times New Roman" w:cs="Times New Roman"/>
          <w:noProof/>
          <w:szCs w:val="24"/>
          <w:lang w:val="en-US"/>
        </w:rPr>
        <w:drawing>
          <wp:inline distT="0" distB="0" distL="0" distR="0" wp14:anchorId="6C083DB7" wp14:editId="133485E0">
            <wp:extent cx="5943600" cy="2697480"/>
            <wp:effectExtent l="0" t="0" r="19050" b="762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6209062" w14:textId="77777777" w:rsidR="0091638B" w:rsidRDefault="0091638B" w:rsidP="0091638B">
      <w:pPr>
        <w:jc w:val="center"/>
        <w:rPr>
          <w:rFonts w:eastAsia="Times New Roman" w:cs="Times New Roman"/>
          <w:szCs w:val="24"/>
          <w:lang w:val="en-US"/>
        </w:rPr>
      </w:pPr>
      <w:r>
        <w:rPr>
          <w:rFonts w:eastAsia="Times New Roman" w:cs="Times New Roman"/>
          <w:szCs w:val="24"/>
          <w:lang w:val="en-US"/>
        </w:rPr>
        <w:t>Figure 4: Trends</w:t>
      </w:r>
    </w:p>
    <w:p w14:paraId="5A5007E5" w14:textId="77777777" w:rsidR="0091638B" w:rsidRPr="00B3454E" w:rsidRDefault="0091638B" w:rsidP="0091638B">
      <w:pPr>
        <w:jc w:val="center"/>
        <w:rPr>
          <w:rFonts w:eastAsia="Times New Roman" w:cs="Times New Roman"/>
          <w:szCs w:val="24"/>
          <w:lang w:val="en-US"/>
        </w:rPr>
      </w:pPr>
      <w:r>
        <w:rPr>
          <w:rFonts w:eastAsia="Times New Roman" w:cs="Times New Roman"/>
          <w:szCs w:val="24"/>
          <w:lang w:val="en-US"/>
        </w:rPr>
        <w:t xml:space="preserve">Source: </w:t>
      </w:r>
      <w:r w:rsidRPr="006C3E84">
        <w:rPr>
          <w:rFonts w:eastAsia="Times New Roman" w:cs="Times New Roman"/>
          <w:szCs w:val="24"/>
          <w:lang w:val="en-US"/>
        </w:rPr>
        <w:t>(Toscani, Vendraminelli and Vinelli, 2024)</w:t>
      </w:r>
    </w:p>
    <w:p w14:paraId="4B4BC59D" w14:textId="77777777" w:rsidR="0091638B" w:rsidRDefault="0091638B" w:rsidP="0091638B"/>
    <w:p w14:paraId="34E907AE" w14:textId="77777777" w:rsidR="0091638B" w:rsidRDefault="0091638B" w:rsidP="0091638B"/>
    <w:p w14:paraId="6AD86A69" w14:textId="77777777" w:rsidR="0091638B" w:rsidRDefault="0091638B" w:rsidP="0091638B"/>
    <w:p w14:paraId="0B7733EF" w14:textId="77777777" w:rsidR="0091638B" w:rsidRDefault="0091638B" w:rsidP="0091638B"/>
    <w:p w14:paraId="77101FFA" w14:textId="77777777" w:rsidR="0091638B" w:rsidRDefault="0091638B" w:rsidP="0091638B"/>
    <w:p w14:paraId="40A7B6F3" w14:textId="77777777" w:rsidR="0091638B" w:rsidRDefault="0091638B" w:rsidP="0091638B"/>
    <w:p w14:paraId="7D226F4D" w14:textId="77777777" w:rsidR="0091638B" w:rsidRDefault="0091638B" w:rsidP="0091638B"/>
    <w:p w14:paraId="2D14D3CF" w14:textId="77777777" w:rsidR="0091638B" w:rsidRDefault="0091638B" w:rsidP="0091638B"/>
    <w:p w14:paraId="130E8957" w14:textId="77777777" w:rsidR="0091638B" w:rsidRDefault="0091638B" w:rsidP="0091638B"/>
    <w:p w14:paraId="2FB7799E" w14:textId="77777777" w:rsidR="0091638B" w:rsidRPr="004F2AE6" w:rsidRDefault="0091638B" w:rsidP="0091638B">
      <w:pPr>
        <w:pStyle w:val="Heading1"/>
      </w:pPr>
      <w:bookmarkStart w:id="8" w:name="_Toc200607423"/>
      <w:r w:rsidRPr="004F2AE6">
        <w:t>Situational and Cultural Considerations</w:t>
      </w:r>
      <w:bookmarkEnd w:id="8"/>
    </w:p>
    <w:p w14:paraId="2CC15FEB" w14:textId="77777777" w:rsidR="0091638B" w:rsidRPr="004F2AE6" w:rsidRDefault="0091638B" w:rsidP="0091638B">
      <w:r>
        <w:t>Situational and cultural considerations</w:t>
      </w:r>
      <w:r w:rsidRPr="004F2AE6">
        <w:t xml:space="preserve"> greatly affect event planning, execution, and success. These issues impact event sustainability, stakeholder expectations, and Wales' eco-tourism leadership. These are identified and assessed using PESTEL and SWOT. </w:t>
      </w:r>
    </w:p>
    <w:p w14:paraId="118972B8" w14:textId="77777777" w:rsidR="0091638B" w:rsidRDefault="0091638B" w:rsidP="0091638B">
      <w:r w:rsidRPr="004F2AE6">
        <w:rPr>
          <w:b/>
        </w:rPr>
        <w:t>Situational Considerations:</w:t>
      </w:r>
      <w:r w:rsidRPr="004F2AE6">
        <w:t xml:space="preserve"> Externalities change the environment. Political, economic, social, technical, environmental, and legal issues are highlighted via </w:t>
      </w:r>
      <w:r>
        <w:t xml:space="preserve">a </w:t>
      </w:r>
      <w:r w:rsidRPr="004F2AE6">
        <w:t>structured PESTEL study. The Welsh Government's Year of Croeso 2025 promotes culture and sustainability politically. Weather, politics, and public health can cause uncertainty. Sustainable laws may complicate compliance and operations</w:t>
      </w:r>
      <w:r>
        <w:t xml:space="preserve"> </w:t>
      </w:r>
      <w:r w:rsidRPr="00B3454E">
        <w:rPr>
          <w:rFonts w:eastAsia="Times New Roman" w:cs="Times New Roman"/>
          <w:szCs w:val="24"/>
          <w:lang w:val="en-US"/>
        </w:rPr>
        <w:t>(Wang and Guo, 2024)</w:t>
      </w:r>
      <w:r w:rsidRPr="004F2AE6">
        <w:t xml:space="preserve">. International participation and supply chain operations may require adaptation to Brexit trade and travel restrictions. Green tourism grows globally, but sponsorship and inflation limit it. Rising venue, catering, and technical costs must be balanced with ticket sales and outside funding. </w:t>
      </w:r>
    </w:p>
    <w:p w14:paraId="6102C719" w14:textId="77777777" w:rsidR="0091638B" w:rsidRDefault="0091638B" w:rsidP="0091638B">
      <w:r w:rsidRPr="004F2AE6">
        <w:t>Green Croeso promotes global sustainability and eco-consciousness. This social movement promotes forum education and community involvement. Representatives from different cultures must have different values, communication methods, and expectations</w:t>
      </w:r>
      <w:r>
        <w:t xml:space="preserve"> </w:t>
      </w:r>
      <w:r w:rsidRPr="00B3454E">
        <w:rPr>
          <w:rFonts w:eastAsia="Times New Roman" w:cs="Times New Roman"/>
          <w:szCs w:val="24"/>
          <w:lang w:val="en-US"/>
        </w:rPr>
        <w:t>(Wang, 2021)</w:t>
      </w:r>
      <w:r w:rsidRPr="004F2AE6">
        <w:t xml:space="preserve">. Regional environmental rules affect sustainability. Due to diversity, event planning and interactions must promote tolerance and cultural knowledge. Virtual participation and digital technologies can increase event reach and reduce environmental </w:t>
      </w:r>
      <w:r>
        <w:t>effects</w:t>
      </w:r>
      <w:r w:rsidRPr="004F2AE6">
        <w:t xml:space="preserve">. Technology needs backup and </w:t>
      </w:r>
      <w:r>
        <w:t xml:space="preserve">a </w:t>
      </w:r>
      <w:r w:rsidRPr="004F2AE6">
        <w:t xml:space="preserve">reliable infrastructure. Since participants use technology, fair engagement demands flexibility. Welsh National Botanic Garden </w:t>
      </w:r>
      <w:r>
        <w:t xml:space="preserve">is </w:t>
      </w:r>
      <w:r w:rsidRPr="004F2AE6">
        <w:t>accredited for sustainability. Conservation, garbage reduction, and renewable energy define event authenticity</w:t>
      </w:r>
      <w:r>
        <w:t xml:space="preserve"> </w:t>
      </w:r>
      <w:r w:rsidRPr="00B3454E">
        <w:rPr>
          <w:rFonts w:eastAsia="Times New Roman" w:cs="Times New Roman"/>
          <w:szCs w:val="24"/>
          <w:lang w:val="en-US"/>
        </w:rPr>
        <w:t>(Toscani, Vendraminelli and Vinelli, 2024)</w:t>
      </w:r>
      <w:r w:rsidRPr="004F2AE6">
        <w:t xml:space="preserve">. Weather uncertainty should be anticipated to protect people and ecosystems. </w:t>
      </w:r>
    </w:p>
    <w:p w14:paraId="429CE425" w14:textId="77777777" w:rsidR="0091638B" w:rsidRDefault="0091638B" w:rsidP="0091638B">
      <w:r w:rsidRPr="004F2AE6">
        <w:rPr>
          <w:b/>
        </w:rPr>
        <w:t>Cultural Considerations:</w:t>
      </w:r>
      <w:r w:rsidRPr="004F2AE6">
        <w:t xml:space="preserve"> </w:t>
      </w:r>
      <w:r>
        <w:t xml:space="preserve">The </w:t>
      </w:r>
      <w:r w:rsidRPr="004F2AE6">
        <w:t>Design and implementation of event culture include local and foreign cultures and values. Event experiences must reflect Wales' rich culture and the Year of Croeso campaign's emphasis on hospitality and charity. Welsh language, local traditions, and community involvement enhance the event</w:t>
      </w:r>
      <w:r>
        <w:t xml:space="preserve"> </w:t>
      </w:r>
      <w:r w:rsidRPr="00B3454E">
        <w:rPr>
          <w:rFonts w:eastAsia="Times New Roman" w:cs="Times New Roman"/>
          <w:szCs w:val="24"/>
          <w:lang w:val="en-US"/>
        </w:rPr>
        <w:t>(Smith and Mair, 2022)</w:t>
      </w:r>
      <w:r w:rsidRPr="004F2AE6">
        <w:t xml:space="preserve">. World hospitality and </w:t>
      </w:r>
      <w:r w:rsidRPr="004F2AE6">
        <w:lastRenderedPageBreak/>
        <w:t xml:space="preserve">sustainability forums reflect diverse cultures. Valued distinctions foster knowledge sharing and collaboration. Event staff and presenters must be culturally competent to avoid miscommunications. </w:t>
      </w:r>
      <w:r w:rsidRPr="004F2AE6">
        <w:br/>
      </w:r>
    </w:p>
    <w:p w14:paraId="17E94605" w14:textId="77777777" w:rsidR="0091638B" w:rsidRPr="004F2AE6" w:rsidRDefault="0091638B" w:rsidP="0091638B">
      <w:pPr>
        <w:pStyle w:val="Heading1"/>
      </w:pPr>
      <w:bookmarkStart w:id="9" w:name="_Toc200607424"/>
      <w:r w:rsidRPr="004F2AE6">
        <w:t>Conclusion</w:t>
      </w:r>
      <w:bookmarkEnd w:id="9"/>
      <w:r w:rsidRPr="004F2AE6">
        <w:t xml:space="preserve"> </w:t>
      </w:r>
    </w:p>
    <w:p w14:paraId="6B2FFAD7" w14:textId="77777777" w:rsidR="0091638B" w:rsidRDefault="0091638B" w:rsidP="0091638B">
      <w:r w:rsidRPr="004F2AE6">
        <w:t xml:space="preserve">The event (Green Croeso: Sustainable Tourism &amp; Eco-Hospitality Forum) will </w:t>
      </w:r>
      <w:r>
        <w:t>promote</w:t>
      </w:r>
      <w:r w:rsidRPr="004F2AE6">
        <w:t xml:space="preserve"> Welsh culture and environmental responsibility to meet worldwide eco-tourism demand under Croeso 2025. Strategic planning, budget management, and resource allocation address operational, financial, and marketing elements to deliver. Event complexity and issues are explained by PESTEL, SWOT, and Event Cycle theories. Stakeholder participation and operational effectiveness depend on managing political support, economic volatility, social trends, and environmental responsibilities, according to these technologies. Lawmakers, international experts, and local green businesses share innovative ideas and best practices. Cultural awareness and diversity boost event impact. For long-term economic and ecological goals, the event promotes sustainable tourism, Welsh hospitality, and environmental care.</w:t>
      </w:r>
    </w:p>
    <w:p w14:paraId="2AB6FFD2" w14:textId="77777777" w:rsidR="0091638B" w:rsidRDefault="0091638B" w:rsidP="0091638B"/>
    <w:p w14:paraId="4980DC8D" w14:textId="77777777" w:rsidR="0091638B" w:rsidRDefault="0091638B" w:rsidP="0091638B"/>
    <w:p w14:paraId="6F99EF14" w14:textId="77777777" w:rsidR="0091638B" w:rsidRDefault="0091638B" w:rsidP="0091638B"/>
    <w:p w14:paraId="7F75B4A5" w14:textId="77777777" w:rsidR="0091638B" w:rsidRDefault="0091638B" w:rsidP="0091638B"/>
    <w:p w14:paraId="61A00ACF" w14:textId="77777777" w:rsidR="0091638B" w:rsidRDefault="0091638B" w:rsidP="0091638B"/>
    <w:p w14:paraId="53CBA48E" w14:textId="77777777" w:rsidR="0091638B" w:rsidRDefault="0091638B" w:rsidP="0091638B"/>
    <w:p w14:paraId="4674B101" w14:textId="77777777" w:rsidR="0091638B" w:rsidRDefault="0091638B" w:rsidP="0091638B"/>
    <w:p w14:paraId="05B74FE7" w14:textId="77777777" w:rsidR="0091638B" w:rsidRDefault="0091638B" w:rsidP="0091638B"/>
    <w:p w14:paraId="648110E8" w14:textId="77777777" w:rsidR="0091638B" w:rsidRDefault="0091638B" w:rsidP="0091638B"/>
    <w:p w14:paraId="467272C4" w14:textId="77777777" w:rsidR="0091638B" w:rsidRDefault="0091638B" w:rsidP="0091638B"/>
    <w:p w14:paraId="2FA9A4EB" w14:textId="77777777" w:rsidR="0091638B" w:rsidRDefault="0091638B" w:rsidP="0091638B"/>
    <w:p w14:paraId="1A288B70" w14:textId="77777777" w:rsidR="0091638B" w:rsidRDefault="0091638B" w:rsidP="0091638B"/>
    <w:p w14:paraId="207A06C8" w14:textId="77777777" w:rsidR="0091638B" w:rsidRDefault="0091638B" w:rsidP="0091638B"/>
    <w:p w14:paraId="0462D7E3" w14:textId="77777777" w:rsidR="0091638B" w:rsidRPr="003D6CAB" w:rsidRDefault="0091638B" w:rsidP="0091638B">
      <w:pPr>
        <w:pStyle w:val="Heading1"/>
      </w:pPr>
      <w:bookmarkStart w:id="10" w:name="_Toc200607425"/>
      <w:r>
        <w:t>References</w:t>
      </w:r>
      <w:bookmarkEnd w:id="10"/>
    </w:p>
    <w:p w14:paraId="5F00DFE7" w14:textId="77777777" w:rsidR="0091638B" w:rsidRDefault="0091638B" w:rsidP="0091638B">
      <w:pPr>
        <w:pStyle w:val="NormalWeb"/>
        <w:spacing w:before="0" w:beforeAutospacing="0" w:after="240" w:afterAutospacing="0" w:line="360" w:lineRule="auto"/>
        <w:jc w:val="both"/>
      </w:pPr>
      <w:r>
        <w:t xml:space="preserve">Allen, J., O’Toole, W., Harris, R. and McDonnell, I. (2022). </w:t>
      </w:r>
      <w:r>
        <w:rPr>
          <w:i/>
          <w:iCs/>
        </w:rPr>
        <w:t>Festival &amp; special event management</w:t>
      </w:r>
      <w:r>
        <w:t>. Milton, Qld: John Wiley &amp; Sons Australia, Ltd.</w:t>
      </w:r>
    </w:p>
    <w:p w14:paraId="3F9A82D9" w14:textId="77777777" w:rsidR="0091638B" w:rsidRDefault="0091638B" w:rsidP="0091638B">
      <w:pPr>
        <w:pStyle w:val="NormalWeb"/>
        <w:spacing w:before="0" w:beforeAutospacing="0" w:after="240" w:afterAutospacing="0" w:line="360" w:lineRule="auto"/>
        <w:jc w:val="both"/>
      </w:pPr>
      <w:r>
        <w:t xml:space="preserve">Antonius, Argunanto Argunanto, Defina Andany Wulan, Zahra, I.E., Deni Arifin, Viona Anjelia, Suripto Suripto and Holiawati Holiawati (2024). The Effect of Financial Planning, Budgeting and Estimation in the Business Plan. </w:t>
      </w:r>
      <w:r>
        <w:rPr>
          <w:i/>
          <w:iCs/>
        </w:rPr>
        <w:t>Jurnal Ilmiah Akuntansi Kesatuan</w:t>
      </w:r>
      <w:r>
        <w:t>, [online] 12(5), pp.723–730. Available at: https://jurnal.ibik.ac.id/index.php/jiakes/article/view/2889.</w:t>
      </w:r>
    </w:p>
    <w:p w14:paraId="259AA82F" w14:textId="77777777" w:rsidR="0091638B" w:rsidRDefault="0091638B" w:rsidP="0091638B">
      <w:pPr>
        <w:pStyle w:val="NormalWeb"/>
        <w:spacing w:before="0" w:beforeAutospacing="0" w:after="240" w:afterAutospacing="0" w:line="360" w:lineRule="auto"/>
        <w:jc w:val="both"/>
      </w:pPr>
      <w:r>
        <w:t xml:space="preserve">Bilgihan, A. and Ricci, P. (2023). The new era of hotel marketing: integrating cutting-edge technologies with core marketing principles. </w:t>
      </w:r>
      <w:r>
        <w:rPr>
          <w:i/>
          <w:iCs/>
        </w:rPr>
        <w:t>Journal of Hospitality and Tourism Technology</w:t>
      </w:r>
      <w:r>
        <w:t>, 15(1). doi:https://doi.org/10.1108/jhtt-04-2023-0095.</w:t>
      </w:r>
    </w:p>
    <w:p w14:paraId="3932D563" w14:textId="77777777" w:rsidR="0091638B" w:rsidRDefault="0091638B" w:rsidP="0091638B">
      <w:pPr>
        <w:pStyle w:val="NormalWeb"/>
        <w:spacing w:before="0" w:beforeAutospacing="0" w:after="240" w:afterAutospacing="0" w:line="360" w:lineRule="auto"/>
        <w:jc w:val="both"/>
      </w:pPr>
      <w:r>
        <w:t xml:space="preserve">Bladen, C., Kennell, J., Abson, E. and Wilde, N. (2022). </w:t>
      </w:r>
      <w:r>
        <w:rPr>
          <w:i/>
          <w:iCs/>
        </w:rPr>
        <w:t>Events Management : an Introduction</w:t>
      </w:r>
      <w:r>
        <w:t>. 3rd ed. Abingdon, Oxon ; New York, Ny: Routledge.</w:t>
      </w:r>
    </w:p>
    <w:p w14:paraId="6E310749" w14:textId="77777777" w:rsidR="0091638B" w:rsidRDefault="0091638B" w:rsidP="0091638B">
      <w:pPr>
        <w:pStyle w:val="NormalWeb"/>
        <w:spacing w:before="0" w:beforeAutospacing="0" w:after="240" w:afterAutospacing="0" w:line="360" w:lineRule="auto"/>
        <w:jc w:val="both"/>
      </w:pPr>
      <w:r>
        <w:t xml:space="preserve">Bowdin, G., Allen, J., O’toole, W., Harris, R. and Mcdonnell, I. (2023). </w:t>
      </w:r>
      <w:r>
        <w:rPr>
          <w:i/>
          <w:iCs/>
        </w:rPr>
        <w:t>Events Management</w:t>
      </w:r>
      <w:r>
        <w:t>. London: Routledge.</w:t>
      </w:r>
    </w:p>
    <w:p w14:paraId="69F170EE" w14:textId="77777777" w:rsidR="0091638B" w:rsidRDefault="0091638B" w:rsidP="0091638B">
      <w:pPr>
        <w:pStyle w:val="NormalWeb"/>
        <w:spacing w:before="0" w:beforeAutospacing="0" w:after="240" w:afterAutospacing="0" w:line="360" w:lineRule="auto"/>
        <w:jc w:val="both"/>
      </w:pPr>
      <w:r>
        <w:t xml:space="preserve">Celuch and Neuhofer, B. (2023). Towards Transformative Event Experiences: State of the Art and Future Research. </w:t>
      </w:r>
      <w:r>
        <w:rPr>
          <w:i/>
          <w:iCs/>
        </w:rPr>
        <w:t>Event Management</w:t>
      </w:r>
      <w:r>
        <w:t>. doi:https://doi.org/10.3727/152599523x16990639314792.</w:t>
      </w:r>
    </w:p>
    <w:p w14:paraId="6E864C93" w14:textId="77777777" w:rsidR="0091638B" w:rsidRDefault="0091638B" w:rsidP="0091638B">
      <w:pPr>
        <w:pStyle w:val="NormalWeb"/>
        <w:spacing w:before="0" w:beforeAutospacing="0" w:after="240" w:afterAutospacing="0" w:line="360" w:lineRule="auto"/>
        <w:jc w:val="both"/>
      </w:pPr>
      <w:r>
        <w:t xml:space="preserve">Evans, N. (2024). </w:t>
      </w:r>
      <w:r>
        <w:rPr>
          <w:i/>
          <w:iCs/>
        </w:rPr>
        <w:t>Strategic Management for tourism, Hospitality and Events</w:t>
      </w:r>
      <w:r>
        <w:t>. 2nd ed. New York: Routledge.</w:t>
      </w:r>
    </w:p>
    <w:p w14:paraId="313495BF" w14:textId="77777777" w:rsidR="0091638B" w:rsidRDefault="0091638B" w:rsidP="0091638B">
      <w:pPr>
        <w:pStyle w:val="NormalWeb"/>
        <w:spacing w:before="0" w:beforeAutospacing="0" w:after="240" w:afterAutospacing="0" w:line="360" w:lineRule="auto"/>
        <w:jc w:val="both"/>
      </w:pPr>
      <w:r>
        <w:t xml:space="preserve">Font, X., Torres-Delgado, A., Crabolu, G., Palomo Martinez, J., Kantenbacher, J. and Miller, G. (2021). The impact of sustainable tourism indicators on destination competitiveness: the European Tourism Indicator System. </w:t>
      </w:r>
      <w:r>
        <w:rPr>
          <w:i/>
          <w:iCs/>
        </w:rPr>
        <w:t>Journal of Sustainable Tourism</w:t>
      </w:r>
      <w:r>
        <w:t>, 31(7), pp.1–24.</w:t>
      </w:r>
    </w:p>
    <w:p w14:paraId="49617B0E" w14:textId="77777777" w:rsidR="0091638B" w:rsidRDefault="0091638B" w:rsidP="0091638B">
      <w:pPr>
        <w:pStyle w:val="NormalWeb"/>
        <w:spacing w:before="0" w:beforeAutospacing="0" w:after="240" w:afterAutospacing="0" w:line="360" w:lineRule="auto"/>
        <w:jc w:val="both"/>
      </w:pPr>
      <w:r>
        <w:lastRenderedPageBreak/>
        <w:t xml:space="preserve">Fox, D., Gouthro, M.B., Morakabati, Y. and Brackstone, J. (2014). </w:t>
      </w:r>
      <w:r>
        <w:rPr>
          <w:i/>
          <w:iCs/>
        </w:rPr>
        <w:t>Doing events research : from theory to practice</w:t>
      </w:r>
      <w:r>
        <w:t>. London: Routledge, Taylor &amp; Francis Group.</w:t>
      </w:r>
    </w:p>
    <w:p w14:paraId="3BBAAA8B" w14:textId="77777777" w:rsidR="0091638B" w:rsidRDefault="0091638B" w:rsidP="0091638B">
      <w:pPr>
        <w:pStyle w:val="NormalWeb"/>
        <w:spacing w:before="0" w:beforeAutospacing="0" w:after="240" w:afterAutospacing="0" w:line="360" w:lineRule="auto"/>
        <w:jc w:val="both"/>
      </w:pPr>
      <w:r>
        <w:t xml:space="preserve">Getz, D. and Page, S.J. (2019). </w:t>
      </w:r>
      <w:r>
        <w:rPr>
          <w:i/>
          <w:iCs/>
        </w:rPr>
        <w:t>Event Studies : theory, Research and Policy for Planned Events</w:t>
      </w:r>
      <w:r>
        <w:t>. 3rd ed. London: Routledge.</w:t>
      </w:r>
    </w:p>
    <w:p w14:paraId="032D63E7" w14:textId="77777777" w:rsidR="0091638B" w:rsidRDefault="0091638B" w:rsidP="0091638B">
      <w:pPr>
        <w:pStyle w:val="NormalWeb"/>
        <w:spacing w:before="0" w:beforeAutospacing="0" w:after="240" w:afterAutospacing="0" w:line="360" w:lineRule="auto"/>
        <w:jc w:val="both"/>
      </w:pPr>
      <w:r>
        <w:t xml:space="preserve">Granadillo, G.G., Zarzosa, S.G. and Diaz, R. (2021). Security Information and Event Management (SIEM): Analysis, Trends, and Usage in Critical Infrastructures. </w:t>
      </w:r>
      <w:r>
        <w:rPr>
          <w:i/>
          <w:iCs/>
        </w:rPr>
        <w:t>Sensors</w:t>
      </w:r>
      <w:r>
        <w:t>, 21(14), p.4759. doi:https://doi.org/10.3390/s21144759.</w:t>
      </w:r>
    </w:p>
    <w:p w14:paraId="7F5E3A61" w14:textId="77777777" w:rsidR="0091638B" w:rsidRDefault="0091638B" w:rsidP="0091638B">
      <w:pPr>
        <w:pStyle w:val="NormalWeb"/>
        <w:spacing w:before="0" w:beforeAutospacing="0" w:after="240" w:afterAutospacing="0" w:line="360" w:lineRule="auto"/>
        <w:jc w:val="both"/>
      </w:pPr>
      <w:r>
        <w:t xml:space="preserve">Higham, J., Font, X. and Wu, J. (Snow) (2021). Code red for sustainable tourism. </w:t>
      </w:r>
      <w:r>
        <w:rPr>
          <w:i/>
          <w:iCs/>
        </w:rPr>
        <w:t>Journal of Sustainable Tourism</w:t>
      </w:r>
      <w:r>
        <w:t>, 30(1), pp.1–13. doi:https://doi.org/10.1080/09669582.2022.2008128.</w:t>
      </w:r>
    </w:p>
    <w:p w14:paraId="5CF2948C" w14:textId="77777777" w:rsidR="0091638B" w:rsidRDefault="0091638B" w:rsidP="0091638B">
      <w:pPr>
        <w:pStyle w:val="NormalWeb"/>
        <w:spacing w:before="0" w:beforeAutospacing="0" w:after="240" w:afterAutospacing="0" w:line="360" w:lineRule="auto"/>
        <w:jc w:val="both"/>
      </w:pPr>
      <w:r>
        <w:t xml:space="preserve">ISO (2024). </w:t>
      </w:r>
      <w:r>
        <w:rPr>
          <w:i/>
          <w:iCs/>
        </w:rPr>
        <w:t>ISO 20121:2024(en) Event sustainability management systems — Requirements with guidance for use</w:t>
      </w:r>
      <w:r>
        <w:t>. [online] Iso.org. Available at: https://www.iso.org/obp/ui/en/#iso:std:iso:20121:ed-2:v1:en [Accessed 11 Jun. 2025].</w:t>
      </w:r>
    </w:p>
    <w:p w14:paraId="6139B29F" w14:textId="77777777" w:rsidR="0091638B" w:rsidRDefault="0091638B" w:rsidP="0091638B">
      <w:pPr>
        <w:pStyle w:val="NormalWeb"/>
        <w:spacing w:before="0" w:beforeAutospacing="0" w:after="240" w:afterAutospacing="0" w:line="360" w:lineRule="auto"/>
        <w:jc w:val="both"/>
      </w:pPr>
      <w:r>
        <w:t xml:space="preserve">Price, S. (2025). </w:t>
      </w:r>
      <w:r>
        <w:rPr>
          <w:i/>
          <w:iCs/>
        </w:rPr>
        <w:t>Watch: Visit Wales invites world to feel the ‘hwyl’ in 2025 with new campaign</w:t>
      </w:r>
      <w:r>
        <w:t>. [online] Nation.Cymru. Available at: https://nation.cymru/culture/watch-visit-wales-invites-world-to-feel-the-hwyl-in-2025-with-new-campaign/ [Accessed 10 Jun. 2025].</w:t>
      </w:r>
    </w:p>
    <w:p w14:paraId="7D866FF3" w14:textId="77777777" w:rsidR="0091638B" w:rsidRDefault="0091638B" w:rsidP="0091638B">
      <w:pPr>
        <w:pStyle w:val="NormalWeb"/>
        <w:spacing w:before="0" w:beforeAutospacing="0" w:after="240" w:afterAutospacing="0" w:line="360" w:lineRule="auto"/>
        <w:jc w:val="both"/>
      </w:pPr>
      <w:r>
        <w:t xml:space="preserve">Raub, S.P. and Martin-Rios, C. (2019). ‘Think sustainable, act local’ – a stakeholder-filter-model for translating SDGs into sustainability initiatives with local impact. </w:t>
      </w:r>
      <w:r>
        <w:rPr>
          <w:i/>
          <w:iCs/>
        </w:rPr>
        <w:t>International Journal of Contemporary Hospitality Management</w:t>
      </w:r>
      <w:r>
        <w:t>, ahead-of-print(ahead-of-print). doi:https://doi.org/10.1108/ijchm-06-2018-0453.</w:t>
      </w:r>
    </w:p>
    <w:p w14:paraId="2981B697" w14:textId="77777777" w:rsidR="0091638B" w:rsidRDefault="0091638B" w:rsidP="0091638B">
      <w:pPr>
        <w:pStyle w:val="NormalWeb"/>
        <w:spacing w:before="0" w:beforeAutospacing="0" w:after="240" w:afterAutospacing="0" w:line="360" w:lineRule="auto"/>
        <w:jc w:val="both"/>
      </w:pPr>
      <w:r>
        <w:t xml:space="preserve">Richards, G., Censon, D., Gračan, D., Haressy, M., Kiráľová, A., Marulc, E., Rossetti, G., Barkiđija Sotošek, M. and Sterchele, D. (2022). Event management literature: exploring the missing body of knowledge. </w:t>
      </w:r>
      <w:r>
        <w:rPr>
          <w:i/>
          <w:iCs/>
        </w:rPr>
        <w:t>Journal of Policy Research in Tourism, Leisure and Events</w:t>
      </w:r>
      <w:r>
        <w:t>, [online] pp.1–22. doi:https://doi.org/10.1080/19407963.2022.2128810.</w:t>
      </w:r>
    </w:p>
    <w:p w14:paraId="70467553" w14:textId="77777777" w:rsidR="0091638B" w:rsidRDefault="0091638B" w:rsidP="0091638B">
      <w:pPr>
        <w:pStyle w:val="NormalWeb"/>
        <w:spacing w:before="0" w:beforeAutospacing="0" w:after="240" w:afterAutospacing="0" w:line="360" w:lineRule="auto"/>
        <w:jc w:val="both"/>
      </w:pPr>
      <w:r>
        <w:t xml:space="preserve">Rogers, T. and Wynn-Moylan, P. (2022). </w:t>
      </w:r>
      <w:r>
        <w:rPr>
          <w:i/>
          <w:iCs/>
        </w:rPr>
        <w:t>Conferences and conventions : a global industry</w:t>
      </w:r>
      <w:r>
        <w:t>. 4th ed. Abingdon ; New York: Routledge, Cop.</w:t>
      </w:r>
    </w:p>
    <w:p w14:paraId="5A0FF360" w14:textId="77777777" w:rsidR="0091638B" w:rsidRDefault="0091638B" w:rsidP="0091638B">
      <w:pPr>
        <w:pStyle w:val="NormalWeb"/>
        <w:spacing w:before="0" w:beforeAutospacing="0" w:after="240" w:afterAutospacing="0" w:line="360" w:lineRule="auto"/>
        <w:jc w:val="both"/>
      </w:pPr>
      <w:r>
        <w:lastRenderedPageBreak/>
        <w:t xml:space="preserve">Rossetti, G., Quinn, B., Albanese, V. and Frenzel, F. (2025). Experiential Learning as a continuum in tourism and events programmes. </w:t>
      </w:r>
      <w:r>
        <w:rPr>
          <w:i/>
          <w:iCs/>
        </w:rPr>
        <w:t>Event Management</w:t>
      </w:r>
      <w:r>
        <w:t>. doi:https://doi.org/10.3727/152599525x17483017436850.</w:t>
      </w:r>
    </w:p>
    <w:p w14:paraId="30F89E64" w14:textId="77777777" w:rsidR="0091638B" w:rsidRDefault="0091638B" w:rsidP="0091638B">
      <w:pPr>
        <w:pStyle w:val="NormalWeb"/>
        <w:spacing w:before="0" w:beforeAutospacing="0" w:after="240" w:afterAutospacing="0" w:line="360" w:lineRule="auto"/>
        <w:jc w:val="both"/>
      </w:pPr>
      <w:r>
        <w:t xml:space="preserve">Smith, A. and Mair, J. (2022). </w:t>
      </w:r>
      <w:r>
        <w:rPr>
          <w:i/>
          <w:iCs/>
        </w:rPr>
        <w:t>Events and Sustainability</w:t>
      </w:r>
      <w:r>
        <w:t>. [online] Taylor &amp; Francis. Available at: https://www.taylorfrancis.com/chapters/oa-edit/10.4324/9781003314295-1/events-sustainability-making-events-sustainable-enough-judith-mair-andrew-smith.</w:t>
      </w:r>
    </w:p>
    <w:p w14:paraId="4CE1271D" w14:textId="77777777" w:rsidR="0091638B" w:rsidRDefault="0091638B" w:rsidP="0091638B">
      <w:pPr>
        <w:pStyle w:val="NormalWeb"/>
        <w:spacing w:before="0" w:beforeAutospacing="0" w:after="240" w:afterAutospacing="0" w:line="360" w:lineRule="auto"/>
        <w:jc w:val="both"/>
      </w:pPr>
      <w:r>
        <w:t xml:space="preserve">Toscani, A.C., Vendraminelli, L. and Vinelli, A. (2024). Environmental sustainability in the event industry: a systematic review and a research agenda. </w:t>
      </w:r>
      <w:r>
        <w:rPr>
          <w:i/>
          <w:iCs/>
        </w:rPr>
        <w:t>Journal of Sustainable Tourism</w:t>
      </w:r>
      <w:r>
        <w:t>, 32(12), pp.1–35. doi:https://doi.org/10.1080/09669582.2024.2309544.</w:t>
      </w:r>
    </w:p>
    <w:p w14:paraId="74A653A1" w14:textId="77777777" w:rsidR="0091638B" w:rsidRDefault="0091638B" w:rsidP="0091638B">
      <w:pPr>
        <w:pStyle w:val="NormalWeb"/>
        <w:spacing w:before="0" w:beforeAutospacing="0" w:after="240" w:afterAutospacing="0" w:line="360" w:lineRule="auto"/>
        <w:jc w:val="both"/>
      </w:pPr>
      <w:r>
        <w:t xml:space="preserve">Traveltrade (2025). </w:t>
      </w:r>
      <w:r>
        <w:rPr>
          <w:i/>
          <w:iCs/>
        </w:rPr>
        <w:t>Wales is celebrating a Year of Croeso, a Welsh welcome for visitors</w:t>
      </w:r>
      <w:r>
        <w:t>. [online] TravelTrade. Available at: https://traveltrade.visitwales.com/useful-information/toolkit/year-of-croeso [Accessed 10 Jun. 2025].</w:t>
      </w:r>
    </w:p>
    <w:p w14:paraId="2BE34E5C" w14:textId="77777777" w:rsidR="0091638B" w:rsidRDefault="0091638B" w:rsidP="0091638B">
      <w:pPr>
        <w:pStyle w:val="NormalWeb"/>
        <w:spacing w:before="0" w:beforeAutospacing="0" w:after="240" w:afterAutospacing="0" w:line="360" w:lineRule="auto"/>
        <w:jc w:val="both"/>
      </w:pPr>
      <w:r>
        <w:t xml:space="preserve">Visitwales.com (2025). </w:t>
      </w:r>
      <w:r>
        <w:rPr>
          <w:i/>
          <w:iCs/>
        </w:rPr>
        <w:t>Year of Croeso</w:t>
      </w:r>
      <w:r>
        <w:t>. [online] Industry. Available at: https://industry.visitwales.com/get-involved/visit-wales-themed-year-campaigns/year-croeso [Accessed 11 Jun. 2025].</w:t>
      </w:r>
    </w:p>
    <w:p w14:paraId="4A41F776" w14:textId="77777777" w:rsidR="0091638B" w:rsidRDefault="0091638B" w:rsidP="0091638B">
      <w:pPr>
        <w:pStyle w:val="NormalWeb"/>
        <w:spacing w:before="0" w:beforeAutospacing="0" w:after="240" w:afterAutospacing="0" w:line="360" w:lineRule="auto"/>
        <w:jc w:val="both"/>
      </w:pPr>
      <w:r>
        <w:t xml:space="preserve">Wang, C.L. (2021). New frontiers and future directions in interactive marketing: Inaugural Editorial. </w:t>
      </w:r>
      <w:r>
        <w:rPr>
          <w:i/>
          <w:iCs/>
        </w:rPr>
        <w:t>Journal of Research in Interactive Marketing</w:t>
      </w:r>
      <w:r>
        <w:t>, 15(1), pp.1–9. doi:https://doi.org/10.1108/JRIM-03-2021-270.</w:t>
      </w:r>
    </w:p>
    <w:p w14:paraId="5FBF541D" w14:textId="77777777" w:rsidR="0091638B" w:rsidRDefault="0091638B" w:rsidP="0091638B">
      <w:pPr>
        <w:pStyle w:val="NormalWeb"/>
        <w:spacing w:before="0" w:beforeAutospacing="0" w:after="240" w:afterAutospacing="0" w:line="360" w:lineRule="auto"/>
        <w:jc w:val="both"/>
      </w:pPr>
      <w:r>
        <w:t xml:space="preserve">Wang, Y. and Guo, R. (2024). Tourism e-commerce marketing following live-streaming: consumer behavior and verification psychology. </w:t>
      </w:r>
      <w:r>
        <w:rPr>
          <w:i/>
          <w:iCs/>
        </w:rPr>
        <w:t>Tourism review</w:t>
      </w:r>
      <w:r>
        <w:t>. doi:https://doi.org/10.1108/tr-10-2023-0738.</w:t>
      </w:r>
    </w:p>
    <w:p w14:paraId="4A0ACC1A" w14:textId="77777777" w:rsidR="0091638B" w:rsidRDefault="0091638B" w:rsidP="0091638B">
      <w:pPr>
        <w:pStyle w:val="NormalWeb"/>
        <w:spacing w:before="0" w:beforeAutospacing="0" w:after="240" w:afterAutospacing="0" w:line="360" w:lineRule="auto"/>
        <w:jc w:val="both"/>
      </w:pPr>
      <w:r>
        <w:t xml:space="preserve">Werner, K., Griese, K.-M. and Hoth, L. (2023). The Acceptance of Climate Adaptation Measures in the Event Industry: A Conceptual and Empirical Overview. </w:t>
      </w:r>
      <w:r>
        <w:rPr>
          <w:i/>
          <w:iCs/>
        </w:rPr>
        <w:t>Event management</w:t>
      </w:r>
      <w:r>
        <w:t>, 28(1). doi:https://doi.org/10.3727/152599523x16896548396770.</w:t>
      </w:r>
    </w:p>
    <w:p w14:paraId="1B44ED0B" w14:textId="77777777" w:rsidR="0091638B" w:rsidRDefault="0091638B" w:rsidP="0091638B">
      <w:pPr>
        <w:pStyle w:val="NormalWeb"/>
        <w:spacing w:before="0" w:beforeAutospacing="0" w:after="240" w:afterAutospacing="0" w:line="360" w:lineRule="auto"/>
        <w:jc w:val="both"/>
      </w:pPr>
      <w:r>
        <w:t xml:space="preserve">Ziółkowska, M.J. (2021). Digital Transformation and Marketing Activities in Small and Medium-Sized Enterprises. </w:t>
      </w:r>
      <w:r>
        <w:rPr>
          <w:i/>
          <w:iCs/>
        </w:rPr>
        <w:t>Sustainability</w:t>
      </w:r>
      <w:r>
        <w:t>, 13(5), p.2512. doi:https://doi.org/10.3390/su13052512.</w:t>
      </w:r>
    </w:p>
    <w:p w14:paraId="3E46928B" w14:textId="77777777" w:rsidR="0091638B" w:rsidRPr="004F2AE6" w:rsidRDefault="0091638B" w:rsidP="0091638B"/>
    <w:p w14:paraId="3470A647" w14:textId="77777777" w:rsidR="0091638B" w:rsidRDefault="0091638B" w:rsidP="0091638B"/>
    <w:p w14:paraId="60A7CC14" w14:textId="77777777" w:rsidR="0091638B" w:rsidRDefault="0091638B" w:rsidP="0091638B"/>
    <w:p w14:paraId="204D16C0" w14:textId="77777777" w:rsidR="0091638B" w:rsidRDefault="0091638B" w:rsidP="0091638B"/>
    <w:p w14:paraId="486E846A" w14:textId="77777777" w:rsidR="0091638B" w:rsidRDefault="0091638B" w:rsidP="0091638B"/>
    <w:p w14:paraId="52DAA6FB" w14:textId="77777777" w:rsidR="0091638B" w:rsidRPr="004F2AE6" w:rsidRDefault="0091638B" w:rsidP="0091638B">
      <w:pPr>
        <w:pStyle w:val="Heading1"/>
      </w:pPr>
      <w:bookmarkStart w:id="11" w:name="_Toc200607426"/>
      <w:r w:rsidRPr="004F2AE6">
        <w:t>Appendices</w:t>
      </w:r>
      <w:bookmarkEnd w:id="11"/>
      <w:r w:rsidRPr="004F2AE6">
        <w:t xml:space="preserve"> </w:t>
      </w:r>
    </w:p>
    <w:p w14:paraId="2944C82C" w14:textId="77777777" w:rsidR="0091638B" w:rsidRPr="004F2AE6" w:rsidRDefault="0091638B" w:rsidP="0091638B">
      <w:pPr>
        <w:pStyle w:val="Heading2"/>
      </w:pPr>
      <w:bookmarkStart w:id="12" w:name="_Toc200607427"/>
      <w:r w:rsidRPr="004F2AE6">
        <w:t xml:space="preserve">SWOT </w:t>
      </w:r>
      <w:r>
        <w:t>Analysis</w:t>
      </w:r>
      <w:bookmarkEnd w:id="12"/>
      <w:r>
        <w:t xml:space="preserve"> </w:t>
      </w:r>
    </w:p>
    <w:tbl>
      <w:tblPr>
        <w:tblStyle w:val="GridTable4-Accent1"/>
        <w:tblW w:w="5000" w:type="pct"/>
        <w:tblLook w:val="04A0" w:firstRow="1" w:lastRow="0" w:firstColumn="1" w:lastColumn="0" w:noHBand="0" w:noVBand="1"/>
      </w:tblPr>
      <w:tblGrid>
        <w:gridCol w:w="2058"/>
        <w:gridCol w:w="1927"/>
        <w:gridCol w:w="2519"/>
        <w:gridCol w:w="2846"/>
      </w:tblGrid>
      <w:tr w:rsidR="0091638B" w:rsidRPr="000B07AD" w14:paraId="6391BDA1" w14:textId="77777777" w:rsidTr="00480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3" w:type="pct"/>
            <w:hideMark/>
          </w:tcPr>
          <w:p w14:paraId="4EC0036B" w14:textId="77777777" w:rsidR="0091638B" w:rsidRPr="000B07AD" w:rsidRDefault="0091638B" w:rsidP="00480EA7">
            <w:pPr>
              <w:rPr>
                <w:color w:val="auto"/>
              </w:rPr>
            </w:pPr>
            <w:r w:rsidRPr="000B07AD">
              <w:rPr>
                <w:color w:val="auto"/>
              </w:rPr>
              <w:t>Strengths</w:t>
            </w:r>
          </w:p>
        </w:tc>
        <w:tc>
          <w:tcPr>
            <w:tcW w:w="1014" w:type="pct"/>
            <w:hideMark/>
          </w:tcPr>
          <w:p w14:paraId="37500BFE"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Weaknesses</w:t>
            </w:r>
          </w:p>
        </w:tc>
        <w:tc>
          <w:tcPr>
            <w:tcW w:w="1325" w:type="pct"/>
            <w:hideMark/>
          </w:tcPr>
          <w:p w14:paraId="14E8ED3D"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Opportunities</w:t>
            </w:r>
          </w:p>
        </w:tc>
        <w:tc>
          <w:tcPr>
            <w:tcW w:w="1497" w:type="pct"/>
            <w:hideMark/>
          </w:tcPr>
          <w:p w14:paraId="46E1E818"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Threats</w:t>
            </w:r>
          </w:p>
        </w:tc>
      </w:tr>
      <w:tr w:rsidR="0091638B" w:rsidRPr="000B07AD" w14:paraId="44D9668E"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3" w:type="pct"/>
            <w:hideMark/>
          </w:tcPr>
          <w:p w14:paraId="6924AC51" w14:textId="77777777" w:rsidR="0091638B" w:rsidRPr="000B07AD" w:rsidRDefault="0091638B" w:rsidP="00480EA7">
            <w:r w:rsidRPr="000B07AD">
              <w:t>Strong Welsh cultural identity</w:t>
            </w:r>
          </w:p>
        </w:tc>
        <w:tc>
          <w:tcPr>
            <w:tcW w:w="1014" w:type="pct"/>
            <w:hideMark/>
          </w:tcPr>
          <w:p w14:paraId="3EF38FAB"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Limited international reach</w:t>
            </w:r>
          </w:p>
        </w:tc>
        <w:tc>
          <w:tcPr>
            <w:tcW w:w="1325" w:type="pct"/>
            <w:hideMark/>
          </w:tcPr>
          <w:p w14:paraId="20DB70B5"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Growing global interest in eco-tourism</w:t>
            </w:r>
          </w:p>
        </w:tc>
        <w:tc>
          <w:tcPr>
            <w:tcW w:w="1497" w:type="pct"/>
            <w:hideMark/>
          </w:tcPr>
          <w:p w14:paraId="1D7FA493"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Competition from Ireland and Northern Europe</w:t>
            </w:r>
          </w:p>
        </w:tc>
      </w:tr>
      <w:tr w:rsidR="0091638B" w:rsidRPr="000B07AD" w14:paraId="4C9FCDBE" w14:textId="77777777" w:rsidTr="00480EA7">
        <w:tc>
          <w:tcPr>
            <w:cnfStyle w:val="001000000000" w:firstRow="0" w:lastRow="0" w:firstColumn="1" w:lastColumn="0" w:oddVBand="0" w:evenVBand="0" w:oddHBand="0" w:evenHBand="0" w:firstRowFirstColumn="0" w:firstRowLastColumn="0" w:lastRowFirstColumn="0" w:lastRowLastColumn="0"/>
            <w:tcW w:w="1083" w:type="pct"/>
            <w:hideMark/>
          </w:tcPr>
          <w:p w14:paraId="6340368B" w14:textId="77777777" w:rsidR="0091638B" w:rsidRPr="000B07AD" w:rsidRDefault="0091638B" w:rsidP="00480EA7">
            <w:r w:rsidRPr="000B07AD">
              <w:t>Eco-friendly venue</w:t>
            </w:r>
          </w:p>
        </w:tc>
        <w:tc>
          <w:tcPr>
            <w:tcW w:w="1014" w:type="pct"/>
            <w:hideMark/>
          </w:tcPr>
          <w:p w14:paraId="31794DFC"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Budget constraints</w:t>
            </w:r>
          </w:p>
        </w:tc>
        <w:tc>
          <w:tcPr>
            <w:tcW w:w="1325" w:type="pct"/>
            <w:hideMark/>
          </w:tcPr>
          <w:p w14:paraId="15B18E12"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Partnerships with green businesses</w:t>
            </w:r>
          </w:p>
        </w:tc>
        <w:tc>
          <w:tcPr>
            <w:tcW w:w="1497" w:type="pct"/>
            <w:hideMark/>
          </w:tcPr>
          <w:p w14:paraId="57A413FE"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Weather impacts on outdoor activities</w:t>
            </w:r>
          </w:p>
        </w:tc>
      </w:tr>
      <w:tr w:rsidR="0091638B" w:rsidRPr="000B07AD" w14:paraId="6F9E160F"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3" w:type="pct"/>
            <w:hideMark/>
          </w:tcPr>
          <w:p w14:paraId="29A4BD07" w14:textId="77777777" w:rsidR="0091638B" w:rsidRPr="000B07AD" w:rsidRDefault="0091638B" w:rsidP="00480EA7">
            <w:r w:rsidRPr="000B07AD">
              <w:t>Government support</w:t>
            </w:r>
          </w:p>
        </w:tc>
        <w:tc>
          <w:tcPr>
            <w:tcW w:w="1014" w:type="pct"/>
            <w:hideMark/>
          </w:tcPr>
          <w:p w14:paraId="2FF48891"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Reliance on niche market</w:t>
            </w:r>
          </w:p>
        </w:tc>
        <w:tc>
          <w:tcPr>
            <w:tcW w:w="1325" w:type="pct"/>
            <w:hideMark/>
          </w:tcPr>
          <w:p w14:paraId="5327E00B"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Increased funding for sustainability</w:t>
            </w:r>
          </w:p>
        </w:tc>
        <w:tc>
          <w:tcPr>
            <w:tcW w:w="1497" w:type="pct"/>
            <w:hideMark/>
          </w:tcPr>
          <w:p w14:paraId="3BCAD6C5"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Economic fluctuations affecting attendance</w:t>
            </w:r>
          </w:p>
        </w:tc>
      </w:tr>
    </w:tbl>
    <w:p w14:paraId="1EC13D21" w14:textId="77777777" w:rsidR="0091638B" w:rsidRPr="004F2AE6" w:rsidRDefault="0091638B" w:rsidP="0091638B"/>
    <w:p w14:paraId="7652E23E" w14:textId="77777777" w:rsidR="0091638B" w:rsidRPr="004F2AE6" w:rsidRDefault="0091638B" w:rsidP="0091638B">
      <w:pPr>
        <w:pStyle w:val="Heading2"/>
      </w:pPr>
      <w:bookmarkStart w:id="13" w:name="_Toc200607428"/>
      <w:r w:rsidRPr="004F2AE6">
        <w:t>PESTLE Analysis</w:t>
      </w:r>
      <w:bookmarkEnd w:id="13"/>
    </w:p>
    <w:tbl>
      <w:tblPr>
        <w:tblStyle w:val="GridTable4-Accent1"/>
        <w:tblW w:w="5000" w:type="pct"/>
        <w:tblLook w:val="04A0" w:firstRow="1" w:lastRow="0" w:firstColumn="1" w:lastColumn="0" w:noHBand="0" w:noVBand="1"/>
      </w:tblPr>
      <w:tblGrid>
        <w:gridCol w:w="1340"/>
        <w:gridCol w:w="1395"/>
        <w:gridCol w:w="1563"/>
        <w:gridCol w:w="1679"/>
        <w:gridCol w:w="1782"/>
        <w:gridCol w:w="1591"/>
      </w:tblGrid>
      <w:tr w:rsidR="0091638B" w:rsidRPr="000B07AD" w14:paraId="54CA99EC" w14:textId="77777777" w:rsidTr="00480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pct"/>
            <w:hideMark/>
          </w:tcPr>
          <w:p w14:paraId="64BE5AC2" w14:textId="77777777" w:rsidR="0091638B" w:rsidRPr="000B07AD" w:rsidRDefault="0091638B" w:rsidP="00480EA7">
            <w:pPr>
              <w:rPr>
                <w:color w:val="auto"/>
              </w:rPr>
            </w:pPr>
            <w:r w:rsidRPr="000B07AD">
              <w:rPr>
                <w:color w:val="auto"/>
              </w:rPr>
              <w:t>Political</w:t>
            </w:r>
          </w:p>
        </w:tc>
        <w:tc>
          <w:tcPr>
            <w:tcW w:w="729" w:type="pct"/>
            <w:hideMark/>
          </w:tcPr>
          <w:p w14:paraId="75ACB697"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Economic</w:t>
            </w:r>
          </w:p>
        </w:tc>
        <w:tc>
          <w:tcPr>
            <w:tcW w:w="817" w:type="pct"/>
            <w:hideMark/>
          </w:tcPr>
          <w:p w14:paraId="7DE5B131"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Social</w:t>
            </w:r>
          </w:p>
        </w:tc>
        <w:tc>
          <w:tcPr>
            <w:tcW w:w="878" w:type="pct"/>
            <w:hideMark/>
          </w:tcPr>
          <w:p w14:paraId="6FCBAC32"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Technological</w:t>
            </w:r>
          </w:p>
        </w:tc>
        <w:tc>
          <w:tcPr>
            <w:tcW w:w="932" w:type="pct"/>
            <w:hideMark/>
          </w:tcPr>
          <w:p w14:paraId="7399DCB1"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Environmental</w:t>
            </w:r>
          </w:p>
        </w:tc>
        <w:tc>
          <w:tcPr>
            <w:tcW w:w="832" w:type="pct"/>
            <w:hideMark/>
          </w:tcPr>
          <w:p w14:paraId="70B46D1B" w14:textId="77777777" w:rsidR="0091638B" w:rsidRPr="000B07AD" w:rsidRDefault="0091638B" w:rsidP="00480EA7">
            <w:pPr>
              <w:cnfStyle w:val="100000000000" w:firstRow="1" w:lastRow="0" w:firstColumn="0" w:lastColumn="0" w:oddVBand="0" w:evenVBand="0" w:oddHBand="0" w:evenHBand="0" w:firstRowFirstColumn="0" w:firstRowLastColumn="0" w:lastRowFirstColumn="0" w:lastRowLastColumn="0"/>
              <w:rPr>
                <w:color w:val="auto"/>
              </w:rPr>
            </w:pPr>
            <w:r w:rsidRPr="000B07AD">
              <w:rPr>
                <w:color w:val="auto"/>
              </w:rPr>
              <w:t>Legal</w:t>
            </w:r>
          </w:p>
        </w:tc>
      </w:tr>
      <w:tr w:rsidR="0091638B" w:rsidRPr="000B07AD" w14:paraId="68D7B3E3" w14:textId="77777777" w:rsidTr="00480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pct"/>
            <w:hideMark/>
          </w:tcPr>
          <w:p w14:paraId="7B7FC8F9" w14:textId="77777777" w:rsidR="0091638B" w:rsidRPr="000B07AD" w:rsidRDefault="0091638B" w:rsidP="00480EA7">
            <w:r w:rsidRPr="000B07AD">
              <w:t>Supportive Welsh tourism policies</w:t>
            </w:r>
          </w:p>
        </w:tc>
        <w:tc>
          <w:tcPr>
            <w:tcW w:w="729" w:type="pct"/>
            <w:hideMark/>
          </w:tcPr>
          <w:p w14:paraId="704DFB47"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Economic uncertainty post-Brexit</w:t>
            </w:r>
          </w:p>
        </w:tc>
        <w:tc>
          <w:tcPr>
            <w:tcW w:w="817" w:type="pct"/>
            <w:hideMark/>
          </w:tcPr>
          <w:p w14:paraId="7AADD8B0"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Rising eco-conscious consumer trends</w:t>
            </w:r>
          </w:p>
        </w:tc>
        <w:tc>
          <w:tcPr>
            <w:tcW w:w="878" w:type="pct"/>
            <w:hideMark/>
          </w:tcPr>
          <w:p w14:paraId="7A5EC88D"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Advancements in green technology</w:t>
            </w:r>
          </w:p>
        </w:tc>
        <w:tc>
          <w:tcPr>
            <w:tcW w:w="932" w:type="pct"/>
            <w:hideMark/>
          </w:tcPr>
          <w:p w14:paraId="2140C9BA"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Climate change demands sustainable practices</w:t>
            </w:r>
          </w:p>
        </w:tc>
        <w:tc>
          <w:tcPr>
            <w:tcW w:w="832" w:type="pct"/>
            <w:hideMark/>
          </w:tcPr>
          <w:p w14:paraId="4D87ABD4" w14:textId="77777777" w:rsidR="0091638B" w:rsidRPr="000B07AD" w:rsidRDefault="0091638B" w:rsidP="00480EA7">
            <w:pPr>
              <w:cnfStyle w:val="000000100000" w:firstRow="0" w:lastRow="0" w:firstColumn="0" w:lastColumn="0" w:oddVBand="0" w:evenVBand="0" w:oddHBand="1" w:evenHBand="0" w:firstRowFirstColumn="0" w:firstRowLastColumn="0" w:lastRowFirstColumn="0" w:lastRowLastColumn="0"/>
            </w:pPr>
            <w:r w:rsidRPr="000B07AD">
              <w:t>Regulations on event waste and emissions</w:t>
            </w:r>
          </w:p>
        </w:tc>
      </w:tr>
      <w:tr w:rsidR="0091638B" w:rsidRPr="000B07AD" w14:paraId="65215261" w14:textId="77777777" w:rsidTr="00480EA7">
        <w:tc>
          <w:tcPr>
            <w:cnfStyle w:val="001000000000" w:firstRow="0" w:lastRow="0" w:firstColumn="1" w:lastColumn="0" w:oddVBand="0" w:evenVBand="0" w:oddHBand="0" w:evenHBand="0" w:firstRowFirstColumn="0" w:firstRowLastColumn="0" w:lastRowFirstColumn="0" w:lastRowLastColumn="0"/>
            <w:tcW w:w="700" w:type="pct"/>
            <w:hideMark/>
          </w:tcPr>
          <w:p w14:paraId="361CFD6F" w14:textId="77777777" w:rsidR="0091638B" w:rsidRPr="000B07AD" w:rsidRDefault="0091638B" w:rsidP="00480EA7">
            <w:r w:rsidRPr="000B07AD">
              <w:t>Funding through Visit Wales grants</w:t>
            </w:r>
          </w:p>
        </w:tc>
        <w:tc>
          <w:tcPr>
            <w:tcW w:w="729" w:type="pct"/>
            <w:hideMark/>
          </w:tcPr>
          <w:p w14:paraId="1133495E"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Currency fluctuations</w:t>
            </w:r>
          </w:p>
        </w:tc>
        <w:tc>
          <w:tcPr>
            <w:tcW w:w="817" w:type="pct"/>
            <w:hideMark/>
          </w:tcPr>
          <w:p w14:paraId="77925DE8"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Increased demand for authentic cultural experiences</w:t>
            </w:r>
          </w:p>
        </w:tc>
        <w:tc>
          <w:tcPr>
            <w:tcW w:w="878" w:type="pct"/>
            <w:hideMark/>
          </w:tcPr>
          <w:p w14:paraId="4529876A"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Digital marketing tools</w:t>
            </w:r>
          </w:p>
        </w:tc>
        <w:tc>
          <w:tcPr>
            <w:tcW w:w="932" w:type="pct"/>
            <w:hideMark/>
          </w:tcPr>
          <w:p w14:paraId="653CCA58"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Use of renewable energy at venues</w:t>
            </w:r>
          </w:p>
        </w:tc>
        <w:tc>
          <w:tcPr>
            <w:tcW w:w="832" w:type="pct"/>
            <w:hideMark/>
          </w:tcPr>
          <w:p w14:paraId="682B6DD4" w14:textId="77777777" w:rsidR="0091638B" w:rsidRPr="000B07AD" w:rsidRDefault="0091638B" w:rsidP="00480EA7">
            <w:pPr>
              <w:cnfStyle w:val="000000000000" w:firstRow="0" w:lastRow="0" w:firstColumn="0" w:lastColumn="0" w:oddVBand="0" w:evenVBand="0" w:oddHBand="0" w:evenHBand="0" w:firstRowFirstColumn="0" w:firstRowLastColumn="0" w:lastRowFirstColumn="0" w:lastRowLastColumn="0"/>
            </w:pPr>
            <w:r w:rsidRPr="000B07AD">
              <w:t>Health and safety compliance requirements</w:t>
            </w:r>
          </w:p>
        </w:tc>
      </w:tr>
    </w:tbl>
    <w:p w14:paraId="4A623073" w14:textId="77777777" w:rsidR="0091638B" w:rsidRDefault="0091638B" w:rsidP="0091638B"/>
    <w:p w14:paraId="33E9841E" w14:textId="77777777" w:rsidR="0091638B" w:rsidRDefault="0091638B" w:rsidP="0091638B"/>
    <w:p w14:paraId="207E52A9" w14:textId="77777777" w:rsidR="0091638B" w:rsidRDefault="0091638B" w:rsidP="0091638B"/>
    <w:p w14:paraId="2935D61E" w14:textId="77777777" w:rsidR="0091638B" w:rsidRDefault="0091638B" w:rsidP="0091638B"/>
    <w:p w14:paraId="116403A2" w14:textId="77777777" w:rsidR="0091638B" w:rsidRDefault="0091638B" w:rsidP="0091638B"/>
    <w:p w14:paraId="44EC234F" w14:textId="77777777" w:rsidR="0091638B" w:rsidRDefault="0091638B" w:rsidP="0091638B"/>
    <w:p w14:paraId="32137627" w14:textId="77777777" w:rsidR="0091638B" w:rsidRPr="004F2AE6" w:rsidRDefault="0091638B" w:rsidP="0091638B">
      <w:pPr>
        <w:pStyle w:val="Heading2"/>
      </w:pPr>
      <w:bookmarkStart w:id="14" w:name="_Toc200607429"/>
      <w:r w:rsidRPr="004F2AE6">
        <w:t>Gantt chart</w:t>
      </w:r>
      <w:bookmarkEnd w:id="14"/>
      <w:r w:rsidRPr="004F2AE6">
        <w:t xml:space="preserve"> </w:t>
      </w:r>
    </w:p>
    <w:tbl>
      <w:tblPr>
        <w:tblStyle w:val="TableGrid"/>
        <w:tblW w:w="5000" w:type="pct"/>
        <w:tblLook w:val="04A0" w:firstRow="1" w:lastRow="0" w:firstColumn="1" w:lastColumn="0" w:noHBand="0" w:noVBand="1"/>
      </w:tblPr>
      <w:tblGrid>
        <w:gridCol w:w="3230"/>
        <w:gridCol w:w="400"/>
        <w:gridCol w:w="400"/>
        <w:gridCol w:w="400"/>
        <w:gridCol w:w="400"/>
        <w:gridCol w:w="459"/>
        <w:gridCol w:w="580"/>
        <w:gridCol w:w="580"/>
        <w:gridCol w:w="580"/>
        <w:gridCol w:w="580"/>
        <w:gridCol w:w="580"/>
        <w:gridCol w:w="580"/>
        <w:gridCol w:w="581"/>
      </w:tblGrid>
      <w:tr w:rsidR="0091638B" w:rsidRPr="004F2AE6" w14:paraId="4EF9DF23" w14:textId="77777777" w:rsidTr="00480EA7">
        <w:tc>
          <w:tcPr>
            <w:tcW w:w="1659" w:type="pct"/>
            <w:hideMark/>
          </w:tcPr>
          <w:p w14:paraId="2FA87196" w14:textId="77777777" w:rsidR="0091638B" w:rsidRPr="000B07AD" w:rsidRDefault="0091638B" w:rsidP="00480EA7">
            <w:pPr>
              <w:rPr>
                <w:b/>
              </w:rPr>
            </w:pPr>
            <w:r w:rsidRPr="000B07AD">
              <w:rPr>
                <w:b/>
              </w:rPr>
              <w:t>Task</w:t>
            </w:r>
          </w:p>
        </w:tc>
        <w:tc>
          <w:tcPr>
            <w:tcW w:w="182" w:type="pct"/>
            <w:hideMark/>
          </w:tcPr>
          <w:p w14:paraId="6C1A62E7" w14:textId="77777777" w:rsidR="0091638B" w:rsidRPr="000B07AD" w:rsidRDefault="0091638B" w:rsidP="00480EA7">
            <w:pPr>
              <w:rPr>
                <w:b/>
              </w:rPr>
            </w:pPr>
            <w:r w:rsidRPr="000B07AD">
              <w:rPr>
                <w:b/>
              </w:rPr>
              <w:t>1-2</w:t>
            </w:r>
          </w:p>
        </w:tc>
        <w:tc>
          <w:tcPr>
            <w:tcW w:w="183" w:type="pct"/>
            <w:hideMark/>
          </w:tcPr>
          <w:p w14:paraId="4B5128D6" w14:textId="77777777" w:rsidR="0091638B" w:rsidRPr="000B07AD" w:rsidRDefault="0091638B" w:rsidP="00480EA7">
            <w:pPr>
              <w:rPr>
                <w:b/>
              </w:rPr>
            </w:pPr>
            <w:r w:rsidRPr="000B07AD">
              <w:rPr>
                <w:b/>
              </w:rPr>
              <w:t>3-4</w:t>
            </w:r>
          </w:p>
        </w:tc>
        <w:tc>
          <w:tcPr>
            <w:tcW w:w="183" w:type="pct"/>
            <w:hideMark/>
          </w:tcPr>
          <w:p w14:paraId="03986965" w14:textId="77777777" w:rsidR="0091638B" w:rsidRPr="000B07AD" w:rsidRDefault="0091638B" w:rsidP="00480EA7">
            <w:pPr>
              <w:rPr>
                <w:b/>
              </w:rPr>
            </w:pPr>
            <w:r w:rsidRPr="000B07AD">
              <w:rPr>
                <w:b/>
              </w:rPr>
              <w:t>5-6</w:t>
            </w:r>
          </w:p>
        </w:tc>
        <w:tc>
          <w:tcPr>
            <w:tcW w:w="183" w:type="pct"/>
            <w:hideMark/>
          </w:tcPr>
          <w:p w14:paraId="090FFE65" w14:textId="77777777" w:rsidR="0091638B" w:rsidRPr="000B07AD" w:rsidRDefault="0091638B" w:rsidP="00480EA7">
            <w:pPr>
              <w:rPr>
                <w:b/>
              </w:rPr>
            </w:pPr>
            <w:r w:rsidRPr="000B07AD">
              <w:rPr>
                <w:b/>
              </w:rPr>
              <w:t>7-8</w:t>
            </w:r>
          </w:p>
        </w:tc>
        <w:tc>
          <w:tcPr>
            <w:tcW w:w="244" w:type="pct"/>
            <w:hideMark/>
          </w:tcPr>
          <w:p w14:paraId="459F0CBB" w14:textId="77777777" w:rsidR="0091638B" w:rsidRPr="000B07AD" w:rsidRDefault="0091638B" w:rsidP="00480EA7">
            <w:pPr>
              <w:rPr>
                <w:b/>
              </w:rPr>
            </w:pPr>
            <w:r w:rsidRPr="000B07AD">
              <w:rPr>
                <w:b/>
              </w:rPr>
              <w:t>9-10</w:t>
            </w:r>
          </w:p>
        </w:tc>
        <w:tc>
          <w:tcPr>
            <w:tcW w:w="306" w:type="pct"/>
            <w:hideMark/>
          </w:tcPr>
          <w:p w14:paraId="01B849F0" w14:textId="77777777" w:rsidR="0091638B" w:rsidRPr="000B07AD" w:rsidRDefault="0091638B" w:rsidP="00480EA7">
            <w:pPr>
              <w:rPr>
                <w:b/>
              </w:rPr>
            </w:pPr>
            <w:r w:rsidRPr="000B07AD">
              <w:rPr>
                <w:b/>
              </w:rPr>
              <w:t>11-12</w:t>
            </w:r>
          </w:p>
        </w:tc>
        <w:tc>
          <w:tcPr>
            <w:tcW w:w="306" w:type="pct"/>
            <w:hideMark/>
          </w:tcPr>
          <w:p w14:paraId="15F93429" w14:textId="77777777" w:rsidR="0091638B" w:rsidRPr="000B07AD" w:rsidRDefault="0091638B" w:rsidP="00480EA7">
            <w:pPr>
              <w:rPr>
                <w:b/>
              </w:rPr>
            </w:pPr>
            <w:r w:rsidRPr="000B07AD">
              <w:rPr>
                <w:b/>
              </w:rPr>
              <w:t>13-14</w:t>
            </w:r>
          </w:p>
        </w:tc>
        <w:tc>
          <w:tcPr>
            <w:tcW w:w="306" w:type="pct"/>
            <w:hideMark/>
          </w:tcPr>
          <w:p w14:paraId="1452D6AD" w14:textId="77777777" w:rsidR="0091638B" w:rsidRPr="000B07AD" w:rsidRDefault="0091638B" w:rsidP="00480EA7">
            <w:pPr>
              <w:rPr>
                <w:b/>
              </w:rPr>
            </w:pPr>
            <w:r w:rsidRPr="000B07AD">
              <w:rPr>
                <w:b/>
              </w:rPr>
              <w:t>15-16</w:t>
            </w:r>
          </w:p>
        </w:tc>
        <w:tc>
          <w:tcPr>
            <w:tcW w:w="306" w:type="pct"/>
            <w:hideMark/>
          </w:tcPr>
          <w:p w14:paraId="490263CB" w14:textId="77777777" w:rsidR="0091638B" w:rsidRPr="000B07AD" w:rsidRDefault="0091638B" w:rsidP="00480EA7">
            <w:pPr>
              <w:rPr>
                <w:b/>
              </w:rPr>
            </w:pPr>
            <w:r w:rsidRPr="000B07AD">
              <w:rPr>
                <w:b/>
              </w:rPr>
              <w:t>17-18</w:t>
            </w:r>
          </w:p>
        </w:tc>
        <w:tc>
          <w:tcPr>
            <w:tcW w:w="306" w:type="pct"/>
            <w:hideMark/>
          </w:tcPr>
          <w:p w14:paraId="7BBB3E61" w14:textId="77777777" w:rsidR="0091638B" w:rsidRPr="000B07AD" w:rsidRDefault="0091638B" w:rsidP="00480EA7">
            <w:pPr>
              <w:rPr>
                <w:b/>
              </w:rPr>
            </w:pPr>
            <w:r w:rsidRPr="000B07AD">
              <w:rPr>
                <w:b/>
              </w:rPr>
              <w:t>19-20</w:t>
            </w:r>
          </w:p>
        </w:tc>
        <w:tc>
          <w:tcPr>
            <w:tcW w:w="306" w:type="pct"/>
            <w:hideMark/>
          </w:tcPr>
          <w:p w14:paraId="5955150F" w14:textId="77777777" w:rsidR="0091638B" w:rsidRPr="000B07AD" w:rsidRDefault="0091638B" w:rsidP="00480EA7">
            <w:pPr>
              <w:rPr>
                <w:b/>
              </w:rPr>
            </w:pPr>
            <w:r w:rsidRPr="000B07AD">
              <w:rPr>
                <w:b/>
              </w:rPr>
              <w:t>21-22</w:t>
            </w:r>
          </w:p>
        </w:tc>
        <w:tc>
          <w:tcPr>
            <w:tcW w:w="306" w:type="pct"/>
            <w:hideMark/>
          </w:tcPr>
          <w:p w14:paraId="3015CA2D" w14:textId="77777777" w:rsidR="0091638B" w:rsidRPr="000B07AD" w:rsidRDefault="0091638B" w:rsidP="00480EA7">
            <w:pPr>
              <w:rPr>
                <w:b/>
              </w:rPr>
            </w:pPr>
            <w:r w:rsidRPr="000B07AD">
              <w:rPr>
                <w:b/>
              </w:rPr>
              <w:t>23-24</w:t>
            </w:r>
          </w:p>
        </w:tc>
      </w:tr>
      <w:tr w:rsidR="0091638B" w:rsidRPr="004F2AE6" w14:paraId="3A30A2EE" w14:textId="77777777" w:rsidTr="00480EA7">
        <w:tc>
          <w:tcPr>
            <w:tcW w:w="1659" w:type="pct"/>
            <w:hideMark/>
          </w:tcPr>
          <w:p w14:paraId="62F223CB" w14:textId="77777777" w:rsidR="0091638B" w:rsidRPr="004F2AE6" w:rsidRDefault="0091638B" w:rsidP="00480EA7">
            <w:r w:rsidRPr="004F2AE6">
              <w:t>Initial Research &amp; Feasibility</w:t>
            </w:r>
          </w:p>
        </w:tc>
        <w:tc>
          <w:tcPr>
            <w:tcW w:w="182" w:type="pct"/>
            <w:shd w:val="clear" w:color="auto" w:fill="E97132" w:themeFill="accent2"/>
            <w:hideMark/>
          </w:tcPr>
          <w:p w14:paraId="7E541A07" w14:textId="77777777" w:rsidR="0091638B" w:rsidRPr="004F2AE6" w:rsidRDefault="0091638B" w:rsidP="00480EA7"/>
        </w:tc>
        <w:tc>
          <w:tcPr>
            <w:tcW w:w="183" w:type="pct"/>
            <w:hideMark/>
          </w:tcPr>
          <w:p w14:paraId="7B778556" w14:textId="77777777" w:rsidR="0091638B" w:rsidRPr="004F2AE6" w:rsidRDefault="0091638B" w:rsidP="00480EA7"/>
        </w:tc>
        <w:tc>
          <w:tcPr>
            <w:tcW w:w="183" w:type="pct"/>
            <w:hideMark/>
          </w:tcPr>
          <w:p w14:paraId="33432BC1" w14:textId="77777777" w:rsidR="0091638B" w:rsidRPr="004F2AE6" w:rsidRDefault="0091638B" w:rsidP="00480EA7"/>
        </w:tc>
        <w:tc>
          <w:tcPr>
            <w:tcW w:w="183" w:type="pct"/>
            <w:hideMark/>
          </w:tcPr>
          <w:p w14:paraId="32F25A2A" w14:textId="77777777" w:rsidR="0091638B" w:rsidRPr="004F2AE6" w:rsidRDefault="0091638B" w:rsidP="00480EA7"/>
        </w:tc>
        <w:tc>
          <w:tcPr>
            <w:tcW w:w="244" w:type="pct"/>
            <w:hideMark/>
          </w:tcPr>
          <w:p w14:paraId="1679C8F0" w14:textId="77777777" w:rsidR="0091638B" w:rsidRPr="004F2AE6" w:rsidRDefault="0091638B" w:rsidP="00480EA7"/>
        </w:tc>
        <w:tc>
          <w:tcPr>
            <w:tcW w:w="306" w:type="pct"/>
            <w:hideMark/>
          </w:tcPr>
          <w:p w14:paraId="591E6432" w14:textId="77777777" w:rsidR="0091638B" w:rsidRPr="004F2AE6" w:rsidRDefault="0091638B" w:rsidP="00480EA7"/>
        </w:tc>
        <w:tc>
          <w:tcPr>
            <w:tcW w:w="306" w:type="pct"/>
            <w:hideMark/>
          </w:tcPr>
          <w:p w14:paraId="7DF6B72A" w14:textId="77777777" w:rsidR="0091638B" w:rsidRPr="004F2AE6" w:rsidRDefault="0091638B" w:rsidP="00480EA7"/>
        </w:tc>
        <w:tc>
          <w:tcPr>
            <w:tcW w:w="306" w:type="pct"/>
            <w:hideMark/>
          </w:tcPr>
          <w:p w14:paraId="7CDDC0C3" w14:textId="77777777" w:rsidR="0091638B" w:rsidRPr="004F2AE6" w:rsidRDefault="0091638B" w:rsidP="00480EA7"/>
        </w:tc>
        <w:tc>
          <w:tcPr>
            <w:tcW w:w="306" w:type="pct"/>
            <w:hideMark/>
          </w:tcPr>
          <w:p w14:paraId="6238F871" w14:textId="77777777" w:rsidR="0091638B" w:rsidRPr="004F2AE6" w:rsidRDefault="0091638B" w:rsidP="00480EA7"/>
        </w:tc>
        <w:tc>
          <w:tcPr>
            <w:tcW w:w="306" w:type="pct"/>
            <w:hideMark/>
          </w:tcPr>
          <w:p w14:paraId="3E9FEDC7" w14:textId="77777777" w:rsidR="0091638B" w:rsidRPr="004F2AE6" w:rsidRDefault="0091638B" w:rsidP="00480EA7"/>
        </w:tc>
        <w:tc>
          <w:tcPr>
            <w:tcW w:w="306" w:type="pct"/>
            <w:hideMark/>
          </w:tcPr>
          <w:p w14:paraId="1871C642" w14:textId="77777777" w:rsidR="0091638B" w:rsidRPr="004F2AE6" w:rsidRDefault="0091638B" w:rsidP="00480EA7"/>
        </w:tc>
        <w:tc>
          <w:tcPr>
            <w:tcW w:w="306" w:type="pct"/>
            <w:hideMark/>
          </w:tcPr>
          <w:p w14:paraId="5FCF9915" w14:textId="77777777" w:rsidR="0091638B" w:rsidRPr="004F2AE6" w:rsidRDefault="0091638B" w:rsidP="00480EA7"/>
        </w:tc>
      </w:tr>
      <w:tr w:rsidR="0091638B" w:rsidRPr="004F2AE6" w14:paraId="03F90449" w14:textId="77777777" w:rsidTr="00480EA7">
        <w:tc>
          <w:tcPr>
            <w:tcW w:w="1659" w:type="pct"/>
            <w:hideMark/>
          </w:tcPr>
          <w:p w14:paraId="76E7584D" w14:textId="77777777" w:rsidR="0091638B" w:rsidRPr="004F2AE6" w:rsidRDefault="0091638B" w:rsidP="00480EA7">
            <w:r w:rsidRPr="004F2AE6">
              <w:t>Venue Booking &amp; Confirmation</w:t>
            </w:r>
          </w:p>
        </w:tc>
        <w:tc>
          <w:tcPr>
            <w:tcW w:w="182" w:type="pct"/>
            <w:hideMark/>
          </w:tcPr>
          <w:p w14:paraId="24338BFE" w14:textId="77777777" w:rsidR="0091638B" w:rsidRPr="004F2AE6" w:rsidRDefault="0091638B" w:rsidP="00480EA7"/>
        </w:tc>
        <w:tc>
          <w:tcPr>
            <w:tcW w:w="183" w:type="pct"/>
            <w:shd w:val="clear" w:color="auto" w:fill="E97132" w:themeFill="accent2"/>
            <w:hideMark/>
          </w:tcPr>
          <w:p w14:paraId="688E593A" w14:textId="77777777" w:rsidR="0091638B" w:rsidRPr="004F2AE6" w:rsidRDefault="0091638B" w:rsidP="00480EA7"/>
        </w:tc>
        <w:tc>
          <w:tcPr>
            <w:tcW w:w="183" w:type="pct"/>
            <w:hideMark/>
          </w:tcPr>
          <w:p w14:paraId="3801EAA0" w14:textId="77777777" w:rsidR="0091638B" w:rsidRPr="004F2AE6" w:rsidRDefault="0091638B" w:rsidP="00480EA7"/>
        </w:tc>
        <w:tc>
          <w:tcPr>
            <w:tcW w:w="183" w:type="pct"/>
            <w:hideMark/>
          </w:tcPr>
          <w:p w14:paraId="3C92CCD3" w14:textId="77777777" w:rsidR="0091638B" w:rsidRPr="004F2AE6" w:rsidRDefault="0091638B" w:rsidP="00480EA7"/>
        </w:tc>
        <w:tc>
          <w:tcPr>
            <w:tcW w:w="244" w:type="pct"/>
            <w:hideMark/>
          </w:tcPr>
          <w:p w14:paraId="66C8862E" w14:textId="77777777" w:rsidR="0091638B" w:rsidRPr="004F2AE6" w:rsidRDefault="0091638B" w:rsidP="00480EA7"/>
        </w:tc>
        <w:tc>
          <w:tcPr>
            <w:tcW w:w="306" w:type="pct"/>
            <w:hideMark/>
          </w:tcPr>
          <w:p w14:paraId="35D07026" w14:textId="77777777" w:rsidR="0091638B" w:rsidRPr="004F2AE6" w:rsidRDefault="0091638B" w:rsidP="00480EA7"/>
        </w:tc>
        <w:tc>
          <w:tcPr>
            <w:tcW w:w="306" w:type="pct"/>
            <w:hideMark/>
          </w:tcPr>
          <w:p w14:paraId="186B28B1" w14:textId="77777777" w:rsidR="0091638B" w:rsidRPr="004F2AE6" w:rsidRDefault="0091638B" w:rsidP="00480EA7"/>
        </w:tc>
        <w:tc>
          <w:tcPr>
            <w:tcW w:w="306" w:type="pct"/>
            <w:hideMark/>
          </w:tcPr>
          <w:p w14:paraId="6204BB55" w14:textId="77777777" w:rsidR="0091638B" w:rsidRPr="004F2AE6" w:rsidRDefault="0091638B" w:rsidP="00480EA7"/>
        </w:tc>
        <w:tc>
          <w:tcPr>
            <w:tcW w:w="306" w:type="pct"/>
            <w:hideMark/>
          </w:tcPr>
          <w:p w14:paraId="6A938C16" w14:textId="77777777" w:rsidR="0091638B" w:rsidRPr="004F2AE6" w:rsidRDefault="0091638B" w:rsidP="00480EA7"/>
        </w:tc>
        <w:tc>
          <w:tcPr>
            <w:tcW w:w="306" w:type="pct"/>
            <w:hideMark/>
          </w:tcPr>
          <w:p w14:paraId="39720A86" w14:textId="77777777" w:rsidR="0091638B" w:rsidRPr="004F2AE6" w:rsidRDefault="0091638B" w:rsidP="00480EA7"/>
        </w:tc>
        <w:tc>
          <w:tcPr>
            <w:tcW w:w="306" w:type="pct"/>
            <w:hideMark/>
          </w:tcPr>
          <w:p w14:paraId="670A8B0C" w14:textId="77777777" w:rsidR="0091638B" w:rsidRPr="004F2AE6" w:rsidRDefault="0091638B" w:rsidP="00480EA7"/>
        </w:tc>
        <w:tc>
          <w:tcPr>
            <w:tcW w:w="306" w:type="pct"/>
            <w:hideMark/>
          </w:tcPr>
          <w:p w14:paraId="1A85396F" w14:textId="77777777" w:rsidR="0091638B" w:rsidRPr="004F2AE6" w:rsidRDefault="0091638B" w:rsidP="00480EA7"/>
        </w:tc>
      </w:tr>
      <w:tr w:rsidR="0091638B" w:rsidRPr="004F2AE6" w14:paraId="1A6B4569" w14:textId="77777777" w:rsidTr="00480EA7">
        <w:tc>
          <w:tcPr>
            <w:tcW w:w="1659" w:type="pct"/>
            <w:hideMark/>
          </w:tcPr>
          <w:p w14:paraId="03261766" w14:textId="77777777" w:rsidR="0091638B" w:rsidRPr="004F2AE6" w:rsidRDefault="0091638B" w:rsidP="00480EA7">
            <w:r w:rsidRPr="004F2AE6">
              <w:t>Marketing Strategy Development</w:t>
            </w:r>
          </w:p>
        </w:tc>
        <w:tc>
          <w:tcPr>
            <w:tcW w:w="182" w:type="pct"/>
            <w:hideMark/>
          </w:tcPr>
          <w:p w14:paraId="675C6457" w14:textId="77777777" w:rsidR="0091638B" w:rsidRPr="004F2AE6" w:rsidRDefault="0091638B" w:rsidP="00480EA7"/>
        </w:tc>
        <w:tc>
          <w:tcPr>
            <w:tcW w:w="183" w:type="pct"/>
            <w:hideMark/>
          </w:tcPr>
          <w:p w14:paraId="5E8257F7" w14:textId="77777777" w:rsidR="0091638B" w:rsidRPr="004F2AE6" w:rsidRDefault="0091638B" w:rsidP="00480EA7"/>
        </w:tc>
        <w:tc>
          <w:tcPr>
            <w:tcW w:w="183" w:type="pct"/>
            <w:shd w:val="clear" w:color="auto" w:fill="E97132" w:themeFill="accent2"/>
            <w:hideMark/>
          </w:tcPr>
          <w:p w14:paraId="497580F6" w14:textId="77777777" w:rsidR="0091638B" w:rsidRPr="004F2AE6" w:rsidRDefault="0091638B" w:rsidP="00480EA7"/>
        </w:tc>
        <w:tc>
          <w:tcPr>
            <w:tcW w:w="183" w:type="pct"/>
            <w:shd w:val="clear" w:color="auto" w:fill="E97132" w:themeFill="accent2"/>
            <w:hideMark/>
          </w:tcPr>
          <w:p w14:paraId="3BE13C3A" w14:textId="77777777" w:rsidR="0091638B" w:rsidRPr="004F2AE6" w:rsidRDefault="0091638B" w:rsidP="00480EA7"/>
        </w:tc>
        <w:tc>
          <w:tcPr>
            <w:tcW w:w="244" w:type="pct"/>
            <w:hideMark/>
          </w:tcPr>
          <w:p w14:paraId="4AD05543" w14:textId="77777777" w:rsidR="0091638B" w:rsidRPr="004F2AE6" w:rsidRDefault="0091638B" w:rsidP="00480EA7"/>
        </w:tc>
        <w:tc>
          <w:tcPr>
            <w:tcW w:w="306" w:type="pct"/>
            <w:hideMark/>
          </w:tcPr>
          <w:p w14:paraId="3563BD2A" w14:textId="77777777" w:rsidR="0091638B" w:rsidRPr="004F2AE6" w:rsidRDefault="0091638B" w:rsidP="00480EA7"/>
        </w:tc>
        <w:tc>
          <w:tcPr>
            <w:tcW w:w="306" w:type="pct"/>
            <w:hideMark/>
          </w:tcPr>
          <w:p w14:paraId="4E5CB538" w14:textId="77777777" w:rsidR="0091638B" w:rsidRPr="004F2AE6" w:rsidRDefault="0091638B" w:rsidP="00480EA7"/>
        </w:tc>
        <w:tc>
          <w:tcPr>
            <w:tcW w:w="306" w:type="pct"/>
            <w:hideMark/>
          </w:tcPr>
          <w:p w14:paraId="55A111B0" w14:textId="77777777" w:rsidR="0091638B" w:rsidRPr="004F2AE6" w:rsidRDefault="0091638B" w:rsidP="00480EA7"/>
        </w:tc>
        <w:tc>
          <w:tcPr>
            <w:tcW w:w="306" w:type="pct"/>
            <w:hideMark/>
          </w:tcPr>
          <w:p w14:paraId="1F307FCE" w14:textId="77777777" w:rsidR="0091638B" w:rsidRPr="004F2AE6" w:rsidRDefault="0091638B" w:rsidP="00480EA7"/>
        </w:tc>
        <w:tc>
          <w:tcPr>
            <w:tcW w:w="306" w:type="pct"/>
            <w:hideMark/>
          </w:tcPr>
          <w:p w14:paraId="22A3C6C6" w14:textId="77777777" w:rsidR="0091638B" w:rsidRPr="004F2AE6" w:rsidRDefault="0091638B" w:rsidP="00480EA7"/>
        </w:tc>
        <w:tc>
          <w:tcPr>
            <w:tcW w:w="306" w:type="pct"/>
            <w:hideMark/>
          </w:tcPr>
          <w:p w14:paraId="000D519B" w14:textId="77777777" w:rsidR="0091638B" w:rsidRPr="004F2AE6" w:rsidRDefault="0091638B" w:rsidP="00480EA7"/>
        </w:tc>
        <w:tc>
          <w:tcPr>
            <w:tcW w:w="306" w:type="pct"/>
            <w:hideMark/>
          </w:tcPr>
          <w:p w14:paraId="1A005937" w14:textId="77777777" w:rsidR="0091638B" w:rsidRPr="004F2AE6" w:rsidRDefault="0091638B" w:rsidP="00480EA7"/>
        </w:tc>
      </w:tr>
      <w:tr w:rsidR="0091638B" w:rsidRPr="004F2AE6" w14:paraId="218909D8" w14:textId="77777777" w:rsidTr="00480EA7">
        <w:tc>
          <w:tcPr>
            <w:tcW w:w="1659" w:type="pct"/>
            <w:hideMark/>
          </w:tcPr>
          <w:p w14:paraId="205297A5" w14:textId="77777777" w:rsidR="0091638B" w:rsidRPr="004F2AE6" w:rsidRDefault="0091638B" w:rsidP="00480EA7">
            <w:r w:rsidRPr="004F2AE6">
              <w:t>Speaker &amp; Exhibitor Invitations</w:t>
            </w:r>
          </w:p>
        </w:tc>
        <w:tc>
          <w:tcPr>
            <w:tcW w:w="182" w:type="pct"/>
            <w:hideMark/>
          </w:tcPr>
          <w:p w14:paraId="1B9055B3" w14:textId="77777777" w:rsidR="0091638B" w:rsidRPr="004F2AE6" w:rsidRDefault="0091638B" w:rsidP="00480EA7"/>
        </w:tc>
        <w:tc>
          <w:tcPr>
            <w:tcW w:w="183" w:type="pct"/>
            <w:hideMark/>
          </w:tcPr>
          <w:p w14:paraId="0B34839B" w14:textId="77777777" w:rsidR="0091638B" w:rsidRPr="004F2AE6" w:rsidRDefault="0091638B" w:rsidP="00480EA7"/>
        </w:tc>
        <w:tc>
          <w:tcPr>
            <w:tcW w:w="183" w:type="pct"/>
            <w:hideMark/>
          </w:tcPr>
          <w:p w14:paraId="78A98109" w14:textId="77777777" w:rsidR="0091638B" w:rsidRPr="004F2AE6" w:rsidRDefault="0091638B" w:rsidP="00480EA7"/>
        </w:tc>
        <w:tc>
          <w:tcPr>
            <w:tcW w:w="183" w:type="pct"/>
            <w:shd w:val="clear" w:color="auto" w:fill="E97132" w:themeFill="accent2"/>
            <w:hideMark/>
          </w:tcPr>
          <w:p w14:paraId="19C82B29" w14:textId="77777777" w:rsidR="0091638B" w:rsidRPr="004F2AE6" w:rsidRDefault="0091638B" w:rsidP="00480EA7"/>
        </w:tc>
        <w:tc>
          <w:tcPr>
            <w:tcW w:w="244" w:type="pct"/>
            <w:shd w:val="clear" w:color="auto" w:fill="E97132" w:themeFill="accent2"/>
            <w:hideMark/>
          </w:tcPr>
          <w:p w14:paraId="2F2C8529" w14:textId="77777777" w:rsidR="0091638B" w:rsidRPr="004F2AE6" w:rsidRDefault="0091638B" w:rsidP="00480EA7"/>
        </w:tc>
        <w:tc>
          <w:tcPr>
            <w:tcW w:w="306" w:type="pct"/>
            <w:hideMark/>
          </w:tcPr>
          <w:p w14:paraId="59FD3163" w14:textId="77777777" w:rsidR="0091638B" w:rsidRPr="004F2AE6" w:rsidRDefault="0091638B" w:rsidP="00480EA7"/>
        </w:tc>
        <w:tc>
          <w:tcPr>
            <w:tcW w:w="306" w:type="pct"/>
            <w:hideMark/>
          </w:tcPr>
          <w:p w14:paraId="615C8558" w14:textId="77777777" w:rsidR="0091638B" w:rsidRPr="004F2AE6" w:rsidRDefault="0091638B" w:rsidP="00480EA7"/>
        </w:tc>
        <w:tc>
          <w:tcPr>
            <w:tcW w:w="306" w:type="pct"/>
            <w:hideMark/>
          </w:tcPr>
          <w:p w14:paraId="35746DC4" w14:textId="77777777" w:rsidR="0091638B" w:rsidRPr="004F2AE6" w:rsidRDefault="0091638B" w:rsidP="00480EA7"/>
        </w:tc>
        <w:tc>
          <w:tcPr>
            <w:tcW w:w="306" w:type="pct"/>
            <w:hideMark/>
          </w:tcPr>
          <w:p w14:paraId="4EA3C827" w14:textId="77777777" w:rsidR="0091638B" w:rsidRPr="004F2AE6" w:rsidRDefault="0091638B" w:rsidP="00480EA7"/>
        </w:tc>
        <w:tc>
          <w:tcPr>
            <w:tcW w:w="306" w:type="pct"/>
            <w:hideMark/>
          </w:tcPr>
          <w:p w14:paraId="7C4252BC" w14:textId="77777777" w:rsidR="0091638B" w:rsidRPr="004F2AE6" w:rsidRDefault="0091638B" w:rsidP="00480EA7"/>
        </w:tc>
        <w:tc>
          <w:tcPr>
            <w:tcW w:w="306" w:type="pct"/>
            <w:hideMark/>
          </w:tcPr>
          <w:p w14:paraId="176CFCF2" w14:textId="77777777" w:rsidR="0091638B" w:rsidRPr="004F2AE6" w:rsidRDefault="0091638B" w:rsidP="00480EA7"/>
        </w:tc>
        <w:tc>
          <w:tcPr>
            <w:tcW w:w="306" w:type="pct"/>
            <w:hideMark/>
          </w:tcPr>
          <w:p w14:paraId="4B309320" w14:textId="77777777" w:rsidR="0091638B" w:rsidRPr="004F2AE6" w:rsidRDefault="0091638B" w:rsidP="00480EA7"/>
        </w:tc>
      </w:tr>
      <w:tr w:rsidR="0091638B" w:rsidRPr="004F2AE6" w14:paraId="463A7E2D" w14:textId="77777777" w:rsidTr="00480EA7">
        <w:tc>
          <w:tcPr>
            <w:tcW w:w="1659" w:type="pct"/>
            <w:hideMark/>
          </w:tcPr>
          <w:p w14:paraId="214B676E" w14:textId="77777777" w:rsidR="0091638B" w:rsidRPr="004F2AE6" w:rsidRDefault="0091638B" w:rsidP="00480EA7">
            <w:r w:rsidRPr="004F2AE6">
              <w:t>Sponsorship &amp; Funding Securing</w:t>
            </w:r>
          </w:p>
        </w:tc>
        <w:tc>
          <w:tcPr>
            <w:tcW w:w="182" w:type="pct"/>
            <w:hideMark/>
          </w:tcPr>
          <w:p w14:paraId="64CBB722" w14:textId="77777777" w:rsidR="0091638B" w:rsidRPr="004F2AE6" w:rsidRDefault="0091638B" w:rsidP="00480EA7"/>
        </w:tc>
        <w:tc>
          <w:tcPr>
            <w:tcW w:w="183" w:type="pct"/>
            <w:hideMark/>
          </w:tcPr>
          <w:p w14:paraId="763D7AD3" w14:textId="77777777" w:rsidR="0091638B" w:rsidRPr="004F2AE6" w:rsidRDefault="0091638B" w:rsidP="00480EA7"/>
        </w:tc>
        <w:tc>
          <w:tcPr>
            <w:tcW w:w="183" w:type="pct"/>
            <w:hideMark/>
          </w:tcPr>
          <w:p w14:paraId="2F9DEAF0" w14:textId="77777777" w:rsidR="0091638B" w:rsidRPr="004F2AE6" w:rsidRDefault="0091638B" w:rsidP="00480EA7"/>
        </w:tc>
        <w:tc>
          <w:tcPr>
            <w:tcW w:w="183" w:type="pct"/>
            <w:hideMark/>
          </w:tcPr>
          <w:p w14:paraId="584ABD72" w14:textId="77777777" w:rsidR="0091638B" w:rsidRPr="004F2AE6" w:rsidRDefault="0091638B" w:rsidP="00480EA7"/>
        </w:tc>
        <w:tc>
          <w:tcPr>
            <w:tcW w:w="244" w:type="pct"/>
            <w:shd w:val="clear" w:color="auto" w:fill="E97132" w:themeFill="accent2"/>
            <w:hideMark/>
          </w:tcPr>
          <w:p w14:paraId="4652AA76" w14:textId="77777777" w:rsidR="0091638B" w:rsidRPr="004F2AE6" w:rsidRDefault="0091638B" w:rsidP="00480EA7"/>
        </w:tc>
        <w:tc>
          <w:tcPr>
            <w:tcW w:w="306" w:type="pct"/>
            <w:shd w:val="clear" w:color="auto" w:fill="E97132" w:themeFill="accent2"/>
            <w:hideMark/>
          </w:tcPr>
          <w:p w14:paraId="6C6247DB" w14:textId="77777777" w:rsidR="0091638B" w:rsidRPr="004F2AE6" w:rsidRDefault="0091638B" w:rsidP="00480EA7"/>
        </w:tc>
        <w:tc>
          <w:tcPr>
            <w:tcW w:w="306" w:type="pct"/>
            <w:hideMark/>
          </w:tcPr>
          <w:p w14:paraId="116B9858" w14:textId="77777777" w:rsidR="0091638B" w:rsidRPr="004F2AE6" w:rsidRDefault="0091638B" w:rsidP="00480EA7"/>
        </w:tc>
        <w:tc>
          <w:tcPr>
            <w:tcW w:w="306" w:type="pct"/>
            <w:hideMark/>
          </w:tcPr>
          <w:p w14:paraId="67C01E24" w14:textId="77777777" w:rsidR="0091638B" w:rsidRPr="004F2AE6" w:rsidRDefault="0091638B" w:rsidP="00480EA7"/>
        </w:tc>
        <w:tc>
          <w:tcPr>
            <w:tcW w:w="306" w:type="pct"/>
            <w:hideMark/>
          </w:tcPr>
          <w:p w14:paraId="5051316E" w14:textId="77777777" w:rsidR="0091638B" w:rsidRPr="004F2AE6" w:rsidRDefault="0091638B" w:rsidP="00480EA7"/>
        </w:tc>
        <w:tc>
          <w:tcPr>
            <w:tcW w:w="306" w:type="pct"/>
            <w:hideMark/>
          </w:tcPr>
          <w:p w14:paraId="55E22772" w14:textId="77777777" w:rsidR="0091638B" w:rsidRPr="004F2AE6" w:rsidRDefault="0091638B" w:rsidP="00480EA7"/>
        </w:tc>
        <w:tc>
          <w:tcPr>
            <w:tcW w:w="306" w:type="pct"/>
            <w:hideMark/>
          </w:tcPr>
          <w:p w14:paraId="60101C20" w14:textId="77777777" w:rsidR="0091638B" w:rsidRPr="004F2AE6" w:rsidRDefault="0091638B" w:rsidP="00480EA7"/>
        </w:tc>
        <w:tc>
          <w:tcPr>
            <w:tcW w:w="306" w:type="pct"/>
            <w:hideMark/>
          </w:tcPr>
          <w:p w14:paraId="6513DE0D" w14:textId="77777777" w:rsidR="0091638B" w:rsidRPr="004F2AE6" w:rsidRDefault="0091638B" w:rsidP="00480EA7"/>
        </w:tc>
      </w:tr>
      <w:tr w:rsidR="0091638B" w:rsidRPr="004F2AE6" w14:paraId="47C4156B" w14:textId="77777777" w:rsidTr="00480EA7">
        <w:tc>
          <w:tcPr>
            <w:tcW w:w="1659" w:type="pct"/>
            <w:hideMark/>
          </w:tcPr>
          <w:p w14:paraId="4D075BF0" w14:textId="77777777" w:rsidR="0091638B" w:rsidRPr="004F2AE6" w:rsidRDefault="0091638B" w:rsidP="00480EA7">
            <w:r w:rsidRPr="004F2AE6">
              <w:t>Event Logistics Planning</w:t>
            </w:r>
          </w:p>
        </w:tc>
        <w:tc>
          <w:tcPr>
            <w:tcW w:w="182" w:type="pct"/>
            <w:hideMark/>
          </w:tcPr>
          <w:p w14:paraId="2E5EECFE" w14:textId="77777777" w:rsidR="0091638B" w:rsidRPr="004F2AE6" w:rsidRDefault="0091638B" w:rsidP="00480EA7"/>
        </w:tc>
        <w:tc>
          <w:tcPr>
            <w:tcW w:w="183" w:type="pct"/>
            <w:hideMark/>
          </w:tcPr>
          <w:p w14:paraId="0AB687D8" w14:textId="77777777" w:rsidR="0091638B" w:rsidRPr="004F2AE6" w:rsidRDefault="0091638B" w:rsidP="00480EA7"/>
        </w:tc>
        <w:tc>
          <w:tcPr>
            <w:tcW w:w="183" w:type="pct"/>
            <w:hideMark/>
          </w:tcPr>
          <w:p w14:paraId="17862C75" w14:textId="77777777" w:rsidR="0091638B" w:rsidRPr="004F2AE6" w:rsidRDefault="0091638B" w:rsidP="00480EA7"/>
        </w:tc>
        <w:tc>
          <w:tcPr>
            <w:tcW w:w="183" w:type="pct"/>
            <w:hideMark/>
          </w:tcPr>
          <w:p w14:paraId="116446D2" w14:textId="77777777" w:rsidR="0091638B" w:rsidRPr="004F2AE6" w:rsidRDefault="0091638B" w:rsidP="00480EA7"/>
        </w:tc>
        <w:tc>
          <w:tcPr>
            <w:tcW w:w="244" w:type="pct"/>
            <w:hideMark/>
          </w:tcPr>
          <w:p w14:paraId="4EFD9040" w14:textId="77777777" w:rsidR="0091638B" w:rsidRPr="004F2AE6" w:rsidRDefault="0091638B" w:rsidP="00480EA7"/>
        </w:tc>
        <w:tc>
          <w:tcPr>
            <w:tcW w:w="306" w:type="pct"/>
            <w:shd w:val="clear" w:color="auto" w:fill="E97132" w:themeFill="accent2"/>
            <w:hideMark/>
          </w:tcPr>
          <w:p w14:paraId="7093B64C" w14:textId="77777777" w:rsidR="0091638B" w:rsidRPr="004F2AE6" w:rsidRDefault="0091638B" w:rsidP="00480EA7"/>
        </w:tc>
        <w:tc>
          <w:tcPr>
            <w:tcW w:w="306" w:type="pct"/>
            <w:shd w:val="clear" w:color="auto" w:fill="E97132" w:themeFill="accent2"/>
            <w:hideMark/>
          </w:tcPr>
          <w:p w14:paraId="6DC573A6" w14:textId="77777777" w:rsidR="0091638B" w:rsidRPr="004F2AE6" w:rsidRDefault="0091638B" w:rsidP="00480EA7"/>
        </w:tc>
        <w:tc>
          <w:tcPr>
            <w:tcW w:w="306" w:type="pct"/>
            <w:hideMark/>
          </w:tcPr>
          <w:p w14:paraId="4AF292D4" w14:textId="77777777" w:rsidR="0091638B" w:rsidRPr="004F2AE6" w:rsidRDefault="0091638B" w:rsidP="00480EA7"/>
        </w:tc>
        <w:tc>
          <w:tcPr>
            <w:tcW w:w="306" w:type="pct"/>
            <w:hideMark/>
          </w:tcPr>
          <w:p w14:paraId="56F79BAB" w14:textId="77777777" w:rsidR="0091638B" w:rsidRPr="004F2AE6" w:rsidRDefault="0091638B" w:rsidP="00480EA7"/>
        </w:tc>
        <w:tc>
          <w:tcPr>
            <w:tcW w:w="306" w:type="pct"/>
            <w:hideMark/>
          </w:tcPr>
          <w:p w14:paraId="741BC1FD" w14:textId="77777777" w:rsidR="0091638B" w:rsidRPr="004F2AE6" w:rsidRDefault="0091638B" w:rsidP="00480EA7"/>
        </w:tc>
        <w:tc>
          <w:tcPr>
            <w:tcW w:w="306" w:type="pct"/>
            <w:hideMark/>
          </w:tcPr>
          <w:p w14:paraId="67EE0310" w14:textId="77777777" w:rsidR="0091638B" w:rsidRPr="004F2AE6" w:rsidRDefault="0091638B" w:rsidP="00480EA7"/>
        </w:tc>
        <w:tc>
          <w:tcPr>
            <w:tcW w:w="306" w:type="pct"/>
            <w:hideMark/>
          </w:tcPr>
          <w:p w14:paraId="30F87C44" w14:textId="77777777" w:rsidR="0091638B" w:rsidRPr="004F2AE6" w:rsidRDefault="0091638B" w:rsidP="00480EA7"/>
        </w:tc>
      </w:tr>
      <w:tr w:rsidR="0091638B" w:rsidRPr="004F2AE6" w14:paraId="621B472B" w14:textId="77777777" w:rsidTr="00480EA7">
        <w:tc>
          <w:tcPr>
            <w:tcW w:w="1659" w:type="pct"/>
            <w:hideMark/>
          </w:tcPr>
          <w:p w14:paraId="4876861C" w14:textId="77777777" w:rsidR="0091638B" w:rsidRPr="004F2AE6" w:rsidRDefault="0091638B" w:rsidP="00480EA7">
            <w:r w:rsidRPr="004F2AE6">
              <w:t>Marketing Campaign Launch</w:t>
            </w:r>
          </w:p>
        </w:tc>
        <w:tc>
          <w:tcPr>
            <w:tcW w:w="182" w:type="pct"/>
            <w:hideMark/>
          </w:tcPr>
          <w:p w14:paraId="0603AAA8" w14:textId="77777777" w:rsidR="0091638B" w:rsidRPr="004F2AE6" w:rsidRDefault="0091638B" w:rsidP="00480EA7"/>
        </w:tc>
        <w:tc>
          <w:tcPr>
            <w:tcW w:w="183" w:type="pct"/>
            <w:hideMark/>
          </w:tcPr>
          <w:p w14:paraId="55B69146" w14:textId="77777777" w:rsidR="0091638B" w:rsidRPr="004F2AE6" w:rsidRDefault="0091638B" w:rsidP="00480EA7"/>
        </w:tc>
        <w:tc>
          <w:tcPr>
            <w:tcW w:w="183" w:type="pct"/>
            <w:hideMark/>
          </w:tcPr>
          <w:p w14:paraId="57F004A4" w14:textId="77777777" w:rsidR="0091638B" w:rsidRPr="004F2AE6" w:rsidRDefault="0091638B" w:rsidP="00480EA7"/>
        </w:tc>
        <w:tc>
          <w:tcPr>
            <w:tcW w:w="183" w:type="pct"/>
            <w:hideMark/>
          </w:tcPr>
          <w:p w14:paraId="2DEEFC18" w14:textId="77777777" w:rsidR="0091638B" w:rsidRPr="004F2AE6" w:rsidRDefault="0091638B" w:rsidP="00480EA7"/>
        </w:tc>
        <w:tc>
          <w:tcPr>
            <w:tcW w:w="244" w:type="pct"/>
            <w:hideMark/>
          </w:tcPr>
          <w:p w14:paraId="4449E981" w14:textId="77777777" w:rsidR="0091638B" w:rsidRPr="004F2AE6" w:rsidRDefault="0091638B" w:rsidP="00480EA7"/>
        </w:tc>
        <w:tc>
          <w:tcPr>
            <w:tcW w:w="306" w:type="pct"/>
            <w:hideMark/>
          </w:tcPr>
          <w:p w14:paraId="628FC9F6" w14:textId="77777777" w:rsidR="0091638B" w:rsidRPr="004F2AE6" w:rsidRDefault="0091638B" w:rsidP="00480EA7"/>
        </w:tc>
        <w:tc>
          <w:tcPr>
            <w:tcW w:w="306" w:type="pct"/>
            <w:shd w:val="clear" w:color="auto" w:fill="E97132" w:themeFill="accent2"/>
            <w:hideMark/>
          </w:tcPr>
          <w:p w14:paraId="4143C2E0" w14:textId="77777777" w:rsidR="0091638B" w:rsidRPr="004F2AE6" w:rsidRDefault="0091638B" w:rsidP="00480EA7"/>
        </w:tc>
        <w:tc>
          <w:tcPr>
            <w:tcW w:w="306" w:type="pct"/>
            <w:shd w:val="clear" w:color="auto" w:fill="E97132" w:themeFill="accent2"/>
            <w:hideMark/>
          </w:tcPr>
          <w:p w14:paraId="5F97E36A" w14:textId="77777777" w:rsidR="0091638B" w:rsidRPr="004F2AE6" w:rsidRDefault="0091638B" w:rsidP="00480EA7"/>
        </w:tc>
        <w:tc>
          <w:tcPr>
            <w:tcW w:w="306" w:type="pct"/>
            <w:hideMark/>
          </w:tcPr>
          <w:p w14:paraId="60FC43C1" w14:textId="77777777" w:rsidR="0091638B" w:rsidRPr="004F2AE6" w:rsidRDefault="0091638B" w:rsidP="00480EA7"/>
        </w:tc>
        <w:tc>
          <w:tcPr>
            <w:tcW w:w="306" w:type="pct"/>
            <w:hideMark/>
          </w:tcPr>
          <w:p w14:paraId="48C032AE" w14:textId="77777777" w:rsidR="0091638B" w:rsidRPr="004F2AE6" w:rsidRDefault="0091638B" w:rsidP="00480EA7"/>
        </w:tc>
        <w:tc>
          <w:tcPr>
            <w:tcW w:w="306" w:type="pct"/>
            <w:hideMark/>
          </w:tcPr>
          <w:p w14:paraId="106528D0" w14:textId="77777777" w:rsidR="0091638B" w:rsidRPr="004F2AE6" w:rsidRDefault="0091638B" w:rsidP="00480EA7"/>
        </w:tc>
        <w:tc>
          <w:tcPr>
            <w:tcW w:w="306" w:type="pct"/>
            <w:hideMark/>
          </w:tcPr>
          <w:p w14:paraId="13DB60BF" w14:textId="77777777" w:rsidR="0091638B" w:rsidRPr="004F2AE6" w:rsidRDefault="0091638B" w:rsidP="00480EA7"/>
        </w:tc>
      </w:tr>
      <w:tr w:rsidR="0091638B" w:rsidRPr="004F2AE6" w14:paraId="74F98BAC" w14:textId="77777777" w:rsidTr="00480EA7">
        <w:tc>
          <w:tcPr>
            <w:tcW w:w="1659" w:type="pct"/>
            <w:hideMark/>
          </w:tcPr>
          <w:p w14:paraId="4B8616E9" w14:textId="77777777" w:rsidR="0091638B" w:rsidRPr="004F2AE6" w:rsidRDefault="0091638B" w:rsidP="00480EA7">
            <w:r w:rsidRPr="004F2AE6">
              <w:t>Ticket Sales &amp; Registration</w:t>
            </w:r>
          </w:p>
        </w:tc>
        <w:tc>
          <w:tcPr>
            <w:tcW w:w="182" w:type="pct"/>
            <w:hideMark/>
          </w:tcPr>
          <w:p w14:paraId="7229BDC3" w14:textId="77777777" w:rsidR="0091638B" w:rsidRPr="004F2AE6" w:rsidRDefault="0091638B" w:rsidP="00480EA7"/>
        </w:tc>
        <w:tc>
          <w:tcPr>
            <w:tcW w:w="183" w:type="pct"/>
            <w:hideMark/>
          </w:tcPr>
          <w:p w14:paraId="4661C8DE" w14:textId="77777777" w:rsidR="0091638B" w:rsidRPr="004F2AE6" w:rsidRDefault="0091638B" w:rsidP="00480EA7"/>
        </w:tc>
        <w:tc>
          <w:tcPr>
            <w:tcW w:w="183" w:type="pct"/>
            <w:hideMark/>
          </w:tcPr>
          <w:p w14:paraId="3063BD33" w14:textId="77777777" w:rsidR="0091638B" w:rsidRPr="004F2AE6" w:rsidRDefault="0091638B" w:rsidP="00480EA7"/>
        </w:tc>
        <w:tc>
          <w:tcPr>
            <w:tcW w:w="183" w:type="pct"/>
            <w:hideMark/>
          </w:tcPr>
          <w:p w14:paraId="7D5E0B1D" w14:textId="77777777" w:rsidR="0091638B" w:rsidRPr="004F2AE6" w:rsidRDefault="0091638B" w:rsidP="00480EA7"/>
        </w:tc>
        <w:tc>
          <w:tcPr>
            <w:tcW w:w="244" w:type="pct"/>
            <w:hideMark/>
          </w:tcPr>
          <w:p w14:paraId="1BDD6394" w14:textId="77777777" w:rsidR="0091638B" w:rsidRPr="004F2AE6" w:rsidRDefault="0091638B" w:rsidP="00480EA7"/>
        </w:tc>
        <w:tc>
          <w:tcPr>
            <w:tcW w:w="306" w:type="pct"/>
            <w:hideMark/>
          </w:tcPr>
          <w:p w14:paraId="1741EAFA" w14:textId="77777777" w:rsidR="0091638B" w:rsidRPr="004F2AE6" w:rsidRDefault="0091638B" w:rsidP="00480EA7"/>
        </w:tc>
        <w:tc>
          <w:tcPr>
            <w:tcW w:w="306" w:type="pct"/>
            <w:hideMark/>
          </w:tcPr>
          <w:p w14:paraId="56E033DD" w14:textId="77777777" w:rsidR="0091638B" w:rsidRPr="004F2AE6" w:rsidRDefault="0091638B" w:rsidP="00480EA7"/>
        </w:tc>
        <w:tc>
          <w:tcPr>
            <w:tcW w:w="306" w:type="pct"/>
            <w:shd w:val="clear" w:color="auto" w:fill="E97132" w:themeFill="accent2"/>
            <w:hideMark/>
          </w:tcPr>
          <w:p w14:paraId="72328437" w14:textId="77777777" w:rsidR="0091638B" w:rsidRPr="004F2AE6" w:rsidRDefault="0091638B" w:rsidP="00480EA7"/>
        </w:tc>
        <w:tc>
          <w:tcPr>
            <w:tcW w:w="306" w:type="pct"/>
            <w:shd w:val="clear" w:color="auto" w:fill="E97132" w:themeFill="accent2"/>
            <w:hideMark/>
          </w:tcPr>
          <w:p w14:paraId="17073781" w14:textId="77777777" w:rsidR="0091638B" w:rsidRPr="004F2AE6" w:rsidRDefault="0091638B" w:rsidP="00480EA7"/>
        </w:tc>
        <w:tc>
          <w:tcPr>
            <w:tcW w:w="306" w:type="pct"/>
            <w:hideMark/>
          </w:tcPr>
          <w:p w14:paraId="0AE91DB8" w14:textId="77777777" w:rsidR="0091638B" w:rsidRPr="004F2AE6" w:rsidRDefault="0091638B" w:rsidP="00480EA7"/>
        </w:tc>
        <w:tc>
          <w:tcPr>
            <w:tcW w:w="306" w:type="pct"/>
            <w:hideMark/>
          </w:tcPr>
          <w:p w14:paraId="2C25C4C2" w14:textId="77777777" w:rsidR="0091638B" w:rsidRPr="004F2AE6" w:rsidRDefault="0091638B" w:rsidP="00480EA7"/>
        </w:tc>
        <w:tc>
          <w:tcPr>
            <w:tcW w:w="306" w:type="pct"/>
            <w:hideMark/>
          </w:tcPr>
          <w:p w14:paraId="3FFA00B2" w14:textId="77777777" w:rsidR="0091638B" w:rsidRPr="004F2AE6" w:rsidRDefault="0091638B" w:rsidP="00480EA7"/>
        </w:tc>
      </w:tr>
      <w:tr w:rsidR="0091638B" w:rsidRPr="004F2AE6" w14:paraId="0BA46361" w14:textId="77777777" w:rsidTr="00480EA7">
        <w:tc>
          <w:tcPr>
            <w:tcW w:w="1659" w:type="pct"/>
            <w:hideMark/>
          </w:tcPr>
          <w:p w14:paraId="24702B9D" w14:textId="77777777" w:rsidR="0091638B" w:rsidRPr="004F2AE6" w:rsidRDefault="0091638B" w:rsidP="00480EA7">
            <w:r w:rsidRPr="004F2AE6">
              <w:t>Final Event Preparations</w:t>
            </w:r>
          </w:p>
        </w:tc>
        <w:tc>
          <w:tcPr>
            <w:tcW w:w="182" w:type="pct"/>
            <w:hideMark/>
          </w:tcPr>
          <w:p w14:paraId="7E45EFB0" w14:textId="77777777" w:rsidR="0091638B" w:rsidRPr="004F2AE6" w:rsidRDefault="0091638B" w:rsidP="00480EA7"/>
        </w:tc>
        <w:tc>
          <w:tcPr>
            <w:tcW w:w="183" w:type="pct"/>
            <w:hideMark/>
          </w:tcPr>
          <w:p w14:paraId="5C0921FB" w14:textId="77777777" w:rsidR="0091638B" w:rsidRPr="004F2AE6" w:rsidRDefault="0091638B" w:rsidP="00480EA7"/>
        </w:tc>
        <w:tc>
          <w:tcPr>
            <w:tcW w:w="183" w:type="pct"/>
            <w:hideMark/>
          </w:tcPr>
          <w:p w14:paraId="65697B83" w14:textId="77777777" w:rsidR="0091638B" w:rsidRPr="004F2AE6" w:rsidRDefault="0091638B" w:rsidP="00480EA7"/>
        </w:tc>
        <w:tc>
          <w:tcPr>
            <w:tcW w:w="183" w:type="pct"/>
            <w:hideMark/>
          </w:tcPr>
          <w:p w14:paraId="1AB44EEC" w14:textId="77777777" w:rsidR="0091638B" w:rsidRPr="004F2AE6" w:rsidRDefault="0091638B" w:rsidP="00480EA7"/>
        </w:tc>
        <w:tc>
          <w:tcPr>
            <w:tcW w:w="244" w:type="pct"/>
            <w:hideMark/>
          </w:tcPr>
          <w:p w14:paraId="124470A7" w14:textId="77777777" w:rsidR="0091638B" w:rsidRPr="004F2AE6" w:rsidRDefault="0091638B" w:rsidP="00480EA7"/>
        </w:tc>
        <w:tc>
          <w:tcPr>
            <w:tcW w:w="306" w:type="pct"/>
            <w:hideMark/>
          </w:tcPr>
          <w:p w14:paraId="66A283FE" w14:textId="77777777" w:rsidR="0091638B" w:rsidRPr="004F2AE6" w:rsidRDefault="0091638B" w:rsidP="00480EA7"/>
        </w:tc>
        <w:tc>
          <w:tcPr>
            <w:tcW w:w="306" w:type="pct"/>
            <w:hideMark/>
          </w:tcPr>
          <w:p w14:paraId="03AE9280" w14:textId="77777777" w:rsidR="0091638B" w:rsidRPr="004F2AE6" w:rsidRDefault="0091638B" w:rsidP="00480EA7"/>
        </w:tc>
        <w:tc>
          <w:tcPr>
            <w:tcW w:w="306" w:type="pct"/>
            <w:hideMark/>
          </w:tcPr>
          <w:p w14:paraId="5B36E934" w14:textId="77777777" w:rsidR="0091638B" w:rsidRPr="004F2AE6" w:rsidRDefault="0091638B" w:rsidP="00480EA7"/>
        </w:tc>
        <w:tc>
          <w:tcPr>
            <w:tcW w:w="306" w:type="pct"/>
            <w:shd w:val="clear" w:color="auto" w:fill="E97132" w:themeFill="accent2"/>
            <w:hideMark/>
          </w:tcPr>
          <w:p w14:paraId="649D4C46" w14:textId="77777777" w:rsidR="0091638B" w:rsidRPr="004F2AE6" w:rsidRDefault="0091638B" w:rsidP="00480EA7"/>
        </w:tc>
        <w:tc>
          <w:tcPr>
            <w:tcW w:w="306" w:type="pct"/>
            <w:shd w:val="clear" w:color="auto" w:fill="E97132" w:themeFill="accent2"/>
            <w:hideMark/>
          </w:tcPr>
          <w:p w14:paraId="01841836" w14:textId="77777777" w:rsidR="0091638B" w:rsidRPr="004F2AE6" w:rsidRDefault="0091638B" w:rsidP="00480EA7"/>
        </w:tc>
        <w:tc>
          <w:tcPr>
            <w:tcW w:w="306" w:type="pct"/>
            <w:hideMark/>
          </w:tcPr>
          <w:p w14:paraId="43A18FFB" w14:textId="77777777" w:rsidR="0091638B" w:rsidRPr="004F2AE6" w:rsidRDefault="0091638B" w:rsidP="00480EA7"/>
        </w:tc>
        <w:tc>
          <w:tcPr>
            <w:tcW w:w="306" w:type="pct"/>
            <w:hideMark/>
          </w:tcPr>
          <w:p w14:paraId="281D6B26" w14:textId="77777777" w:rsidR="0091638B" w:rsidRPr="004F2AE6" w:rsidRDefault="0091638B" w:rsidP="00480EA7"/>
        </w:tc>
      </w:tr>
      <w:tr w:rsidR="0091638B" w:rsidRPr="004F2AE6" w14:paraId="1C249959" w14:textId="77777777" w:rsidTr="00480EA7">
        <w:tc>
          <w:tcPr>
            <w:tcW w:w="1659" w:type="pct"/>
            <w:hideMark/>
          </w:tcPr>
          <w:p w14:paraId="3C853A29" w14:textId="77777777" w:rsidR="0091638B" w:rsidRPr="004F2AE6" w:rsidRDefault="0091638B" w:rsidP="00480EA7">
            <w:r w:rsidRPr="004F2AE6">
              <w:t>Event Delivery &amp; Execution</w:t>
            </w:r>
          </w:p>
        </w:tc>
        <w:tc>
          <w:tcPr>
            <w:tcW w:w="182" w:type="pct"/>
            <w:hideMark/>
          </w:tcPr>
          <w:p w14:paraId="5E14FA07" w14:textId="77777777" w:rsidR="0091638B" w:rsidRPr="004F2AE6" w:rsidRDefault="0091638B" w:rsidP="00480EA7"/>
        </w:tc>
        <w:tc>
          <w:tcPr>
            <w:tcW w:w="183" w:type="pct"/>
            <w:hideMark/>
          </w:tcPr>
          <w:p w14:paraId="65C8D527" w14:textId="77777777" w:rsidR="0091638B" w:rsidRPr="004F2AE6" w:rsidRDefault="0091638B" w:rsidP="00480EA7"/>
        </w:tc>
        <w:tc>
          <w:tcPr>
            <w:tcW w:w="183" w:type="pct"/>
            <w:hideMark/>
          </w:tcPr>
          <w:p w14:paraId="64A6279C" w14:textId="77777777" w:rsidR="0091638B" w:rsidRPr="004F2AE6" w:rsidRDefault="0091638B" w:rsidP="00480EA7"/>
        </w:tc>
        <w:tc>
          <w:tcPr>
            <w:tcW w:w="183" w:type="pct"/>
            <w:hideMark/>
          </w:tcPr>
          <w:p w14:paraId="554A81D5" w14:textId="77777777" w:rsidR="0091638B" w:rsidRPr="004F2AE6" w:rsidRDefault="0091638B" w:rsidP="00480EA7"/>
        </w:tc>
        <w:tc>
          <w:tcPr>
            <w:tcW w:w="244" w:type="pct"/>
            <w:hideMark/>
          </w:tcPr>
          <w:p w14:paraId="2663B361" w14:textId="77777777" w:rsidR="0091638B" w:rsidRPr="004F2AE6" w:rsidRDefault="0091638B" w:rsidP="00480EA7"/>
        </w:tc>
        <w:tc>
          <w:tcPr>
            <w:tcW w:w="306" w:type="pct"/>
            <w:hideMark/>
          </w:tcPr>
          <w:p w14:paraId="59E55266" w14:textId="77777777" w:rsidR="0091638B" w:rsidRPr="004F2AE6" w:rsidRDefault="0091638B" w:rsidP="00480EA7"/>
        </w:tc>
        <w:tc>
          <w:tcPr>
            <w:tcW w:w="306" w:type="pct"/>
            <w:hideMark/>
          </w:tcPr>
          <w:p w14:paraId="4D96FBCE" w14:textId="77777777" w:rsidR="0091638B" w:rsidRPr="004F2AE6" w:rsidRDefault="0091638B" w:rsidP="00480EA7"/>
        </w:tc>
        <w:tc>
          <w:tcPr>
            <w:tcW w:w="306" w:type="pct"/>
            <w:hideMark/>
          </w:tcPr>
          <w:p w14:paraId="3446E521" w14:textId="77777777" w:rsidR="0091638B" w:rsidRPr="004F2AE6" w:rsidRDefault="0091638B" w:rsidP="00480EA7"/>
        </w:tc>
        <w:tc>
          <w:tcPr>
            <w:tcW w:w="306" w:type="pct"/>
            <w:hideMark/>
          </w:tcPr>
          <w:p w14:paraId="1ED0EDEB" w14:textId="77777777" w:rsidR="0091638B" w:rsidRPr="004F2AE6" w:rsidRDefault="0091638B" w:rsidP="00480EA7"/>
        </w:tc>
        <w:tc>
          <w:tcPr>
            <w:tcW w:w="306" w:type="pct"/>
            <w:shd w:val="clear" w:color="auto" w:fill="E97132" w:themeFill="accent2"/>
            <w:hideMark/>
          </w:tcPr>
          <w:p w14:paraId="50441C6C" w14:textId="77777777" w:rsidR="0091638B" w:rsidRPr="004F2AE6" w:rsidRDefault="0091638B" w:rsidP="00480EA7"/>
        </w:tc>
        <w:tc>
          <w:tcPr>
            <w:tcW w:w="306" w:type="pct"/>
            <w:shd w:val="clear" w:color="auto" w:fill="E97132" w:themeFill="accent2"/>
            <w:hideMark/>
          </w:tcPr>
          <w:p w14:paraId="60034315" w14:textId="77777777" w:rsidR="0091638B" w:rsidRPr="004F2AE6" w:rsidRDefault="0091638B" w:rsidP="00480EA7"/>
        </w:tc>
        <w:tc>
          <w:tcPr>
            <w:tcW w:w="306" w:type="pct"/>
            <w:hideMark/>
          </w:tcPr>
          <w:p w14:paraId="78317363" w14:textId="77777777" w:rsidR="0091638B" w:rsidRPr="004F2AE6" w:rsidRDefault="0091638B" w:rsidP="00480EA7"/>
        </w:tc>
      </w:tr>
      <w:tr w:rsidR="0091638B" w:rsidRPr="004F2AE6" w14:paraId="76B9F89F" w14:textId="77777777" w:rsidTr="00480EA7">
        <w:tc>
          <w:tcPr>
            <w:tcW w:w="1659" w:type="pct"/>
            <w:hideMark/>
          </w:tcPr>
          <w:p w14:paraId="431BB2E4" w14:textId="77777777" w:rsidR="0091638B" w:rsidRPr="004F2AE6" w:rsidRDefault="0091638B" w:rsidP="00480EA7">
            <w:r w:rsidRPr="004F2AE6">
              <w:t>Post-Event Evaluation</w:t>
            </w:r>
          </w:p>
        </w:tc>
        <w:tc>
          <w:tcPr>
            <w:tcW w:w="182" w:type="pct"/>
            <w:hideMark/>
          </w:tcPr>
          <w:p w14:paraId="18AA9A37" w14:textId="77777777" w:rsidR="0091638B" w:rsidRPr="004F2AE6" w:rsidRDefault="0091638B" w:rsidP="00480EA7"/>
        </w:tc>
        <w:tc>
          <w:tcPr>
            <w:tcW w:w="183" w:type="pct"/>
            <w:hideMark/>
          </w:tcPr>
          <w:p w14:paraId="63EAEB19" w14:textId="77777777" w:rsidR="0091638B" w:rsidRPr="004F2AE6" w:rsidRDefault="0091638B" w:rsidP="00480EA7"/>
        </w:tc>
        <w:tc>
          <w:tcPr>
            <w:tcW w:w="183" w:type="pct"/>
            <w:hideMark/>
          </w:tcPr>
          <w:p w14:paraId="464A03FC" w14:textId="77777777" w:rsidR="0091638B" w:rsidRPr="004F2AE6" w:rsidRDefault="0091638B" w:rsidP="00480EA7"/>
        </w:tc>
        <w:tc>
          <w:tcPr>
            <w:tcW w:w="183" w:type="pct"/>
            <w:hideMark/>
          </w:tcPr>
          <w:p w14:paraId="2087B596" w14:textId="77777777" w:rsidR="0091638B" w:rsidRPr="004F2AE6" w:rsidRDefault="0091638B" w:rsidP="00480EA7"/>
        </w:tc>
        <w:tc>
          <w:tcPr>
            <w:tcW w:w="244" w:type="pct"/>
            <w:hideMark/>
          </w:tcPr>
          <w:p w14:paraId="114E0992" w14:textId="77777777" w:rsidR="0091638B" w:rsidRPr="004F2AE6" w:rsidRDefault="0091638B" w:rsidP="00480EA7"/>
        </w:tc>
        <w:tc>
          <w:tcPr>
            <w:tcW w:w="306" w:type="pct"/>
            <w:hideMark/>
          </w:tcPr>
          <w:p w14:paraId="79D1E3DA" w14:textId="77777777" w:rsidR="0091638B" w:rsidRPr="004F2AE6" w:rsidRDefault="0091638B" w:rsidP="00480EA7"/>
        </w:tc>
        <w:tc>
          <w:tcPr>
            <w:tcW w:w="306" w:type="pct"/>
            <w:hideMark/>
          </w:tcPr>
          <w:p w14:paraId="041F1CC8" w14:textId="77777777" w:rsidR="0091638B" w:rsidRPr="004F2AE6" w:rsidRDefault="0091638B" w:rsidP="00480EA7"/>
        </w:tc>
        <w:tc>
          <w:tcPr>
            <w:tcW w:w="306" w:type="pct"/>
            <w:hideMark/>
          </w:tcPr>
          <w:p w14:paraId="389FDE6D" w14:textId="77777777" w:rsidR="0091638B" w:rsidRPr="004F2AE6" w:rsidRDefault="0091638B" w:rsidP="00480EA7"/>
        </w:tc>
        <w:tc>
          <w:tcPr>
            <w:tcW w:w="306" w:type="pct"/>
            <w:hideMark/>
          </w:tcPr>
          <w:p w14:paraId="6824D728" w14:textId="77777777" w:rsidR="0091638B" w:rsidRPr="004F2AE6" w:rsidRDefault="0091638B" w:rsidP="00480EA7"/>
        </w:tc>
        <w:tc>
          <w:tcPr>
            <w:tcW w:w="306" w:type="pct"/>
            <w:hideMark/>
          </w:tcPr>
          <w:p w14:paraId="685F1862" w14:textId="77777777" w:rsidR="0091638B" w:rsidRPr="004F2AE6" w:rsidRDefault="0091638B" w:rsidP="00480EA7"/>
        </w:tc>
        <w:tc>
          <w:tcPr>
            <w:tcW w:w="306" w:type="pct"/>
            <w:shd w:val="clear" w:color="auto" w:fill="E97132" w:themeFill="accent2"/>
            <w:hideMark/>
          </w:tcPr>
          <w:p w14:paraId="2337554C" w14:textId="77777777" w:rsidR="0091638B" w:rsidRPr="004F2AE6" w:rsidRDefault="0091638B" w:rsidP="00480EA7"/>
        </w:tc>
        <w:tc>
          <w:tcPr>
            <w:tcW w:w="306" w:type="pct"/>
            <w:shd w:val="clear" w:color="auto" w:fill="E97132" w:themeFill="accent2"/>
            <w:hideMark/>
          </w:tcPr>
          <w:p w14:paraId="1CD01B74" w14:textId="77777777" w:rsidR="0091638B" w:rsidRPr="004F2AE6" w:rsidRDefault="0091638B" w:rsidP="00480EA7"/>
        </w:tc>
      </w:tr>
    </w:tbl>
    <w:p w14:paraId="5783D08A" w14:textId="77777777" w:rsidR="0091638B" w:rsidRPr="004F2AE6" w:rsidRDefault="0091638B" w:rsidP="0091638B"/>
    <w:p w14:paraId="76E423CF" w14:textId="77777777" w:rsidR="0091638B" w:rsidRPr="004F2AE6" w:rsidRDefault="0091638B" w:rsidP="0091638B"/>
    <w:p w14:paraId="293EA8B2" w14:textId="77777777" w:rsidR="0091638B" w:rsidRPr="004F2AE6" w:rsidRDefault="0091638B" w:rsidP="0091638B">
      <w:pPr>
        <w:rPr>
          <w:rFonts w:cs="Times New Roman"/>
          <w:lang w:eastAsia="en-GB"/>
        </w:rPr>
      </w:pPr>
      <w:r w:rsidRPr="004F2AE6">
        <w:br/>
      </w:r>
      <w:r w:rsidRPr="004F2AE6">
        <w:br/>
      </w:r>
    </w:p>
    <w:p w14:paraId="0F8EF84C" w14:textId="77777777" w:rsidR="0091638B" w:rsidRDefault="0091638B"/>
    <w:sectPr w:rsidR="0091638B" w:rsidSect="0091638B">
      <w:footerReference w:type="default" r:id="rId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441403"/>
      <w:docPartObj>
        <w:docPartGallery w:val="Page Numbers (Bottom of Page)"/>
        <w:docPartUnique/>
      </w:docPartObj>
    </w:sdtPr>
    <w:sdtEndPr>
      <w:rPr>
        <w:noProof/>
      </w:rPr>
    </w:sdtEndPr>
    <w:sdtContent>
      <w:p w14:paraId="6100A788" w14:textId="77777777" w:rsidR="00000000" w:rsidRDefault="00000000">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7127FF58"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823487"/>
    <w:multiLevelType w:val="hybridMultilevel"/>
    <w:tmpl w:val="B13AA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6367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38B"/>
    <w:rsid w:val="0091638B"/>
    <w:rsid w:val="00C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0DCC"/>
  <w15:chartTrackingRefBased/>
  <w15:docId w15:val="{75734183-487A-42C8-85F7-8350254E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38B"/>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916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6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3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3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3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3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6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38B"/>
    <w:rPr>
      <w:rFonts w:eastAsiaTheme="majorEastAsia" w:cstheme="majorBidi"/>
      <w:color w:val="272727" w:themeColor="text1" w:themeTint="D8"/>
    </w:rPr>
  </w:style>
  <w:style w:type="paragraph" w:styleId="Title">
    <w:name w:val="Title"/>
    <w:basedOn w:val="Normal"/>
    <w:next w:val="Normal"/>
    <w:link w:val="TitleChar"/>
    <w:uiPriority w:val="10"/>
    <w:qFormat/>
    <w:rsid w:val="009163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3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38B"/>
    <w:pPr>
      <w:spacing w:before="160"/>
      <w:jc w:val="center"/>
    </w:pPr>
    <w:rPr>
      <w:i/>
      <w:iCs/>
      <w:color w:val="404040" w:themeColor="text1" w:themeTint="BF"/>
    </w:rPr>
  </w:style>
  <w:style w:type="character" w:customStyle="1" w:styleId="QuoteChar">
    <w:name w:val="Quote Char"/>
    <w:basedOn w:val="DefaultParagraphFont"/>
    <w:link w:val="Quote"/>
    <w:uiPriority w:val="29"/>
    <w:rsid w:val="0091638B"/>
    <w:rPr>
      <w:i/>
      <w:iCs/>
      <w:color w:val="404040" w:themeColor="text1" w:themeTint="BF"/>
    </w:rPr>
  </w:style>
  <w:style w:type="paragraph" w:styleId="ListParagraph">
    <w:name w:val="List Paragraph"/>
    <w:basedOn w:val="Normal"/>
    <w:uiPriority w:val="34"/>
    <w:qFormat/>
    <w:rsid w:val="0091638B"/>
    <w:pPr>
      <w:ind w:left="720"/>
      <w:contextualSpacing/>
    </w:pPr>
  </w:style>
  <w:style w:type="character" w:styleId="IntenseEmphasis">
    <w:name w:val="Intense Emphasis"/>
    <w:basedOn w:val="DefaultParagraphFont"/>
    <w:uiPriority w:val="21"/>
    <w:qFormat/>
    <w:rsid w:val="0091638B"/>
    <w:rPr>
      <w:i/>
      <w:iCs/>
      <w:color w:val="0F4761" w:themeColor="accent1" w:themeShade="BF"/>
    </w:rPr>
  </w:style>
  <w:style w:type="paragraph" w:styleId="IntenseQuote">
    <w:name w:val="Intense Quote"/>
    <w:basedOn w:val="Normal"/>
    <w:next w:val="Normal"/>
    <w:link w:val="IntenseQuoteChar"/>
    <w:uiPriority w:val="30"/>
    <w:qFormat/>
    <w:rsid w:val="00916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38B"/>
    <w:rPr>
      <w:i/>
      <w:iCs/>
      <w:color w:val="0F4761" w:themeColor="accent1" w:themeShade="BF"/>
    </w:rPr>
  </w:style>
  <w:style w:type="character" w:styleId="IntenseReference">
    <w:name w:val="Intense Reference"/>
    <w:basedOn w:val="DefaultParagraphFont"/>
    <w:uiPriority w:val="32"/>
    <w:qFormat/>
    <w:rsid w:val="0091638B"/>
    <w:rPr>
      <w:b/>
      <w:bCs/>
      <w:smallCaps/>
      <w:color w:val="0F4761" w:themeColor="accent1" w:themeShade="BF"/>
      <w:spacing w:val="5"/>
    </w:rPr>
  </w:style>
  <w:style w:type="table" w:styleId="GridTable4-Accent1">
    <w:name w:val="Grid Table 4 Accent 1"/>
    <w:basedOn w:val="TableNormal"/>
    <w:uiPriority w:val="49"/>
    <w:rsid w:val="0091638B"/>
    <w:pPr>
      <w:spacing w:after="0" w:line="240" w:lineRule="auto"/>
    </w:pPr>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91638B"/>
    <w:pPr>
      <w:spacing w:before="100" w:beforeAutospacing="1" w:after="100" w:afterAutospacing="1" w:line="240" w:lineRule="auto"/>
      <w:jc w:val="left"/>
    </w:pPr>
    <w:rPr>
      <w:rFonts w:eastAsia="Times New Roman" w:cs="Times New Roman"/>
      <w:szCs w:val="24"/>
      <w:lang w:eastAsia="en-GB"/>
    </w:rPr>
  </w:style>
  <w:style w:type="table" w:styleId="GridTable4-Accent2">
    <w:name w:val="Grid Table 4 Accent 2"/>
    <w:basedOn w:val="TableNormal"/>
    <w:uiPriority w:val="49"/>
    <w:rsid w:val="0091638B"/>
    <w:pPr>
      <w:spacing w:after="0" w:line="240" w:lineRule="auto"/>
    </w:pPr>
    <w:rPr>
      <w:kern w:val="0"/>
      <w:sz w:val="22"/>
      <w:szCs w:val="22"/>
      <w:lang w:val="en-U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Footer">
    <w:name w:val="footer"/>
    <w:basedOn w:val="Normal"/>
    <w:link w:val="FooterChar"/>
    <w:uiPriority w:val="99"/>
    <w:unhideWhenUsed/>
    <w:rsid w:val="00916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38B"/>
    <w:rPr>
      <w:rFonts w:ascii="Times New Roman" w:hAnsi="Times New Roman"/>
      <w:kern w:val="0"/>
      <w:szCs w:val="22"/>
      <w14:ligatures w14:val="none"/>
    </w:rPr>
  </w:style>
  <w:style w:type="paragraph" w:styleId="TOCHeading">
    <w:name w:val="TOC Heading"/>
    <w:basedOn w:val="Heading1"/>
    <w:next w:val="Normal"/>
    <w:uiPriority w:val="39"/>
    <w:unhideWhenUsed/>
    <w:qFormat/>
    <w:rsid w:val="0091638B"/>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91638B"/>
    <w:pPr>
      <w:spacing w:after="100"/>
    </w:pPr>
  </w:style>
  <w:style w:type="paragraph" w:styleId="TOC2">
    <w:name w:val="toc 2"/>
    <w:basedOn w:val="Normal"/>
    <w:next w:val="Normal"/>
    <w:autoRedefine/>
    <w:uiPriority w:val="39"/>
    <w:unhideWhenUsed/>
    <w:rsid w:val="0091638B"/>
    <w:pPr>
      <w:spacing w:after="100"/>
      <w:ind w:left="240"/>
    </w:pPr>
  </w:style>
  <w:style w:type="character" w:styleId="Hyperlink">
    <w:name w:val="Hyperlink"/>
    <w:basedOn w:val="DefaultParagraphFont"/>
    <w:uiPriority w:val="99"/>
    <w:unhideWhenUsed/>
    <w:rsid w:val="0091638B"/>
    <w:rPr>
      <w:color w:val="467886" w:themeColor="hyperlink"/>
      <w:u w:val="single"/>
    </w:rPr>
  </w:style>
  <w:style w:type="table" w:styleId="TableGrid">
    <w:name w:val="Table Grid"/>
    <w:basedOn w:val="TableNormal"/>
    <w:uiPriority w:val="39"/>
    <w:rsid w:val="0091638B"/>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91638B"/>
    <w:pPr>
      <w:spacing w:after="0" w:line="240" w:lineRule="auto"/>
    </w:pPr>
    <w:rPr>
      <w:kern w:val="0"/>
      <w:sz w:val="22"/>
      <w:szCs w:val="22"/>
      <w:lang w:val="en-US"/>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image" Target="media/image3.jpeg"/><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2.gif"/><Relationship Id="rId5" Type="http://schemas.openxmlformats.org/officeDocument/2006/relationships/image" Target="media/image1.png"/><Relationship Id="rId15" Type="http://schemas.openxmlformats.org/officeDocument/2006/relationships/diagramQuickStyle" Target="diagrams/quickStyle2.xml"/><Relationship Id="rId10" Type="http://schemas.microsoft.com/office/2007/relationships/diagramDrawing" Target="diagrams/drawing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F5E322-F201-4DE2-8E76-F30AF86A10BC}" type="doc">
      <dgm:prSet loTypeId="urn:microsoft.com/office/officeart/2005/8/layout/process5" loCatId="process" qsTypeId="urn:microsoft.com/office/officeart/2005/8/quickstyle/simple1" qsCatId="simple" csTypeId="urn:microsoft.com/office/officeart/2005/8/colors/colorful5" csCatId="colorful" phldr="1"/>
      <dgm:spPr/>
      <dgm:t>
        <a:bodyPr/>
        <a:lstStyle/>
        <a:p>
          <a:endParaRPr lang="en-US"/>
        </a:p>
      </dgm:t>
    </dgm:pt>
    <dgm:pt modelId="{DBA3D1C0-E28E-478E-A956-AF3D9958AA0D}">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Initiation Stage</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EFF9CEE8-692D-4934-8910-4C731D6A1DDE}" type="parTrans" cxnId="{D7F0FE16-99B5-4335-8922-92708CFE6F6A}">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0156508-07A0-4D56-82C6-05E8E350F75A}" type="sibTrans" cxnId="{D7F0FE16-99B5-4335-8922-92708CFE6F6A}">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32C433CB-8F78-419A-9A69-1CB55B8BBD86}">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Planning Stage</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73EFAECB-E3A2-489F-B2C1-5A7CDF499D39}" type="parTrans" cxnId="{8926926A-0AB4-4646-B548-31BF4D6D287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22BCCFE-FF81-4F8F-967E-F571B10A0BD0}" type="sibTrans" cxnId="{8926926A-0AB4-4646-B548-31BF4D6D287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4C8A7AA1-EEF3-4DA9-939A-F107EC59AF78}">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Implementation Stage</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150B5135-8E14-4CD4-804D-2B86E6A259AF}" type="parTrans" cxnId="{04CD485F-360D-4CFB-A1D6-86D51B833DA1}">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23757A8-1603-49B8-8349-9FC551F96C14}" type="sibTrans" cxnId="{04CD485F-360D-4CFB-A1D6-86D51B833DA1}">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4530ECD4-D87A-4A5E-88FF-AD08A54D0E45}">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Closure and Legacy</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951F9DD1-8504-47D3-BB1E-0690F32E8C78}" type="parTrans" cxnId="{5C8E5285-4F2E-4FB5-9D57-D997E3CE742A}">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D3433983-F107-44B2-9F58-D58130F4F8E6}" type="sibTrans" cxnId="{5C8E5285-4F2E-4FB5-9D57-D997E3CE742A}">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8C097091-7F8C-46DA-80E5-F5EE451F87D1}">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The Event</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F19EAF22-9DA1-466A-AF7B-68A276E95BD2}" type="parTrans" cxnId="{4352F7EF-78D8-4CE3-A395-2EC36C18EDB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13F634A-3003-46D2-BE11-0A242551EFDB}" type="sibTrans" cxnId="{4352F7EF-78D8-4CE3-A395-2EC36C18EDB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702A83D-6FA8-48FC-9499-0DC636F4FE22}" type="pres">
      <dgm:prSet presAssocID="{06F5E322-F201-4DE2-8E76-F30AF86A10BC}" presName="diagram" presStyleCnt="0">
        <dgm:presLayoutVars>
          <dgm:dir/>
          <dgm:resizeHandles val="exact"/>
        </dgm:presLayoutVars>
      </dgm:prSet>
      <dgm:spPr/>
    </dgm:pt>
    <dgm:pt modelId="{5E70EA6F-14C8-49F8-A229-78082A00F7E4}" type="pres">
      <dgm:prSet presAssocID="{DBA3D1C0-E28E-478E-A956-AF3D9958AA0D}" presName="node" presStyleLbl="node1" presStyleIdx="0" presStyleCnt="5">
        <dgm:presLayoutVars>
          <dgm:bulletEnabled val="1"/>
        </dgm:presLayoutVars>
      </dgm:prSet>
      <dgm:spPr/>
    </dgm:pt>
    <dgm:pt modelId="{0D019BC7-FD3B-42F8-974A-192B06950CC9}" type="pres">
      <dgm:prSet presAssocID="{B0156508-07A0-4D56-82C6-05E8E350F75A}" presName="sibTrans" presStyleLbl="sibTrans2D1" presStyleIdx="0" presStyleCnt="4"/>
      <dgm:spPr/>
    </dgm:pt>
    <dgm:pt modelId="{4F800E43-B1ED-4C4C-8034-A33E092FDE9B}" type="pres">
      <dgm:prSet presAssocID="{B0156508-07A0-4D56-82C6-05E8E350F75A}" presName="connectorText" presStyleLbl="sibTrans2D1" presStyleIdx="0" presStyleCnt="4"/>
      <dgm:spPr/>
    </dgm:pt>
    <dgm:pt modelId="{5ED3EA06-DF23-4F5F-B845-5E6146615966}" type="pres">
      <dgm:prSet presAssocID="{32C433CB-8F78-419A-9A69-1CB55B8BBD86}" presName="node" presStyleLbl="node1" presStyleIdx="1" presStyleCnt="5">
        <dgm:presLayoutVars>
          <dgm:bulletEnabled val="1"/>
        </dgm:presLayoutVars>
      </dgm:prSet>
      <dgm:spPr/>
    </dgm:pt>
    <dgm:pt modelId="{C4665ACE-252E-493D-911F-B746237DCA70}" type="pres">
      <dgm:prSet presAssocID="{B22BCCFE-FF81-4F8F-967E-F571B10A0BD0}" presName="sibTrans" presStyleLbl="sibTrans2D1" presStyleIdx="1" presStyleCnt="4"/>
      <dgm:spPr/>
    </dgm:pt>
    <dgm:pt modelId="{660308FE-AEE3-445C-8934-035BEB96F987}" type="pres">
      <dgm:prSet presAssocID="{B22BCCFE-FF81-4F8F-967E-F571B10A0BD0}" presName="connectorText" presStyleLbl="sibTrans2D1" presStyleIdx="1" presStyleCnt="4"/>
      <dgm:spPr/>
    </dgm:pt>
    <dgm:pt modelId="{2D813490-A799-4996-9969-713690FEC02A}" type="pres">
      <dgm:prSet presAssocID="{4C8A7AA1-EEF3-4DA9-939A-F107EC59AF78}" presName="node" presStyleLbl="node1" presStyleIdx="2" presStyleCnt="5">
        <dgm:presLayoutVars>
          <dgm:bulletEnabled val="1"/>
        </dgm:presLayoutVars>
      </dgm:prSet>
      <dgm:spPr/>
    </dgm:pt>
    <dgm:pt modelId="{0DB45DF0-D28A-470C-9B6C-970527D49D8B}" type="pres">
      <dgm:prSet presAssocID="{223757A8-1603-49B8-8349-9FC551F96C14}" presName="sibTrans" presStyleLbl="sibTrans2D1" presStyleIdx="2" presStyleCnt="4"/>
      <dgm:spPr/>
    </dgm:pt>
    <dgm:pt modelId="{97712445-A803-4890-A195-071155FD7252}" type="pres">
      <dgm:prSet presAssocID="{223757A8-1603-49B8-8349-9FC551F96C14}" presName="connectorText" presStyleLbl="sibTrans2D1" presStyleIdx="2" presStyleCnt="4"/>
      <dgm:spPr/>
    </dgm:pt>
    <dgm:pt modelId="{C077B1CD-1B0C-4FE7-A5C8-2784116BA20E}" type="pres">
      <dgm:prSet presAssocID="{8C097091-7F8C-46DA-80E5-F5EE451F87D1}" presName="node" presStyleLbl="node1" presStyleIdx="3" presStyleCnt="5">
        <dgm:presLayoutVars>
          <dgm:bulletEnabled val="1"/>
        </dgm:presLayoutVars>
      </dgm:prSet>
      <dgm:spPr/>
    </dgm:pt>
    <dgm:pt modelId="{49C0F427-565A-4100-9FA1-6521469073BE}" type="pres">
      <dgm:prSet presAssocID="{B13F634A-3003-46D2-BE11-0A242551EFDB}" presName="sibTrans" presStyleLbl="sibTrans2D1" presStyleIdx="3" presStyleCnt="4"/>
      <dgm:spPr/>
    </dgm:pt>
    <dgm:pt modelId="{8335DF4A-E391-4928-9DD7-906313495AAB}" type="pres">
      <dgm:prSet presAssocID="{B13F634A-3003-46D2-BE11-0A242551EFDB}" presName="connectorText" presStyleLbl="sibTrans2D1" presStyleIdx="3" presStyleCnt="4"/>
      <dgm:spPr/>
    </dgm:pt>
    <dgm:pt modelId="{7AE5EC5F-86DC-4E63-86A4-56A8D355BC4D}" type="pres">
      <dgm:prSet presAssocID="{4530ECD4-D87A-4A5E-88FF-AD08A54D0E45}" presName="node" presStyleLbl="node1" presStyleIdx="4" presStyleCnt="5">
        <dgm:presLayoutVars>
          <dgm:bulletEnabled val="1"/>
        </dgm:presLayoutVars>
      </dgm:prSet>
      <dgm:spPr/>
    </dgm:pt>
  </dgm:ptLst>
  <dgm:cxnLst>
    <dgm:cxn modelId="{D7F0FE16-99B5-4335-8922-92708CFE6F6A}" srcId="{06F5E322-F201-4DE2-8E76-F30AF86A10BC}" destId="{DBA3D1C0-E28E-478E-A956-AF3D9958AA0D}" srcOrd="0" destOrd="0" parTransId="{EFF9CEE8-692D-4934-8910-4C731D6A1DDE}" sibTransId="{B0156508-07A0-4D56-82C6-05E8E350F75A}"/>
    <dgm:cxn modelId="{708EFE19-59AF-4846-B14E-15D30133B3B4}" type="presOf" srcId="{B22BCCFE-FF81-4F8F-967E-F571B10A0BD0}" destId="{C4665ACE-252E-493D-911F-B746237DCA70}" srcOrd="0" destOrd="0" presId="urn:microsoft.com/office/officeart/2005/8/layout/process5"/>
    <dgm:cxn modelId="{13826E36-88C7-40F1-B202-0B7CD8E789D6}" type="presOf" srcId="{32C433CB-8F78-419A-9A69-1CB55B8BBD86}" destId="{5ED3EA06-DF23-4F5F-B845-5E6146615966}" srcOrd="0" destOrd="0" presId="urn:microsoft.com/office/officeart/2005/8/layout/process5"/>
    <dgm:cxn modelId="{04CD485F-360D-4CFB-A1D6-86D51B833DA1}" srcId="{06F5E322-F201-4DE2-8E76-F30AF86A10BC}" destId="{4C8A7AA1-EEF3-4DA9-939A-F107EC59AF78}" srcOrd="2" destOrd="0" parTransId="{150B5135-8E14-4CD4-804D-2B86E6A259AF}" sibTransId="{223757A8-1603-49B8-8349-9FC551F96C14}"/>
    <dgm:cxn modelId="{58E84147-6B34-42C6-B22A-7803B26BBDD0}" type="presOf" srcId="{B22BCCFE-FF81-4F8F-967E-F571B10A0BD0}" destId="{660308FE-AEE3-445C-8934-035BEB96F987}" srcOrd="1" destOrd="0" presId="urn:microsoft.com/office/officeart/2005/8/layout/process5"/>
    <dgm:cxn modelId="{8926926A-0AB4-4646-B548-31BF4D6D287C}" srcId="{06F5E322-F201-4DE2-8E76-F30AF86A10BC}" destId="{32C433CB-8F78-419A-9A69-1CB55B8BBD86}" srcOrd="1" destOrd="0" parTransId="{73EFAECB-E3A2-489F-B2C1-5A7CDF499D39}" sibTransId="{B22BCCFE-FF81-4F8F-967E-F571B10A0BD0}"/>
    <dgm:cxn modelId="{C077226C-DFEA-45BF-8345-D9AC126EF9BD}" type="presOf" srcId="{B13F634A-3003-46D2-BE11-0A242551EFDB}" destId="{49C0F427-565A-4100-9FA1-6521469073BE}" srcOrd="0" destOrd="0" presId="urn:microsoft.com/office/officeart/2005/8/layout/process5"/>
    <dgm:cxn modelId="{7319136F-8A2D-46A5-A5F6-3815E8BA307E}" type="presOf" srcId="{B13F634A-3003-46D2-BE11-0A242551EFDB}" destId="{8335DF4A-E391-4928-9DD7-906313495AAB}" srcOrd="1" destOrd="0" presId="urn:microsoft.com/office/officeart/2005/8/layout/process5"/>
    <dgm:cxn modelId="{BEE50470-88DF-4290-8F57-72F61833D7E5}" type="presOf" srcId="{223757A8-1603-49B8-8349-9FC551F96C14}" destId="{0DB45DF0-D28A-470C-9B6C-970527D49D8B}" srcOrd="0" destOrd="0" presId="urn:microsoft.com/office/officeart/2005/8/layout/process5"/>
    <dgm:cxn modelId="{5C8E5285-4F2E-4FB5-9D57-D997E3CE742A}" srcId="{06F5E322-F201-4DE2-8E76-F30AF86A10BC}" destId="{4530ECD4-D87A-4A5E-88FF-AD08A54D0E45}" srcOrd="4" destOrd="0" parTransId="{951F9DD1-8504-47D3-BB1E-0690F32E8C78}" sibTransId="{D3433983-F107-44B2-9F58-D58130F4F8E6}"/>
    <dgm:cxn modelId="{A0AAEA8C-D1A5-4CDC-9326-7B4C6A189D25}" type="presOf" srcId="{06F5E322-F201-4DE2-8E76-F30AF86A10BC}" destId="{2702A83D-6FA8-48FC-9499-0DC636F4FE22}" srcOrd="0" destOrd="0" presId="urn:microsoft.com/office/officeart/2005/8/layout/process5"/>
    <dgm:cxn modelId="{C4326D8D-236F-4D93-A151-8FF3492E802D}" type="presOf" srcId="{4530ECD4-D87A-4A5E-88FF-AD08A54D0E45}" destId="{7AE5EC5F-86DC-4E63-86A4-56A8D355BC4D}" srcOrd="0" destOrd="0" presId="urn:microsoft.com/office/officeart/2005/8/layout/process5"/>
    <dgm:cxn modelId="{E25BBA9E-A93D-4CEE-B16F-78CC2655046E}" type="presOf" srcId="{223757A8-1603-49B8-8349-9FC551F96C14}" destId="{97712445-A803-4890-A195-071155FD7252}" srcOrd="1" destOrd="0" presId="urn:microsoft.com/office/officeart/2005/8/layout/process5"/>
    <dgm:cxn modelId="{352D04A7-E893-44AF-BD76-554A3686A0FC}" type="presOf" srcId="{DBA3D1C0-E28E-478E-A956-AF3D9958AA0D}" destId="{5E70EA6F-14C8-49F8-A229-78082A00F7E4}" srcOrd="0" destOrd="0" presId="urn:microsoft.com/office/officeart/2005/8/layout/process5"/>
    <dgm:cxn modelId="{271214BB-E42A-45F0-838F-7B1BF8538926}" type="presOf" srcId="{8C097091-7F8C-46DA-80E5-F5EE451F87D1}" destId="{C077B1CD-1B0C-4FE7-A5C8-2784116BA20E}" srcOrd="0" destOrd="0" presId="urn:microsoft.com/office/officeart/2005/8/layout/process5"/>
    <dgm:cxn modelId="{6CAC4DDE-DA30-4F59-85F5-9061897FFD29}" type="presOf" srcId="{B0156508-07A0-4D56-82C6-05E8E350F75A}" destId="{0D019BC7-FD3B-42F8-974A-192B06950CC9}" srcOrd="0" destOrd="0" presId="urn:microsoft.com/office/officeart/2005/8/layout/process5"/>
    <dgm:cxn modelId="{BE5038EA-263A-4B22-87C8-4B1DA9D86999}" type="presOf" srcId="{4C8A7AA1-EEF3-4DA9-939A-F107EC59AF78}" destId="{2D813490-A799-4996-9969-713690FEC02A}" srcOrd="0" destOrd="0" presId="urn:microsoft.com/office/officeart/2005/8/layout/process5"/>
    <dgm:cxn modelId="{4352F7EF-78D8-4CE3-A395-2EC36C18EDBB}" srcId="{06F5E322-F201-4DE2-8E76-F30AF86A10BC}" destId="{8C097091-7F8C-46DA-80E5-F5EE451F87D1}" srcOrd="3" destOrd="0" parTransId="{F19EAF22-9DA1-466A-AF7B-68A276E95BD2}" sibTransId="{B13F634A-3003-46D2-BE11-0A242551EFDB}"/>
    <dgm:cxn modelId="{E8248DFB-375D-4077-A843-3D0F931110F6}" type="presOf" srcId="{B0156508-07A0-4D56-82C6-05E8E350F75A}" destId="{4F800E43-B1ED-4C4C-8034-A33E092FDE9B}" srcOrd="1" destOrd="0" presId="urn:microsoft.com/office/officeart/2005/8/layout/process5"/>
    <dgm:cxn modelId="{964567C1-04F2-4CD4-B358-4A73E5807622}" type="presParOf" srcId="{2702A83D-6FA8-48FC-9499-0DC636F4FE22}" destId="{5E70EA6F-14C8-49F8-A229-78082A00F7E4}" srcOrd="0" destOrd="0" presId="urn:microsoft.com/office/officeart/2005/8/layout/process5"/>
    <dgm:cxn modelId="{C8F58D2A-0AD3-495B-9A1D-B282D53AF905}" type="presParOf" srcId="{2702A83D-6FA8-48FC-9499-0DC636F4FE22}" destId="{0D019BC7-FD3B-42F8-974A-192B06950CC9}" srcOrd="1" destOrd="0" presId="urn:microsoft.com/office/officeart/2005/8/layout/process5"/>
    <dgm:cxn modelId="{5BE683BE-AA27-4D8C-B31A-0EC804E4AC91}" type="presParOf" srcId="{0D019BC7-FD3B-42F8-974A-192B06950CC9}" destId="{4F800E43-B1ED-4C4C-8034-A33E092FDE9B}" srcOrd="0" destOrd="0" presId="urn:microsoft.com/office/officeart/2005/8/layout/process5"/>
    <dgm:cxn modelId="{0A1154DB-E2BA-4A69-B68A-E2335ECEFB4F}" type="presParOf" srcId="{2702A83D-6FA8-48FC-9499-0DC636F4FE22}" destId="{5ED3EA06-DF23-4F5F-B845-5E6146615966}" srcOrd="2" destOrd="0" presId="urn:microsoft.com/office/officeart/2005/8/layout/process5"/>
    <dgm:cxn modelId="{879F586F-7B62-440F-8429-7FBE26A7CEBD}" type="presParOf" srcId="{2702A83D-6FA8-48FC-9499-0DC636F4FE22}" destId="{C4665ACE-252E-493D-911F-B746237DCA70}" srcOrd="3" destOrd="0" presId="urn:microsoft.com/office/officeart/2005/8/layout/process5"/>
    <dgm:cxn modelId="{56597912-4A66-431F-A9E8-44743D0CF9A8}" type="presParOf" srcId="{C4665ACE-252E-493D-911F-B746237DCA70}" destId="{660308FE-AEE3-445C-8934-035BEB96F987}" srcOrd="0" destOrd="0" presId="urn:microsoft.com/office/officeart/2005/8/layout/process5"/>
    <dgm:cxn modelId="{CBA83B79-608D-4076-A556-313D97BAE01A}" type="presParOf" srcId="{2702A83D-6FA8-48FC-9499-0DC636F4FE22}" destId="{2D813490-A799-4996-9969-713690FEC02A}" srcOrd="4" destOrd="0" presId="urn:microsoft.com/office/officeart/2005/8/layout/process5"/>
    <dgm:cxn modelId="{051A5A56-E59B-47D5-A7EB-86C58EC7DC8C}" type="presParOf" srcId="{2702A83D-6FA8-48FC-9499-0DC636F4FE22}" destId="{0DB45DF0-D28A-470C-9B6C-970527D49D8B}" srcOrd="5" destOrd="0" presId="urn:microsoft.com/office/officeart/2005/8/layout/process5"/>
    <dgm:cxn modelId="{6A3013FF-D0AC-4BC1-AA77-791E926758A2}" type="presParOf" srcId="{0DB45DF0-D28A-470C-9B6C-970527D49D8B}" destId="{97712445-A803-4890-A195-071155FD7252}" srcOrd="0" destOrd="0" presId="urn:microsoft.com/office/officeart/2005/8/layout/process5"/>
    <dgm:cxn modelId="{25BCB0F9-0E4F-4932-866E-A27B67B21768}" type="presParOf" srcId="{2702A83D-6FA8-48FC-9499-0DC636F4FE22}" destId="{C077B1CD-1B0C-4FE7-A5C8-2784116BA20E}" srcOrd="6" destOrd="0" presId="urn:microsoft.com/office/officeart/2005/8/layout/process5"/>
    <dgm:cxn modelId="{D66E3634-5CA7-4429-A68B-BC789C03503F}" type="presParOf" srcId="{2702A83D-6FA8-48FC-9499-0DC636F4FE22}" destId="{49C0F427-565A-4100-9FA1-6521469073BE}" srcOrd="7" destOrd="0" presId="urn:microsoft.com/office/officeart/2005/8/layout/process5"/>
    <dgm:cxn modelId="{A4D4FFE5-3416-4576-AB88-9C29EC1EF773}" type="presParOf" srcId="{49C0F427-565A-4100-9FA1-6521469073BE}" destId="{8335DF4A-E391-4928-9DD7-906313495AAB}" srcOrd="0" destOrd="0" presId="urn:microsoft.com/office/officeart/2005/8/layout/process5"/>
    <dgm:cxn modelId="{F55CD412-8B9E-4C8E-957E-11094D6F10D5}" type="presParOf" srcId="{2702A83D-6FA8-48FC-9499-0DC636F4FE22}" destId="{7AE5EC5F-86DC-4E63-86A4-56A8D355BC4D}" srcOrd="8" destOrd="0" presId="urn:microsoft.com/office/officeart/2005/8/layout/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EC19C8-4547-4183-A35C-E0ED9B4CD618}"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1974CF2C-E8C0-4A34-B8F2-8332AE6BB2B4}">
      <dgm:prSet phldrT="[Text]"/>
      <dgm:spPr/>
      <dgm:t>
        <a:bodyPr/>
        <a:lstStyle/>
        <a:p>
          <a:pPr algn="just"/>
          <a:r>
            <a:rPr lang="en-GB" b="1">
              <a:solidFill>
                <a:sysClr val="windowText" lastClr="000000"/>
              </a:solidFill>
              <a:latin typeface="Times New Roman" panose="02020603050405020304" pitchFamily="18" charset="0"/>
              <a:cs typeface="Times New Roman" panose="02020603050405020304" pitchFamily="18" charset="0"/>
            </a:rPr>
            <a:t>Sustainability as a Core Industry Driver</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8EB0E85C-48FF-4A5D-B036-43DD2689A7F6}" type="parTrans" cxnId="{92B4325B-240F-4475-9A66-88244728D06B}">
      <dgm:prSet/>
      <dgm:spPr/>
      <dgm:t>
        <a:bodyPr/>
        <a:lstStyle/>
        <a:p>
          <a:endParaRPr lang="en-US"/>
        </a:p>
      </dgm:t>
    </dgm:pt>
    <dgm:pt modelId="{E2BBC35C-0588-4091-ABC2-FB34270AF45F}" type="sibTrans" cxnId="{92B4325B-240F-4475-9A66-88244728D06B}">
      <dgm:prSet/>
      <dgm:spPr/>
      <dgm:t>
        <a:bodyPr/>
        <a:lstStyle/>
        <a:p>
          <a:endParaRPr lang="en-US"/>
        </a:p>
      </dgm:t>
    </dgm:pt>
    <dgm:pt modelId="{8F476363-99DD-4EE1-891B-B388AFC0E3C4}">
      <dgm:prSet phldrT="[Text]"/>
      <dgm:spPr/>
      <dgm:t>
        <a:bodyPr/>
        <a:lstStyle/>
        <a:p>
          <a:pPr algn="just"/>
          <a:r>
            <a:rPr lang="en-GB" b="1">
              <a:solidFill>
                <a:sysClr val="windowText" lastClr="000000"/>
              </a:solidFill>
              <a:latin typeface="Times New Roman" panose="02020603050405020304" pitchFamily="18" charset="0"/>
              <a:cs typeface="Times New Roman" panose="02020603050405020304" pitchFamily="18" charset="0"/>
            </a:rPr>
            <a:t>Technological Innovation and Hybrid Events</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A1D1F7BC-34E3-41D5-BED4-7A6F832B8AE9}" type="parTrans" cxnId="{E84240BC-5FDE-44F5-84AD-CA2625728172}">
      <dgm:prSet/>
      <dgm:spPr/>
      <dgm:t>
        <a:bodyPr/>
        <a:lstStyle/>
        <a:p>
          <a:endParaRPr lang="en-US"/>
        </a:p>
      </dgm:t>
    </dgm:pt>
    <dgm:pt modelId="{169F9337-C3CD-44DF-81A6-E6A262FBA873}" type="sibTrans" cxnId="{E84240BC-5FDE-44F5-84AD-CA2625728172}">
      <dgm:prSet/>
      <dgm:spPr/>
      <dgm:t>
        <a:bodyPr/>
        <a:lstStyle/>
        <a:p>
          <a:endParaRPr lang="en-US"/>
        </a:p>
      </dgm:t>
    </dgm:pt>
    <dgm:pt modelId="{F38F9AB0-B077-4B88-B65C-0A91D3819CE2}">
      <dgm:prSet phldrT="[Text]"/>
      <dgm:spPr/>
      <dgm:t>
        <a:bodyPr/>
        <a:lstStyle/>
        <a:p>
          <a:pPr algn="just"/>
          <a:r>
            <a:rPr lang="en-GB" b="1">
              <a:solidFill>
                <a:sysClr val="windowText" lastClr="000000"/>
              </a:solidFill>
              <a:latin typeface="Times New Roman" panose="02020603050405020304" pitchFamily="18" charset="0"/>
              <a:cs typeface="Times New Roman" panose="02020603050405020304" pitchFamily="18" charset="0"/>
            </a:rPr>
            <a:t>Health, Safety, and Regulatory Compliance</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822489F7-B180-456C-9CD4-DC3F0B0802D5}" type="parTrans" cxnId="{153CE76D-7630-4E62-B7E2-590D978A2A14}">
      <dgm:prSet/>
      <dgm:spPr/>
      <dgm:t>
        <a:bodyPr/>
        <a:lstStyle/>
        <a:p>
          <a:endParaRPr lang="en-US"/>
        </a:p>
      </dgm:t>
    </dgm:pt>
    <dgm:pt modelId="{96053237-34E3-46E0-8B45-52743DD57DC9}" type="sibTrans" cxnId="{153CE76D-7630-4E62-B7E2-590D978A2A14}">
      <dgm:prSet/>
      <dgm:spPr/>
      <dgm:t>
        <a:bodyPr/>
        <a:lstStyle/>
        <a:p>
          <a:endParaRPr lang="en-US"/>
        </a:p>
      </dgm:t>
    </dgm:pt>
    <dgm:pt modelId="{B7231375-C2ED-433F-8619-CC5106124ACE}">
      <dgm:prSet/>
      <dgm:spPr/>
      <dgm:t>
        <a:bodyPr/>
        <a:lstStyle/>
        <a:p>
          <a:pPr algn="just"/>
          <a:r>
            <a:rPr lang="en-GB" b="1">
              <a:solidFill>
                <a:sysClr val="windowText" lastClr="000000"/>
              </a:solidFill>
              <a:latin typeface="Times New Roman" panose="02020603050405020304" pitchFamily="18" charset="0"/>
              <a:cs typeface="Times New Roman" panose="02020603050405020304" pitchFamily="18" charset="0"/>
            </a:rPr>
            <a:t>Inclusion and Diversity in Event Programming</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5FA6F99C-D775-4433-8773-813DA1CAE81A}" type="parTrans" cxnId="{79C5CFCB-8BD6-4914-A240-43718539113E}">
      <dgm:prSet/>
      <dgm:spPr/>
      <dgm:t>
        <a:bodyPr/>
        <a:lstStyle/>
        <a:p>
          <a:endParaRPr lang="en-US"/>
        </a:p>
      </dgm:t>
    </dgm:pt>
    <dgm:pt modelId="{299B4DA1-FEF6-4236-8E38-3B3AE5106E91}" type="sibTrans" cxnId="{79C5CFCB-8BD6-4914-A240-43718539113E}">
      <dgm:prSet/>
      <dgm:spPr/>
      <dgm:t>
        <a:bodyPr/>
        <a:lstStyle/>
        <a:p>
          <a:endParaRPr lang="en-US"/>
        </a:p>
      </dgm:t>
    </dgm:pt>
    <dgm:pt modelId="{9B8D17E3-FE05-488F-8308-500F4E3740AD}" type="pres">
      <dgm:prSet presAssocID="{BDEC19C8-4547-4183-A35C-E0ED9B4CD618}" presName="linear" presStyleCnt="0">
        <dgm:presLayoutVars>
          <dgm:dir/>
          <dgm:animLvl val="lvl"/>
          <dgm:resizeHandles val="exact"/>
        </dgm:presLayoutVars>
      </dgm:prSet>
      <dgm:spPr/>
    </dgm:pt>
    <dgm:pt modelId="{EEDE1A71-C1BE-4D94-A069-9B2AD7E899B5}" type="pres">
      <dgm:prSet presAssocID="{1974CF2C-E8C0-4A34-B8F2-8332AE6BB2B4}" presName="parentLin" presStyleCnt="0"/>
      <dgm:spPr/>
    </dgm:pt>
    <dgm:pt modelId="{67A07BCF-6BA3-47A4-9C63-7487A00150C0}" type="pres">
      <dgm:prSet presAssocID="{1974CF2C-E8C0-4A34-B8F2-8332AE6BB2B4}" presName="parentLeftMargin" presStyleLbl="node1" presStyleIdx="0" presStyleCnt="4"/>
      <dgm:spPr/>
    </dgm:pt>
    <dgm:pt modelId="{DEFB6262-E454-40F4-B28E-894329054784}" type="pres">
      <dgm:prSet presAssocID="{1974CF2C-E8C0-4A34-B8F2-8332AE6BB2B4}" presName="parentText" presStyleLbl="node1" presStyleIdx="0" presStyleCnt="4">
        <dgm:presLayoutVars>
          <dgm:chMax val="0"/>
          <dgm:bulletEnabled val="1"/>
        </dgm:presLayoutVars>
      </dgm:prSet>
      <dgm:spPr/>
    </dgm:pt>
    <dgm:pt modelId="{568EACB6-B382-4B5D-904E-6434D2303F96}" type="pres">
      <dgm:prSet presAssocID="{1974CF2C-E8C0-4A34-B8F2-8332AE6BB2B4}" presName="negativeSpace" presStyleCnt="0"/>
      <dgm:spPr/>
    </dgm:pt>
    <dgm:pt modelId="{24650411-2DB2-4F22-9C37-884C0DF8B4C8}" type="pres">
      <dgm:prSet presAssocID="{1974CF2C-E8C0-4A34-B8F2-8332AE6BB2B4}" presName="childText" presStyleLbl="conFgAcc1" presStyleIdx="0" presStyleCnt="4">
        <dgm:presLayoutVars>
          <dgm:bulletEnabled val="1"/>
        </dgm:presLayoutVars>
      </dgm:prSet>
      <dgm:spPr/>
    </dgm:pt>
    <dgm:pt modelId="{59320E74-D009-4CD9-AA04-623ABC5EC32B}" type="pres">
      <dgm:prSet presAssocID="{E2BBC35C-0588-4091-ABC2-FB34270AF45F}" presName="spaceBetweenRectangles" presStyleCnt="0"/>
      <dgm:spPr/>
    </dgm:pt>
    <dgm:pt modelId="{1F9793DA-A8E9-4780-A092-B4B2734342F1}" type="pres">
      <dgm:prSet presAssocID="{8F476363-99DD-4EE1-891B-B388AFC0E3C4}" presName="parentLin" presStyleCnt="0"/>
      <dgm:spPr/>
    </dgm:pt>
    <dgm:pt modelId="{86FF9050-FEF9-4BDA-A1C4-4BDA4C8CCA66}" type="pres">
      <dgm:prSet presAssocID="{8F476363-99DD-4EE1-891B-B388AFC0E3C4}" presName="parentLeftMargin" presStyleLbl="node1" presStyleIdx="0" presStyleCnt="4"/>
      <dgm:spPr/>
    </dgm:pt>
    <dgm:pt modelId="{483F21AA-4CF1-491D-A073-E42337464650}" type="pres">
      <dgm:prSet presAssocID="{8F476363-99DD-4EE1-891B-B388AFC0E3C4}" presName="parentText" presStyleLbl="node1" presStyleIdx="1" presStyleCnt="4">
        <dgm:presLayoutVars>
          <dgm:chMax val="0"/>
          <dgm:bulletEnabled val="1"/>
        </dgm:presLayoutVars>
      </dgm:prSet>
      <dgm:spPr/>
    </dgm:pt>
    <dgm:pt modelId="{4C6468F4-A196-4C06-AC83-1AE99D395546}" type="pres">
      <dgm:prSet presAssocID="{8F476363-99DD-4EE1-891B-B388AFC0E3C4}" presName="negativeSpace" presStyleCnt="0"/>
      <dgm:spPr/>
    </dgm:pt>
    <dgm:pt modelId="{B1867C05-1B4B-40D8-B865-32807FE9919A}" type="pres">
      <dgm:prSet presAssocID="{8F476363-99DD-4EE1-891B-B388AFC0E3C4}" presName="childText" presStyleLbl="conFgAcc1" presStyleIdx="1" presStyleCnt="4">
        <dgm:presLayoutVars>
          <dgm:bulletEnabled val="1"/>
        </dgm:presLayoutVars>
      </dgm:prSet>
      <dgm:spPr/>
    </dgm:pt>
    <dgm:pt modelId="{186BB292-97A9-448C-BE5A-9C2681D54FF4}" type="pres">
      <dgm:prSet presAssocID="{169F9337-C3CD-44DF-81A6-E6A262FBA873}" presName="spaceBetweenRectangles" presStyleCnt="0"/>
      <dgm:spPr/>
    </dgm:pt>
    <dgm:pt modelId="{9C4DFC34-F359-472F-9BB5-A86119810D35}" type="pres">
      <dgm:prSet presAssocID="{F38F9AB0-B077-4B88-B65C-0A91D3819CE2}" presName="parentLin" presStyleCnt="0"/>
      <dgm:spPr/>
    </dgm:pt>
    <dgm:pt modelId="{B4A1A25E-382F-444D-A5E9-786DC5B01C40}" type="pres">
      <dgm:prSet presAssocID="{F38F9AB0-B077-4B88-B65C-0A91D3819CE2}" presName="parentLeftMargin" presStyleLbl="node1" presStyleIdx="1" presStyleCnt="4"/>
      <dgm:spPr/>
    </dgm:pt>
    <dgm:pt modelId="{7570EED8-D5F8-48A3-9281-02626715B6F1}" type="pres">
      <dgm:prSet presAssocID="{F38F9AB0-B077-4B88-B65C-0A91D3819CE2}" presName="parentText" presStyleLbl="node1" presStyleIdx="2" presStyleCnt="4">
        <dgm:presLayoutVars>
          <dgm:chMax val="0"/>
          <dgm:bulletEnabled val="1"/>
        </dgm:presLayoutVars>
      </dgm:prSet>
      <dgm:spPr/>
    </dgm:pt>
    <dgm:pt modelId="{CDE816E8-FD67-40D7-BF75-FFAD61090E58}" type="pres">
      <dgm:prSet presAssocID="{F38F9AB0-B077-4B88-B65C-0A91D3819CE2}" presName="negativeSpace" presStyleCnt="0"/>
      <dgm:spPr/>
    </dgm:pt>
    <dgm:pt modelId="{7E2A98BF-40DD-44F6-A350-C3D118A3FCAF}" type="pres">
      <dgm:prSet presAssocID="{F38F9AB0-B077-4B88-B65C-0A91D3819CE2}" presName="childText" presStyleLbl="conFgAcc1" presStyleIdx="2" presStyleCnt="4">
        <dgm:presLayoutVars>
          <dgm:bulletEnabled val="1"/>
        </dgm:presLayoutVars>
      </dgm:prSet>
      <dgm:spPr/>
    </dgm:pt>
    <dgm:pt modelId="{1A07E422-4A1B-4AE3-A92C-307C8256B626}" type="pres">
      <dgm:prSet presAssocID="{96053237-34E3-46E0-8B45-52743DD57DC9}" presName="spaceBetweenRectangles" presStyleCnt="0"/>
      <dgm:spPr/>
    </dgm:pt>
    <dgm:pt modelId="{15A8951C-0847-4F34-9343-E9648699806B}" type="pres">
      <dgm:prSet presAssocID="{B7231375-C2ED-433F-8619-CC5106124ACE}" presName="parentLin" presStyleCnt="0"/>
      <dgm:spPr/>
    </dgm:pt>
    <dgm:pt modelId="{CC463572-80DC-4AC7-BE4F-32F0DCC73C7B}" type="pres">
      <dgm:prSet presAssocID="{B7231375-C2ED-433F-8619-CC5106124ACE}" presName="parentLeftMargin" presStyleLbl="node1" presStyleIdx="2" presStyleCnt="4"/>
      <dgm:spPr/>
    </dgm:pt>
    <dgm:pt modelId="{9693ECD9-2C61-4F64-9F2C-510D98A1A33E}" type="pres">
      <dgm:prSet presAssocID="{B7231375-C2ED-433F-8619-CC5106124ACE}" presName="parentText" presStyleLbl="node1" presStyleIdx="3" presStyleCnt="4">
        <dgm:presLayoutVars>
          <dgm:chMax val="0"/>
          <dgm:bulletEnabled val="1"/>
        </dgm:presLayoutVars>
      </dgm:prSet>
      <dgm:spPr/>
    </dgm:pt>
    <dgm:pt modelId="{341D61CF-29B8-4B8F-8E6B-229557DE6A27}" type="pres">
      <dgm:prSet presAssocID="{B7231375-C2ED-433F-8619-CC5106124ACE}" presName="negativeSpace" presStyleCnt="0"/>
      <dgm:spPr/>
    </dgm:pt>
    <dgm:pt modelId="{C4933E25-D3C7-4715-8C05-A8BDBB1BF7E3}" type="pres">
      <dgm:prSet presAssocID="{B7231375-C2ED-433F-8619-CC5106124ACE}" presName="childText" presStyleLbl="conFgAcc1" presStyleIdx="3" presStyleCnt="4">
        <dgm:presLayoutVars>
          <dgm:bulletEnabled val="1"/>
        </dgm:presLayoutVars>
      </dgm:prSet>
      <dgm:spPr/>
    </dgm:pt>
  </dgm:ptLst>
  <dgm:cxnLst>
    <dgm:cxn modelId="{724A8B01-F619-4F57-A125-5F203CFDE801}" type="presOf" srcId="{B7231375-C2ED-433F-8619-CC5106124ACE}" destId="{CC463572-80DC-4AC7-BE4F-32F0DCC73C7B}" srcOrd="0" destOrd="0" presId="urn:microsoft.com/office/officeart/2005/8/layout/list1"/>
    <dgm:cxn modelId="{9C11A308-1302-42B2-BB9C-1916983C6D06}" type="presOf" srcId="{F38F9AB0-B077-4B88-B65C-0A91D3819CE2}" destId="{7570EED8-D5F8-48A3-9281-02626715B6F1}" srcOrd="1" destOrd="0" presId="urn:microsoft.com/office/officeart/2005/8/layout/list1"/>
    <dgm:cxn modelId="{501A5B0C-3B16-4D2C-9FBE-B1251C045DE6}" type="presOf" srcId="{BDEC19C8-4547-4183-A35C-E0ED9B4CD618}" destId="{9B8D17E3-FE05-488F-8308-500F4E3740AD}" srcOrd="0" destOrd="0" presId="urn:microsoft.com/office/officeart/2005/8/layout/list1"/>
    <dgm:cxn modelId="{68F2EE2E-D278-4964-A5E1-CEB3F0EAE929}" type="presOf" srcId="{1974CF2C-E8C0-4A34-B8F2-8332AE6BB2B4}" destId="{DEFB6262-E454-40F4-B28E-894329054784}" srcOrd="1" destOrd="0" presId="urn:microsoft.com/office/officeart/2005/8/layout/list1"/>
    <dgm:cxn modelId="{9DF6EE2F-7E9F-40D9-83F6-FF7C018812B2}" type="presOf" srcId="{8F476363-99DD-4EE1-891B-B388AFC0E3C4}" destId="{483F21AA-4CF1-491D-A073-E42337464650}" srcOrd="1" destOrd="0" presId="urn:microsoft.com/office/officeart/2005/8/layout/list1"/>
    <dgm:cxn modelId="{A8A37B3D-66BB-4B80-9BA6-73908D810890}" type="presOf" srcId="{F38F9AB0-B077-4B88-B65C-0A91D3819CE2}" destId="{B4A1A25E-382F-444D-A5E9-786DC5B01C40}" srcOrd="0" destOrd="0" presId="urn:microsoft.com/office/officeart/2005/8/layout/list1"/>
    <dgm:cxn modelId="{92B4325B-240F-4475-9A66-88244728D06B}" srcId="{BDEC19C8-4547-4183-A35C-E0ED9B4CD618}" destId="{1974CF2C-E8C0-4A34-B8F2-8332AE6BB2B4}" srcOrd="0" destOrd="0" parTransId="{8EB0E85C-48FF-4A5D-B036-43DD2689A7F6}" sibTransId="{E2BBC35C-0588-4091-ABC2-FB34270AF45F}"/>
    <dgm:cxn modelId="{FB54F947-20B8-4BD9-A3B5-8E46D0A68591}" type="presOf" srcId="{8F476363-99DD-4EE1-891B-B388AFC0E3C4}" destId="{86FF9050-FEF9-4BDA-A1C4-4BDA4C8CCA66}" srcOrd="0" destOrd="0" presId="urn:microsoft.com/office/officeart/2005/8/layout/list1"/>
    <dgm:cxn modelId="{153CE76D-7630-4E62-B7E2-590D978A2A14}" srcId="{BDEC19C8-4547-4183-A35C-E0ED9B4CD618}" destId="{F38F9AB0-B077-4B88-B65C-0A91D3819CE2}" srcOrd="2" destOrd="0" parTransId="{822489F7-B180-456C-9CD4-DC3F0B0802D5}" sibTransId="{96053237-34E3-46E0-8B45-52743DD57DC9}"/>
    <dgm:cxn modelId="{44B5FA9C-9500-4EBA-BEBB-0E0E3EE160D6}" type="presOf" srcId="{B7231375-C2ED-433F-8619-CC5106124ACE}" destId="{9693ECD9-2C61-4F64-9F2C-510D98A1A33E}" srcOrd="1" destOrd="0" presId="urn:microsoft.com/office/officeart/2005/8/layout/list1"/>
    <dgm:cxn modelId="{E84240BC-5FDE-44F5-84AD-CA2625728172}" srcId="{BDEC19C8-4547-4183-A35C-E0ED9B4CD618}" destId="{8F476363-99DD-4EE1-891B-B388AFC0E3C4}" srcOrd="1" destOrd="0" parTransId="{A1D1F7BC-34E3-41D5-BED4-7A6F832B8AE9}" sibTransId="{169F9337-C3CD-44DF-81A6-E6A262FBA873}"/>
    <dgm:cxn modelId="{79C5CFCB-8BD6-4914-A240-43718539113E}" srcId="{BDEC19C8-4547-4183-A35C-E0ED9B4CD618}" destId="{B7231375-C2ED-433F-8619-CC5106124ACE}" srcOrd="3" destOrd="0" parTransId="{5FA6F99C-D775-4433-8773-813DA1CAE81A}" sibTransId="{299B4DA1-FEF6-4236-8E38-3B3AE5106E91}"/>
    <dgm:cxn modelId="{A0562ACF-DC1E-40C0-9157-A71761051CCD}" type="presOf" srcId="{1974CF2C-E8C0-4A34-B8F2-8332AE6BB2B4}" destId="{67A07BCF-6BA3-47A4-9C63-7487A00150C0}" srcOrd="0" destOrd="0" presId="urn:microsoft.com/office/officeart/2005/8/layout/list1"/>
    <dgm:cxn modelId="{31B289F6-0B91-4D67-AA88-482940E5FA51}" type="presParOf" srcId="{9B8D17E3-FE05-488F-8308-500F4E3740AD}" destId="{EEDE1A71-C1BE-4D94-A069-9B2AD7E899B5}" srcOrd="0" destOrd="0" presId="urn:microsoft.com/office/officeart/2005/8/layout/list1"/>
    <dgm:cxn modelId="{D2328ABA-7763-4356-9B1C-804FCA8EF2E2}" type="presParOf" srcId="{EEDE1A71-C1BE-4D94-A069-9B2AD7E899B5}" destId="{67A07BCF-6BA3-47A4-9C63-7487A00150C0}" srcOrd="0" destOrd="0" presId="urn:microsoft.com/office/officeart/2005/8/layout/list1"/>
    <dgm:cxn modelId="{ED7CFD6B-2176-427D-BB4D-3650BA80B2EC}" type="presParOf" srcId="{EEDE1A71-C1BE-4D94-A069-9B2AD7E899B5}" destId="{DEFB6262-E454-40F4-B28E-894329054784}" srcOrd="1" destOrd="0" presId="urn:microsoft.com/office/officeart/2005/8/layout/list1"/>
    <dgm:cxn modelId="{53489420-4C2B-4612-B929-875A93848B8D}" type="presParOf" srcId="{9B8D17E3-FE05-488F-8308-500F4E3740AD}" destId="{568EACB6-B382-4B5D-904E-6434D2303F96}" srcOrd="1" destOrd="0" presId="urn:microsoft.com/office/officeart/2005/8/layout/list1"/>
    <dgm:cxn modelId="{B7B9194F-86D3-415F-9944-1EBEA673E68A}" type="presParOf" srcId="{9B8D17E3-FE05-488F-8308-500F4E3740AD}" destId="{24650411-2DB2-4F22-9C37-884C0DF8B4C8}" srcOrd="2" destOrd="0" presId="urn:microsoft.com/office/officeart/2005/8/layout/list1"/>
    <dgm:cxn modelId="{C7394603-F44B-48AB-92EE-7F59121A6E82}" type="presParOf" srcId="{9B8D17E3-FE05-488F-8308-500F4E3740AD}" destId="{59320E74-D009-4CD9-AA04-623ABC5EC32B}" srcOrd="3" destOrd="0" presId="urn:microsoft.com/office/officeart/2005/8/layout/list1"/>
    <dgm:cxn modelId="{EF9AC85D-067D-44CD-998D-7BB5A9B9DB57}" type="presParOf" srcId="{9B8D17E3-FE05-488F-8308-500F4E3740AD}" destId="{1F9793DA-A8E9-4780-A092-B4B2734342F1}" srcOrd="4" destOrd="0" presId="urn:microsoft.com/office/officeart/2005/8/layout/list1"/>
    <dgm:cxn modelId="{F1032487-DE17-45A7-807E-E9BCC92D0F8C}" type="presParOf" srcId="{1F9793DA-A8E9-4780-A092-B4B2734342F1}" destId="{86FF9050-FEF9-4BDA-A1C4-4BDA4C8CCA66}" srcOrd="0" destOrd="0" presId="urn:microsoft.com/office/officeart/2005/8/layout/list1"/>
    <dgm:cxn modelId="{8E0D4E97-DD44-48F6-8259-B57B6D4E2885}" type="presParOf" srcId="{1F9793DA-A8E9-4780-A092-B4B2734342F1}" destId="{483F21AA-4CF1-491D-A073-E42337464650}" srcOrd="1" destOrd="0" presId="urn:microsoft.com/office/officeart/2005/8/layout/list1"/>
    <dgm:cxn modelId="{0513431A-C0BE-42A9-916B-444B03DBE469}" type="presParOf" srcId="{9B8D17E3-FE05-488F-8308-500F4E3740AD}" destId="{4C6468F4-A196-4C06-AC83-1AE99D395546}" srcOrd="5" destOrd="0" presId="urn:microsoft.com/office/officeart/2005/8/layout/list1"/>
    <dgm:cxn modelId="{7BF2E948-2382-416D-BB35-7EBFDCD994BA}" type="presParOf" srcId="{9B8D17E3-FE05-488F-8308-500F4E3740AD}" destId="{B1867C05-1B4B-40D8-B865-32807FE9919A}" srcOrd="6" destOrd="0" presId="urn:microsoft.com/office/officeart/2005/8/layout/list1"/>
    <dgm:cxn modelId="{F0090E66-9B59-4B3B-8681-13A1A6101008}" type="presParOf" srcId="{9B8D17E3-FE05-488F-8308-500F4E3740AD}" destId="{186BB292-97A9-448C-BE5A-9C2681D54FF4}" srcOrd="7" destOrd="0" presId="urn:microsoft.com/office/officeart/2005/8/layout/list1"/>
    <dgm:cxn modelId="{247A9D99-7195-446E-A634-414685198CA5}" type="presParOf" srcId="{9B8D17E3-FE05-488F-8308-500F4E3740AD}" destId="{9C4DFC34-F359-472F-9BB5-A86119810D35}" srcOrd="8" destOrd="0" presId="urn:microsoft.com/office/officeart/2005/8/layout/list1"/>
    <dgm:cxn modelId="{55CF09D7-565F-456B-9C30-F3945339AD77}" type="presParOf" srcId="{9C4DFC34-F359-472F-9BB5-A86119810D35}" destId="{B4A1A25E-382F-444D-A5E9-786DC5B01C40}" srcOrd="0" destOrd="0" presId="urn:microsoft.com/office/officeart/2005/8/layout/list1"/>
    <dgm:cxn modelId="{E9EBA482-3601-47D6-B4DF-27974D5E2B8A}" type="presParOf" srcId="{9C4DFC34-F359-472F-9BB5-A86119810D35}" destId="{7570EED8-D5F8-48A3-9281-02626715B6F1}" srcOrd="1" destOrd="0" presId="urn:microsoft.com/office/officeart/2005/8/layout/list1"/>
    <dgm:cxn modelId="{610E2D87-F098-46F0-8754-889E134E9E08}" type="presParOf" srcId="{9B8D17E3-FE05-488F-8308-500F4E3740AD}" destId="{CDE816E8-FD67-40D7-BF75-FFAD61090E58}" srcOrd="9" destOrd="0" presId="urn:microsoft.com/office/officeart/2005/8/layout/list1"/>
    <dgm:cxn modelId="{F9428816-7645-408F-996C-6B8B1ED75AD1}" type="presParOf" srcId="{9B8D17E3-FE05-488F-8308-500F4E3740AD}" destId="{7E2A98BF-40DD-44F6-A350-C3D118A3FCAF}" srcOrd="10" destOrd="0" presId="urn:microsoft.com/office/officeart/2005/8/layout/list1"/>
    <dgm:cxn modelId="{2B6BD6E7-493A-4C68-A167-9BD6B336A082}" type="presParOf" srcId="{9B8D17E3-FE05-488F-8308-500F4E3740AD}" destId="{1A07E422-4A1B-4AE3-A92C-307C8256B626}" srcOrd="11" destOrd="0" presId="urn:microsoft.com/office/officeart/2005/8/layout/list1"/>
    <dgm:cxn modelId="{4C5E9D98-BA38-412F-8595-180944788A3F}" type="presParOf" srcId="{9B8D17E3-FE05-488F-8308-500F4E3740AD}" destId="{15A8951C-0847-4F34-9343-E9648699806B}" srcOrd="12" destOrd="0" presId="urn:microsoft.com/office/officeart/2005/8/layout/list1"/>
    <dgm:cxn modelId="{98D747BD-4FA4-48C1-9FB8-44A008555BF9}" type="presParOf" srcId="{15A8951C-0847-4F34-9343-E9648699806B}" destId="{CC463572-80DC-4AC7-BE4F-32F0DCC73C7B}" srcOrd="0" destOrd="0" presId="urn:microsoft.com/office/officeart/2005/8/layout/list1"/>
    <dgm:cxn modelId="{2101A269-2371-464B-8B82-2C38C1992E10}" type="presParOf" srcId="{15A8951C-0847-4F34-9343-E9648699806B}" destId="{9693ECD9-2C61-4F64-9F2C-510D98A1A33E}" srcOrd="1" destOrd="0" presId="urn:microsoft.com/office/officeart/2005/8/layout/list1"/>
    <dgm:cxn modelId="{6C4DEBE3-79BE-45F6-B6B5-1449010C96DF}" type="presParOf" srcId="{9B8D17E3-FE05-488F-8308-500F4E3740AD}" destId="{341D61CF-29B8-4B8F-8E6B-229557DE6A27}" srcOrd="13" destOrd="0" presId="urn:microsoft.com/office/officeart/2005/8/layout/list1"/>
    <dgm:cxn modelId="{5ADF7CCB-8C9D-4EA6-8E29-C8727B0CE7D7}" type="presParOf" srcId="{9B8D17E3-FE05-488F-8308-500F4E3740AD}" destId="{C4933E25-D3C7-4715-8C05-A8BDBB1BF7E3}" srcOrd="14"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70EA6F-14C8-49F8-A229-78082A00F7E4}">
      <dsp:nvSpPr>
        <dsp:cNvPr id="0" name=""/>
        <dsp:cNvSpPr/>
      </dsp:nvSpPr>
      <dsp:spPr>
        <a:xfrm>
          <a:off x="5230" y="25663"/>
          <a:ext cx="1563357" cy="938014"/>
        </a:xfrm>
        <a:prstGeom prst="roundRect">
          <a:avLst>
            <a:gd name="adj" fmla="val 10000"/>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Initiation Stage</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32703" y="53136"/>
        <a:ext cx="1508411" cy="883068"/>
      </dsp:txXfrm>
    </dsp:sp>
    <dsp:sp modelId="{0D019BC7-FD3B-42F8-974A-192B06950CC9}">
      <dsp:nvSpPr>
        <dsp:cNvPr id="0" name=""/>
        <dsp:cNvSpPr/>
      </dsp:nvSpPr>
      <dsp:spPr>
        <a:xfrm>
          <a:off x="1706163" y="300814"/>
          <a:ext cx="331431" cy="38771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1706163" y="378356"/>
        <a:ext cx="232002" cy="232628"/>
      </dsp:txXfrm>
    </dsp:sp>
    <dsp:sp modelId="{5ED3EA06-DF23-4F5F-B845-5E6146615966}">
      <dsp:nvSpPr>
        <dsp:cNvPr id="0" name=""/>
        <dsp:cNvSpPr/>
      </dsp:nvSpPr>
      <dsp:spPr>
        <a:xfrm>
          <a:off x="2193931" y="25663"/>
          <a:ext cx="1563357" cy="938014"/>
        </a:xfrm>
        <a:prstGeom prst="roundRect">
          <a:avLst>
            <a:gd name="adj" fmla="val 10000"/>
          </a:avLst>
        </a:prstGeom>
        <a:solidFill>
          <a:schemeClr val="accent5">
            <a:hueOff val="-3038037"/>
            <a:satOff val="-207"/>
            <a:lumOff val="49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Planning Stage</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2221404" y="53136"/>
        <a:ext cx="1508411" cy="883068"/>
      </dsp:txXfrm>
    </dsp:sp>
    <dsp:sp modelId="{C4665ACE-252E-493D-911F-B746237DCA70}">
      <dsp:nvSpPr>
        <dsp:cNvPr id="0" name=""/>
        <dsp:cNvSpPr/>
      </dsp:nvSpPr>
      <dsp:spPr>
        <a:xfrm>
          <a:off x="3894864" y="300814"/>
          <a:ext cx="331431" cy="387712"/>
        </a:xfrm>
        <a:prstGeom prst="rightArrow">
          <a:avLst>
            <a:gd name="adj1" fmla="val 60000"/>
            <a:gd name="adj2" fmla="val 50000"/>
          </a:avLst>
        </a:prstGeom>
        <a:solidFill>
          <a:schemeClr val="accent5">
            <a:hueOff val="-4050717"/>
            <a:satOff val="-275"/>
            <a:lumOff val="65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894864" y="378356"/>
        <a:ext cx="232002" cy="232628"/>
      </dsp:txXfrm>
    </dsp:sp>
    <dsp:sp modelId="{2D813490-A799-4996-9969-713690FEC02A}">
      <dsp:nvSpPr>
        <dsp:cNvPr id="0" name=""/>
        <dsp:cNvSpPr/>
      </dsp:nvSpPr>
      <dsp:spPr>
        <a:xfrm>
          <a:off x="4382631" y="25663"/>
          <a:ext cx="1563357" cy="938014"/>
        </a:xfrm>
        <a:prstGeom prst="roundRect">
          <a:avLst>
            <a:gd name="adj" fmla="val 10000"/>
          </a:avLst>
        </a:prstGeom>
        <a:solidFill>
          <a:schemeClr val="accent5">
            <a:hueOff val="-6076075"/>
            <a:satOff val="-413"/>
            <a:lumOff val="98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Implementation Stage</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4410104" y="53136"/>
        <a:ext cx="1508411" cy="883068"/>
      </dsp:txXfrm>
    </dsp:sp>
    <dsp:sp modelId="{0DB45DF0-D28A-470C-9B6C-970527D49D8B}">
      <dsp:nvSpPr>
        <dsp:cNvPr id="0" name=""/>
        <dsp:cNvSpPr/>
      </dsp:nvSpPr>
      <dsp:spPr>
        <a:xfrm rot="5400000">
          <a:off x="4998594" y="1073113"/>
          <a:ext cx="331431" cy="387712"/>
        </a:xfrm>
        <a:prstGeom prst="rightArrow">
          <a:avLst>
            <a:gd name="adj1" fmla="val 60000"/>
            <a:gd name="adj2" fmla="val 50000"/>
          </a:avLst>
        </a:prstGeom>
        <a:solidFill>
          <a:schemeClr val="accent5">
            <a:hueOff val="-8101434"/>
            <a:satOff val="-551"/>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5047996" y="1101254"/>
        <a:ext cx="232628" cy="232002"/>
      </dsp:txXfrm>
    </dsp:sp>
    <dsp:sp modelId="{C077B1CD-1B0C-4FE7-A5C8-2784116BA20E}">
      <dsp:nvSpPr>
        <dsp:cNvPr id="0" name=""/>
        <dsp:cNvSpPr/>
      </dsp:nvSpPr>
      <dsp:spPr>
        <a:xfrm>
          <a:off x="4382631" y="1589021"/>
          <a:ext cx="1563357" cy="938014"/>
        </a:xfrm>
        <a:prstGeom prst="roundRect">
          <a:avLst>
            <a:gd name="adj" fmla="val 10000"/>
          </a:avLst>
        </a:prstGeom>
        <a:solidFill>
          <a:schemeClr val="accent5">
            <a:hueOff val="-9114112"/>
            <a:satOff val="-620"/>
            <a:lumOff val="147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The Event</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4410104" y="1616494"/>
        <a:ext cx="1508411" cy="883068"/>
      </dsp:txXfrm>
    </dsp:sp>
    <dsp:sp modelId="{49C0F427-565A-4100-9FA1-6521469073BE}">
      <dsp:nvSpPr>
        <dsp:cNvPr id="0" name=""/>
        <dsp:cNvSpPr/>
      </dsp:nvSpPr>
      <dsp:spPr>
        <a:xfrm rot="10800000">
          <a:off x="3913624" y="1864172"/>
          <a:ext cx="331431" cy="387712"/>
        </a:xfrm>
        <a:prstGeom prst="rightArrow">
          <a:avLst>
            <a:gd name="adj1" fmla="val 60000"/>
            <a:gd name="adj2" fmla="val 50000"/>
          </a:avLst>
        </a:prstGeom>
        <a:solidFill>
          <a:schemeClr val="accent5">
            <a:hueOff val="-12152150"/>
            <a:satOff val="-826"/>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4013053" y="1941714"/>
        <a:ext cx="232002" cy="232628"/>
      </dsp:txXfrm>
    </dsp:sp>
    <dsp:sp modelId="{7AE5EC5F-86DC-4E63-86A4-56A8D355BC4D}">
      <dsp:nvSpPr>
        <dsp:cNvPr id="0" name=""/>
        <dsp:cNvSpPr/>
      </dsp:nvSpPr>
      <dsp:spPr>
        <a:xfrm>
          <a:off x="2193931" y="1589021"/>
          <a:ext cx="1563357" cy="938014"/>
        </a:xfrm>
        <a:prstGeom prst="roundRect">
          <a:avLst>
            <a:gd name="adj" fmla="val 10000"/>
          </a:avLst>
        </a:prstGeom>
        <a:solidFill>
          <a:schemeClr val="accent5">
            <a:hueOff val="-12152150"/>
            <a:satOff val="-826"/>
            <a:lumOff val="196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Closure and Legacy</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2221404" y="1616494"/>
        <a:ext cx="1508411" cy="8830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650411-2DB2-4F22-9C37-884C0DF8B4C8}">
      <dsp:nvSpPr>
        <dsp:cNvPr id="0" name=""/>
        <dsp:cNvSpPr/>
      </dsp:nvSpPr>
      <dsp:spPr>
        <a:xfrm>
          <a:off x="0" y="249839"/>
          <a:ext cx="5943600" cy="378000"/>
        </a:xfrm>
        <a:prstGeom prst="rect">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FB6262-E454-40F4-B28E-894329054784}">
      <dsp:nvSpPr>
        <dsp:cNvPr id="0" name=""/>
        <dsp:cNvSpPr/>
      </dsp:nvSpPr>
      <dsp:spPr>
        <a:xfrm>
          <a:off x="297180" y="28439"/>
          <a:ext cx="4160520" cy="442800"/>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just"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Sustainability as a Core Industry Driver</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318796" y="50055"/>
        <a:ext cx="4117288" cy="399568"/>
      </dsp:txXfrm>
    </dsp:sp>
    <dsp:sp modelId="{B1867C05-1B4B-40D8-B865-32807FE9919A}">
      <dsp:nvSpPr>
        <dsp:cNvPr id="0" name=""/>
        <dsp:cNvSpPr/>
      </dsp:nvSpPr>
      <dsp:spPr>
        <a:xfrm>
          <a:off x="0" y="930239"/>
          <a:ext cx="5943600" cy="378000"/>
        </a:xfrm>
        <a:prstGeom prst="rect">
          <a:avLst/>
        </a:prstGeom>
        <a:solidFill>
          <a:schemeClr val="lt1">
            <a:alpha val="90000"/>
            <a:hueOff val="0"/>
            <a:satOff val="0"/>
            <a:lumOff val="0"/>
            <a:alphaOff val="0"/>
          </a:schemeClr>
        </a:solidFill>
        <a:ln w="19050" cap="flat" cmpd="sng" algn="ctr">
          <a:solidFill>
            <a:schemeClr val="accent3">
              <a:hueOff val="1372388"/>
              <a:satOff val="8237"/>
              <a:lumOff val="6275"/>
              <a:alphaOff val="0"/>
            </a:schemeClr>
          </a:solidFill>
          <a:prstDash val="solid"/>
          <a:miter lim="800000"/>
        </a:ln>
        <a:effectLst/>
      </dsp:spPr>
      <dsp:style>
        <a:lnRef idx="2">
          <a:scrgbClr r="0" g="0" b="0"/>
        </a:lnRef>
        <a:fillRef idx="1">
          <a:scrgbClr r="0" g="0" b="0"/>
        </a:fillRef>
        <a:effectRef idx="0">
          <a:scrgbClr r="0" g="0" b="0"/>
        </a:effectRef>
        <a:fontRef idx="minor"/>
      </dsp:style>
    </dsp:sp>
    <dsp:sp modelId="{483F21AA-4CF1-491D-A073-E42337464650}">
      <dsp:nvSpPr>
        <dsp:cNvPr id="0" name=""/>
        <dsp:cNvSpPr/>
      </dsp:nvSpPr>
      <dsp:spPr>
        <a:xfrm>
          <a:off x="297180" y="708839"/>
          <a:ext cx="4160520" cy="442800"/>
        </a:xfrm>
        <a:prstGeom prst="roundRect">
          <a:avLst/>
        </a:prstGeom>
        <a:solidFill>
          <a:schemeClr val="accent3">
            <a:hueOff val="1372388"/>
            <a:satOff val="8237"/>
            <a:lumOff val="627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just"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Technological Innovation and Hybrid Events</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318796" y="730455"/>
        <a:ext cx="4117288" cy="399568"/>
      </dsp:txXfrm>
    </dsp:sp>
    <dsp:sp modelId="{7E2A98BF-40DD-44F6-A350-C3D118A3FCAF}">
      <dsp:nvSpPr>
        <dsp:cNvPr id="0" name=""/>
        <dsp:cNvSpPr/>
      </dsp:nvSpPr>
      <dsp:spPr>
        <a:xfrm>
          <a:off x="0" y="1610640"/>
          <a:ext cx="5943600" cy="378000"/>
        </a:xfrm>
        <a:prstGeom prst="rect">
          <a:avLst/>
        </a:prstGeom>
        <a:solidFill>
          <a:schemeClr val="lt1">
            <a:alpha val="90000"/>
            <a:hueOff val="0"/>
            <a:satOff val="0"/>
            <a:lumOff val="0"/>
            <a:alphaOff val="0"/>
          </a:schemeClr>
        </a:solidFill>
        <a:ln w="19050" cap="flat" cmpd="sng" algn="ctr">
          <a:solidFill>
            <a:schemeClr val="accent3">
              <a:hueOff val="2744775"/>
              <a:satOff val="16475"/>
              <a:lumOff val="1255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70EED8-D5F8-48A3-9281-02626715B6F1}">
      <dsp:nvSpPr>
        <dsp:cNvPr id="0" name=""/>
        <dsp:cNvSpPr/>
      </dsp:nvSpPr>
      <dsp:spPr>
        <a:xfrm>
          <a:off x="297180" y="1389239"/>
          <a:ext cx="4160520" cy="442800"/>
        </a:xfrm>
        <a:prstGeom prst="roundRect">
          <a:avLst/>
        </a:prstGeom>
        <a:solidFill>
          <a:schemeClr val="accent3">
            <a:hueOff val="2744775"/>
            <a:satOff val="16475"/>
            <a:lumOff val="1255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just"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Health, Safety, and Regulatory Compliance</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318796" y="1410855"/>
        <a:ext cx="4117288" cy="399568"/>
      </dsp:txXfrm>
    </dsp:sp>
    <dsp:sp modelId="{C4933E25-D3C7-4715-8C05-A8BDBB1BF7E3}">
      <dsp:nvSpPr>
        <dsp:cNvPr id="0" name=""/>
        <dsp:cNvSpPr/>
      </dsp:nvSpPr>
      <dsp:spPr>
        <a:xfrm>
          <a:off x="0" y="2291040"/>
          <a:ext cx="5943600" cy="378000"/>
        </a:xfrm>
        <a:prstGeom prst="rect">
          <a:avLst/>
        </a:prstGeom>
        <a:solidFill>
          <a:schemeClr val="lt1">
            <a:alpha val="90000"/>
            <a:hueOff val="0"/>
            <a:satOff val="0"/>
            <a:lumOff val="0"/>
            <a:alphaOff val="0"/>
          </a:schemeClr>
        </a:solidFill>
        <a:ln w="19050" cap="flat" cmpd="sng" algn="ctr">
          <a:solidFill>
            <a:schemeClr val="accent3">
              <a:hueOff val="4117163"/>
              <a:satOff val="24712"/>
              <a:lumOff val="18825"/>
              <a:alphaOff val="0"/>
            </a:schemeClr>
          </a:solidFill>
          <a:prstDash val="solid"/>
          <a:miter lim="800000"/>
        </a:ln>
        <a:effectLst/>
      </dsp:spPr>
      <dsp:style>
        <a:lnRef idx="2">
          <a:scrgbClr r="0" g="0" b="0"/>
        </a:lnRef>
        <a:fillRef idx="1">
          <a:scrgbClr r="0" g="0" b="0"/>
        </a:fillRef>
        <a:effectRef idx="0">
          <a:scrgbClr r="0" g="0" b="0"/>
        </a:effectRef>
        <a:fontRef idx="minor"/>
      </dsp:style>
    </dsp:sp>
    <dsp:sp modelId="{9693ECD9-2C61-4F64-9F2C-510D98A1A33E}">
      <dsp:nvSpPr>
        <dsp:cNvPr id="0" name=""/>
        <dsp:cNvSpPr/>
      </dsp:nvSpPr>
      <dsp:spPr>
        <a:xfrm>
          <a:off x="297180" y="2069640"/>
          <a:ext cx="4160520" cy="442800"/>
        </a:xfrm>
        <a:prstGeom prst="roundRect">
          <a:avLst/>
        </a:prstGeom>
        <a:solidFill>
          <a:schemeClr val="accent3">
            <a:hueOff val="4117163"/>
            <a:satOff val="24712"/>
            <a:lumOff val="1882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just"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Inclusion and Diversity in Event Programming</a:t>
          </a:r>
          <a:endParaRPr lang="en-US" sz="1500" kern="1200">
            <a:solidFill>
              <a:sysClr val="windowText" lastClr="000000"/>
            </a:solidFill>
            <a:latin typeface="Times New Roman" panose="02020603050405020304" pitchFamily="18" charset="0"/>
            <a:cs typeface="Times New Roman" panose="02020603050405020304" pitchFamily="18" charset="0"/>
          </a:endParaRPr>
        </a:p>
      </dsp:txBody>
      <dsp:txXfrm>
        <a:off x="318796" y="2091256"/>
        <a:ext cx="4117288" cy="39956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4621</Words>
  <Characters>26344</Characters>
  <Application>Microsoft Office Word</Application>
  <DocSecurity>0</DocSecurity>
  <Lines>219</Lines>
  <Paragraphs>61</Paragraphs>
  <ScaleCrop>false</ScaleCrop>
  <Company/>
  <LinksUpToDate>false</LinksUpToDate>
  <CharactersWithSpaces>30904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2025-06-12T17:58:00Z</dcterms:created>
  <dcterms:modified xsi:type="dcterms:W3CDTF">2025-06-12T17:59:00Z</dcterms:modified>
</cp:coreProperties>
</file>