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A71" w:rsidRDefault="003D4A71" w:rsidP="003D4A71">
      <w:pPr>
        <w:jc w:val="right"/>
      </w:pPr>
    </w:p>
    <w:p w:rsidR="00FC0425" w:rsidRPr="00D37516" w:rsidRDefault="00D37516" w:rsidP="00D37516">
      <w:pPr>
        <w:spacing w:after="0" w:line="360" w:lineRule="auto"/>
        <w:ind w:right="473"/>
        <w:jc w:val="center"/>
        <w:rPr>
          <w:rFonts w:ascii="Arial" w:eastAsia="Times New Roman" w:hAnsi="Arial" w:cs="Arial"/>
          <w:b/>
          <w:kern w:val="0"/>
          <w:lang w:val="en-US"/>
        </w:rPr>
      </w:pPr>
      <w:r w:rsidRPr="00900F84">
        <w:rPr>
          <w:rFonts w:asciiTheme="minorBidi" w:hAnsiTheme="minorBidi"/>
          <w:noProof/>
        </w:rPr>
        <w:drawing>
          <wp:anchor distT="0" distB="0" distL="114300" distR="114300" simplePos="0" relativeHeight="251659264" behindDoc="0" locked="0" layoutInCell="1" allowOverlap="1" wp14:anchorId="66492DE7" wp14:editId="2072DE65">
            <wp:simplePos x="0" y="0"/>
            <wp:positionH relativeFrom="column">
              <wp:posOffset>1962150</wp:posOffset>
            </wp:positionH>
            <wp:positionV relativeFrom="paragraph">
              <wp:posOffset>140335</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Pr>
          <w:rFonts w:ascii="Arial" w:hAnsi="Arial" w:cs="Arial"/>
          <w:b/>
          <w:color w:val="242130"/>
          <w:shd w:val="clear" w:color="auto" w:fill="FFFFFF"/>
        </w:rPr>
        <w:br/>
      </w:r>
      <w:r w:rsidRPr="00D37516">
        <w:rPr>
          <w:rFonts w:ascii="Arial" w:hAnsi="Arial" w:cs="Arial"/>
          <w:b/>
          <w:color w:val="242130"/>
          <w:shd w:val="clear" w:color="auto" w:fill="FFFFFF"/>
        </w:rPr>
        <w:t xml:space="preserve">Kwadwo Adjei Brempong </w:t>
      </w:r>
      <w:r w:rsidRPr="00D37516">
        <w:rPr>
          <w:rFonts w:ascii="Arial" w:eastAsia="Times New Roman" w:hAnsi="Arial" w:cs="Arial"/>
          <w:b/>
          <w:bCs/>
          <w:color w:val="000000"/>
          <w:kern w:val="0"/>
          <w:lang w:val="en-US"/>
        </w:rPr>
        <w:br/>
      </w:r>
      <w:r>
        <w:rPr>
          <w:rFonts w:ascii="Arial" w:hAnsi="Arial" w:cs="Arial"/>
          <w:b/>
          <w:color w:val="242130"/>
          <w:shd w:val="clear" w:color="auto" w:fill="FFFFFF"/>
        </w:rPr>
        <w:t>[</w:t>
      </w:r>
      <w:r w:rsidRPr="00D37516">
        <w:rPr>
          <w:rFonts w:ascii="Arial" w:hAnsi="Arial" w:cs="Arial"/>
          <w:b/>
          <w:color w:val="242130"/>
          <w:shd w:val="clear" w:color="auto" w:fill="FFFFFF"/>
        </w:rPr>
        <w:t>2334944</w:t>
      </w:r>
      <w:r>
        <w:rPr>
          <w:rFonts w:ascii="Arial" w:hAnsi="Arial" w:cs="Arial"/>
          <w:b/>
          <w:color w:val="242130"/>
          <w:shd w:val="clear" w:color="auto" w:fill="FFFFFF"/>
        </w:rPr>
        <w:t>]</w:t>
      </w:r>
    </w:p>
    <w:p w:rsidR="00FC0425" w:rsidRPr="00FC0425" w:rsidRDefault="00FC0425" w:rsidP="00D37516">
      <w:pPr>
        <w:spacing w:after="0" w:line="360" w:lineRule="auto"/>
        <w:ind w:right="473"/>
        <w:jc w:val="center"/>
        <w:rPr>
          <w:rFonts w:ascii="Times New Roman" w:eastAsia="Times New Roman" w:hAnsi="Times New Roman" w:cs="Times New Roman"/>
          <w:kern w:val="0"/>
          <w:sz w:val="24"/>
          <w:szCs w:val="24"/>
          <w:lang w:val="en-US"/>
        </w:rPr>
      </w:pPr>
      <w:r w:rsidRPr="00FC0425">
        <w:rPr>
          <w:rFonts w:ascii="Arial" w:eastAsia="Times New Roman" w:hAnsi="Arial" w:cs="Arial"/>
          <w:b/>
          <w:bCs/>
          <w:color w:val="000000"/>
          <w:kern w:val="0"/>
          <w:lang w:val="en-US"/>
        </w:rPr>
        <w:t>[IMODULE CODE]: LCHS4003</w:t>
      </w:r>
    </w:p>
    <w:p w:rsidR="00FC0425" w:rsidRPr="00FC0425" w:rsidRDefault="00FC0425" w:rsidP="00D37516">
      <w:pPr>
        <w:spacing w:after="0" w:line="360" w:lineRule="auto"/>
        <w:ind w:right="473"/>
        <w:jc w:val="center"/>
        <w:rPr>
          <w:rFonts w:ascii="Times New Roman" w:eastAsia="Times New Roman" w:hAnsi="Times New Roman" w:cs="Times New Roman"/>
          <w:kern w:val="0"/>
          <w:sz w:val="24"/>
          <w:szCs w:val="24"/>
          <w:lang w:val="en-US"/>
        </w:rPr>
      </w:pPr>
      <w:r w:rsidRPr="00FC0425">
        <w:rPr>
          <w:rFonts w:ascii="Arial" w:eastAsia="Times New Roman" w:hAnsi="Arial" w:cs="Arial"/>
          <w:b/>
          <w:bCs/>
          <w:color w:val="000000"/>
          <w:kern w:val="0"/>
          <w:lang w:val="en-US"/>
        </w:rPr>
        <w:t>[MODULE NAME] : INTRODUCTION TO HEALTH AND SOCIAL CARE</w:t>
      </w:r>
    </w:p>
    <w:p w:rsidR="00FC0425" w:rsidRPr="00FC0425" w:rsidRDefault="00FC0425" w:rsidP="00D37516">
      <w:pPr>
        <w:spacing w:after="0" w:line="360" w:lineRule="auto"/>
        <w:ind w:right="473"/>
        <w:jc w:val="center"/>
        <w:rPr>
          <w:rFonts w:ascii="Times New Roman" w:eastAsia="Times New Roman" w:hAnsi="Times New Roman" w:cs="Times New Roman"/>
          <w:kern w:val="0"/>
          <w:sz w:val="24"/>
          <w:szCs w:val="24"/>
          <w:lang w:val="en-US"/>
        </w:rPr>
      </w:pPr>
      <w:r w:rsidRPr="00FC0425">
        <w:rPr>
          <w:rFonts w:ascii="Arial" w:eastAsia="Times New Roman" w:hAnsi="Arial" w:cs="Arial"/>
          <w:b/>
          <w:bCs/>
          <w:color w:val="000000"/>
          <w:kern w:val="0"/>
          <w:lang w:val="en-US"/>
        </w:rPr>
        <w:t>[LECTURER’S NAME]: DR RAHEELA SHEIKH</w:t>
      </w:r>
      <w:r w:rsidRPr="00FC0425">
        <w:rPr>
          <w:rFonts w:ascii="Arial" w:eastAsia="Times New Roman" w:hAnsi="Arial" w:cs="Arial"/>
          <w:b/>
          <w:bCs/>
          <w:color w:val="000000"/>
          <w:kern w:val="0"/>
          <w:lang w:val="en-US"/>
        </w:rPr>
        <w:br/>
        <w:t>[</w:t>
      </w:r>
      <w:r w:rsidR="00D37516" w:rsidRPr="00D37516">
        <w:rPr>
          <w:rFonts w:ascii="Arial" w:eastAsia="Times New Roman" w:hAnsi="Arial" w:cs="Arial"/>
          <w:b/>
          <w:bCs/>
          <w:color w:val="000000"/>
          <w:kern w:val="0"/>
          <w:lang w:val="en-US"/>
        </w:rPr>
        <w:t>THE ROLE OF PHARMACY SERVICES IN UK HEALTHCARE</w:t>
      </w:r>
      <w:r w:rsidRPr="00FC0425">
        <w:rPr>
          <w:rFonts w:ascii="Arial" w:eastAsia="Times New Roman" w:hAnsi="Arial" w:cs="Arial"/>
          <w:b/>
          <w:bCs/>
          <w:color w:val="000000"/>
          <w:kern w:val="0"/>
          <w:lang w:val="en-US"/>
        </w:rPr>
        <w:t>]: POSTER + ESSAY</w:t>
      </w:r>
    </w:p>
    <w:p w:rsidR="00FC0425" w:rsidRPr="00FC0425" w:rsidRDefault="00FC0425" w:rsidP="00D37516">
      <w:pPr>
        <w:spacing w:after="0" w:line="360" w:lineRule="auto"/>
        <w:rPr>
          <w:rFonts w:ascii="Times New Roman" w:eastAsia="Times New Roman" w:hAnsi="Times New Roman" w:cs="Times New Roman"/>
          <w:kern w:val="0"/>
          <w:sz w:val="24"/>
          <w:szCs w:val="24"/>
          <w:lang w:val="en-US"/>
        </w:rPr>
      </w:pPr>
    </w:p>
    <w:p w:rsidR="00FC0425" w:rsidRPr="00FC0425" w:rsidRDefault="00D37516" w:rsidP="00D37516">
      <w:pPr>
        <w:spacing w:after="0" w:line="360" w:lineRule="auto"/>
        <w:ind w:right="473"/>
        <w:jc w:val="center"/>
        <w:rPr>
          <w:rFonts w:ascii="Times New Roman" w:eastAsia="Times New Roman" w:hAnsi="Times New Roman" w:cs="Times New Roman"/>
          <w:kern w:val="0"/>
          <w:sz w:val="24"/>
          <w:szCs w:val="24"/>
          <w:lang w:val="en-US"/>
        </w:rPr>
      </w:pPr>
      <w:r>
        <w:rPr>
          <w:rFonts w:ascii="Arial" w:eastAsia="Times New Roman" w:hAnsi="Arial" w:cs="Arial"/>
          <w:b/>
          <w:bCs/>
          <w:color w:val="000000"/>
          <w:kern w:val="0"/>
          <w:lang w:val="en-US"/>
        </w:rPr>
        <w:t>20/10/2025</w:t>
      </w:r>
    </w:p>
    <w:p w:rsidR="003D4A71" w:rsidRDefault="003D4A71" w:rsidP="003D4A71">
      <w:pPr>
        <w:sectPr w:rsidR="003D4A71" w:rsidSect="001614A9">
          <w:pgSz w:w="11906" w:h="16838"/>
          <w:pgMar w:top="1440" w:right="1440" w:bottom="1440" w:left="1440" w:header="708" w:footer="708" w:gutter="0"/>
          <w:cols w:space="708"/>
          <w:docGrid w:linePitch="360"/>
        </w:sectPr>
      </w:pPr>
      <w:bookmarkStart w:id="0" w:name="_GoBack"/>
      <w:bookmarkEnd w:id="0"/>
    </w:p>
    <w:p w:rsidR="003D4A71" w:rsidRDefault="00D37516" w:rsidP="003D4A71">
      <w:bookmarkStart w:id="1" w:name="_Hlk153212423"/>
      <w:bookmarkEnd w:id="1"/>
      <w:r>
        <w:rPr>
          <w:noProof/>
          <w:lang w:val="en-US"/>
        </w:rPr>
        <w:lastRenderedPageBreak/>
        <mc:AlternateContent>
          <mc:Choice Requires="wps">
            <w:drawing>
              <wp:anchor distT="0" distB="0" distL="114300" distR="114300" simplePos="0" relativeHeight="251661312" behindDoc="0" locked="0" layoutInCell="1" allowOverlap="1">
                <wp:simplePos x="0" y="0"/>
                <wp:positionH relativeFrom="column">
                  <wp:posOffset>2286000</wp:posOffset>
                </wp:positionH>
                <wp:positionV relativeFrom="paragraph">
                  <wp:posOffset>238125</wp:posOffset>
                </wp:positionV>
                <wp:extent cx="7410450" cy="1181100"/>
                <wp:effectExtent l="9525" t="9525" r="9525" b="9525"/>
                <wp:wrapNone/>
                <wp:docPr id="21"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0" cy="1181100"/>
                        </a:xfrm>
                        <a:prstGeom prst="roundRect">
                          <a:avLst>
                            <a:gd name="adj" fmla="val 16667"/>
                          </a:avLst>
                        </a:prstGeom>
                        <a:solidFill>
                          <a:schemeClr val="accent2">
                            <a:lumMod val="20000"/>
                            <a:lumOff val="80000"/>
                          </a:schemeClr>
                        </a:solidFill>
                        <a:ln w="12700">
                          <a:solidFill>
                            <a:schemeClr val="accent3">
                              <a:lumMod val="15000"/>
                              <a:lumOff val="0"/>
                            </a:schemeClr>
                          </a:solidFill>
                          <a:miter lim="800000"/>
                          <a:headEnd/>
                          <a:tailEnd/>
                        </a:ln>
                      </wps:spPr>
                      <wps:txbx>
                        <w:txbxContent>
                          <w:p w:rsidR="00183C22" w:rsidRPr="00AB7B70" w:rsidRDefault="00183C22" w:rsidP="00183C22">
                            <w:pPr>
                              <w:spacing w:after="0" w:line="240" w:lineRule="auto"/>
                              <w:jc w:val="center"/>
                              <w:rPr>
                                <w:rFonts w:ascii="Times New Roman" w:eastAsia="Times New Roman" w:hAnsi="Times New Roman" w:cs="Times New Roman"/>
                                <w:kern w:val="0"/>
                                <w:sz w:val="16"/>
                                <w:szCs w:val="16"/>
                                <w:lang w:val="en-US"/>
                              </w:rPr>
                            </w:pPr>
                            <w:r w:rsidRPr="00AB7B70">
                              <w:rPr>
                                <w:rFonts w:ascii="Arial" w:eastAsia="Times New Roman" w:hAnsi="Arial" w:cs="Arial"/>
                                <w:b/>
                                <w:bCs/>
                                <w:color w:val="000000"/>
                                <w:kern w:val="0"/>
                                <w:sz w:val="16"/>
                                <w:szCs w:val="16"/>
                                <w:lang w:val="en-US"/>
                              </w:rPr>
                              <w:t>1. Explanation of the Pharmacy Services</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 xml:space="preserve">Pharmaceutical services are vital within the UK healthcare system to enable patients to access medicines safely, effectively and conveniently. Pharmaceutical services encompass providing dispensed medications as prescribed, clinical signposting, and supporting patients with self-care for minor illness. These services serve to maximise health outcomes, reduce admissions to hospital, and enhance patient safety (NHS England, 2023). Pharmacy users may include patients with long-term health conditions (e.g., diabetes, asthma), older patients and members of the public seeking advice for minor illness or requesting over-the-counter medicines (OTC). Pharmaceutical services are delivered by regulated and trained pharmacists and pharmacy technicians, with support from pharmacy assistants and pharmacy support staff. They may be delivered from community pharmacies, in hospital, internet pharmacies (Royal Pharmaceutical Society, 2022). Pharmacy services are crucial to the wider health system as they provide accessible frontline care, improve medicine adherence, and reduce pressure on general practitioners and hospitals (Anderson </w:t>
                            </w:r>
                            <w:r w:rsidRPr="00AB7B70">
                              <w:rPr>
                                <w:i/>
                                <w:iCs/>
                                <w:color w:val="000000"/>
                                <w:sz w:val="16"/>
                                <w:szCs w:val="16"/>
                              </w:rPr>
                              <w:t>et al.,</w:t>
                            </w:r>
                            <w:r w:rsidRPr="00AB7B70">
                              <w:rPr>
                                <w:color w:val="000000"/>
                                <w:sz w:val="16"/>
                                <w:szCs w:val="16"/>
                              </w:rPr>
                              <w:t xml:space="preserve"> 2021).</w:t>
                            </w:r>
                          </w:p>
                          <w:p w:rsidR="003D4A71" w:rsidRPr="007B7281" w:rsidRDefault="003D4A71" w:rsidP="00183C22">
                            <w:pPr>
                              <w:spacing w:line="276" w:lineRule="auto"/>
                              <w:jc w:val="both"/>
                              <w:rPr>
                                <w:rFonts w:ascii="Georgia" w:hAnsi="Georgia"/>
                                <w:color w:val="002060"/>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o:spid="_x0000_s1026" style="position:absolute;margin-left:180pt;margin-top:18.75pt;width:583.5pt;height: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" fillcolor="#fbe4d5 [661]" strokecolor="#181818 [486]" strokeweight="1pt">
                <v:stroke joinstyle="miter"/>
                <v:textbox>
                  <w:txbxContent>
                    <w:p w:rsidR="00183C22" w:rsidRPr="00AB7B70" w:rsidRDefault="00183C22" w:rsidP="00183C22">
                      <w:pPr>
                        <w:spacing w:after="0" w:line="240" w:lineRule="auto"/>
                        <w:jc w:val="center"/>
                        <w:rPr>
                          <w:rFonts w:ascii="Times New Roman" w:eastAsia="Times New Roman" w:hAnsi="Times New Roman" w:cs="Times New Roman"/>
                          <w:kern w:val="0"/>
                          <w:sz w:val="16"/>
                          <w:szCs w:val="16"/>
                          <w:lang w:val="en-US"/>
                        </w:rPr>
                      </w:pPr>
                      <w:r w:rsidRPr="00AB7B70">
                        <w:rPr>
                          <w:rFonts w:ascii="Arial" w:eastAsia="Times New Roman" w:hAnsi="Arial" w:cs="Arial"/>
                          <w:b/>
                          <w:bCs/>
                          <w:color w:val="000000"/>
                          <w:kern w:val="0"/>
                          <w:sz w:val="16"/>
                          <w:szCs w:val="16"/>
                          <w:lang w:val="en-US"/>
                        </w:rPr>
                        <w:t>1. Explanation of the Pharmacy Services</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 xml:space="preserve">Pharmaceutical services are vital within the UK healthcare system to enable patients to access medicines safely, effectively and conveniently. Pharmaceutical services encompass providing dispensed medications as prescribed, clinical signposting, and supporting patients with self-care for minor illness. These services serve to maximise health outcomes, reduce admissions to hospital, and enhance patient safety (NHS England, 2023). Pharmacy users may include patients with long-term health conditions (e.g., diabetes, asthma), older patients and members of the public seeking advice for minor illness or requesting over-the-counter medicines (OTC). Pharmaceutical services are delivered by regulated and trained pharmacists and pharmacy technicians, with support from pharmacy assistants and pharmacy support staff. They may be delivered from community pharmacies, in hospital, internet pharmacies (Royal Pharmaceutical Society, 2022). Pharmacy services are crucial to the wider health system as they provide accessible frontline care, improve medicine adherence, and reduce pressure on general practitioners and hospitals (Anderson </w:t>
                      </w:r>
                      <w:r w:rsidRPr="00AB7B70">
                        <w:rPr>
                          <w:i/>
                          <w:iCs/>
                          <w:color w:val="000000"/>
                          <w:sz w:val="16"/>
                          <w:szCs w:val="16"/>
                        </w:rPr>
                        <w:t>et al.,</w:t>
                      </w:r>
                      <w:r w:rsidRPr="00AB7B70">
                        <w:rPr>
                          <w:color w:val="000000"/>
                          <w:sz w:val="16"/>
                          <w:szCs w:val="16"/>
                        </w:rPr>
                        <w:t xml:space="preserve"> 2021).</w:t>
                      </w:r>
                    </w:p>
                    <w:p w:rsidR="003D4A71" w:rsidRPr="007B7281" w:rsidRDefault="003D4A71" w:rsidP="00183C22">
                      <w:pPr>
                        <w:spacing w:line="276" w:lineRule="auto"/>
                        <w:jc w:val="both"/>
                        <w:rPr>
                          <w:rFonts w:ascii="Georgia" w:hAnsi="Georgia"/>
                          <w:color w:val="002060"/>
                          <w:sz w:val="18"/>
                          <w:szCs w:val="18"/>
                        </w:rPr>
                      </w:pPr>
                    </w:p>
                  </w:txbxContent>
                </v:textbox>
              </v:roundrect>
            </w:pict>
          </mc:Fallback>
        </mc:AlternateContent>
      </w:r>
      <w:r>
        <w:rPr>
          <w:noProof/>
          <w:lang w:val="en-US"/>
        </w:rPr>
        <mc:AlternateContent>
          <mc:Choice Requires="wps">
            <w:drawing>
              <wp:anchor distT="0" distB="0" distL="114300" distR="114300" simplePos="0" relativeHeight="251659264" behindDoc="0" locked="0" layoutInCell="1" allowOverlap="1">
                <wp:simplePos x="0" y="0"/>
                <wp:positionH relativeFrom="column">
                  <wp:posOffset>-742950</wp:posOffset>
                </wp:positionH>
                <wp:positionV relativeFrom="paragraph">
                  <wp:posOffset>-838200</wp:posOffset>
                </wp:positionV>
                <wp:extent cx="14876780" cy="979170"/>
                <wp:effectExtent l="9525" t="9525" r="10795" b="11430"/>
                <wp:wrapNone/>
                <wp:docPr id="20"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76780" cy="979170"/>
                        </a:xfrm>
                        <a:prstGeom prst="roundRect">
                          <a:avLst>
                            <a:gd name="adj" fmla="val 16667"/>
                          </a:avLst>
                        </a:prstGeom>
                        <a:solidFill>
                          <a:schemeClr val="accent2">
                            <a:lumMod val="50000"/>
                            <a:lumOff val="0"/>
                          </a:schemeClr>
                        </a:solidFill>
                        <a:ln w="12700">
                          <a:solidFill>
                            <a:srgbClr val="002060"/>
                          </a:solidFill>
                          <a:miter lim="800000"/>
                          <a:headEnd/>
                          <a:tailEnd/>
                        </a:ln>
                      </wps:spPr>
                      <wps:txbx>
                        <w:txbxContent>
                          <w:p w:rsidR="003D4A71" w:rsidRPr="00183C22" w:rsidRDefault="00183C22" w:rsidP="003D4A71">
                            <w:pPr>
                              <w:jc w:val="center"/>
                              <w:rPr>
                                <w:rFonts w:cstheme="minorHAnsi"/>
                                <w:i/>
                                <w:color w:val="FFFFFF" w:themeColor="background1"/>
                                <w:sz w:val="44"/>
                                <w:szCs w:val="44"/>
                              </w:rPr>
                            </w:pPr>
                            <w:r w:rsidRPr="00183C22">
                              <w:rPr>
                                <w:rFonts w:cstheme="minorHAnsi"/>
                                <w:b/>
                                <w:bCs/>
                                <w:i/>
                                <w:color w:val="FFFFFF" w:themeColor="background1"/>
                                <w:sz w:val="44"/>
                                <w:szCs w:val="44"/>
                              </w:rPr>
                              <w:t>THE ROLE OF PHARMACY SERVICES IN UK HEALTHCARE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7" style="position:absolute;margin-left:-58.5pt;margin-top:-66pt;width:1171.4pt;height:7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" fillcolor="#823b0b [1605]" strokecolor="#002060" strokeweight="1pt">
                <v:stroke joinstyle="miter"/>
                <v:textbox>
                  <w:txbxContent>
                    <w:p w:rsidR="003D4A71" w:rsidRPr="00183C22" w:rsidRDefault="00183C22" w:rsidP="003D4A71">
                      <w:pPr>
                        <w:jc w:val="center"/>
                        <w:rPr>
                          <w:rFonts w:cstheme="minorHAnsi"/>
                          <w:i/>
                          <w:color w:val="FFFFFF" w:themeColor="background1"/>
                          <w:sz w:val="44"/>
                          <w:szCs w:val="44"/>
                        </w:rPr>
                      </w:pPr>
                      <w:r w:rsidRPr="00183C22">
                        <w:rPr>
                          <w:rFonts w:cstheme="minorHAnsi"/>
                          <w:b/>
                          <w:bCs/>
                          <w:i/>
                          <w:color w:val="FFFFFF" w:themeColor="background1"/>
                          <w:sz w:val="44"/>
                          <w:szCs w:val="44"/>
                        </w:rPr>
                        <w:t>THE ROLE OF PHARMACY SERVICES IN UK HEALTHCARE</w:t>
                      </w:r>
                    </w:p>
                  </w:txbxContent>
                </v:textbox>
              </v:roundrect>
            </w:pict>
          </mc:Fallback>
        </mc:AlternateContent>
      </w:r>
    </w:p>
    <w:p w:rsidR="003D4A71" w:rsidRDefault="00D37516" w:rsidP="003D4A71">
      <w:r>
        <w:rPr>
          <w:noProof/>
          <w:lang w:val="en-US"/>
        </w:rPr>
        <mc:AlternateContent>
          <mc:Choice Requires="wps">
            <w:drawing>
              <wp:anchor distT="0" distB="0" distL="114300" distR="114300" simplePos="0" relativeHeight="251665408" behindDoc="0" locked="0" layoutInCell="1" allowOverlap="1">
                <wp:simplePos x="0" y="0"/>
                <wp:positionH relativeFrom="column">
                  <wp:posOffset>9839325</wp:posOffset>
                </wp:positionH>
                <wp:positionV relativeFrom="paragraph">
                  <wp:posOffset>49530</wp:posOffset>
                </wp:positionV>
                <wp:extent cx="4418330" cy="4629150"/>
                <wp:effectExtent l="9525" t="11430" r="10795" b="7620"/>
                <wp:wrapNone/>
                <wp:docPr id="19"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8330" cy="4629150"/>
                        </a:xfrm>
                        <a:prstGeom prst="roundRect">
                          <a:avLst>
                            <a:gd name="adj" fmla="val 16667"/>
                          </a:avLst>
                        </a:prstGeom>
                        <a:solidFill>
                          <a:schemeClr val="accent4">
                            <a:lumMod val="20000"/>
                            <a:lumOff val="80000"/>
                          </a:schemeClr>
                        </a:solidFill>
                        <a:ln w="12700">
                          <a:solidFill>
                            <a:schemeClr val="tx1">
                              <a:lumMod val="100000"/>
                              <a:lumOff val="0"/>
                            </a:schemeClr>
                          </a:solidFill>
                          <a:miter lim="800000"/>
                          <a:headEnd/>
                          <a:tailEnd/>
                        </a:ln>
                      </wps:spPr>
                      <wps:txbx>
                        <w:txbxContent>
                          <w:p w:rsidR="00183C22" w:rsidRPr="00AB7B70" w:rsidRDefault="00183C22" w:rsidP="00183C22">
                            <w:pPr>
                              <w:pStyle w:val="NormalWeb"/>
                              <w:spacing w:before="0" w:beforeAutospacing="0" w:after="0" w:afterAutospacing="0" w:line="276" w:lineRule="auto"/>
                              <w:jc w:val="center"/>
                              <w:rPr>
                                <w:sz w:val="16"/>
                                <w:szCs w:val="16"/>
                              </w:rPr>
                            </w:pPr>
                            <w:r w:rsidRPr="00AB7B70">
                              <w:rPr>
                                <w:b/>
                                <w:bCs/>
                                <w:color w:val="000000"/>
                                <w:sz w:val="16"/>
                                <w:szCs w:val="16"/>
                              </w:rPr>
                              <w:t>2. Brief History of Pharmacy Services</w:t>
                            </w:r>
                          </w:p>
                          <w:p w:rsidR="00AB7B70" w:rsidRPr="00AB7B70" w:rsidRDefault="00AB7B70" w:rsidP="00AB7B70">
                            <w:pPr>
                              <w:pStyle w:val="NormalWeb"/>
                              <w:spacing w:before="0" w:beforeAutospacing="0" w:after="0" w:afterAutospacing="0" w:line="276" w:lineRule="auto"/>
                              <w:jc w:val="both"/>
                              <w:rPr>
                                <w:color w:val="000000"/>
                                <w:sz w:val="16"/>
                                <w:szCs w:val="16"/>
                              </w:rPr>
                            </w:pPr>
                            <w:r w:rsidRPr="00AB7B70">
                              <w:rPr>
                                <w:color w:val="000000"/>
                                <w:sz w:val="16"/>
                                <w:szCs w:val="16"/>
                              </w:rPr>
                              <w:t>Pharmacy practice has evolved over the centuries in the UK from apothecaries who provided herbal therapies to today's profession which has developed the specialty of clinical pharmacy. The Pharmacy Act 1868 was the first piece of legislation to regulate the profession and define the role of the pharmacist and acknowledgment of their expertise in medicines (NHS England, 2023). The National Health Service Act 1946 further integrated pharmacy into the NHS, ensuring free prescriptions initially and equitable access (Rutter, 2020). By the 1990s, community pharmacies became more patient-focused, offering medicine-use reviews and public health services. The NHS (Pharmaceutical Services) Regulations 2005 formalised community pharmacy contracts, expanding their clinical responsibilities. In recent years, digitalisation and the Community Pharmacist Consultation Service (CPCS) launched in 2019 have transformed service delivery, linking pharmacies directly with NHS 111 and GP referrals (NHS England, 2023).</w:t>
                            </w:r>
                          </w:p>
                          <w:p w:rsidR="00183C22" w:rsidRPr="00AB7B70" w:rsidRDefault="00183C22" w:rsidP="00183C22">
                            <w:pPr>
                              <w:pStyle w:val="NormalWeb"/>
                              <w:spacing w:before="0" w:beforeAutospacing="0" w:after="0" w:afterAutospacing="0" w:line="276" w:lineRule="auto"/>
                              <w:jc w:val="center"/>
                              <w:rPr>
                                <w:b/>
                                <w:bCs/>
                                <w:color w:val="000000"/>
                                <w:sz w:val="16"/>
                                <w:szCs w:val="16"/>
                              </w:rPr>
                            </w:pPr>
                            <w:r w:rsidRPr="00AB7B70">
                              <w:rPr>
                                <w:b/>
                                <w:bCs/>
                                <w:color w:val="000000"/>
                                <w:sz w:val="16"/>
                                <w:szCs w:val="16"/>
                              </w:rPr>
                              <w:t>3. Current Functioning of the Service</w:t>
                            </w:r>
                          </w:p>
                          <w:p w:rsidR="003D4A71" w:rsidRPr="00AB7B70" w:rsidRDefault="00AB7B70" w:rsidP="002908A1">
                            <w:pPr>
                              <w:jc w:val="both"/>
                              <w:rPr>
                                <w:rFonts w:ascii="Times New Roman" w:hAnsi="Times New Roman" w:cs="Times New Roman"/>
                                <w:sz w:val="16"/>
                                <w:szCs w:val="16"/>
                              </w:rPr>
                            </w:pPr>
                            <w:r w:rsidRPr="00AB7B70">
                              <w:rPr>
                                <w:rFonts w:ascii="Times New Roman" w:hAnsi="Times New Roman" w:cs="Times New Roman"/>
                                <w:color w:val="000000"/>
                                <w:sz w:val="16"/>
                                <w:szCs w:val="16"/>
                              </w:rPr>
                              <w:t>In the United Kingdom, pharmacy services are situated in both an NHS-funded context and a private context and form a central part of their healthcare service. Community pharmacies, numbering over 11,500, provide necessary, advanced and enhanced services to the community and are a front-door to accessible healthcare services (General Pharmaceutical Council, 2023). The NHS England provides oversight for service delivery, while the GPhC provides the regulatory framework for professional standards and practice (NHS England, 2023). Funding is mainly through the CPCF (Community Pharmacy Contractual Framework) stating that service specifications are agreed terms nationally. Pharmacies also work within Integrated Care Systems (ICSs) to improve collaboration across local healthcare providers (Department of Health and Social Care, 2023). Beyond dispensing medicines, pharmacy services play a growing role in preventive health, chronic disease management, vaccinations, and health promotion. Their accessibility and professional expertise make community pharmacies integral to supporting the NHS’s long-term goal of delivering person-centred, preventive primary care (Rutter, 2020).</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ectangle: Rounded Corners 12" o:spid="_x0000_s1028" style="position:absolute;margin-left:774.75pt;margin-top:3.9pt;width:347.9pt;height:3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" fillcolor="#fff2cc [663]" strokecolor="black [3213]" strokeweight="1pt">
                <v:stroke joinstyle="miter"/>
                <v:textbox>
                  <w:txbxContent>
                    <w:p w:rsidR="00183C22" w:rsidRPr="00AB7B70" w:rsidRDefault="00183C22" w:rsidP="00183C22">
                      <w:pPr>
                        <w:pStyle w:val="NormalWeb"/>
                        <w:spacing w:before="0" w:beforeAutospacing="0" w:after="0" w:afterAutospacing="0" w:line="276" w:lineRule="auto"/>
                        <w:jc w:val="center"/>
                        <w:rPr>
                          <w:sz w:val="16"/>
                          <w:szCs w:val="16"/>
                        </w:rPr>
                      </w:pPr>
                      <w:r w:rsidRPr="00AB7B70">
                        <w:rPr>
                          <w:b/>
                          <w:bCs/>
                          <w:color w:val="000000"/>
                          <w:sz w:val="16"/>
                          <w:szCs w:val="16"/>
                        </w:rPr>
                        <w:t>2. Brief History of Pharmacy Services</w:t>
                      </w:r>
                    </w:p>
                    <w:p w:rsidR="00AB7B70" w:rsidRPr="00AB7B70" w:rsidRDefault="00AB7B70" w:rsidP="00AB7B70">
                      <w:pPr>
                        <w:pStyle w:val="NormalWeb"/>
                        <w:spacing w:before="0" w:beforeAutospacing="0" w:after="0" w:afterAutospacing="0" w:line="276" w:lineRule="auto"/>
                        <w:jc w:val="both"/>
                        <w:rPr>
                          <w:color w:val="000000"/>
                          <w:sz w:val="16"/>
                          <w:szCs w:val="16"/>
                        </w:rPr>
                      </w:pPr>
                      <w:r w:rsidRPr="00AB7B70">
                        <w:rPr>
                          <w:color w:val="000000"/>
                          <w:sz w:val="16"/>
                          <w:szCs w:val="16"/>
                        </w:rPr>
                        <w:t>Pharmacy practice has evolved over the centuries in the UK from apothecaries who provided herbal therapies to today's profession which has developed the specialty of clinical pharmacy. The Pharmacy Act 1868 was the first piece of legislation to regulate the profession and define the role of the pharmacist and acknowledgment of their expertise in medicines (NHS England, 2023). The National Health Service Act 1946 further integrated pharmacy into the NHS, ensuring free prescriptions initially and equitable access (Rutter, 2020). By the 1990s, community pharmacies became more patient-focused, offering medicine-use reviews and public health services. The NHS (Pharmaceutical Services) Regulations 2005 formalised community pharmacy contracts, expanding their clinical responsibilities. In recent years, digitalisation and the Community Pharmacist Consultation Service (CPCS) launched in 2019 have transformed service delivery, linking pharmacies directly with NHS 111 and GP referrals (NHS England, 2023).</w:t>
                      </w:r>
                    </w:p>
                    <w:p w:rsidR="00183C22" w:rsidRPr="00AB7B70" w:rsidRDefault="00183C22" w:rsidP="00183C22">
                      <w:pPr>
                        <w:pStyle w:val="NormalWeb"/>
                        <w:spacing w:before="0" w:beforeAutospacing="0" w:after="0" w:afterAutospacing="0" w:line="276" w:lineRule="auto"/>
                        <w:jc w:val="center"/>
                        <w:rPr>
                          <w:b/>
                          <w:bCs/>
                          <w:color w:val="000000"/>
                          <w:sz w:val="16"/>
                          <w:szCs w:val="16"/>
                        </w:rPr>
                      </w:pPr>
                      <w:r w:rsidRPr="00AB7B70">
                        <w:rPr>
                          <w:b/>
                          <w:bCs/>
                          <w:color w:val="000000"/>
                          <w:sz w:val="16"/>
                          <w:szCs w:val="16"/>
                        </w:rPr>
                        <w:t>3. Current Functioning of the Service</w:t>
                      </w:r>
                    </w:p>
                    <w:p w:rsidR="003D4A71" w:rsidRPr="00AB7B70" w:rsidRDefault="00AB7B70" w:rsidP="002908A1">
                      <w:pPr>
                        <w:jc w:val="both"/>
                        <w:rPr>
                          <w:rFonts w:ascii="Times New Roman" w:hAnsi="Times New Roman" w:cs="Times New Roman"/>
                          <w:sz w:val="16"/>
                          <w:szCs w:val="16"/>
                        </w:rPr>
                      </w:pPr>
                      <w:r w:rsidRPr="00AB7B70">
                        <w:rPr>
                          <w:rFonts w:ascii="Times New Roman" w:hAnsi="Times New Roman" w:cs="Times New Roman"/>
                          <w:color w:val="000000"/>
                          <w:sz w:val="16"/>
                          <w:szCs w:val="16"/>
                        </w:rPr>
                        <w:t>In the United Kingdom, pharmacy services are situated in both an NHS-funded context and a private context and form a central part of their healthcare service. Community pharmacies, numbering over 11,500, provide necessary, advanced and enhanced services to the community and are a front-door to accessible healthcare services (General Pharmaceutical Council, 2023). The NHS England provides oversight for service delivery, while the GPhC provides the regulatory framework for professional standards and practice (NHS England, 2023). Funding is mainly through the CPCF (Community Pharmacy Contractual Framework) stating that service specifications are agreed terms nationally. Pharmacies also work within Integrated Care Systems (ICSs) to improve collaboration across local healthcare providers (Department of Health and Social Care, 2023). Beyond dispensing medicines, pharmacy services play a growing role in preventive health, chronic disease management, vaccinations, and health promotion. Their accessibility and professional expertise make community pharmacies integral to supporting the NHS’s long-term goal of delivering person-centred, preventive primary care (Rutter, 2020).</w:t>
                      </w:r>
                    </w:p>
                  </w:txbxContent>
                </v:textbox>
              </v:roundrect>
            </w:pict>
          </mc:Fallback>
        </mc:AlternateContent>
      </w:r>
    </w:p>
    <w:p w:rsidR="003D4A71" w:rsidRDefault="003D4A71" w:rsidP="003D4A71"/>
    <w:p w:rsidR="003D4A71" w:rsidRDefault="003D4A71" w:rsidP="003D4A71"/>
    <w:p w:rsidR="003D4A71" w:rsidRDefault="00D37516" w:rsidP="003D4A71">
      <w:r>
        <w:rPr>
          <w:noProof/>
          <w:lang w:val="en-US"/>
        </w:rPr>
        <mc:AlternateContent>
          <mc:Choice Requires="wps">
            <w:drawing>
              <wp:anchor distT="0" distB="0" distL="114300" distR="114300" simplePos="0" relativeHeight="251669504" behindDoc="0" locked="0" layoutInCell="1" allowOverlap="1">
                <wp:simplePos x="0" y="0"/>
                <wp:positionH relativeFrom="column">
                  <wp:posOffset>6684010</wp:posOffset>
                </wp:positionH>
                <wp:positionV relativeFrom="paragraph">
                  <wp:posOffset>52070</wp:posOffset>
                </wp:positionV>
                <wp:extent cx="2802890" cy="2567940"/>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2890" cy="25679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23A3C" w:rsidRDefault="001E5CC9" w:rsidP="00023A3C">
                            <w:pPr>
                              <w:jc w:val="center"/>
                            </w:pPr>
                            <w:r>
                              <w:rPr>
                                <w:noProof/>
                                <w:lang w:val="en-US"/>
                              </w:rPr>
                              <w:drawing>
                                <wp:inline distT="0" distB="0" distL="0" distR="0">
                                  <wp:extent cx="2026735" cy="2009775"/>
                                  <wp:effectExtent l="19050" t="0" r="0" b="0"/>
                                  <wp:docPr id="29" name="Picture 29" descr="Pharmacists in Public Health: Scope in Home and Ab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harmacists in Public Health: Scope in Home and Abroad"/>
                                          <pic:cNvPicPr>
                                            <a:picLocks noChangeAspect="1" noChangeArrowheads="1"/>
                                          </pic:cNvPicPr>
                                        </pic:nvPicPr>
                                        <pic:blipFill>
                                          <a:blip r:embed="rId9"/>
                                          <a:srcRect/>
                                          <a:stretch>
                                            <a:fillRect/>
                                          </a:stretch>
                                        </pic:blipFill>
                                        <pic:spPr bwMode="auto">
                                          <a:xfrm>
                                            <a:off x="0" y="0"/>
                                            <a:ext cx="2036045" cy="2019007"/>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9" style="position:absolute;margin-left:526.3pt;margin-top:4.1pt;width:220.7pt;height:20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" filled="f" stroked="f" strokeweight="1pt">
                <v:textbox>
                  <w:txbxContent>
                    <w:p w:rsidR="00023A3C" w:rsidRDefault="001E5CC9" w:rsidP="00023A3C">
                      <w:pPr>
                        <w:jc w:val="center"/>
                      </w:pPr>
                      <w:r>
                        <w:rPr>
                          <w:noProof/>
                          <w:lang w:val="en-US"/>
                        </w:rPr>
                        <w:drawing>
                          <wp:inline distT="0" distB="0" distL="0" distR="0">
                            <wp:extent cx="2026735" cy="2009775"/>
                            <wp:effectExtent l="19050" t="0" r="0" b="0"/>
                            <wp:docPr id="29" name="Picture 29" descr="Pharmacists in Public Health: Scope in Home and Ab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harmacists in Public Health: Scope in Home and Abroad"/>
                                    <pic:cNvPicPr>
                                      <a:picLocks noChangeAspect="1" noChangeArrowheads="1"/>
                                    </pic:cNvPicPr>
                                  </pic:nvPicPr>
                                  <pic:blipFill>
                                    <a:blip r:embed="rId9"/>
                                    <a:srcRect/>
                                    <a:stretch>
                                      <a:fillRect/>
                                    </a:stretch>
                                  </pic:blipFill>
                                  <pic:spPr bwMode="auto">
                                    <a:xfrm>
                                      <a:off x="0" y="0"/>
                                      <a:ext cx="2036045" cy="2019007"/>
                                    </a:xfrm>
                                    <a:prstGeom prst="rect">
                                      <a:avLst/>
                                    </a:prstGeom>
                                    <a:noFill/>
                                    <a:ln w="9525">
                                      <a:noFill/>
                                      <a:miter lim="800000"/>
                                      <a:headEnd/>
                                      <a:tailEnd/>
                                    </a:ln>
                                  </pic:spPr>
                                </pic:pic>
                              </a:graphicData>
                            </a:graphic>
                          </wp:inline>
                        </w:drawing>
                      </w:r>
                    </w:p>
                  </w:txbxContent>
                </v:textbox>
              </v:rect>
            </w:pict>
          </mc:Fallback>
        </mc:AlternateContent>
      </w:r>
    </w:p>
    <w:p w:rsidR="003D4A71" w:rsidRDefault="00D37516" w:rsidP="003D4A71">
      <w:r>
        <w:rPr>
          <w:noProof/>
          <w:lang w:val="en-US"/>
        </w:rPr>
        <mc:AlternateContent>
          <mc:Choice Requires="wps">
            <w:drawing>
              <wp:anchor distT="0" distB="0" distL="114300" distR="114300" simplePos="0" relativeHeight="251667456" behindDoc="0" locked="0" layoutInCell="1" allowOverlap="1">
                <wp:simplePos x="0" y="0"/>
                <wp:positionH relativeFrom="column">
                  <wp:posOffset>3707765</wp:posOffset>
                </wp:positionH>
                <wp:positionV relativeFrom="paragraph">
                  <wp:posOffset>153035</wp:posOffset>
                </wp:positionV>
                <wp:extent cx="3026410" cy="1664970"/>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6410" cy="16649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146D" w:rsidRDefault="001E5CC9" w:rsidP="009E146D">
                            <w:pPr>
                              <w:jc w:val="center"/>
                            </w:pPr>
                            <w:r>
                              <w:rPr>
                                <w:noProof/>
                                <w:lang w:val="en-US"/>
                              </w:rPr>
                              <w:drawing>
                                <wp:inline distT="0" distB="0" distL="0" distR="0">
                                  <wp:extent cx="1885950" cy="1624105"/>
                                  <wp:effectExtent l="19050" t="0" r="0" b="0"/>
                                  <wp:docPr id="4" name="Picture 4" descr="pharmacy with nurse in counter. drugstore cartoon character design vector  illustration 27386741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armacy with nurse in counter. drugstore cartoon character design vector  illustration 27386741 Vector Art at Vecteezy"/>
                                          <pic:cNvPicPr>
                                            <a:picLocks noChangeAspect="1" noChangeArrowheads="1"/>
                                          </pic:cNvPicPr>
                                        </pic:nvPicPr>
                                        <pic:blipFill>
                                          <a:blip r:embed="rId10"/>
                                          <a:srcRect/>
                                          <a:stretch>
                                            <a:fillRect/>
                                          </a:stretch>
                                        </pic:blipFill>
                                        <pic:spPr bwMode="auto">
                                          <a:xfrm>
                                            <a:off x="0" y="0"/>
                                            <a:ext cx="1905640" cy="1641061"/>
                                          </a:xfrm>
                                          <a:prstGeom prst="rect">
                                            <a:avLst/>
                                          </a:prstGeom>
                                          <a:noFill/>
                                          <a:ln w="9525">
                                            <a:noFill/>
                                            <a:miter lim="800000"/>
                                            <a:headEnd/>
                                            <a:tailEnd/>
                                          </a:ln>
                                        </pic:spPr>
                                      </pic:pic>
                                    </a:graphicData>
                                  </a:graphic>
                                </wp:inline>
                              </w:drawing>
                            </w:r>
                          </w:p>
                          <w:p w:rsidR="001E5CC9" w:rsidRDefault="001E5CC9" w:rsidP="009E146D">
                            <w:pPr>
                              <w:jc w:val="center"/>
                            </w:pPr>
                          </w:p>
                          <w:p w:rsidR="001E5CC9" w:rsidRDefault="001E5CC9" w:rsidP="009E146D">
                            <w:pPr>
                              <w:jc w:val="center"/>
                            </w:pPr>
                            <w: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0" style="position:absolute;margin-left:291.95pt;margin-top:12.05pt;width:238.3pt;height:13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" filled="f" stroked="f" strokeweight="1pt">
                <v:textbox>
                  <w:txbxContent>
                    <w:p w:rsidR="009E146D" w:rsidRDefault="001E5CC9" w:rsidP="009E146D">
                      <w:pPr>
                        <w:jc w:val="center"/>
                      </w:pPr>
                      <w:r>
                        <w:rPr>
                          <w:noProof/>
                          <w:lang w:val="en-US"/>
                        </w:rPr>
                        <w:drawing>
                          <wp:inline distT="0" distB="0" distL="0" distR="0">
                            <wp:extent cx="1885950" cy="1624105"/>
                            <wp:effectExtent l="19050" t="0" r="0" b="0"/>
                            <wp:docPr id="4" name="Picture 4" descr="pharmacy with nurse in counter. drugstore cartoon character design vector  illustration 27386741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armacy with nurse in counter. drugstore cartoon character design vector  illustration 27386741 Vector Art at Vecteezy"/>
                                    <pic:cNvPicPr>
                                      <a:picLocks noChangeAspect="1" noChangeArrowheads="1"/>
                                    </pic:cNvPicPr>
                                  </pic:nvPicPr>
                                  <pic:blipFill>
                                    <a:blip r:embed="rId10"/>
                                    <a:srcRect/>
                                    <a:stretch>
                                      <a:fillRect/>
                                    </a:stretch>
                                  </pic:blipFill>
                                  <pic:spPr bwMode="auto">
                                    <a:xfrm>
                                      <a:off x="0" y="0"/>
                                      <a:ext cx="1905640" cy="1641061"/>
                                    </a:xfrm>
                                    <a:prstGeom prst="rect">
                                      <a:avLst/>
                                    </a:prstGeom>
                                    <a:noFill/>
                                    <a:ln w="9525">
                                      <a:noFill/>
                                      <a:miter lim="800000"/>
                                      <a:headEnd/>
                                      <a:tailEnd/>
                                    </a:ln>
                                  </pic:spPr>
                                </pic:pic>
                              </a:graphicData>
                            </a:graphic>
                          </wp:inline>
                        </w:drawing>
                      </w:r>
                    </w:p>
                    <w:p w:rsidR="001E5CC9" w:rsidRDefault="001E5CC9" w:rsidP="009E146D">
                      <w:pPr>
                        <w:jc w:val="center"/>
                      </w:pPr>
                    </w:p>
                    <w:p w:rsidR="001E5CC9" w:rsidRDefault="001E5CC9" w:rsidP="009E146D">
                      <w:pPr>
                        <w:jc w:val="center"/>
                      </w:pPr>
                      <w:r>
                        <w:t>F</w:t>
                      </w:r>
                    </w:p>
                  </w:txbxContent>
                </v:textbox>
              </v:rect>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635</wp:posOffset>
                </wp:positionV>
                <wp:extent cx="3962400" cy="1371600"/>
                <wp:effectExtent l="9525" t="9525" r="9525" b="9525"/>
                <wp:wrapNone/>
                <wp:docPr id="16"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1371600"/>
                        </a:xfrm>
                        <a:prstGeom prst="roundRect">
                          <a:avLst>
                            <a:gd name="adj" fmla="val 16667"/>
                          </a:avLst>
                        </a:prstGeom>
                        <a:solidFill>
                          <a:schemeClr val="accent6">
                            <a:lumMod val="20000"/>
                            <a:lumOff val="80000"/>
                          </a:schemeClr>
                        </a:solidFill>
                        <a:ln w="6350">
                          <a:solidFill>
                            <a:schemeClr val="tx1">
                              <a:lumMod val="100000"/>
                              <a:lumOff val="0"/>
                            </a:schemeClr>
                          </a:solidFill>
                          <a:miter lim="800000"/>
                          <a:headEnd/>
                          <a:tailEnd/>
                        </a:ln>
                      </wps:spPr>
                      <wps:txbx>
                        <w:txbxContent>
                          <w:p w:rsidR="00C93D91" w:rsidRPr="00AB7B70" w:rsidRDefault="00C93D91" w:rsidP="00C93D91">
                            <w:pPr>
                              <w:spacing w:after="0" w:line="240" w:lineRule="auto"/>
                              <w:ind w:left="-142"/>
                              <w:jc w:val="both"/>
                              <w:rPr>
                                <w:rFonts w:ascii="Times New Roman" w:hAnsi="Times New Roman" w:cs="Times New Roman"/>
                                <w:sz w:val="16"/>
                                <w:szCs w:val="16"/>
                                <w:lang w:val="en-IN"/>
                              </w:rPr>
                            </w:pPr>
                            <w:r w:rsidRPr="00AB7B70">
                              <w:rPr>
                                <w:rFonts w:ascii="Times New Roman" w:hAnsi="Times New Roman" w:cs="Times New Roman"/>
                                <w:b/>
                                <w:bCs/>
                                <w:color w:val="000000"/>
                                <w:sz w:val="16"/>
                                <w:szCs w:val="16"/>
                              </w:rPr>
                              <w:t>4.2 Challenge 2: Financial Sustainability</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The pharmacies are under pressure because of stagnant NHS funding and increase in operational costs. The CPCF five-year contract (2019-2024) ensured the amount of funding stayed at £2.592 billion a year, which is not sufficient, according to many, with the effects of inflation and the growing demands of services (PSNC, 2023).</w:t>
                            </w:r>
                          </w:p>
                          <w:p w:rsidR="00AB7B70" w:rsidRPr="00AB7B70" w:rsidRDefault="00AB7B70" w:rsidP="00AB7B70">
                            <w:pPr>
                              <w:pStyle w:val="NormalWeb"/>
                              <w:spacing w:before="0" w:beforeAutospacing="0" w:after="0" w:afterAutospacing="0"/>
                              <w:jc w:val="center"/>
                              <w:rPr>
                                <w:sz w:val="16"/>
                                <w:szCs w:val="16"/>
                              </w:rPr>
                            </w:pPr>
                            <w:r w:rsidRPr="00AB7B70">
                              <w:rPr>
                                <w:b/>
                                <w:bCs/>
                                <w:color w:val="000000"/>
                                <w:sz w:val="16"/>
                                <w:szCs w:val="16"/>
                              </w:rPr>
                              <w:t>Evidence</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The Pharmaceutical Services Negotiating Committee (PSNC, 2023) reports that the number of community pharmacies that have been closed in England since 2016 is over 400, and that these unfunded and pressured closures are not spread equally: in deprived areas, financial reform is urgently required in the sector.</w:t>
                            </w:r>
                          </w:p>
                          <w:p w:rsidR="0059627A" w:rsidRPr="001059BE" w:rsidRDefault="0059627A" w:rsidP="00C93D91">
                            <w:pPr>
                              <w:spacing w:line="240" w:lineRule="auto"/>
                              <w:ind w:left="-142"/>
                              <w:jc w:val="both"/>
                              <w:rPr>
                                <w:rFonts w:ascii="Times New Roman" w:hAnsi="Times New Roman" w:cs="Times New Roman"/>
                                <w:sz w:val="14"/>
                                <w:szCs w:val="14"/>
                                <w:lang w:val="en-IN"/>
                              </w:rPr>
                            </w:pPr>
                          </w:p>
                          <w:p w:rsidR="003D4A71" w:rsidRPr="001059BE" w:rsidRDefault="003D4A71" w:rsidP="002908A1">
                            <w:pPr>
                              <w:spacing w:line="240" w:lineRule="auto"/>
                              <w:jc w:val="both"/>
                              <w:rPr>
                                <w:rFonts w:ascii="Times New Roman" w:hAnsi="Times New Roman" w:cs="Times New Roman"/>
                                <w:sz w:val="14"/>
                                <w:szCs w:val="1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ectangle: Rounded Corners 5" o:spid="_x0000_s1031" style="position:absolute;margin-left:-15pt;margin-top:.05pt;width:312pt;height:1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" fillcolor="#e2efd9 [665]" strokecolor="black [3213]" strokeweight=".5pt">
                <v:stroke joinstyle="miter"/>
                <v:textbox>
                  <w:txbxContent>
                    <w:p w:rsidR="00C93D91" w:rsidRPr="00AB7B70" w:rsidRDefault="00C93D91" w:rsidP="00C93D91">
                      <w:pPr>
                        <w:spacing w:after="0" w:line="240" w:lineRule="auto"/>
                        <w:ind w:left="-142"/>
                        <w:jc w:val="both"/>
                        <w:rPr>
                          <w:rFonts w:ascii="Times New Roman" w:hAnsi="Times New Roman" w:cs="Times New Roman"/>
                          <w:sz w:val="16"/>
                          <w:szCs w:val="16"/>
                          <w:lang w:val="en-IN"/>
                        </w:rPr>
                      </w:pPr>
                      <w:r w:rsidRPr="00AB7B70">
                        <w:rPr>
                          <w:rFonts w:ascii="Times New Roman" w:hAnsi="Times New Roman" w:cs="Times New Roman"/>
                          <w:b/>
                          <w:bCs/>
                          <w:color w:val="000000"/>
                          <w:sz w:val="16"/>
                          <w:szCs w:val="16"/>
                        </w:rPr>
                        <w:t>4.2 Challenge 2: Financial Sustainability</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The pharmacies are under pressure because of stagnant NHS funding and increase in operational costs. The CPCF five-year contract (2019-2024) ensured the amount of funding stayed at £2.592 billion a year, which is not sufficient, according to many, with the effects of inflation and the growing demands of services (PSNC, 2023).</w:t>
                      </w:r>
                    </w:p>
                    <w:p w:rsidR="00AB7B70" w:rsidRPr="00AB7B70" w:rsidRDefault="00AB7B70" w:rsidP="00AB7B70">
                      <w:pPr>
                        <w:pStyle w:val="NormalWeb"/>
                        <w:spacing w:before="0" w:beforeAutospacing="0" w:after="0" w:afterAutospacing="0"/>
                        <w:jc w:val="center"/>
                        <w:rPr>
                          <w:sz w:val="16"/>
                          <w:szCs w:val="16"/>
                        </w:rPr>
                      </w:pPr>
                      <w:r w:rsidRPr="00AB7B70">
                        <w:rPr>
                          <w:b/>
                          <w:bCs/>
                          <w:color w:val="000000"/>
                          <w:sz w:val="16"/>
                          <w:szCs w:val="16"/>
                        </w:rPr>
                        <w:t>Evidence</w:t>
                      </w:r>
                    </w:p>
                    <w:p w:rsidR="00AB7B70" w:rsidRPr="00AB7B70" w:rsidRDefault="00AB7B70" w:rsidP="00AB7B70">
                      <w:pPr>
                        <w:pStyle w:val="NormalWeb"/>
                        <w:spacing w:before="0" w:beforeAutospacing="0" w:after="0" w:afterAutospacing="0"/>
                        <w:jc w:val="both"/>
                        <w:rPr>
                          <w:sz w:val="16"/>
                          <w:szCs w:val="16"/>
                        </w:rPr>
                      </w:pPr>
                      <w:r w:rsidRPr="00AB7B70">
                        <w:rPr>
                          <w:color w:val="000000"/>
                          <w:sz w:val="16"/>
                          <w:szCs w:val="16"/>
                        </w:rPr>
                        <w:t>The Pharmaceutical Services Negotiating Committee (PSNC, 2023) reports that the number of community pharmacies that have been closed in England since 2016 is over 400, and that these unfunded and pressured closures are not spread equally: in deprived areas, financial reform is urgently required in the sector.</w:t>
                      </w:r>
                    </w:p>
                    <w:p w:rsidR="0059627A" w:rsidRPr="001059BE" w:rsidRDefault="0059627A" w:rsidP="00C93D91">
                      <w:pPr>
                        <w:spacing w:line="240" w:lineRule="auto"/>
                        <w:ind w:left="-142"/>
                        <w:jc w:val="both"/>
                        <w:rPr>
                          <w:rFonts w:ascii="Times New Roman" w:hAnsi="Times New Roman" w:cs="Times New Roman"/>
                          <w:sz w:val="14"/>
                          <w:szCs w:val="14"/>
                          <w:lang w:val="en-IN"/>
                        </w:rPr>
                      </w:pPr>
                    </w:p>
                    <w:p w:rsidR="003D4A71" w:rsidRPr="001059BE" w:rsidRDefault="003D4A71" w:rsidP="002908A1">
                      <w:pPr>
                        <w:spacing w:line="240" w:lineRule="auto"/>
                        <w:jc w:val="both"/>
                        <w:rPr>
                          <w:rFonts w:ascii="Times New Roman" w:hAnsi="Times New Roman" w:cs="Times New Roman"/>
                          <w:sz w:val="14"/>
                          <w:szCs w:val="14"/>
                        </w:rPr>
                      </w:pPr>
                    </w:p>
                  </w:txbxContent>
                </v:textbox>
              </v:roundrect>
            </w:pict>
          </mc:Fallback>
        </mc:AlternateContent>
      </w:r>
    </w:p>
    <w:p w:rsidR="003D4A71" w:rsidRDefault="003D4A71" w:rsidP="003D4A71"/>
    <w:p w:rsidR="003D4A71" w:rsidRDefault="003D4A71" w:rsidP="003D4A71"/>
    <w:p w:rsidR="003D4A71" w:rsidRDefault="003D4A71" w:rsidP="003D4A71"/>
    <w:p w:rsidR="003D4A71" w:rsidRDefault="003D4A71" w:rsidP="003D4A71"/>
    <w:p w:rsidR="003D4A71" w:rsidRDefault="003D4A71" w:rsidP="003D4A71"/>
    <w:p w:rsidR="003D4A71" w:rsidRDefault="00D37516" w:rsidP="003D4A71">
      <w:r>
        <w:rPr>
          <w:noProof/>
          <w:lang w:val="en-US"/>
        </w:rPr>
        <mc:AlternateContent>
          <mc:Choice Requires="wps">
            <w:drawing>
              <wp:anchor distT="0" distB="0" distL="114300" distR="114300" simplePos="0" relativeHeight="251682816" behindDoc="0" locked="0" layoutInCell="1" allowOverlap="1">
                <wp:simplePos x="0" y="0"/>
                <wp:positionH relativeFrom="column">
                  <wp:posOffset>-76200</wp:posOffset>
                </wp:positionH>
                <wp:positionV relativeFrom="paragraph">
                  <wp:posOffset>23495</wp:posOffset>
                </wp:positionV>
                <wp:extent cx="2647950" cy="2724150"/>
                <wp:effectExtent l="9525" t="12700" r="9525" b="6350"/>
                <wp:wrapNone/>
                <wp:docPr id="1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724150"/>
                        </a:xfrm>
                        <a:prstGeom prst="rect">
                          <a:avLst/>
                        </a:prstGeom>
                        <a:solidFill>
                          <a:srgbClr val="FFFFFF"/>
                        </a:solidFill>
                        <a:ln w="9525">
                          <a:solidFill>
                            <a:srgbClr val="000000"/>
                          </a:solidFill>
                          <a:miter lim="800000"/>
                          <a:headEnd/>
                          <a:tailEnd/>
                        </a:ln>
                      </wps:spPr>
                      <wps:txbx>
                        <w:txbxContent>
                          <w:p w:rsidR="00C93D91" w:rsidRDefault="00C93D91">
                            <w:r>
                              <w:rPr>
                                <w:noProof/>
                                <w:lang w:val="en-US"/>
                              </w:rPr>
                              <w:drawing>
                                <wp:inline distT="0" distB="0" distL="0" distR="0">
                                  <wp:extent cx="2465070" cy="2279457"/>
                                  <wp:effectExtent l="19050" t="0" r="0" b="0"/>
                                  <wp:docPr id="1" name="Picture 1" descr="Standards for pharmacy professionals | General Pharmaceutical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s for pharmacy professionals | General Pharmaceutical Council"/>
                                          <pic:cNvPicPr>
                                            <a:picLocks noChangeAspect="1" noChangeArrowheads="1"/>
                                          </pic:cNvPicPr>
                                        </pic:nvPicPr>
                                        <pic:blipFill>
                                          <a:blip r:embed="rId11"/>
                                          <a:srcRect/>
                                          <a:stretch>
                                            <a:fillRect/>
                                          </a:stretch>
                                        </pic:blipFill>
                                        <pic:spPr bwMode="auto">
                                          <a:xfrm>
                                            <a:off x="0" y="0"/>
                                            <a:ext cx="2465070" cy="2279457"/>
                                          </a:xfrm>
                                          <a:prstGeom prst="rect">
                                            <a:avLst/>
                                          </a:prstGeom>
                                          <a:noFill/>
                                          <a:ln w="9525">
                                            <a:noFill/>
                                            <a:miter lim="800000"/>
                                            <a:headEnd/>
                                            <a:tailEnd/>
                                          </a:ln>
                                        </pic:spPr>
                                      </pic:pic>
                                    </a:graphicData>
                                  </a:graphic>
                                </wp:inline>
                              </w:drawing>
                            </w:r>
                          </w:p>
                          <w:p w:rsidR="00C93D91" w:rsidRPr="00C93D91" w:rsidRDefault="00C93D91" w:rsidP="00C93D91">
                            <w:pPr>
                              <w:pStyle w:val="NormalWeb"/>
                              <w:spacing w:before="0" w:beforeAutospacing="0" w:after="0" w:afterAutospacing="0"/>
                              <w:jc w:val="center"/>
                              <w:rPr>
                                <w:sz w:val="16"/>
                                <w:szCs w:val="16"/>
                              </w:rPr>
                            </w:pPr>
                            <w:r w:rsidRPr="00C93D91">
                              <w:rPr>
                                <w:b/>
                                <w:bCs/>
                                <w:color w:val="000000"/>
                                <w:sz w:val="16"/>
                                <w:szCs w:val="16"/>
                              </w:rPr>
                              <w:t>Fig 1: Standard for Pharmacy</w:t>
                            </w:r>
                          </w:p>
                          <w:p w:rsidR="00C93D91" w:rsidRPr="00C93D91" w:rsidRDefault="00C93D91" w:rsidP="00C93D91">
                            <w:pPr>
                              <w:pStyle w:val="NormalWeb"/>
                              <w:spacing w:before="0" w:beforeAutospacing="0" w:after="0" w:afterAutospacing="0"/>
                              <w:jc w:val="center"/>
                              <w:rPr>
                                <w:sz w:val="16"/>
                                <w:szCs w:val="16"/>
                              </w:rPr>
                            </w:pPr>
                            <w:r w:rsidRPr="00C93D91">
                              <w:rPr>
                                <w:color w:val="1F1F1F"/>
                                <w:sz w:val="16"/>
                                <w:szCs w:val="16"/>
                              </w:rPr>
                              <w:t>(Source: ScienceDirect, 2024)</w:t>
                            </w:r>
                          </w:p>
                          <w:p w:rsidR="00C93D91" w:rsidRDefault="00C93D91" w:rsidP="00C93D9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32" type="#_x0000_t202" style="position:absolute;margin-left:-6pt;margin-top:1.85pt;width:208.5pt;height:2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">
                <v:textbox>
                  <w:txbxContent>
                    <w:p w:rsidR="00C93D91" w:rsidRDefault="00C93D91">
                      <w:r>
                        <w:rPr>
                          <w:noProof/>
                          <w:lang w:val="en-US"/>
                        </w:rPr>
                        <w:drawing>
                          <wp:inline distT="0" distB="0" distL="0" distR="0">
                            <wp:extent cx="2465070" cy="2279457"/>
                            <wp:effectExtent l="19050" t="0" r="0" b="0"/>
                            <wp:docPr id="1" name="Picture 1" descr="Standards for pharmacy professionals | General Pharmaceutical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ards for pharmacy professionals | General Pharmaceutical Council"/>
                                    <pic:cNvPicPr>
                                      <a:picLocks noChangeAspect="1" noChangeArrowheads="1"/>
                                    </pic:cNvPicPr>
                                  </pic:nvPicPr>
                                  <pic:blipFill>
                                    <a:blip r:embed="rId11"/>
                                    <a:srcRect/>
                                    <a:stretch>
                                      <a:fillRect/>
                                    </a:stretch>
                                  </pic:blipFill>
                                  <pic:spPr bwMode="auto">
                                    <a:xfrm>
                                      <a:off x="0" y="0"/>
                                      <a:ext cx="2465070" cy="2279457"/>
                                    </a:xfrm>
                                    <a:prstGeom prst="rect">
                                      <a:avLst/>
                                    </a:prstGeom>
                                    <a:noFill/>
                                    <a:ln w="9525">
                                      <a:noFill/>
                                      <a:miter lim="800000"/>
                                      <a:headEnd/>
                                      <a:tailEnd/>
                                    </a:ln>
                                  </pic:spPr>
                                </pic:pic>
                              </a:graphicData>
                            </a:graphic>
                          </wp:inline>
                        </w:drawing>
                      </w:r>
                    </w:p>
                    <w:p w:rsidR="00C93D91" w:rsidRPr="00C93D91" w:rsidRDefault="00C93D91" w:rsidP="00C93D91">
                      <w:pPr>
                        <w:pStyle w:val="NormalWeb"/>
                        <w:spacing w:before="0" w:beforeAutospacing="0" w:after="0" w:afterAutospacing="0"/>
                        <w:jc w:val="center"/>
                        <w:rPr>
                          <w:sz w:val="16"/>
                          <w:szCs w:val="16"/>
                        </w:rPr>
                      </w:pPr>
                      <w:r w:rsidRPr="00C93D91">
                        <w:rPr>
                          <w:b/>
                          <w:bCs/>
                          <w:color w:val="000000"/>
                          <w:sz w:val="16"/>
                          <w:szCs w:val="16"/>
                        </w:rPr>
                        <w:t>Fig 1: Standard for Pharmacy</w:t>
                      </w:r>
                    </w:p>
                    <w:p w:rsidR="00C93D91" w:rsidRPr="00C93D91" w:rsidRDefault="00C93D91" w:rsidP="00C93D91">
                      <w:pPr>
                        <w:pStyle w:val="NormalWeb"/>
                        <w:spacing w:before="0" w:beforeAutospacing="0" w:after="0" w:afterAutospacing="0"/>
                        <w:jc w:val="center"/>
                        <w:rPr>
                          <w:sz w:val="16"/>
                          <w:szCs w:val="16"/>
                        </w:rPr>
                      </w:pPr>
                      <w:r w:rsidRPr="00C93D91">
                        <w:rPr>
                          <w:color w:val="1F1F1F"/>
                          <w:sz w:val="16"/>
                          <w:szCs w:val="16"/>
                        </w:rPr>
                        <w:t>(Source: ScienceDirect, 2024)</w:t>
                      </w:r>
                    </w:p>
                    <w:p w:rsidR="00C93D91" w:rsidRDefault="00C93D91" w:rsidP="00C93D91">
                      <w:pPr>
                        <w:jc w:val="center"/>
                      </w:pPr>
                    </w:p>
                  </w:txbxContent>
                </v:textbox>
              </v:shape>
            </w:pict>
          </mc:Fallback>
        </mc:AlternateContent>
      </w:r>
    </w:p>
    <w:p w:rsidR="003D4A71" w:rsidRDefault="00D37516" w:rsidP="003D4A71">
      <w:r>
        <w:rPr>
          <w:noProof/>
          <w:lang w:val="en-US"/>
        </w:rPr>
        <mc:AlternateContent>
          <mc:Choice Requires="wps">
            <w:drawing>
              <wp:anchor distT="0" distB="0" distL="114300" distR="114300" simplePos="0" relativeHeight="251677696" behindDoc="0" locked="0" layoutInCell="1" allowOverlap="1">
                <wp:simplePos x="0" y="0"/>
                <wp:positionH relativeFrom="column">
                  <wp:posOffset>4095750</wp:posOffset>
                </wp:positionH>
                <wp:positionV relativeFrom="paragraph">
                  <wp:posOffset>-1905</wp:posOffset>
                </wp:positionV>
                <wp:extent cx="2432685" cy="336550"/>
                <wp:effectExtent l="9525" t="6350" r="15240" b="9525"/>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2685" cy="336550"/>
                        </a:xfrm>
                        <a:prstGeom prst="rect">
                          <a:avLst/>
                        </a:prstGeom>
                        <a:solidFill>
                          <a:schemeClr val="accent2">
                            <a:lumMod val="20000"/>
                            <a:lumOff val="80000"/>
                          </a:schemeClr>
                        </a:solidFill>
                        <a:ln w="12700">
                          <a:solidFill>
                            <a:schemeClr val="tx1">
                              <a:lumMod val="100000"/>
                              <a:lumOff val="0"/>
                            </a:schemeClr>
                          </a:solidFill>
                          <a:miter lim="800000"/>
                          <a:headEnd/>
                          <a:tailEnd/>
                        </a:ln>
                      </wps:spPr>
                      <wps:txbx>
                        <w:txbxContent>
                          <w:p w:rsidR="001E5CC9" w:rsidRPr="001E5CC9" w:rsidRDefault="001E5CC9" w:rsidP="001E5CC9">
                            <w:pPr>
                              <w:pStyle w:val="NormalWeb"/>
                              <w:spacing w:before="0" w:beforeAutospacing="0" w:after="0" w:afterAutospacing="0"/>
                              <w:jc w:val="center"/>
                              <w:rPr>
                                <w:sz w:val="16"/>
                                <w:szCs w:val="16"/>
                              </w:rPr>
                            </w:pPr>
                            <w:r w:rsidRPr="001E5CC9">
                              <w:rPr>
                                <w:b/>
                                <w:bCs/>
                                <w:color w:val="000000"/>
                                <w:sz w:val="16"/>
                                <w:szCs w:val="16"/>
                              </w:rPr>
                              <w:t>Fig 2: Pharmacy in UK</w:t>
                            </w:r>
                          </w:p>
                          <w:p w:rsidR="001E5CC9" w:rsidRPr="001E5CC9" w:rsidRDefault="001E5CC9" w:rsidP="001E5CC9">
                            <w:pPr>
                              <w:pStyle w:val="NormalWeb"/>
                              <w:spacing w:before="0" w:beforeAutospacing="0" w:after="0" w:afterAutospacing="0"/>
                              <w:jc w:val="center"/>
                              <w:rPr>
                                <w:sz w:val="16"/>
                                <w:szCs w:val="16"/>
                              </w:rPr>
                            </w:pPr>
                            <w:r w:rsidRPr="001E5CC9">
                              <w:rPr>
                                <w:color w:val="1F1F1F"/>
                                <w:sz w:val="16"/>
                                <w:szCs w:val="16"/>
                              </w:rPr>
                              <w:t>(Source: Self- Generated)</w:t>
                            </w:r>
                          </w:p>
                          <w:p w:rsidR="002D48FC" w:rsidRPr="001E5CC9" w:rsidRDefault="002D48FC" w:rsidP="002D48FC">
                            <w:pPr>
                              <w:spacing w:after="0"/>
                              <w:jc w:val="center"/>
                              <w:rPr>
                                <w:rFonts w:ascii="Times New Roman" w:hAnsi="Times New Roman" w:cs="Times New Roman"/>
                                <w:b/>
                                <w:color w:val="000000" w:themeColor="text1"/>
                                <w:sz w:val="12"/>
                                <w:lang w:val="en-US"/>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5" o:spid="_x0000_s1033" style="position:absolute;margin-left:322.5pt;margin-top:-.15pt;width:191.55pt;height: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" fillcolor="#fbe4d5 [661]" strokecolor="black [3213]" strokeweight="1pt">
                <v:textbox>
                  <w:txbxContent>
                    <w:p w:rsidR="001E5CC9" w:rsidRPr="001E5CC9" w:rsidRDefault="001E5CC9" w:rsidP="001E5CC9">
                      <w:pPr>
                        <w:pStyle w:val="NormalWeb"/>
                        <w:spacing w:before="0" w:beforeAutospacing="0" w:after="0" w:afterAutospacing="0"/>
                        <w:jc w:val="center"/>
                        <w:rPr>
                          <w:sz w:val="16"/>
                          <w:szCs w:val="16"/>
                        </w:rPr>
                      </w:pPr>
                      <w:r w:rsidRPr="001E5CC9">
                        <w:rPr>
                          <w:b/>
                          <w:bCs/>
                          <w:color w:val="000000"/>
                          <w:sz w:val="16"/>
                          <w:szCs w:val="16"/>
                        </w:rPr>
                        <w:t>Fig 2: Pharmacy in UK</w:t>
                      </w:r>
                    </w:p>
                    <w:p w:rsidR="001E5CC9" w:rsidRPr="001E5CC9" w:rsidRDefault="001E5CC9" w:rsidP="001E5CC9">
                      <w:pPr>
                        <w:pStyle w:val="NormalWeb"/>
                        <w:spacing w:before="0" w:beforeAutospacing="0" w:after="0" w:afterAutospacing="0"/>
                        <w:jc w:val="center"/>
                        <w:rPr>
                          <w:sz w:val="16"/>
                          <w:szCs w:val="16"/>
                        </w:rPr>
                      </w:pPr>
                      <w:r w:rsidRPr="001E5CC9">
                        <w:rPr>
                          <w:color w:val="1F1F1F"/>
                          <w:sz w:val="16"/>
                          <w:szCs w:val="16"/>
                        </w:rPr>
                        <w:t>(Source: Self- Generated)</w:t>
                      </w:r>
                    </w:p>
                    <w:p w:rsidR="002D48FC" w:rsidRPr="001E5CC9" w:rsidRDefault="002D48FC" w:rsidP="002D48FC">
                      <w:pPr>
                        <w:spacing w:after="0"/>
                        <w:jc w:val="center"/>
                        <w:rPr>
                          <w:rFonts w:ascii="Times New Roman" w:hAnsi="Times New Roman" w:cs="Times New Roman"/>
                          <w:b/>
                          <w:color w:val="000000" w:themeColor="text1"/>
                          <w:sz w:val="12"/>
                          <w:lang w:val="en-US"/>
                        </w:rPr>
                      </w:pPr>
                    </w:p>
                  </w:txbxContent>
                </v:textbox>
              </v:rect>
            </w:pict>
          </mc:Fallback>
        </mc:AlternateContent>
      </w:r>
      <w:r>
        <w:rPr>
          <w:noProof/>
          <w:lang w:val="en-US"/>
        </w:rPr>
        <mc:AlternateContent>
          <mc:Choice Requires="wps">
            <w:drawing>
              <wp:anchor distT="0" distB="0" distL="114300" distR="114300" simplePos="0" relativeHeight="251681792" behindDoc="0" locked="0" layoutInCell="1" allowOverlap="1">
                <wp:simplePos x="0" y="0"/>
                <wp:positionH relativeFrom="column">
                  <wp:posOffset>6734175</wp:posOffset>
                </wp:positionH>
                <wp:positionV relativeFrom="paragraph">
                  <wp:posOffset>-1905</wp:posOffset>
                </wp:positionV>
                <wp:extent cx="2752725" cy="336550"/>
                <wp:effectExtent l="9525" t="6350" r="9525" b="9525"/>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2725" cy="336550"/>
                        </a:xfrm>
                        <a:prstGeom prst="rect">
                          <a:avLst/>
                        </a:prstGeom>
                        <a:solidFill>
                          <a:schemeClr val="accent6">
                            <a:lumMod val="20000"/>
                            <a:lumOff val="80000"/>
                          </a:schemeClr>
                        </a:solidFill>
                        <a:ln w="12700">
                          <a:solidFill>
                            <a:schemeClr val="tx1">
                              <a:lumMod val="100000"/>
                              <a:lumOff val="0"/>
                            </a:schemeClr>
                          </a:solidFill>
                          <a:miter lim="800000"/>
                          <a:headEnd/>
                          <a:tailEnd/>
                        </a:ln>
                      </wps:spPr>
                      <wps:txbx>
                        <w:txbxContent>
                          <w:p w:rsidR="001E5CC9" w:rsidRPr="001E5CC9" w:rsidRDefault="00FC0425" w:rsidP="001E5CC9">
                            <w:pPr>
                              <w:pStyle w:val="NormalWeb"/>
                              <w:spacing w:before="0" w:beforeAutospacing="0" w:after="0" w:afterAutospacing="0"/>
                              <w:jc w:val="center"/>
                              <w:rPr>
                                <w:sz w:val="16"/>
                                <w:szCs w:val="16"/>
                              </w:rPr>
                            </w:pPr>
                            <w:r>
                              <w:rPr>
                                <w:b/>
                                <w:bCs/>
                                <w:color w:val="000000"/>
                                <w:sz w:val="16"/>
                                <w:szCs w:val="16"/>
                              </w:rPr>
                              <w:t>Fig 3</w:t>
                            </w:r>
                            <w:r w:rsidR="001E5CC9" w:rsidRPr="001E5CC9">
                              <w:rPr>
                                <w:b/>
                                <w:bCs/>
                                <w:color w:val="000000"/>
                                <w:sz w:val="16"/>
                                <w:szCs w:val="16"/>
                              </w:rPr>
                              <w:t>: New Pharmacy Model</w:t>
                            </w:r>
                          </w:p>
                          <w:p w:rsidR="001E5CC9" w:rsidRDefault="001E5CC9" w:rsidP="001E5CC9">
                            <w:pPr>
                              <w:pStyle w:val="NormalWeb"/>
                              <w:spacing w:before="0" w:beforeAutospacing="0" w:after="0" w:afterAutospacing="0"/>
                              <w:jc w:val="center"/>
                            </w:pPr>
                            <w:r w:rsidRPr="001E5CC9">
                              <w:rPr>
                                <w:color w:val="000000"/>
                                <w:sz w:val="16"/>
                                <w:szCs w:val="16"/>
                              </w:rPr>
                              <w:t>(Source: pharmacymentor, 2024)</w:t>
                            </w:r>
                          </w:p>
                          <w:p w:rsidR="002D48FC" w:rsidRPr="002D48FC" w:rsidRDefault="002D48FC" w:rsidP="002D48FC">
                            <w:pPr>
                              <w:spacing w:after="0"/>
                              <w:jc w:val="center"/>
                              <w:rPr>
                                <w:rFonts w:ascii="Times New Roman" w:hAnsi="Times New Roman" w:cs="Times New Roman"/>
                                <w:color w:val="000000" w:themeColor="text1"/>
                                <w:sz w:val="12"/>
                              </w:rPr>
                            </w:pPr>
                          </w:p>
                          <w:p w:rsidR="002D48FC" w:rsidRPr="002D48FC" w:rsidRDefault="002D48FC" w:rsidP="002D48FC">
                            <w:pPr>
                              <w:spacing w:after="0"/>
                              <w:jc w:val="center"/>
                              <w:rPr>
                                <w:rFonts w:ascii="Times New Roman" w:hAnsi="Times New Roman" w:cs="Times New Roman"/>
                                <w:color w:val="000000" w:themeColor="text1"/>
                                <w:sz w:val="1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0" o:spid="_x0000_s1034" style="position:absolute;margin-left:530.25pt;margin-top:-.15pt;width:216.75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" fillcolor="#e2efd9 [665]" strokecolor="black [3213]" strokeweight="1pt">
                <v:textbox>
                  <w:txbxContent>
                    <w:p w:rsidR="001E5CC9" w:rsidRPr="001E5CC9" w:rsidRDefault="00FC0425" w:rsidP="001E5CC9">
                      <w:pPr>
                        <w:pStyle w:val="NormalWeb"/>
                        <w:spacing w:before="0" w:beforeAutospacing="0" w:after="0" w:afterAutospacing="0"/>
                        <w:jc w:val="center"/>
                        <w:rPr>
                          <w:sz w:val="16"/>
                          <w:szCs w:val="16"/>
                        </w:rPr>
                      </w:pPr>
                      <w:r>
                        <w:rPr>
                          <w:b/>
                          <w:bCs/>
                          <w:color w:val="000000"/>
                          <w:sz w:val="16"/>
                          <w:szCs w:val="16"/>
                        </w:rPr>
                        <w:t>Fig 3</w:t>
                      </w:r>
                      <w:r w:rsidR="001E5CC9" w:rsidRPr="001E5CC9">
                        <w:rPr>
                          <w:b/>
                          <w:bCs/>
                          <w:color w:val="000000"/>
                          <w:sz w:val="16"/>
                          <w:szCs w:val="16"/>
                        </w:rPr>
                        <w:t>: New Pharmacy Model</w:t>
                      </w:r>
                    </w:p>
                    <w:p w:rsidR="001E5CC9" w:rsidRDefault="001E5CC9" w:rsidP="001E5CC9">
                      <w:pPr>
                        <w:pStyle w:val="NormalWeb"/>
                        <w:spacing w:before="0" w:beforeAutospacing="0" w:after="0" w:afterAutospacing="0"/>
                        <w:jc w:val="center"/>
                      </w:pPr>
                      <w:r w:rsidRPr="001E5CC9">
                        <w:rPr>
                          <w:color w:val="000000"/>
                          <w:sz w:val="16"/>
                          <w:szCs w:val="16"/>
                        </w:rPr>
                        <w:t>(Source: pharmacymentor, 2024)</w:t>
                      </w:r>
                    </w:p>
                    <w:p w:rsidR="002D48FC" w:rsidRPr="002D48FC" w:rsidRDefault="002D48FC" w:rsidP="002D48FC">
                      <w:pPr>
                        <w:spacing w:after="0"/>
                        <w:jc w:val="center"/>
                        <w:rPr>
                          <w:rFonts w:ascii="Times New Roman" w:hAnsi="Times New Roman" w:cs="Times New Roman"/>
                          <w:color w:val="000000" w:themeColor="text1"/>
                          <w:sz w:val="12"/>
                        </w:rPr>
                      </w:pPr>
                    </w:p>
                    <w:p w:rsidR="002D48FC" w:rsidRPr="002D48FC" w:rsidRDefault="002D48FC" w:rsidP="002D48FC">
                      <w:pPr>
                        <w:spacing w:after="0"/>
                        <w:jc w:val="center"/>
                        <w:rPr>
                          <w:rFonts w:ascii="Times New Roman" w:hAnsi="Times New Roman" w:cs="Times New Roman"/>
                          <w:color w:val="000000" w:themeColor="text1"/>
                          <w:sz w:val="12"/>
                        </w:rPr>
                      </w:pPr>
                    </w:p>
                  </w:txbxContent>
                </v:textbox>
              </v:rect>
            </w:pict>
          </mc:Fallback>
        </mc:AlternateContent>
      </w:r>
    </w:p>
    <w:p w:rsidR="003D4A71" w:rsidRDefault="00D37516" w:rsidP="003D4A71">
      <w:r>
        <w:rPr>
          <w:noProof/>
          <w:lang w:val="en-US"/>
        </w:rPr>
        <mc:AlternateContent>
          <mc:Choice Requires="wps">
            <w:drawing>
              <wp:anchor distT="0" distB="0" distL="114300" distR="114300" simplePos="0" relativeHeight="251662336" behindDoc="0" locked="0" layoutInCell="1" allowOverlap="1">
                <wp:simplePos x="0" y="0"/>
                <wp:positionH relativeFrom="column">
                  <wp:posOffset>2819400</wp:posOffset>
                </wp:positionH>
                <wp:positionV relativeFrom="paragraph">
                  <wp:posOffset>248920</wp:posOffset>
                </wp:positionV>
                <wp:extent cx="6667500" cy="2686050"/>
                <wp:effectExtent l="9525" t="9525" r="9525" b="9525"/>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2686050"/>
                        </a:xfrm>
                        <a:prstGeom prst="rect">
                          <a:avLst/>
                        </a:prstGeom>
                        <a:solidFill>
                          <a:srgbClr val="F4FFCD"/>
                        </a:solidFill>
                        <a:ln w="12700">
                          <a:solidFill>
                            <a:schemeClr val="tx1">
                              <a:lumMod val="100000"/>
                              <a:lumOff val="0"/>
                            </a:schemeClr>
                          </a:solidFill>
                          <a:miter lim="800000"/>
                          <a:headEnd/>
                          <a:tailEnd/>
                        </a:ln>
                      </wps:spPr>
                      <wps:txbx>
                        <w:txbxContent>
                          <w:p w:rsidR="00183C22" w:rsidRPr="00AB7B70" w:rsidRDefault="00183C22" w:rsidP="00183C22">
                            <w:pPr>
                              <w:spacing w:after="0" w:line="240" w:lineRule="auto"/>
                              <w:rPr>
                                <w:rFonts w:ascii="Times New Roman" w:hAnsi="Times New Roman" w:cs="Times New Roman"/>
                                <w:b/>
                                <w:bCs/>
                                <w:color w:val="000000"/>
                                <w:sz w:val="16"/>
                                <w:szCs w:val="16"/>
                              </w:rPr>
                            </w:pPr>
                            <w:r w:rsidRPr="00AB7B70">
                              <w:rPr>
                                <w:rFonts w:ascii="Times New Roman" w:hAnsi="Times New Roman" w:cs="Times New Roman"/>
                                <w:b/>
                                <w:bCs/>
                                <w:color w:val="000000"/>
                                <w:sz w:val="16"/>
                                <w:szCs w:val="16"/>
                              </w:rPr>
                              <w:t>3.1 Key functions include</w:t>
                            </w:r>
                          </w:p>
                          <w:p w:rsidR="00183C22" w:rsidRPr="00AB7B70" w:rsidRDefault="00183C22" w:rsidP="00183C22">
                            <w:pPr>
                              <w:spacing w:after="0" w:line="240" w:lineRule="auto"/>
                              <w:rPr>
                                <w:rFonts w:ascii="Times New Roman" w:hAnsi="Times New Roman" w:cs="Times New Roman"/>
                                <w:b/>
                                <w:bCs/>
                                <w:color w:val="000000"/>
                                <w:sz w:val="16"/>
                                <w:szCs w:val="16"/>
                              </w:rPr>
                            </w:pPr>
                            <w:r w:rsidRPr="00AB7B70">
                              <w:rPr>
                                <w:rFonts w:ascii="Times New Roman" w:hAnsi="Times New Roman" w:cs="Times New Roman"/>
                                <w:color w:val="000000"/>
                                <w:sz w:val="16"/>
                                <w:szCs w:val="16"/>
                              </w:rPr>
                              <w:t>Dispensing medicines safely and accurately from NHS prescriptions (NHS England, 2023).Providing clinical advice on medication use and side effects.Conducting health checks (e.g., blood pressure, cholesterol, smoking cessation). Delivering vaccination services such as flu and COVID-19 jabs.</w:t>
                            </w:r>
                          </w:p>
                          <w:p w:rsidR="00183C22" w:rsidRPr="00AB7B70" w:rsidRDefault="00183C22" w:rsidP="00183C22">
                            <w:pPr>
                              <w:pStyle w:val="NormalWeb"/>
                              <w:spacing w:before="0" w:beforeAutospacing="0" w:after="0" w:afterAutospacing="0"/>
                              <w:jc w:val="both"/>
                              <w:rPr>
                                <w:b/>
                                <w:bCs/>
                                <w:color w:val="000000"/>
                                <w:sz w:val="16"/>
                                <w:szCs w:val="16"/>
                              </w:rPr>
                            </w:pPr>
                            <w:r w:rsidRPr="00AB7B70">
                              <w:rPr>
                                <w:b/>
                                <w:bCs/>
                                <w:color w:val="000000"/>
                                <w:sz w:val="16"/>
                                <w:szCs w:val="16"/>
                              </w:rPr>
                              <w:t>4. Two Key Challenges Facing Pharmacy Services</w:t>
                            </w:r>
                          </w:p>
                          <w:p w:rsidR="00183C22" w:rsidRPr="00AB7B70" w:rsidRDefault="00183C22" w:rsidP="00183C22">
                            <w:pPr>
                              <w:pStyle w:val="NormalWeb"/>
                              <w:spacing w:before="0" w:beforeAutospacing="0" w:after="0" w:afterAutospacing="0"/>
                              <w:jc w:val="center"/>
                              <w:rPr>
                                <w:sz w:val="16"/>
                                <w:szCs w:val="16"/>
                              </w:rPr>
                            </w:pPr>
                            <w:r w:rsidRPr="00AB7B70">
                              <w:rPr>
                                <w:b/>
                                <w:bCs/>
                                <w:color w:val="000000"/>
                                <w:sz w:val="16"/>
                                <w:szCs w:val="16"/>
                              </w:rPr>
                              <w:t>4.1 Challenge 1: Workforce Shortages and Workload Pressure</w:t>
                            </w:r>
                          </w:p>
                          <w:p w:rsidR="00AB7B70" w:rsidRPr="00AB7B70" w:rsidRDefault="00AB7B70" w:rsidP="00183C22">
                            <w:pPr>
                              <w:pStyle w:val="NormalWeb"/>
                              <w:spacing w:before="0" w:beforeAutospacing="0" w:after="0" w:afterAutospacing="0"/>
                              <w:jc w:val="center"/>
                              <w:rPr>
                                <w:color w:val="000000"/>
                                <w:sz w:val="16"/>
                                <w:szCs w:val="16"/>
                              </w:rPr>
                            </w:pPr>
                            <w:r w:rsidRPr="00AB7B70">
                              <w:rPr>
                                <w:color w:val="000000"/>
                                <w:sz w:val="16"/>
                                <w:szCs w:val="16"/>
                              </w:rPr>
                              <w:t>The pharmacy sector in the UK is currently experiencing workforce challenges that severely threaten service delivery and patient safety. There are significant workforce issues with shortages of pharmacists, long hours, and increasing burnout (Pharmaceutical Services Negotiating Committee (PSNC), 2023). Recruitment and retention of personnel for community pharmacies appear to be even more challenging (NHS England, 2023). Many pharmacists have shifted away from community pharmacies to work in primary care networks (PCNs), and general practice. While the transition of pharmacists to the new integrated care models is positive for the models themselves, the pharmacist shift has negative implications for staffing community pharmacies. There is high and increasing accumulation of remaining staff workload which results in long shifts, stress, decreases job satisfaction, and job productivity (Savickas et al., 2021).As a result, there will be fewer opportunities to access services for patients, including prescription filling, clinical counseling, and medical consultations. The shortage of available professionals has been reported by numerous pharmacies, which have either been closed temporarily or reduced the number of opening hours. The scenario also limits innovation and extension of services, since the pharmacies are not in a position to undertake new roles without the capacity of workforce (Rutter, 2020). To meet this challenge, strategic workforce planning, better funding models, and investment in training and retention programs can be implemented to stabilize the sustainability of the community-pharmacy services in the long-term (Royal Pharmaceutical Society (RPS), 2024)</w:t>
                            </w:r>
                          </w:p>
                          <w:p w:rsidR="00183C22" w:rsidRPr="00AB7B70" w:rsidRDefault="00183C22" w:rsidP="00183C22">
                            <w:pPr>
                              <w:pStyle w:val="NormalWeb"/>
                              <w:spacing w:before="0" w:beforeAutospacing="0" w:after="0" w:afterAutospacing="0"/>
                              <w:jc w:val="center"/>
                              <w:rPr>
                                <w:sz w:val="16"/>
                                <w:szCs w:val="16"/>
                              </w:rPr>
                            </w:pPr>
                            <w:r w:rsidRPr="00AB7B70">
                              <w:rPr>
                                <w:b/>
                                <w:bCs/>
                                <w:color w:val="000000"/>
                                <w:sz w:val="16"/>
                                <w:szCs w:val="16"/>
                              </w:rPr>
                              <w:t>Evidence</w:t>
                            </w:r>
                            <w:r w:rsidRPr="00AB7B70">
                              <w:rPr>
                                <w:color w:val="000000"/>
                                <w:sz w:val="16"/>
                                <w:szCs w:val="16"/>
                              </w:rPr>
                              <w:t> </w:t>
                            </w:r>
                          </w:p>
                          <w:p w:rsidR="00183C22" w:rsidRPr="00AB7B70" w:rsidRDefault="00183C22" w:rsidP="00183C22">
                            <w:pPr>
                              <w:pStyle w:val="NormalWeb"/>
                              <w:spacing w:before="0" w:beforeAutospacing="0" w:after="0" w:afterAutospacing="0"/>
                              <w:jc w:val="both"/>
                              <w:rPr>
                                <w:sz w:val="16"/>
                                <w:szCs w:val="16"/>
                              </w:rPr>
                            </w:pPr>
                            <w:r w:rsidRPr="00AB7B70">
                              <w:rPr>
                                <w:color w:val="000000"/>
                                <w:sz w:val="16"/>
                                <w:szCs w:val="16"/>
                              </w:rPr>
                              <w:t>Royal Pharmaceutical Society (2022) reported that 80 percent of those pharmacists cited workload pressure as a significant post-COVID-19 issue, and 60 percent of those pharmacists were considering leaving the profession as a result of work pressures and exhaustion- which is a critical workforce sustainability concern across UK community pharmacies.</w:t>
                            </w:r>
                          </w:p>
                          <w:p w:rsidR="00183C22" w:rsidRPr="002908A1" w:rsidRDefault="00183C22" w:rsidP="003D4A71">
                            <w:pPr>
                              <w:rPr>
                                <w:sz w:val="14"/>
                                <w:szCs w:val="1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7" o:spid="_x0000_s1035" style="position:absolute;margin-left:222pt;margin-top:19.6pt;width:525pt;height:2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" fillcolor="#f4ffcd" strokecolor="black [3213]" strokeweight="1pt">
                <v:textbox>
                  <w:txbxContent>
                    <w:p w:rsidR="00183C22" w:rsidRPr="00AB7B70" w:rsidRDefault="00183C22" w:rsidP="00183C22">
                      <w:pPr>
                        <w:spacing w:after="0" w:line="240" w:lineRule="auto"/>
                        <w:rPr>
                          <w:rFonts w:ascii="Times New Roman" w:hAnsi="Times New Roman" w:cs="Times New Roman"/>
                          <w:b/>
                          <w:bCs/>
                          <w:color w:val="000000"/>
                          <w:sz w:val="16"/>
                          <w:szCs w:val="16"/>
                        </w:rPr>
                      </w:pPr>
                      <w:r w:rsidRPr="00AB7B70">
                        <w:rPr>
                          <w:rFonts w:ascii="Times New Roman" w:hAnsi="Times New Roman" w:cs="Times New Roman"/>
                          <w:b/>
                          <w:bCs/>
                          <w:color w:val="000000"/>
                          <w:sz w:val="16"/>
                          <w:szCs w:val="16"/>
                        </w:rPr>
                        <w:t>3.1 Key functions include</w:t>
                      </w:r>
                    </w:p>
                    <w:p w:rsidR="00183C22" w:rsidRPr="00AB7B70" w:rsidRDefault="00183C22" w:rsidP="00183C22">
                      <w:pPr>
                        <w:spacing w:after="0" w:line="240" w:lineRule="auto"/>
                        <w:rPr>
                          <w:rFonts w:ascii="Times New Roman" w:hAnsi="Times New Roman" w:cs="Times New Roman"/>
                          <w:b/>
                          <w:bCs/>
                          <w:color w:val="000000"/>
                          <w:sz w:val="16"/>
                          <w:szCs w:val="16"/>
                        </w:rPr>
                      </w:pPr>
                      <w:r w:rsidRPr="00AB7B70">
                        <w:rPr>
                          <w:rFonts w:ascii="Times New Roman" w:hAnsi="Times New Roman" w:cs="Times New Roman"/>
                          <w:color w:val="000000"/>
                          <w:sz w:val="16"/>
                          <w:szCs w:val="16"/>
                        </w:rPr>
                        <w:t>Dispensing medicines safely and accurately from NHS prescriptions (NHS England, 2023).Providing clinical advice on medication use and side effects.Conducting health checks (e.g., blood pressure, cholesterol, smoking cessation). Delivering vaccination services such as flu and COVID-19 jabs.</w:t>
                      </w:r>
                    </w:p>
                    <w:p w:rsidR="00183C22" w:rsidRPr="00AB7B70" w:rsidRDefault="00183C22" w:rsidP="00183C22">
                      <w:pPr>
                        <w:pStyle w:val="NormalWeb"/>
                        <w:spacing w:before="0" w:beforeAutospacing="0" w:after="0" w:afterAutospacing="0"/>
                        <w:jc w:val="both"/>
                        <w:rPr>
                          <w:b/>
                          <w:bCs/>
                          <w:color w:val="000000"/>
                          <w:sz w:val="16"/>
                          <w:szCs w:val="16"/>
                        </w:rPr>
                      </w:pPr>
                      <w:r w:rsidRPr="00AB7B70">
                        <w:rPr>
                          <w:b/>
                          <w:bCs/>
                          <w:color w:val="000000"/>
                          <w:sz w:val="16"/>
                          <w:szCs w:val="16"/>
                        </w:rPr>
                        <w:t>4. Two Key Challenges Facing Pharmacy Services</w:t>
                      </w:r>
                    </w:p>
                    <w:p w:rsidR="00183C22" w:rsidRPr="00AB7B70" w:rsidRDefault="00183C22" w:rsidP="00183C22">
                      <w:pPr>
                        <w:pStyle w:val="NormalWeb"/>
                        <w:spacing w:before="0" w:beforeAutospacing="0" w:after="0" w:afterAutospacing="0"/>
                        <w:jc w:val="center"/>
                        <w:rPr>
                          <w:sz w:val="16"/>
                          <w:szCs w:val="16"/>
                        </w:rPr>
                      </w:pPr>
                      <w:r w:rsidRPr="00AB7B70">
                        <w:rPr>
                          <w:b/>
                          <w:bCs/>
                          <w:color w:val="000000"/>
                          <w:sz w:val="16"/>
                          <w:szCs w:val="16"/>
                        </w:rPr>
                        <w:t>4.1 Challenge 1: Workforce Shortages and Workload Pressure</w:t>
                      </w:r>
                    </w:p>
                    <w:p w:rsidR="00AB7B70" w:rsidRPr="00AB7B70" w:rsidRDefault="00AB7B70" w:rsidP="00183C22">
                      <w:pPr>
                        <w:pStyle w:val="NormalWeb"/>
                        <w:spacing w:before="0" w:beforeAutospacing="0" w:after="0" w:afterAutospacing="0"/>
                        <w:jc w:val="center"/>
                        <w:rPr>
                          <w:color w:val="000000"/>
                          <w:sz w:val="16"/>
                          <w:szCs w:val="16"/>
                        </w:rPr>
                      </w:pPr>
                      <w:r w:rsidRPr="00AB7B70">
                        <w:rPr>
                          <w:color w:val="000000"/>
                          <w:sz w:val="16"/>
                          <w:szCs w:val="16"/>
                        </w:rPr>
                        <w:t>The pharmacy sector in the UK is currently experiencing workforce challenges that severely threaten service delivery and patient safety. There are significant workforce issues with shortages of pharmacists, long hours, and increasing burnout (Pharmaceutical Services Negotiating Committee (PSNC), 2023). Recruitment and retention of personnel for community pharmacies appear to be even more challenging (NHS England, 2023). Many pharmacists have shifted away from community pharmacies to work in primary care networks (PCNs), and general practice. While the transition of pharmacists to the new integrated care models is positive for the models themselves, the pharmacist shift has negative implications for staffing community pharmacies. There is high and increasing accumulation of remaining staff workload which results in long shifts, stress, decreases job satisfaction, and job productivity (Savickas et al., 2021).As a result, there will be fewer opportunities to access services for patients, including prescription filling, clinical counseling, and medical consultations. The shortage of available professionals has been reported by numerous pharmacies, which have either been closed temporarily or reduced the number of opening hours. The scenario also limits innovation and extension of services, since the pharmacies are not in a position to undertake new roles without the capacity of workforce (Rutter, 2020). To meet this challenge, strategic workforce planning, better funding models, and investment in training and retention programs can be implemented to stabilize the sustainability of the community-pharmacy services in the long-term (Royal Pharmaceutical Society (RPS), 2024)</w:t>
                      </w:r>
                    </w:p>
                    <w:p w:rsidR="00183C22" w:rsidRPr="00AB7B70" w:rsidRDefault="00183C22" w:rsidP="00183C22">
                      <w:pPr>
                        <w:pStyle w:val="NormalWeb"/>
                        <w:spacing w:before="0" w:beforeAutospacing="0" w:after="0" w:afterAutospacing="0"/>
                        <w:jc w:val="center"/>
                        <w:rPr>
                          <w:sz w:val="16"/>
                          <w:szCs w:val="16"/>
                        </w:rPr>
                      </w:pPr>
                      <w:r w:rsidRPr="00AB7B70">
                        <w:rPr>
                          <w:b/>
                          <w:bCs/>
                          <w:color w:val="000000"/>
                          <w:sz w:val="16"/>
                          <w:szCs w:val="16"/>
                        </w:rPr>
                        <w:t>Evidence</w:t>
                      </w:r>
                      <w:r w:rsidRPr="00AB7B70">
                        <w:rPr>
                          <w:color w:val="000000"/>
                          <w:sz w:val="16"/>
                          <w:szCs w:val="16"/>
                        </w:rPr>
                        <w:t> </w:t>
                      </w:r>
                    </w:p>
                    <w:p w:rsidR="00183C22" w:rsidRPr="00AB7B70" w:rsidRDefault="00183C22" w:rsidP="00183C22">
                      <w:pPr>
                        <w:pStyle w:val="NormalWeb"/>
                        <w:spacing w:before="0" w:beforeAutospacing="0" w:after="0" w:afterAutospacing="0"/>
                        <w:jc w:val="both"/>
                        <w:rPr>
                          <w:sz w:val="16"/>
                          <w:szCs w:val="16"/>
                        </w:rPr>
                      </w:pPr>
                      <w:r w:rsidRPr="00AB7B70">
                        <w:rPr>
                          <w:color w:val="000000"/>
                          <w:sz w:val="16"/>
                          <w:szCs w:val="16"/>
                        </w:rPr>
                        <w:t>Royal Pharmaceutical Society (2022) reported that 80 percent of those pharmacists cited workload pressure as a significant post-COVID-19 issue, and 60 percent of those pharmacists were considering leaving the profession as a result of work pressures and exhaustion- which is a critical workforce sustainability concern across UK community pharmacies.</w:t>
                      </w:r>
                    </w:p>
                    <w:p w:rsidR="00183C22" w:rsidRPr="002908A1" w:rsidRDefault="00183C22" w:rsidP="003D4A71">
                      <w:pPr>
                        <w:rPr>
                          <w:sz w:val="14"/>
                          <w:szCs w:val="14"/>
                        </w:rPr>
                      </w:pPr>
                    </w:p>
                  </w:txbxContent>
                </v:textbox>
              </v:rect>
            </w:pict>
          </mc:Fallback>
        </mc:AlternateContent>
      </w:r>
    </w:p>
    <w:p w:rsidR="003D4A71" w:rsidRDefault="003D4A71" w:rsidP="003D4A71"/>
    <w:p w:rsidR="003D4A71" w:rsidRDefault="003D4A71" w:rsidP="003D4A71"/>
    <w:p w:rsidR="003D4A71" w:rsidRDefault="003D4A71" w:rsidP="003D4A71"/>
    <w:p w:rsidR="003D4A71" w:rsidRDefault="00D37516" w:rsidP="003D4A71">
      <w:r>
        <w:rPr>
          <w:noProof/>
          <w:lang w:val="en-US"/>
        </w:rPr>
        <mc:AlternateContent>
          <mc:Choice Requires="wps">
            <w:drawing>
              <wp:anchor distT="0" distB="0" distL="114300" distR="114300" simplePos="0" relativeHeight="251671552" behindDoc="0" locked="0" layoutInCell="1" allowOverlap="1">
                <wp:simplePos x="0" y="0"/>
                <wp:positionH relativeFrom="page">
                  <wp:posOffset>10801350</wp:posOffset>
                </wp:positionH>
                <wp:positionV relativeFrom="paragraph">
                  <wp:posOffset>172085</wp:posOffset>
                </wp:positionV>
                <wp:extent cx="3648075" cy="2249170"/>
                <wp:effectExtent l="9525" t="8255" r="9525" b="9525"/>
                <wp:wrapNone/>
                <wp:docPr id="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075" cy="2249170"/>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23A3C" w:rsidRDefault="008018BB" w:rsidP="00023A3C">
                            <w:pPr>
                              <w:jc w:val="center"/>
                              <w:rPr>
                                <w:sz w:val="12"/>
                                <w:szCs w:val="12"/>
                              </w:rPr>
                            </w:pPr>
                            <w:r>
                              <w:rPr>
                                <w:noProof/>
                                <w:lang w:val="en-US"/>
                              </w:rPr>
                              <w:drawing>
                                <wp:inline distT="0" distB="0" distL="0" distR="0">
                                  <wp:extent cx="3267075" cy="1837730"/>
                                  <wp:effectExtent l="19050" t="0" r="9525" b="0"/>
                                  <wp:docPr id="32" name="Picture 32" descr="Pharmacy First – Kenton Cli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harmacy First – Kenton Clinic"/>
                                          <pic:cNvPicPr>
                                            <a:picLocks noChangeAspect="1" noChangeArrowheads="1"/>
                                          </pic:cNvPicPr>
                                        </pic:nvPicPr>
                                        <pic:blipFill>
                                          <a:blip r:embed="rId12"/>
                                          <a:srcRect/>
                                          <a:stretch>
                                            <a:fillRect/>
                                          </a:stretch>
                                        </pic:blipFill>
                                        <pic:spPr bwMode="auto">
                                          <a:xfrm>
                                            <a:off x="0" y="0"/>
                                            <a:ext cx="3267075" cy="1837730"/>
                                          </a:xfrm>
                                          <a:prstGeom prst="rect">
                                            <a:avLst/>
                                          </a:prstGeom>
                                          <a:noFill/>
                                          <a:ln w="9525">
                                            <a:noFill/>
                                            <a:miter lim="800000"/>
                                            <a:headEnd/>
                                            <a:tailEnd/>
                                          </a:ln>
                                        </pic:spPr>
                                      </pic:pic>
                                    </a:graphicData>
                                  </a:graphic>
                                </wp:inline>
                              </w:drawing>
                            </w:r>
                          </w:p>
                          <w:p w:rsidR="008018BB" w:rsidRDefault="00FC0425" w:rsidP="008018BB">
                            <w:pPr>
                              <w:pStyle w:val="NormalWeb"/>
                              <w:spacing w:before="0" w:beforeAutospacing="0" w:after="0" w:afterAutospacing="0"/>
                              <w:jc w:val="center"/>
                            </w:pPr>
                            <w:r>
                              <w:rPr>
                                <w:rFonts w:ascii="Arial" w:hAnsi="Arial" w:cs="Arial"/>
                                <w:b/>
                                <w:bCs/>
                                <w:color w:val="000000"/>
                                <w:sz w:val="13"/>
                                <w:szCs w:val="13"/>
                              </w:rPr>
                              <w:t>Fig 5</w:t>
                            </w:r>
                            <w:r w:rsidR="008018BB">
                              <w:rPr>
                                <w:rFonts w:ascii="Arial" w:hAnsi="Arial" w:cs="Arial"/>
                                <w:b/>
                                <w:bCs/>
                                <w:color w:val="000000"/>
                                <w:sz w:val="13"/>
                                <w:szCs w:val="13"/>
                              </w:rPr>
                              <w:t>: Pharmacy consultancy in UK</w:t>
                            </w:r>
                          </w:p>
                          <w:p w:rsidR="008018BB" w:rsidRPr="008018BB" w:rsidRDefault="008018BB" w:rsidP="008018BB">
                            <w:pPr>
                              <w:pStyle w:val="NormalWeb"/>
                              <w:spacing w:before="0" w:beforeAutospacing="0" w:after="0" w:afterAutospacing="0"/>
                              <w:jc w:val="center"/>
                              <w:rPr>
                                <w:sz w:val="16"/>
                                <w:szCs w:val="16"/>
                              </w:rPr>
                            </w:pPr>
                            <w:r w:rsidRPr="008018BB">
                              <w:rPr>
                                <w:color w:val="000000"/>
                                <w:sz w:val="16"/>
                                <w:szCs w:val="16"/>
                              </w:rPr>
                              <w:t>(Source: pharmacymentor, 2024)</w:t>
                            </w:r>
                          </w:p>
                          <w:p w:rsidR="008018BB" w:rsidRPr="008018BB" w:rsidRDefault="008018BB" w:rsidP="00023A3C">
                            <w:pPr>
                              <w:jc w:val="center"/>
                              <w:rPr>
                                <w:rFonts w:ascii="Times New Roman" w:hAnsi="Times New Roman" w:cs="Times New Roman"/>
                                <w:sz w:val="16"/>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8" o:spid="_x0000_s1036" style="position:absolute;margin-left:850.5pt;margin-top:13.55pt;width:287.25pt;height:177.1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" filled="f" strokecolor="black [3213]" strokeweight=".5pt">
                <v:textbox>
                  <w:txbxContent>
                    <w:p w:rsidR="00023A3C" w:rsidRDefault="008018BB" w:rsidP="00023A3C">
                      <w:pPr>
                        <w:jc w:val="center"/>
                        <w:rPr>
                          <w:sz w:val="12"/>
                          <w:szCs w:val="12"/>
                        </w:rPr>
                      </w:pPr>
                      <w:r>
                        <w:rPr>
                          <w:noProof/>
                          <w:lang w:val="en-US"/>
                        </w:rPr>
                        <w:drawing>
                          <wp:inline distT="0" distB="0" distL="0" distR="0">
                            <wp:extent cx="3267075" cy="1837730"/>
                            <wp:effectExtent l="19050" t="0" r="9525" b="0"/>
                            <wp:docPr id="32" name="Picture 32" descr="Pharmacy First – Kenton Cli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harmacy First – Kenton Clinic"/>
                                    <pic:cNvPicPr>
                                      <a:picLocks noChangeAspect="1" noChangeArrowheads="1"/>
                                    </pic:cNvPicPr>
                                  </pic:nvPicPr>
                                  <pic:blipFill>
                                    <a:blip r:embed="rId12"/>
                                    <a:srcRect/>
                                    <a:stretch>
                                      <a:fillRect/>
                                    </a:stretch>
                                  </pic:blipFill>
                                  <pic:spPr bwMode="auto">
                                    <a:xfrm>
                                      <a:off x="0" y="0"/>
                                      <a:ext cx="3267075" cy="1837730"/>
                                    </a:xfrm>
                                    <a:prstGeom prst="rect">
                                      <a:avLst/>
                                    </a:prstGeom>
                                    <a:noFill/>
                                    <a:ln w="9525">
                                      <a:noFill/>
                                      <a:miter lim="800000"/>
                                      <a:headEnd/>
                                      <a:tailEnd/>
                                    </a:ln>
                                  </pic:spPr>
                                </pic:pic>
                              </a:graphicData>
                            </a:graphic>
                          </wp:inline>
                        </w:drawing>
                      </w:r>
                    </w:p>
                    <w:p w:rsidR="008018BB" w:rsidRDefault="00FC0425" w:rsidP="008018BB">
                      <w:pPr>
                        <w:pStyle w:val="NormalWeb"/>
                        <w:spacing w:before="0" w:beforeAutospacing="0" w:after="0" w:afterAutospacing="0"/>
                        <w:jc w:val="center"/>
                      </w:pPr>
                      <w:r>
                        <w:rPr>
                          <w:rFonts w:ascii="Arial" w:hAnsi="Arial" w:cs="Arial"/>
                          <w:b/>
                          <w:bCs/>
                          <w:color w:val="000000"/>
                          <w:sz w:val="13"/>
                          <w:szCs w:val="13"/>
                        </w:rPr>
                        <w:t>Fig 5</w:t>
                      </w:r>
                      <w:r w:rsidR="008018BB">
                        <w:rPr>
                          <w:rFonts w:ascii="Arial" w:hAnsi="Arial" w:cs="Arial"/>
                          <w:b/>
                          <w:bCs/>
                          <w:color w:val="000000"/>
                          <w:sz w:val="13"/>
                          <w:szCs w:val="13"/>
                        </w:rPr>
                        <w:t>: Pharmacy consultancy in UK</w:t>
                      </w:r>
                    </w:p>
                    <w:p w:rsidR="008018BB" w:rsidRPr="008018BB" w:rsidRDefault="008018BB" w:rsidP="008018BB">
                      <w:pPr>
                        <w:pStyle w:val="NormalWeb"/>
                        <w:spacing w:before="0" w:beforeAutospacing="0" w:after="0" w:afterAutospacing="0"/>
                        <w:jc w:val="center"/>
                        <w:rPr>
                          <w:sz w:val="16"/>
                          <w:szCs w:val="16"/>
                        </w:rPr>
                      </w:pPr>
                      <w:r w:rsidRPr="008018BB">
                        <w:rPr>
                          <w:color w:val="000000"/>
                          <w:sz w:val="16"/>
                          <w:szCs w:val="16"/>
                        </w:rPr>
                        <w:t>(Source: pharmacymentor, 2024)</w:t>
                      </w:r>
                    </w:p>
                    <w:p w:rsidR="008018BB" w:rsidRPr="008018BB" w:rsidRDefault="008018BB" w:rsidP="00023A3C">
                      <w:pPr>
                        <w:jc w:val="center"/>
                        <w:rPr>
                          <w:rFonts w:ascii="Times New Roman" w:hAnsi="Times New Roman" w:cs="Times New Roman"/>
                          <w:sz w:val="16"/>
                          <w:szCs w:val="16"/>
                        </w:rPr>
                      </w:pPr>
                    </w:p>
                  </w:txbxContent>
                </v:textbox>
                <w10:wrap anchorx="page"/>
              </v:rect>
            </w:pict>
          </mc:Fallback>
        </mc:AlternateContent>
      </w:r>
    </w:p>
    <w:p w:rsidR="003D4A71" w:rsidRDefault="003D4A71" w:rsidP="003D4A71"/>
    <w:p w:rsidR="003D4A71" w:rsidRDefault="003D4A71" w:rsidP="003D4A71"/>
    <w:p w:rsidR="003D4A71" w:rsidRDefault="003D4A71" w:rsidP="003D4A71"/>
    <w:p w:rsidR="003D4A71" w:rsidRDefault="00D37516" w:rsidP="003D4A71">
      <w:r>
        <w:rPr>
          <w:noProof/>
          <w:lang w:val="en-US"/>
        </w:rPr>
        <mc:AlternateContent>
          <mc:Choice Requires="wps">
            <w:drawing>
              <wp:anchor distT="0" distB="0" distL="114300" distR="114300" simplePos="0" relativeHeight="251664384" behindDoc="0" locked="0" layoutInCell="1" allowOverlap="1">
                <wp:simplePos x="0" y="0"/>
                <wp:positionH relativeFrom="page">
                  <wp:posOffset>400050</wp:posOffset>
                </wp:positionH>
                <wp:positionV relativeFrom="paragraph">
                  <wp:posOffset>212090</wp:posOffset>
                </wp:positionV>
                <wp:extent cx="3162300" cy="2212975"/>
                <wp:effectExtent l="9525" t="9525" r="9525" b="15875"/>
                <wp:wrapNone/>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2212975"/>
                        </a:xfrm>
                        <a:prstGeom prst="rect">
                          <a:avLst/>
                        </a:prstGeom>
                        <a:solidFill>
                          <a:schemeClr val="lt1">
                            <a:lumMod val="100000"/>
                            <a:lumOff val="0"/>
                          </a:schemeClr>
                        </a:solidFill>
                        <a:ln w="12700">
                          <a:solidFill>
                            <a:schemeClr val="tx1">
                              <a:lumMod val="100000"/>
                              <a:lumOff val="0"/>
                            </a:schemeClr>
                          </a:solidFill>
                          <a:miter lim="800000"/>
                          <a:headEnd/>
                          <a:tailEnd/>
                        </a:ln>
                      </wps:spPr>
                      <wps:txbx>
                        <w:txbxContent>
                          <w:p w:rsidR="003D4A71" w:rsidRDefault="008018BB" w:rsidP="003D4A71">
                            <w:pPr>
                              <w:jc w:val="center"/>
                              <w:rPr>
                                <w:b/>
                                <w:sz w:val="12"/>
                                <w:szCs w:val="12"/>
                              </w:rPr>
                            </w:pPr>
                            <w:r>
                              <w:rPr>
                                <w:noProof/>
                                <w:lang w:val="en-US"/>
                              </w:rPr>
                              <w:drawing>
                                <wp:inline distT="0" distB="0" distL="0" distR="0">
                                  <wp:extent cx="2543413" cy="1790700"/>
                                  <wp:effectExtent l="19050" t="0" r="9287" b="0"/>
                                  <wp:docPr id="35" name="Picture 35" descr="Pharmacy cartoo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harmacy cartoon Images - Free Download on Freepik"/>
                                          <pic:cNvPicPr>
                                            <a:picLocks noChangeAspect="1" noChangeArrowheads="1"/>
                                          </pic:cNvPicPr>
                                        </pic:nvPicPr>
                                        <pic:blipFill>
                                          <a:blip r:embed="rId13"/>
                                          <a:srcRect/>
                                          <a:stretch>
                                            <a:fillRect/>
                                          </a:stretch>
                                        </pic:blipFill>
                                        <pic:spPr bwMode="auto">
                                          <a:xfrm>
                                            <a:off x="0" y="0"/>
                                            <a:ext cx="2544322" cy="1791340"/>
                                          </a:xfrm>
                                          <a:prstGeom prst="rect">
                                            <a:avLst/>
                                          </a:prstGeom>
                                          <a:noFill/>
                                          <a:ln w="9525">
                                            <a:noFill/>
                                            <a:miter lim="800000"/>
                                            <a:headEnd/>
                                            <a:tailEnd/>
                                          </a:ln>
                                        </pic:spPr>
                                      </pic:pic>
                                    </a:graphicData>
                                  </a:graphic>
                                </wp:inline>
                              </w:drawing>
                            </w:r>
                          </w:p>
                          <w:p w:rsidR="008018BB" w:rsidRPr="008018BB" w:rsidRDefault="00FC0425" w:rsidP="008018BB">
                            <w:pPr>
                              <w:pStyle w:val="NormalWeb"/>
                              <w:spacing w:before="0" w:beforeAutospacing="0" w:after="0" w:afterAutospacing="0"/>
                              <w:jc w:val="center"/>
                              <w:rPr>
                                <w:sz w:val="16"/>
                                <w:szCs w:val="16"/>
                              </w:rPr>
                            </w:pPr>
                            <w:r>
                              <w:rPr>
                                <w:b/>
                                <w:bCs/>
                                <w:color w:val="000000"/>
                                <w:sz w:val="16"/>
                                <w:szCs w:val="16"/>
                              </w:rPr>
                              <w:t>Fig 4</w:t>
                            </w:r>
                            <w:r w:rsidR="008018BB" w:rsidRPr="008018BB">
                              <w:rPr>
                                <w:b/>
                                <w:bCs/>
                                <w:color w:val="000000"/>
                                <w:sz w:val="16"/>
                                <w:szCs w:val="16"/>
                              </w:rPr>
                              <w:t>: Pharmacy consultancy in UK</w:t>
                            </w:r>
                          </w:p>
                          <w:p w:rsidR="008018BB" w:rsidRDefault="008018BB" w:rsidP="008018BB">
                            <w:pPr>
                              <w:pStyle w:val="NormalWeb"/>
                              <w:spacing w:before="0" w:beforeAutospacing="0" w:after="0" w:afterAutospacing="0"/>
                              <w:jc w:val="center"/>
                            </w:pPr>
                            <w:r w:rsidRPr="008018BB">
                              <w:rPr>
                                <w:color w:val="000000"/>
                                <w:sz w:val="16"/>
                                <w:szCs w:val="16"/>
                              </w:rPr>
                              <w:t>(Source: Self-Generated)</w:t>
                            </w:r>
                          </w:p>
                          <w:p w:rsidR="008018BB" w:rsidRPr="00023A3C" w:rsidRDefault="008018BB" w:rsidP="003D4A71">
                            <w:pPr>
                              <w:jc w:val="center"/>
                              <w:rPr>
                                <w:b/>
                                <w:sz w:val="12"/>
                                <w:szCs w:val="1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 o:spid="_x0000_s1037" style="position:absolute;margin-left:31.5pt;margin-top:16.7pt;width:249pt;height:174.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" fillcolor="white [3201]" strokecolor="black [3213]" strokeweight="1pt">
                <v:textbox>
                  <w:txbxContent>
                    <w:p w:rsidR="003D4A71" w:rsidRDefault="008018BB" w:rsidP="003D4A71">
                      <w:pPr>
                        <w:jc w:val="center"/>
                        <w:rPr>
                          <w:b/>
                          <w:sz w:val="12"/>
                          <w:szCs w:val="12"/>
                        </w:rPr>
                      </w:pPr>
                      <w:r>
                        <w:rPr>
                          <w:noProof/>
                          <w:lang w:val="en-US"/>
                        </w:rPr>
                        <w:drawing>
                          <wp:inline distT="0" distB="0" distL="0" distR="0">
                            <wp:extent cx="2543413" cy="1790700"/>
                            <wp:effectExtent l="19050" t="0" r="9287" b="0"/>
                            <wp:docPr id="35" name="Picture 35" descr="Pharmacy cartoo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harmacy cartoon Images - Free Download on Freepik"/>
                                    <pic:cNvPicPr>
                                      <a:picLocks noChangeAspect="1" noChangeArrowheads="1"/>
                                    </pic:cNvPicPr>
                                  </pic:nvPicPr>
                                  <pic:blipFill>
                                    <a:blip r:embed="rId13"/>
                                    <a:srcRect/>
                                    <a:stretch>
                                      <a:fillRect/>
                                    </a:stretch>
                                  </pic:blipFill>
                                  <pic:spPr bwMode="auto">
                                    <a:xfrm>
                                      <a:off x="0" y="0"/>
                                      <a:ext cx="2544322" cy="1791340"/>
                                    </a:xfrm>
                                    <a:prstGeom prst="rect">
                                      <a:avLst/>
                                    </a:prstGeom>
                                    <a:noFill/>
                                    <a:ln w="9525">
                                      <a:noFill/>
                                      <a:miter lim="800000"/>
                                      <a:headEnd/>
                                      <a:tailEnd/>
                                    </a:ln>
                                  </pic:spPr>
                                </pic:pic>
                              </a:graphicData>
                            </a:graphic>
                          </wp:inline>
                        </w:drawing>
                      </w:r>
                    </w:p>
                    <w:p w:rsidR="008018BB" w:rsidRPr="008018BB" w:rsidRDefault="00FC0425" w:rsidP="008018BB">
                      <w:pPr>
                        <w:pStyle w:val="NormalWeb"/>
                        <w:spacing w:before="0" w:beforeAutospacing="0" w:after="0" w:afterAutospacing="0"/>
                        <w:jc w:val="center"/>
                        <w:rPr>
                          <w:sz w:val="16"/>
                          <w:szCs w:val="16"/>
                        </w:rPr>
                      </w:pPr>
                      <w:r>
                        <w:rPr>
                          <w:b/>
                          <w:bCs/>
                          <w:color w:val="000000"/>
                          <w:sz w:val="16"/>
                          <w:szCs w:val="16"/>
                        </w:rPr>
                        <w:t>Fig 4</w:t>
                      </w:r>
                      <w:r w:rsidR="008018BB" w:rsidRPr="008018BB">
                        <w:rPr>
                          <w:b/>
                          <w:bCs/>
                          <w:color w:val="000000"/>
                          <w:sz w:val="16"/>
                          <w:szCs w:val="16"/>
                        </w:rPr>
                        <w:t>: Pharmacy consultancy in UK</w:t>
                      </w:r>
                    </w:p>
                    <w:p w:rsidR="008018BB" w:rsidRDefault="008018BB" w:rsidP="008018BB">
                      <w:pPr>
                        <w:pStyle w:val="NormalWeb"/>
                        <w:spacing w:before="0" w:beforeAutospacing="0" w:after="0" w:afterAutospacing="0"/>
                        <w:jc w:val="center"/>
                      </w:pPr>
                      <w:r w:rsidRPr="008018BB">
                        <w:rPr>
                          <w:color w:val="000000"/>
                          <w:sz w:val="16"/>
                          <w:szCs w:val="16"/>
                        </w:rPr>
                        <w:t>(Source: Self-Generated)</w:t>
                      </w:r>
                    </w:p>
                    <w:p w:rsidR="008018BB" w:rsidRPr="00023A3C" w:rsidRDefault="008018BB" w:rsidP="003D4A71">
                      <w:pPr>
                        <w:jc w:val="center"/>
                        <w:rPr>
                          <w:b/>
                          <w:sz w:val="12"/>
                          <w:szCs w:val="12"/>
                        </w:rPr>
                      </w:pPr>
                    </w:p>
                  </w:txbxContent>
                </v:textbox>
                <w10:wrap anchorx="page"/>
              </v:rect>
            </w:pict>
          </mc:Fallback>
        </mc:AlternateContent>
      </w:r>
    </w:p>
    <w:p w:rsidR="003D4A71" w:rsidRDefault="003D4A71" w:rsidP="003D4A71"/>
    <w:p w:rsidR="003D4A71" w:rsidRDefault="00D37516" w:rsidP="003D4A71">
      <w:r>
        <w:rPr>
          <w:noProof/>
          <w:lang w:val="en-US"/>
        </w:rPr>
        <mc:AlternateContent>
          <mc:Choice Requires="wps">
            <w:drawing>
              <wp:anchor distT="0" distB="0" distL="114300" distR="114300" simplePos="0" relativeHeight="251663360" behindDoc="0" locked="0" layoutInCell="1" allowOverlap="1">
                <wp:simplePos x="0" y="0"/>
                <wp:positionH relativeFrom="column">
                  <wp:posOffset>4910455</wp:posOffset>
                </wp:positionH>
                <wp:positionV relativeFrom="paragraph">
                  <wp:posOffset>250190</wp:posOffset>
                </wp:positionV>
                <wp:extent cx="3509645" cy="205740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9645" cy="2057400"/>
                        </a:xfrm>
                        <a:prstGeom prst="rect">
                          <a:avLst/>
                        </a:prstGeom>
                        <a:noFill/>
                        <a:ln>
                          <a:noFill/>
                        </a:ln>
                      </wps:spPr>
                      <wps:style>
                        <a:lnRef idx="1">
                          <a:schemeClr val="accent6"/>
                        </a:lnRef>
                        <a:fillRef idx="2">
                          <a:schemeClr val="accent6"/>
                        </a:fillRef>
                        <a:effectRef idx="1">
                          <a:schemeClr val="accent6"/>
                        </a:effectRef>
                        <a:fontRef idx="minor">
                          <a:schemeClr val="dk1"/>
                        </a:fontRef>
                      </wps:style>
                      <wps:txbx>
                        <w:txbxContent>
                          <w:p w:rsidR="003D4A71" w:rsidRPr="003D4A6B" w:rsidRDefault="008018BB" w:rsidP="003D4A71">
                            <w:pPr>
                              <w:jc w:val="center"/>
                              <w:rPr>
                                <w:sz w:val="12"/>
                                <w:szCs w:val="12"/>
                              </w:rPr>
                            </w:pPr>
                            <w:r>
                              <w:rPr>
                                <w:noProof/>
                                <w:lang w:val="en-US"/>
                              </w:rPr>
                              <w:drawing>
                                <wp:inline distT="0" distB="0" distL="0" distR="0">
                                  <wp:extent cx="3190875" cy="2133898"/>
                                  <wp:effectExtent l="19050" t="19050" r="28575" b="18752"/>
                                  <wp:docPr id="38" name="Picture 38"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Evolution of Pharmacy: Mysticism to Modern Medicine - National Custom  Compounding"/>
                                          <pic:cNvPicPr>
                                            <a:picLocks noChangeAspect="1" noChangeArrowheads="1"/>
                                          </pic:cNvPicPr>
                                        </pic:nvPicPr>
                                        <pic:blipFill>
                                          <a:blip r:embed="rId14"/>
                                          <a:srcRect/>
                                          <a:stretch>
                                            <a:fillRect/>
                                          </a:stretch>
                                        </pic:blipFill>
                                        <pic:spPr bwMode="auto">
                                          <a:xfrm>
                                            <a:off x="0" y="0"/>
                                            <a:ext cx="3190875" cy="2133898"/>
                                          </a:xfrm>
                                          <a:prstGeom prst="rect">
                                            <a:avLst/>
                                          </a:prstGeom>
                                          <a:noFill/>
                                          <a:ln w="9525">
                                            <a:solidFill>
                                              <a:schemeClr val="tx1"/>
                                            </a:solid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8" style="position:absolute;margin-left:386.65pt;margin-top:19.7pt;width:276.35pt;height:1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" filled="f" stroked="f" strokeweight=".5pt">
                <v:textbox>
                  <w:txbxContent>
                    <w:p w:rsidR="003D4A71" w:rsidRPr="003D4A6B" w:rsidRDefault="008018BB" w:rsidP="003D4A71">
                      <w:pPr>
                        <w:jc w:val="center"/>
                        <w:rPr>
                          <w:sz w:val="12"/>
                          <w:szCs w:val="12"/>
                        </w:rPr>
                      </w:pPr>
                      <w:r>
                        <w:rPr>
                          <w:noProof/>
                          <w:lang w:val="en-US"/>
                        </w:rPr>
                        <w:drawing>
                          <wp:inline distT="0" distB="0" distL="0" distR="0">
                            <wp:extent cx="3190875" cy="2133898"/>
                            <wp:effectExtent l="19050" t="19050" r="28575" b="18752"/>
                            <wp:docPr id="38" name="Picture 38"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Evolution of Pharmacy: Mysticism to Modern Medicine - National Custom  Compounding"/>
                                    <pic:cNvPicPr>
                                      <a:picLocks noChangeAspect="1" noChangeArrowheads="1"/>
                                    </pic:cNvPicPr>
                                  </pic:nvPicPr>
                                  <pic:blipFill>
                                    <a:blip r:embed="rId14"/>
                                    <a:srcRect/>
                                    <a:stretch>
                                      <a:fillRect/>
                                    </a:stretch>
                                  </pic:blipFill>
                                  <pic:spPr bwMode="auto">
                                    <a:xfrm>
                                      <a:off x="0" y="0"/>
                                      <a:ext cx="3190875" cy="2133898"/>
                                    </a:xfrm>
                                    <a:prstGeom prst="rect">
                                      <a:avLst/>
                                    </a:prstGeom>
                                    <a:noFill/>
                                    <a:ln w="9525">
                                      <a:solidFill>
                                        <a:schemeClr val="tx1"/>
                                      </a:solidFill>
                                      <a:miter lim="800000"/>
                                      <a:headEnd/>
                                      <a:tailEnd/>
                                    </a:ln>
                                  </pic:spPr>
                                </pic:pic>
                              </a:graphicData>
                            </a:graphic>
                          </wp:inline>
                        </w:drawing>
                      </w:r>
                    </w:p>
                  </w:txbxContent>
                </v:textbox>
              </v:rect>
            </w:pict>
          </mc:Fallback>
        </mc:AlternateContent>
      </w:r>
    </w:p>
    <w:p w:rsidR="003D4A71" w:rsidRDefault="003D4A71" w:rsidP="003D4A71"/>
    <w:p w:rsidR="003D4A71" w:rsidRDefault="003D4A71" w:rsidP="003D4A71"/>
    <w:p w:rsidR="003D4A71" w:rsidRDefault="003D4A71" w:rsidP="003D4A71"/>
    <w:p w:rsidR="003D4A71" w:rsidRDefault="00D37516" w:rsidP="003D4A71">
      <w:r>
        <w:rPr>
          <w:rFonts w:eastAsiaTheme="minorEastAsia"/>
          <w:noProof/>
          <w:lang w:val="en-US"/>
        </w:rPr>
        <mc:AlternateContent>
          <mc:Choice Requires="wps">
            <w:drawing>
              <wp:anchor distT="0" distB="0" distL="114300" distR="114300" simplePos="0" relativeHeight="251666432" behindDoc="0" locked="0" layoutInCell="1" allowOverlap="1">
                <wp:simplePos x="0" y="0"/>
                <wp:positionH relativeFrom="column">
                  <wp:posOffset>9544050</wp:posOffset>
                </wp:positionH>
                <wp:positionV relativeFrom="paragraph">
                  <wp:posOffset>231775</wp:posOffset>
                </wp:positionV>
                <wp:extent cx="4448175" cy="933450"/>
                <wp:effectExtent l="9525" t="9525" r="9525" b="9525"/>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8175" cy="933450"/>
                        </a:xfrm>
                        <a:prstGeom prst="rect">
                          <a:avLst/>
                        </a:prstGeom>
                        <a:solidFill>
                          <a:schemeClr val="accent5">
                            <a:lumMod val="20000"/>
                            <a:lumOff val="80000"/>
                          </a:schemeClr>
                        </a:solidFill>
                        <a:ln w="6350">
                          <a:solidFill>
                            <a:schemeClr val="tx1">
                              <a:lumMod val="100000"/>
                              <a:lumOff val="0"/>
                            </a:schemeClr>
                          </a:solidFill>
                          <a:miter lim="800000"/>
                          <a:headEnd/>
                          <a:tailEnd/>
                        </a:ln>
                      </wps:spPr>
                      <wps:txbx>
                        <w:txbxContent>
                          <w:p w:rsidR="002908A1" w:rsidRPr="00FD794D" w:rsidRDefault="002908A1" w:rsidP="00FD794D">
                            <w:pPr>
                              <w:jc w:val="center"/>
                              <w:rPr>
                                <w:rFonts w:ascii="Times New Roman" w:hAnsi="Times New Roman" w:cs="Times New Roman"/>
                                <w:sz w:val="16"/>
                                <w:szCs w:val="16"/>
                                <w:lang w:val="en-IN"/>
                              </w:rPr>
                            </w:pPr>
                            <w:r w:rsidRPr="00FD794D">
                              <w:rPr>
                                <w:rFonts w:ascii="Times New Roman" w:hAnsi="Times New Roman" w:cs="Times New Roman"/>
                                <w:b/>
                                <w:bCs/>
                                <w:sz w:val="16"/>
                                <w:szCs w:val="16"/>
                                <w:lang w:val="en-US"/>
                              </w:rPr>
                              <w:t>Conclusion</w:t>
                            </w:r>
                          </w:p>
                          <w:p w:rsidR="003D4A71" w:rsidRPr="00AB7B70" w:rsidRDefault="00AB7B70" w:rsidP="002908A1">
                            <w:pPr>
                              <w:jc w:val="both"/>
                              <w:rPr>
                                <w:rFonts w:ascii="Times New Roman" w:hAnsi="Times New Roman" w:cs="Times New Roman"/>
                                <w:sz w:val="16"/>
                                <w:szCs w:val="16"/>
                              </w:rPr>
                            </w:pPr>
                            <w:r w:rsidRPr="00AB7B70">
                              <w:rPr>
                                <w:rFonts w:ascii="Times New Roman" w:hAnsi="Times New Roman" w:cs="Times New Roman"/>
                                <w:color w:val="000000"/>
                                <w:sz w:val="16"/>
                                <w:szCs w:val="16"/>
                              </w:rPr>
                              <w:t>Pharmacy services in the UK are the foundation of healthcare services in the country, as they guarantee safe medication administration and easy front-line consultation. Although they have become patient-centred and technology-based care providers, issues like the shortage of workforce and financial strains still affect sustainability. Continued integration in the NHS and further investment are necessary to maintain these important community health resources</w:t>
                            </w:r>
                            <w:r w:rsidRPr="00AB7B70">
                              <w:rPr>
                                <w:rFonts w:ascii="Times New Roman" w:hAnsi="Times New Roman" w:cs="Times New Roman"/>
                                <w:color w:val="111111"/>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5" o:spid="_x0000_s1039" style="position:absolute;margin-left:751.5pt;margin-top:18.25pt;width:350.25pt;height: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" fillcolor="#deeaf6 [664]" strokecolor="black [3213]" strokeweight=".5pt">
                <v:textbox>
                  <w:txbxContent>
                    <w:p w:rsidR="002908A1" w:rsidRPr="00FD794D" w:rsidRDefault="002908A1" w:rsidP="00FD794D">
                      <w:pPr>
                        <w:jc w:val="center"/>
                        <w:rPr>
                          <w:rFonts w:ascii="Times New Roman" w:hAnsi="Times New Roman" w:cs="Times New Roman"/>
                          <w:sz w:val="16"/>
                          <w:szCs w:val="16"/>
                          <w:lang w:val="en-IN"/>
                        </w:rPr>
                      </w:pPr>
                      <w:r w:rsidRPr="00FD794D">
                        <w:rPr>
                          <w:rFonts w:ascii="Times New Roman" w:hAnsi="Times New Roman" w:cs="Times New Roman"/>
                          <w:b/>
                          <w:bCs/>
                          <w:sz w:val="16"/>
                          <w:szCs w:val="16"/>
                          <w:lang w:val="en-US"/>
                        </w:rPr>
                        <w:t>Conclusion</w:t>
                      </w:r>
                    </w:p>
                    <w:p w:rsidR="003D4A71" w:rsidRPr="00AB7B70" w:rsidRDefault="00AB7B70" w:rsidP="002908A1">
                      <w:pPr>
                        <w:jc w:val="both"/>
                        <w:rPr>
                          <w:rFonts w:ascii="Times New Roman" w:hAnsi="Times New Roman" w:cs="Times New Roman"/>
                          <w:sz w:val="16"/>
                          <w:szCs w:val="16"/>
                        </w:rPr>
                      </w:pPr>
                      <w:r w:rsidRPr="00AB7B70">
                        <w:rPr>
                          <w:rFonts w:ascii="Times New Roman" w:hAnsi="Times New Roman" w:cs="Times New Roman"/>
                          <w:color w:val="000000"/>
                          <w:sz w:val="16"/>
                          <w:szCs w:val="16"/>
                        </w:rPr>
                        <w:t>Pharmacy services in the UK are the foundation of healthcare services in the country, as they guarantee safe medication administration and easy front-line consultation. Although they have become patient-centred and technology-based care providers, issues like the shortage of workforce and financial strains still affect sustainability. Continued integration in the NHS and further investment are necessary to maintain these important community health resources</w:t>
                      </w:r>
                      <w:r w:rsidRPr="00AB7B70">
                        <w:rPr>
                          <w:rFonts w:ascii="Times New Roman" w:hAnsi="Times New Roman" w:cs="Times New Roman"/>
                          <w:color w:val="111111"/>
                          <w:sz w:val="16"/>
                          <w:szCs w:val="16"/>
                        </w:rPr>
                        <w:t>.</w:t>
                      </w:r>
                    </w:p>
                  </w:txbxContent>
                </v:textbox>
              </v:rect>
            </w:pict>
          </mc:Fallback>
        </mc:AlternateContent>
      </w:r>
    </w:p>
    <w:p w:rsidR="003D4A71" w:rsidRDefault="003D4A71" w:rsidP="003D4A71"/>
    <w:p w:rsidR="003D4A71" w:rsidRDefault="003D4A71" w:rsidP="003D4A71"/>
    <w:p w:rsidR="003D4A71" w:rsidRDefault="00D37516" w:rsidP="003D4A71">
      <w:r>
        <w:rPr>
          <w:noProof/>
          <w:lang w:val="en-US"/>
        </w:rPr>
        <mc:AlternateContent>
          <mc:Choice Requires="wps">
            <w:drawing>
              <wp:anchor distT="0" distB="0" distL="114300" distR="114300" simplePos="0" relativeHeight="251676672" behindDoc="0" locked="0" layoutInCell="1" allowOverlap="1">
                <wp:simplePos x="0" y="0"/>
                <wp:positionH relativeFrom="column">
                  <wp:posOffset>4572000</wp:posOffset>
                </wp:positionH>
                <wp:positionV relativeFrom="paragraph">
                  <wp:posOffset>488950</wp:posOffset>
                </wp:positionV>
                <wp:extent cx="4752340" cy="45720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2340" cy="457200"/>
                        </a:xfrm>
                        <a:prstGeom prst="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C0425" w:rsidRPr="00FC0425" w:rsidRDefault="00FC0425" w:rsidP="00FC0425">
                            <w:pPr>
                              <w:pStyle w:val="NormalWeb"/>
                              <w:spacing w:before="0" w:beforeAutospacing="0" w:after="0" w:afterAutospacing="0"/>
                              <w:jc w:val="center"/>
                              <w:rPr>
                                <w:sz w:val="16"/>
                                <w:szCs w:val="16"/>
                              </w:rPr>
                            </w:pPr>
                            <w:r w:rsidRPr="00FC0425">
                              <w:rPr>
                                <w:b/>
                                <w:bCs/>
                                <w:color w:val="000000"/>
                                <w:sz w:val="16"/>
                                <w:szCs w:val="16"/>
                              </w:rPr>
                              <w:t>Fig 6: Pharmacy Evolution </w:t>
                            </w:r>
                          </w:p>
                          <w:p w:rsidR="00F6680F" w:rsidRPr="00FC0425" w:rsidRDefault="00FC0425" w:rsidP="00FC0425">
                            <w:pPr>
                              <w:pStyle w:val="NormalWeb"/>
                              <w:spacing w:before="0" w:beforeAutospacing="0" w:after="0" w:afterAutospacing="0"/>
                              <w:jc w:val="center"/>
                              <w:rPr>
                                <w:sz w:val="16"/>
                                <w:szCs w:val="16"/>
                              </w:rPr>
                            </w:pPr>
                            <w:r w:rsidRPr="00FC0425">
                              <w:rPr>
                                <w:color w:val="000000"/>
                                <w:sz w:val="16"/>
                                <w:szCs w:val="16"/>
                              </w:rPr>
                              <w:t>(Source: raconteur,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0" style="position:absolute;margin-left:5in;margin-top:38.5pt;width:374.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" fillcolor="#c5e0b3 [1305]" strokecolor="black [3213]" strokeweight="1pt">
                <v:path arrowok="t"/>
                <v:textbox>
                  <w:txbxContent>
                    <w:p w:rsidR="00FC0425" w:rsidRPr="00FC0425" w:rsidRDefault="00FC0425" w:rsidP="00FC0425">
                      <w:pPr>
                        <w:pStyle w:val="NormalWeb"/>
                        <w:spacing w:before="0" w:beforeAutospacing="0" w:after="0" w:afterAutospacing="0"/>
                        <w:jc w:val="center"/>
                        <w:rPr>
                          <w:sz w:val="16"/>
                          <w:szCs w:val="16"/>
                        </w:rPr>
                      </w:pPr>
                      <w:r w:rsidRPr="00FC0425">
                        <w:rPr>
                          <w:b/>
                          <w:bCs/>
                          <w:color w:val="000000"/>
                          <w:sz w:val="16"/>
                          <w:szCs w:val="16"/>
                        </w:rPr>
                        <w:t>Fig 6: Pharmacy Evolution </w:t>
                      </w:r>
                    </w:p>
                    <w:p w:rsidR="00F6680F" w:rsidRPr="00FC0425" w:rsidRDefault="00FC0425" w:rsidP="00FC0425">
                      <w:pPr>
                        <w:pStyle w:val="NormalWeb"/>
                        <w:spacing w:before="0" w:beforeAutospacing="0" w:after="0" w:afterAutospacing="0"/>
                        <w:jc w:val="center"/>
                        <w:rPr>
                          <w:sz w:val="16"/>
                          <w:szCs w:val="16"/>
                        </w:rPr>
                      </w:pPr>
                      <w:r w:rsidRPr="00FC0425">
                        <w:rPr>
                          <w:color w:val="000000"/>
                          <w:sz w:val="16"/>
                          <w:szCs w:val="16"/>
                        </w:rPr>
                        <w:t>(Source: raconteur, 2024)</w:t>
                      </w:r>
                    </w:p>
                  </w:txbxContent>
                </v:textbox>
              </v:rect>
            </w:pict>
          </mc:Fallback>
        </mc:AlternateContent>
      </w:r>
    </w:p>
    <w:p w:rsidR="003D4A71" w:rsidRDefault="003D4A71" w:rsidP="003D4A71">
      <w:pPr>
        <w:sectPr w:rsidR="003D4A71" w:rsidSect="007B7281">
          <w:pgSz w:w="23808" w:h="16840" w:orient="landscape" w:code="8"/>
          <w:pgMar w:top="1440" w:right="1440" w:bottom="1440" w:left="1440" w:header="709" w:footer="709" w:gutter="0"/>
          <w:cols w:space="708"/>
          <w:docGrid w:linePitch="360"/>
        </w:sectPr>
      </w:pPr>
    </w:p>
    <w:p w:rsidR="003D4A71" w:rsidRDefault="003D4A71" w:rsidP="003D4A71">
      <w:pPr>
        <w:rPr>
          <w:b/>
          <w:bCs/>
        </w:rPr>
      </w:pPr>
      <w:r w:rsidRPr="009B2C80">
        <w:rPr>
          <w:b/>
          <w:bCs/>
        </w:rPr>
        <w:lastRenderedPageBreak/>
        <w:t>Reference list</w:t>
      </w:r>
    </w:p>
    <w:p w:rsidR="00FC0425" w:rsidRPr="00FC0425" w:rsidRDefault="00FC0425" w:rsidP="00FC0425">
      <w:pPr>
        <w:pStyle w:val="NormalWeb"/>
        <w:spacing w:before="0" w:beforeAutospacing="0" w:after="0" w:afterAutospacing="0" w:line="360" w:lineRule="auto"/>
        <w:jc w:val="both"/>
      </w:pPr>
      <w:r w:rsidRPr="00FC0425">
        <w:rPr>
          <w:color w:val="000000"/>
        </w:rPr>
        <w:t xml:space="preserve">Department of Health and Social Care, (2023) </w:t>
      </w:r>
      <w:r w:rsidRPr="00FC0425">
        <w:rPr>
          <w:i/>
          <w:iCs/>
          <w:color w:val="000000"/>
        </w:rPr>
        <w:t>Community Pharmacy Contractual Framework: 2019–2024.</w:t>
      </w:r>
      <w:r w:rsidRPr="00FC0425">
        <w:rPr>
          <w:color w:val="000000"/>
        </w:rPr>
        <w:t xml:space="preserve"> Available at: </w:t>
      </w:r>
      <w:hyperlink r:id="rId15" w:history="1">
        <w:r w:rsidRPr="00FC0425">
          <w:rPr>
            <w:rStyle w:val="Hyperlink"/>
            <w:color w:val="000000"/>
          </w:rPr>
          <w:t>https://www.gov.uk/</w:t>
        </w:r>
      </w:hyperlink>
      <w:r w:rsidRPr="00FC0425">
        <w:rPr>
          <w:color w:val="000000"/>
        </w:rPr>
        <w:t>  (Accessed: 12 October 2025).</w:t>
      </w:r>
      <w:r w:rsidRPr="00FC0425">
        <w:rPr>
          <w:color w:val="000000"/>
        </w:rPr>
        <w:br/>
        <w:t xml:space="preserve">General Pharmaceutical Council, (2024) </w:t>
      </w:r>
      <w:r w:rsidRPr="00FC0425">
        <w:rPr>
          <w:i/>
          <w:iCs/>
          <w:color w:val="000000"/>
        </w:rPr>
        <w:t>Annual Report 2024.</w:t>
      </w:r>
      <w:r w:rsidRPr="00FC0425">
        <w:rPr>
          <w:color w:val="000000"/>
        </w:rPr>
        <w:t xml:space="preserve"> Available at: </w:t>
      </w:r>
      <w:hyperlink r:id="rId16" w:history="1">
        <w:r w:rsidRPr="00FC0425">
          <w:rPr>
            <w:rStyle w:val="Hyperlink"/>
            <w:color w:val="000000"/>
          </w:rPr>
          <w:t>https://www.pharmacyregulation.org/</w:t>
        </w:r>
      </w:hyperlink>
      <w:r w:rsidRPr="00FC0425">
        <w:rPr>
          <w:color w:val="000000"/>
        </w:rPr>
        <w:t>  (Accessed: 12 October 2025).</w:t>
      </w:r>
      <w:r w:rsidRPr="00FC0425">
        <w:rPr>
          <w:color w:val="000000"/>
        </w:rPr>
        <w:br/>
        <w:t xml:space="preserve">NHS England, (2023) </w:t>
      </w:r>
      <w:r w:rsidRPr="00FC0425">
        <w:rPr>
          <w:i/>
          <w:iCs/>
          <w:color w:val="000000"/>
        </w:rPr>
        <w:t>Community Pharmacist Consultation Service.</w:t>
      </w:r>
      <w:r w:rsidRPr="00FC0425">
        <w:rPr>
          <w:color w:val="000000"/>
        </w:rPr>
        <w:t xml:space="preserve"> Available at: </w:t>
      </w:r>
      <w:hyperlink r:id="rId17" w:history="1">
        <w:r w:rsidRPr="00FC0425">
          <w:rPr>
            <w:rStyle w:val="Hyperlink"/>
            <w:color w:val="000000"/>
          </w:rPr>
          <w:t>https://www.england.nhs.uk/</w:t>
        </w:r>
      </w:hyperlink>
      <w:r w:rsidRPr="00FC0425">
        <w:rPr>
          <w:color w:val="000000"/>
        </w:rPr>
        <w:t>  (Accessed: 12 October 2025).</w:t>
      </w:r>
      <w:r w:rsidRPr="00FC0425">
        <w:rPr>
          <w:color w:val="000000"/>
        </w:rPr>
        <w:br/>
        <w:t xml:space="preserve">Pharmaceutical Services Negotiating Committee (PSNC) (2023) </w:t>
      </w:r>
      <w:r w:rsidRPr="00FC0425">
        <w:rPr>
          <w:i/>
          <w:iCs/>
          <w:color w:val="000000"/>
        </w:rPr>
        <w:t>Pharmacy Pressures Survey.</w:t>
      </w:r>
      <w:r w:rsidRPr="00FC0425">
        <w:rPr>
          <w:color w:val="000000"/>
        </w:rPr>
        <w:t xml:space="preserve"> Available at: https://psnc.org.uk/ (Accessed: 12 October 2025).</w:t>
      </w:r>
    </w:p>
    <w:p w:rsidR="00FC0425" w:rsidRPr="00FC0425" w:rsidRDefault="00FC0425" w:rsidP="00FC0425">
      <w:pPr>
        <w:pStyle w:val="NormalWeb"/>
        <w:spacing w:before="0" w:beforeAutospacing="0" w:after="0" w:afterAutospacing="0" w:line="360" w:lineRule="auto"/>
        <w:jc w:val="both"/>
      </w:pPr>
      <w:r w:rsidRPr="00FC0425">
        <w:rPr>
          <w:color w:val="000000"/>
        </w:rPr>
        <w:t xml:space="preserve">Pharmacymentor, (2024) </w:t>
      </w:r>
      <w:r w:rsidRPr="00FC0425">
        <w:rPr>
          <w:i/>
          <w:iCs/>
          <w:color w:val="000000"/>
        </w:rPr>
        <w:t xml:space="preserve">The New Pharmacy Model, </w:t>
      </w:r>
      <w:r w:rsidRPr="00FC0425">
        <w:rPr>
          <w:color w:val="000000"/>
        </w:rPr>
        <w:t xml:space="preserve">[Online]. Available at: </w:t>
      </w:r>
      <w:hyperlink r:id="rId18" w:history="1">
        <w:r w:rsidRPr="00FC0425">
          <w:rPr>
            <w:rStyle w:val="Hyperlink"/>
            <w:color w:val="000000"/>
          </w:rPr>
          <w:t>https://www.pharmacymentor.com/new-pharmacy-model/</w:t>
        </w:r>
      </w:hyperlink>
      <w:r w:rsidRPr="00FC0425">
        <w:rPr>
          <w:color w:val="000000"/>
        </w:rPr>
        <w:t xml:space="preserve">   (Accessed: 14/10/2025)</w:t>
      </w:r>
      <w:r w:rsidRPr="00FC0425">
        <w:rPr>
          <w:color w:val="000000"/>
        </w:rPr>
        <w:br/>
        <w:t xml:space="preserve">Royal Pharmaceutical Society (2022) </w:t>
      </w:r>
      <w:r w:rsidRPr="00FC0425">
        <w:rPr>
          <w:i/>
          <w:iCs/>
          <w:color w:val="000000"/>
        </w:rPr>
        <w:t>Workforce Wellbeing Survey.</w:t>
      </w:r>
      <w:r w:rsidRPr="00FC0425">
        <w:rPr>
          <w:color w:val="000000"/>
        </w:rPr>
        <w:t xml:space="preserve"> Available at: </w:t>
      </w:r>
      <w:hyperlink r:id="rId19" w:history="1">
        <w:r w:rsidRPr="00FC0425">
          <w:rPr>
            <w:rStyle w:val="Hyperlink"/>
            <w:color w:val="000000"/>
          </w:rPr>
          <w:t>https://www.rpharms.com/</w:t>
        </w:r>
      </w:hyperlink>
      <w:r w:rsidRPr="00FC0425">
        <w:rPr>
          <w:color w:val="000000"/>
        </w:rPr>
        <w:t>  (Accessed: 12 October 2025).</w:t>
      </w:r>
      <w:r w:rsidRPr="00FC0425">
        <w:rPr>
          <w:color w:val="000000"/>
        </w:rPr>
        <w:br/>
        <w:t xml:space="preserve">Rutter, P. (2020) </w:t>
      </w:r>
      <w:r w:rsidRPr="00FC0425">
        <w:rPr>
          <w:i/>
          <w:iCs/>
          <w:color w:val="000000"/>
        </w:rPr>
        <w:t>Community pharmacy: symptoms, diagnosis and treatment.</w:t>
      </w:r>
      <w:r w:rsidRPr="00FC0425">
        <w:rPr>
          <w:color w:val="000000"/>
        </w:rPr>
        <w:t xml:space="preserve"> 4th ed. Edinburgh: Elsevier.</w:t>
      </w:r>
    </w:p>
    <w:p w:rsidR="00FC0425" w:rsidRPr="00FC0425" w:rsidRDefault="00FC0425" w:rsidP="00FC0425">
      <w:pPr>
        <w:pStyle w:val="NormalWeb"/>
        <w:spacing w:before="0" w:beforeAutospacing="0" w:after="0" w:afterAutospacing="0" w:line="360" w:lineRule="auto"/>
        <w:jc w:val="both"/>
      </w:pPr>
      <w:r w:rsidRPr="00FC0425">
        <w:rPr>
          <w:color w:val="000000"/>
        </w:rPr>
        <w:t xml:space="preserve">Savickas, V., Foreman, E., Ladva, A., Bhamra, S.K., Sharma, R. and Corlett, S.A. (2021). Pharmacy services and role development in UK general practice: a cross-sectional survey. </w:t>
      </w:r>
      <w:r w:rsidRPr="00FC0425">
        <w:rPr>
          <w:i/>
          <w:iCs/>
          <w:color w:val="000000"/>
        </w:rPr>
        <w:t>International Journal of Pharmacy Practice</w:t>
      </w:r>
      <w:r w:rsidRPr="00FC0425">
        <w:rPr>
          <w:color w:val="000000"/>
        </w:rPr>
        <w:t xml:space="preserve">, </w:t>
      </w:r>
      <w:r w:rsidRPr="00FC0425">
        <w:rPr>
          <w:i/>
          <w:iCs/>
          <w:color w:val="000000"/>
        </w:rPr>
        <w:t>29</w:t>
      </w:r>
      <w:r w:rsidRPr="00FC0425">
        <w:rPr>
          <w:color w:val="000000"/>
        </w:rPr>
        <w:t>(1), pp.37-44.</w:t>
      </w:r>
      <w:r w:rsidRPr="00FC0425">
        <w:rPr>
          <w:color w:val="000000"/>
        </w:rPr>
        <w:br/>
        <w:t xml:space="preserve">The King’s Fund (2023) </w:t>
      </w:r>
      <w:r w:rsidRPr="00FC0425">
        <w:rPr>
          <w:i/>
          <w:iCs/>
          <w:color w:val="000000"/>
        </w:rPr>
        <w:t>NHS performance tracker 2023.</w:t>
      </w:r>
      <w:r w:rsidRPr="00FC0425">
        <w:rPr>
          <w:color w:val="000000"/>
        </w:rPr>
        <w:t xml:space="preserve"> Available at: https://www.kingsfund.org.uk/ (Accessed: 12 October 2025).</w:t>
      </w:r>
    </w:p>
    <w:p w:rsidR="00FC0425" w:rsidRPr="00FC0425" w:rsidRDefault="00FC0425" w:rsidP="00FC0425">
      <w:pPr>
        <w:pStyle w:val="NormalWeb"/>
        <w:spacing w:before="0" w:beforeAutospacing="0" w:after="0" w:afterAutospacing="0" w:line="360" w:lineRule="auto"/>
        <w:jc w:val="both"/>
      </w:pPr>
      <w:r w:rsidRPr="00FC0425">
        <w:rPr>
          <w:color w:val="000000"/>
        </w:rPr>
        <w:t xml:space="preserve">Raconteur, (2024) </w:t>
      </w:r>
      <w:r w:rsidRPr="00FC0425">
        <w:rPr>
          <w:i/>
          <w:iCs/>
          <w:color w:val="000000"/>
        </w:rPr>
        <w:t xml:space="preserve">Pharmacy Evolution. </w:t>
      </w:r>
      <w:r w:rsidRPr="00FC0425">
        <w:rPr>
          <w:color w:val="000000"/>
        </w:rPr>
        <w:t xml:space="preserve">[Online]. Available at: </w:t>
      </w:r>
      <w:hyperlink r:id="rId20" w:history="1">
        <w:r w:rsidRPr="00FC0425">
          <w:rPr>
            <w:rStyle w:val="Hyperlink"/>
            <w:color w:val="000000"/>
          </w:rPr>
          <w:t>https://www.raconteur.net/infographics/pharmacy-evolution</w:t>
        </w:r>
      </w:hyperlink>
      <w:r w:rsidRPr="00FC0425">
        <w:rPr>
          <w:color w:val="000000"/>
        </w:rPr>
        <w:t xml:space="preserve"> (Accessed: 12 October 2025)</w:t>
      </w:r>
    </w:p>
    <w:p w:rsidR="003D4A71" w:rsidRDefault="00FC0425" w:rsidP="00FC0425">
      <w:pPr>
        <w:spacing w:line="360" w:lineRule="auto"/>
        <w:jc w:val="both"/>
        <w:rPr>
          <w:rFonts w:ascii="Times New Roman" w:hAnsi="Times New Roman" w:cs="Times New Roman"/>
          <w:color w:val="000000"/>
          <w:sz w:val="24"/>
          <w:szCs w:val="24"/>
        </w:rPr>
      </w:pPr>
      <w:r w:rsidRPr="00FC0425">
        <w:rPr>
          <w:rFonts w:ascii="Times New Roman" w:hAnsi="Times New Roman" w:cs="Times New Roman"/>
          <w:color w:val="000000"/>
          <w:sz w:val="24"/>
          <w:szCs w:val="24"/>
        </w:rPr>
        <w:t xml:space="preserve">ScienceDirect, (2024) </w:t>
      </w:r>
      <w:r w:rsidRPr="00FC0425">
        <w:rPr>
          <w:rFonts w:ascii="Times New Roman" w:hAnsi="Times New Roman" w:cs="Times New Roman"/>
          <w:i/>
          <w:iCs/>
          <w:color w:val="000000"/>
          <w:sz w:val="24"/>
          <w:szCs w:val="24"/>
        </w:rPr>
        <w:t xml:space="preserve">Role of the pharmacist in research. </w:t>
      </w:r>
      <w:r w:rsidRPr="00FC0425">
        <w:rPr>
          <w:rFonts w:ascii="Times New Roman" w:hAnsi="Times New Roman" w:cs="Times New Roman"/>
          <w:color w:val="000000"/>
          <w:sz w:val="24"/>
          <w:szCs w:val="24"/>
        </w:rPr>
        <w:t xml:space="preserve">[Online]. Available at: </w:t>
      </w:r>
      <w:hyperlink r:id="rId21" w:history="1">
        <w:r w:rsidRPr="00FC0425">
          <w:rPr>
            <w:rStyle w:val="Hyperlink"/>
            <w:rFonts w:ascii="Times New Roman" w:hAnsi="Times New Roman" w:cs="Times New Roman"/>
            <w:color w:val="000000"/>
            <w:sz w:val="24"/>
            <w:szCs w:val="24"/>
          </w:rPr>
          <w:t>https://www.sciencedirect.com/science/article/abs/pii/B978012820007000043X</w:t>
        </w:r>
      </w:hyperlink>
      <w:r w:rsidRPr="00FC0425">
        <w:rPr>
          <w:rFonts w:ascii="Times New Roman" w:hAnsi="Times New Roman" w:cs="Times New Roman"/>
          <w:color w:val="000000"/>
          <w:sz w:val="24"/>
          <w:szCs w:val="24"/>
        </w:rPr>
        <w:t xml:space="preserve"> (Accessed: 12 October 2025)</w:t>
      </w:r>
    </w:p>
    <w:p w:rsidR="00FC0425" w:rsidRDefault="00FC0425">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AB7B70" w:rsidRPr="00AB7B70" w:rsidRDefault="00AB7B70" w:rsidP="00AB7B70">
      <w:pPr>
        <w:spacing w:after="0" w:line="360" w:lineRule="auto"/>
        <w:jc w:val="both"/>
        <w:outlineLvl w:val="0"/>
        <w:rPr>
          <w:rFonts w:ascii="Times New Roman" w:eastAsia="Times New Roman" w:hAnsi="Times New Roman" w:cs="Times New Roman"/>
          <w:b/>
          <w:bCs/>
          <w:kern w:val="36"/>
          <w:sz w:val="48"/>
          <w:szCs w:val="48"/>
          <w:lang w:val="en-US"/>
        </w:rPr>
      </w:pPr>
      <w:r w:rsidRPr="00AB7B70">
        <w:rPr>
          <w:rFonts w:ascii="Arial" w:eastAsia="Times New Roman" w:hAnsi="Arial" w:cs="Arial"/>
          <w:b/>
          <w:bCs/>
          <w:color w:val="000000"/>
          <w:kern w:val="36"/>
          <w:sz w:val="28"/>
          <w:szCs w:val="28"/>
          <w:lang w:val="en-US"/>
        </w:rPr>
        <w:lastRenderedPageBreak/>
        <w:t xml:space="preserve">Task 2: Essay – Origins and Current Structure of </w:t>
      </w:r>
      <w:r w:rsidRPr="00D37516">
        <w:rPr>
          <w:rFonts w:ascii="Arial" w:eastAsia="Times New Roman" w:hAnsi="Arial" w:cs="Arial"/>
          <w:bCs/>
          <w:color w:val="000000"/>
          <w:kern w:val="36"/>
          <w:sz w:val="28"/>
          <w:szCs w:val="28"/>
          <w:lang w:val="en-US"/>
        </w:rPr>
        <w:t>the</w:t>
      </w:r>
      <w:r w:rsidRPr="00AB7B70">
        <w:rPr>
          <w:rFonts w:ascii="Arial" w:eastAsia="Times New Roman" w:hAnsi="Arial" w:cs="Arial"/>
          <w:b/>
          <w:bCs/>
          <w:color w:val="000000"/>
          <w:kern w:val="36"/>
          <w:sz w:val="28"/>
          <w:szCs w:val="28"/>
          <w:lang w:val="en-US"/>
        </w:rPr>
        <w:t xml:space="preserve"> NHS </w:t>
      </w:r>
    </w:p>
    <w:p w:rsidR="00AB7B70" w:rsidRPr="00AB7B70" w:rsidRDefault="00AB7B70" w:rsidP="00AB7B70">
      <w:pPr>
        <w:spacing w:after="0" w:line="360" w:lineRule="auto"/>
        <w:jc w:val="both"/>
        <w:outlineLvl w:val="0"/>
        <w:rPr>
          <w:rFonts w:ascii="Times New Roman" w:eastAsia="Times New Roman" w:hAnsi="Times New Roman" w:cs="Times New Roman"/>
          <w:b/>
          <w:bCs/>
          <w:kern w:val="36"/>
          <w:sz w:val="48"/>
          <w:szCs w:val="48"/>
          <w:lang w:val="en-US"/>
        </w:rPr>
      </w:pPr>
      <w:r w:rsidRPr="00AB7B70">
        <w:rPr>
          <w:rFonts w:ascii="Arial" w:eastAsia="Times New Roman" w:hAnsi="Arial" w:cs="Arial"/>
          <w:b/>
          <w:bCs/>
          <w:color w:val="000000"/>
          <w:kern w:val="36"/>
          <w:sz w:val="28"/>
          <w:szCs w:val="28"/>
          <w:lang w:val="en-US"/>
        </w:rPr>
        <w:t>1.0 Introduction</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111111"/>
          <w:kern w:val="0"/>
          <w:lang w:val="en-US"/>
        </w:rPr>
        <w:t>The National Health Service (NHS) is one of the largest social reforms in the history of British.</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It was founded in 1948 with a mission of delivering comprehensive and free medical services to each citizen.</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This essay will cover the history of the NHS and the principles upon which it was established and then offer a critical discussion of the present structure and operation of the NHS</w:t>
      </w:r>
      <w:r w:rsidRPr="00AB7B70">
        <w:rPr>
          <w:rFonts w:ascii="Arial" w:eastAsia="Times New Roman" w:hAnsi="Arial" w:cs="Arial"/>
          <w:color w:val="000000"/>
          <w:kern w:val="0"/>
          <w:lang w:val="en-US"/>
        </w:rPr>
        <w:t>.</w:t>
      </w:r>
    </w:p>
    <w:p w:rsidR="00AB7B70" w:rsidRPr="00AB7B70" w:rsidRDefault="00AB7B70" w:rsidP="00AB7B70">
      <w:pPr>
        <w:spacing w:after="0" w:line="360" w:lineRule="auto"/>
        <w:jc w:val="both"/>
        <w:outlineLvl w:val="0"/>
        <w:rPr>
          <w:rFonts w:ascii="Times New Roman" w:eastAsia="Times New Roman" w:hAnsi="Times New Roman" w:cs="Times New Roman"/>
          <w:b/>
          <w:bCs/>
          <w:kern w:val="36"/>
          <w:sz w:val="48"/>
          <w:szCs w:val="48"/>
          <w:lang w:val="en-US"/>
        </w:rPr>
      </w:pPr>
      <w:r w:rsidRPr="00AB7B70">
        <w:rPr>
          <w:rFonts w:ascii="Arial" w:eastAsia="Times New Roman" w:hAnsi="Arial" w:cs="Arial"/>
          <w:b/>
          <w:bCs/>
          <w:color w:val="000000"/>
          <w:kern w:val="36"/>
          <w:sz w:val="28"/>
          <w:szCs w:val="28"/>
          <w:lang w:val="en-US"/>
        </w:rPr>
        <w:t>2.0 Main Body </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b/>
          <w:bCs/>
          <w:color w:val="000000"/>
          <w:kern w:val="0"/>
          <w:sz w:val="24"/>
          <w:szCs w:val="24"/>
          <w:lang w:val="en-US"/>
        </w:rPr>
        <w:t>Origins and Historical Context</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111111"/>
          <w:kern w:val="0"/>
          <w:lang w:val="en-US"/>
        </w:rPr>
        <w:t>The NHS has its origins in the social reform after the World War II.</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The destruction of the war led to the realization of the necessity of a combined health system that is available to everyone regardless of income.</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Prior to 1948, healthcare was dispersed, with voluntary hospitals, individual doctors, and services offered by local authorities having an uneven distribution of accessibility (</w:t>
      </w:r>
      <w:r w:rsidRPr="00AB7B70">
        <w:rPr>
          <w:rFonts w:ascii="Arial" w:eastAsia="Times New Roman" w:hAnsi="Arial" w:cs="Arial"/>
          <w:color w:val="000000"/>
          <w:kern w:val="0"/>
          <w:lang w:val="en-US"/>
        </w:rPr>
        <w:t>NHS England, 2023)</w:t>
      </w:r>
      <w:r w:rsidRPr="00AB7B70">
        <w:rPr>
          <w:rFonts w:ascii="Arial" w:eastAsia="Times New Roman" w:hAnsi="Arial" w:cs="Arial"/>
          <w:color w:val="111111"/>
          <w:kern w:val="0"/>
          <w:lang w:val="en-US"/>
        </w:rPr>
        <w:t>.</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The Beveridge Report (1942) suggested taking care of the five giants of Want, Disease, Ignorance, Squelor, and Idleness.</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This structure affected the National Health Service Act (1946), led by the Health Minister Aneurin Bevan.</w:t>
      </w:r>
      <w:r w:rsidRPr="00AB7B70">
        <w:rPr>
          <w:rFonts w:ascii="Arial" w:eastAsia="Times New Roman" w:hAnsi="Arial" w:cs="Arial"/>
          <w:color w:val="000000"/>
          <w:kern w:val="0"/>
          <w:lang w:val="en-US"/>
        </w:rPr>
        <w:t xml:space="preserve"> </w:t>
      </w:r>
      <w:r w:rsidRPr="00AB7B70">
        <w:rPr>
          <w:rFonts w:ascii="Arial" w:eastAsia="Times New Roman" w:hAnsi="Arial" w:cs="Arial"/>
          <w:color w:val="111111"/>
          <w:kern w:val="0"/>
          <w:lang w:val="en-US"/>
        </w:rPr>
        <w:t>Bevan had a vision of good healthcare made available to all, but funded by taxation and not direct payment</w:t>
      </w:r>
      <w:r w:rsidRPr="00AB7B70">
        <w:rPr>
          <w:rFonts w:ascii="Arial" w:eastAsia="Times New Roman" w:hAnsi="Arial" w:cs="Arial"/>
          <w:color w:val="000000"/>
          <w:kern w:val="0"/>
          <w:lang w:val="en-US"/>
        </w:rPr>
        <w:t>.</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b/>
          <w:bCs/>
          <w:color w:val="000000"/>
          <w:kern w:val="0"/>
          <w:sz w:val="24"/>
          <w:szCs w:val="24"/>
          <w:lang w:val="en-US"/>
        </w:rPr>
        <w:t>Key Principles of the NHS</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111111"/>
          <w:kern w:val="0"/>
          <w:lang w:val="en-US"/>
        </w:rPr>
        <w:t>The National Health Service (NHS) was developed on three principles that it was based on; these are the principles of universality (for all), equity (care according to need not ability to pay) and comprehensiveness (care that is needed, all care). These principles are still contained in health policy today and the NHS continues to be a symbol of fairness, equality and social responsibility (Astbury et al., 2024)</w:t>
      </w:r>
      <w:r w:rsidRPr="00AB7B70">
        <w:rPr>
          <w:rFonts w:ascii="Arial" w:eastAsia="Times New Roman" w:hAnsi="Arial" w:cs="Arial"/>
          <w:color w:val="000000"/>
          <w:kern w:val="0"/>
          <w:lang w:val="en-US"/>
        </w:rPr>
        <w:t>.</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b/>
          <w:bCs/>
          <w:color w:val="000000"/>
          <w:kern w:val="0"/>
          <w:sz w:val="24"/>
          <w:szCs w:val="24"/>
          <w:lang w:val="en-US"/>
        </w:rPr>
        <w:t>Current Structure and Functioning</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000000"/>
          <w:kern w:val="0"/>
          <w:lang w:val="en-US"/>
        </w:rPr>
        <w:t>The NHS operates in England, Scotland, Wales, and Northern Ireland, which are each run separately. In England, NHS England is responsible for overseeing the strategic delivery of NHS services in general through Integrated Care Systems (ICSs) launched in 2022 to promote better collaboration between hospitals, primary care, and community services (NHS England, 2024). Most of the NHS funding comes from general taxation, with total annual budgets greater than £180 billion (Office for National Statistics, 2024). Services are delivered through a mixed economy of primary care (GPs, dentists, and pharmacists), secondary care (hospitals), and tertiary specialty services. The NHS is involved in digital developments including electronic patient records and virtual consultations. However, the NHS still has issues with workforce shortages, increasing demand, and inadequate funding of NHS services (The King’s Fund. 2023).</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b/>
          <w:bCs/>
          <w:color w:val="000000"/>
          <w:kern w:val="0"/>
          <w:sz w:val="24"/>
          <w:szCs w:val="24"/>
          <w:lang w:val="en-US"/>
        </w:rPr>
        <w:lastRenderedPageBreak/>
        <w:t>Critical Examination</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000000"/>
          <w:kern w:val="0"/>
          <w:lang w:val="en-US"/>
        </w:rPr>
        <w:t>The NHS maintains its core principles; however, some - especially critics on the left - see austerity, the prospect of privatization, and a growing population as worrying developments that challenge the future of the NHS (Calnan, 2020). The introduction of the private provider as initiated by the Health and Social Care Act (Department of Health and Social Care, 2023), heightens concerns of NHS stakeholders potentially fragmenting the NHS. </w:t>
      </w:r>
    </w:p>
    <w:p w:rsidR="00AB7B70" w:rsidRPr="00AB7B70" w:rsidRDefault="00AB7B70" w:rsidP="00AB7B70">
      <w:pPr>
        <w:spacing w:after="0" w:line="360" w:lineRule="auto"/>
        <w:jc w:val="both"/>
        <w:outlineLvl w:val="0"/>
        <w:rPr>
          <w:rFonts w:ascii="Times New Roman" w:eastAsia="Times New Roman" w:hAnsi="Times New Roman" w:cs="Times New Roman"/>
          <w:b/>
          <w:bCs/>
          <w:kern w:val="36"/>
          <w:sz w:val="48"/>
          <w:szCs w:val="48"/>
          <w:lang w:val="en-US"/>
        </w:rPr>
      </w:pPr>
      <w:r w:rsidRPr="00AB7B70">
        <w:rPr>
          <w:rFonts w:ascii="Arial" w:eastAsia="Times New Roman" w:hAnsi="Arial" w:cs="Arial"/>
          <w:b/>
          <w:bCs/>
          <w:color w:val="000000"/>
          <w:kern w:val="36"/>
          <w:sz w:val="28"/>
          <w:szCs w:val="28"/>
          <w:lang w:val="en-US"/>
        </w:rPr>
        <w:t>3.0 Conclusion</w:t>
      </w:r>
    </w:p>
    <w:p w:rsidR="00AB7B70" w:rsidRPr="00AB7B70" w:rsidRDefault="00AB7B70" w:rsidP="00AB7B70">
      <w:pPr>
        <w:spacing w:after="0" w:line="360" w:lineRule="auto"/>
        <w:jc w:val="both"/>
        <w:rPr>
          <w:rFonts w:ascii="Times New Roman" w:eastAsia="Times New Roman" w:hAnsi="Times New Roman" w:cs="Times New Roman"/>
          <w:kern w:val="0"/>
          <w:sz w:val="24"/>
          <w:szCs w:val="24"/>
          <w:lang w:val="en-US"/>
        </w:rPr>
      </w:pPr>
      <w:r w:rsidRPr="00AB7B70">
        <w:rPr>
          <w:rFonts w:ascii="Arial" w:eastAsia="Times New Roman" w:hAnsi="Arial" w:cs="Arial"/>
          <w:color w:val="000000"/>
          <w:kern w:val="0"/>
          <w:lang w:val="en-US"/>
        </w:rPr>
        <w:t>On the concluding notes national health services departure of many forms and structures of service delivery, we still achieve world class health care. In efforts to construct a sustainable future, we can grapple with the systemic puzzles of early intervention and prevention, reform of long term care, (re)investing in workforce strategies, and the management and efficiency questions by embracing innovative known as innovation.</w:t>
      </w:r>
    </w:p>
    <w:p w:rsidR="00FC0425" w:rsidRDefault="00FC0425" w:rsidP="00FC0425">
      <w:pPr>
        <w:pStyle w:val="NormalWeb"/>
        <w:spacing w:before="0" w:beforeAutospacing="0" w:after="0" w:afterAutospacing="0"/>
        <w:jc w:val="both"/>
      </w:pPr>
    </w:p>
    <w:p w:rsidR="00FC0425" w:rsidRDefault="00FC0425">
      <w:pPr>
        <w:rPr>
          <w:rFonts w:ascii="Arial" w:eastAsia="Times New Roman" w:hAnsi="Arial" w:cs="Arial"/>
          <w:b/>
          <w:bCs/>
          <w:color w:val="000000"/>
          <w:kern w:val="36"/>
          <w:lang w:val="en-US"/>
        </w:rPr>
      </w:pPr>
      <w:r>
        <w:rPr>
          <w:rFonts w:ascii="Arial" w:hAnsi="Arial" w:cs="Arial"/>
          <w:color w:val="000000"/>
        </w:rPr>
        <w:br w:type="page"/>
      </w:r>
    </w:p>
    <w:p w:rsidR="00FC0425" w:rsidRDefault="00FC0425" w:rsidP="00FC0425">
      <w:pPr>
        <w:pStyle w:val="Heading1"/>
        <w:spacing w:before="0" w:beforeAutospacing="0" w:after="0" w:afterAutospacing="0"/>
        <w:jc w:val="both"/>
      </w:pPr>
      <w:r>
        <w:rPr>
          <w:rFonts w:ascii="Arial" w:hAnsi="Arial" w:cs="Arial"/>
          <w:color w:val="000000"/>
          <w:sz w:val="22"/>
          <w:szCs w:val="22"/>
        </w:rPr>
        <w:lastRenderedPageBreak/>
        <w:t>Reference List </w:t>
      </w:r>
    </w:p>
    <w:p w:rsidR="00FC0425" w:rsidRPr="00FC0425" w:rsidRDefault="00FC0425" w:rsidP="00FC0425">
      <w:pPr>
        <w:spacing w:line="360" w:lineRule="auto"/>
        <w:jc w:val="both"/>
        <w:rPr>
          <w:rFonts w:ascii="Times New Roman" w:hAnsi="Times New Roman" w:cs="Times New Roman"/>
          <w:b/>
          <w:bCs/>
          <w:sz w:val="24"/>
          <w:szCs w:val="24"/>
        </w:rPr>
      </w:pPr>
      <w:r>
        <w:rPr>
          <w:rFonts w:ascii="Arial" w:hAnsi="Arial" w:cs="Arial"/>
          <w:color w:val="000000"/>
        </w:rPr>
        <w:t>Astbury, J.L., Jacobs, S., McDermott, I., Willis, S.C., Moss, A., Stearns, S., Fenton, C., Hindi, A.M., Seston, E.M. and Schafheutle, E.I. (2024). Workforce development in community pharmacies in England: Opportunities and tensions for a private sector provider of NHS services. PloS one, 19(11), p.e0310332.</w:t>
      </w:r>
      <w:r>
        <w:rPr>
          <w:rFonts w:ascii="Arial" w:hAnsi="Arial" w:cs="Arial"/>
          <w:color w:val="000000"/>
        </w:rPr>
        <w:br/>
        <w:t xml:space="preserve">Calnan, M. (2020). 23. Health policy: in sickness and in health. </w:t>
      </w:r>
      <w:r>
        <w:rPr>
          <w:rFonts w:ascii="Arial" w:hAnsi="Arial" w:cs="Arial"/>
          <w:i/>
          <w:iCs/>
          <w:color w:val="000000"/>
        </w:rPr>
        <w:t>Handbook on Society and Social Policy</w:t>
      </w:r>
      <w:r>
        <w:rPr>
          <w:rFonts w:ascii="Arial" w:hAnsi="Arial" w:cs="Arial"/>
          <w:color w:val="000000"/>
        </w:rPr>
        <w:t>, p.306.</w:t>
      </w:r>
      <w:r>
        <w:rPr>
          <w:rFonts w:ascii="Arial" w:hAnsi="Arial" w:cs="Arial"/>
          <w:color w:val="000000"/>
        </w:rPr>
        <w:br/>
        <w:t xml:space="preserve">Department of Health and Social Care, (2023) </w:t>
      </w:r>
      <w:r>
        <w:rPr>
          <w:rFonts w:ascii="Arial" w:hAnsi="Arial" w:cs="Arial"/>
          <w:i/>
          <w:iCs/>
          <w:color w:val="000000"/>
        </w:rPr>
        <w:t>Community Pharmacy Contractual Framework: 2019–2024.</w:t>
      </w:r>
      <w:r>
        <w:rPr>
          <w:rFonts w:ascii="Arial" w:hAnsi="Arial" w:cs="Arial"/>
          <w:color w:val="000000"/>
        </w:rPr>
        <w:t xml:space="preserve"> Available at: </w:t>
      </w:r>
      <w:hyperlink r:id="rId22" w:history="1">
        <w:r>
          <w:rPr>
            <w:rStyle w:val="Hyperlink"/>
            <w:rFonts w:ascii="Arial" w:hAnsi="Arial" w:cs="Arial"/>
            <w:color w:val="1155CC"/>
          </w:rPr>
          <w:t>https://www.gov.uk/</w:t>
        </w:r>
      </w:hyperlink>
      <w:r>
        <w:rPr>
          <w:rFonts w:ascii="Arial" w:hAnsi="Arial" w:cs="Arial"/>
          <w:color w:val="000000"/>
        </w:rPr>
        <w:t>  (Accessed: 12 October 2025).</w:t>
      </w:r>
      <w:r>
        <w:rPr>
          <w:rFonts w:ascii="Arial" w:hAnsi="Arial" w:cs="Arial"/>
          <w:color w:val="000000"/>
        </w:rPr>
        <w:br/>
        <w:t xml:space="preserve">General Pharmaceutical Council, (2024) </w:t>
      </w:r>
      <w:r>
        <w:rPr>
          <w:rFonts w:ascii="Arial" w:hAnsi="Arial" w:cs="Arial"/>
          <w:i/>
          <w:iCs/>
          <w:color w:val="000000"/>
        </w:rPr>
        <w:t>Annual Report 2024.</w:t>
      </w:r>
      <w:r>
        <w:rPr>
          <w:rFonts w:ascii="Arial" w:hAnsi="Arial" w:cs="Arial"/>
          <w:color w:val="000000"/>
        </w:rPr>
        <w:t xml:space="preserve"> Available at: </w:t>
      </w:r>
      <w:hyperlink r:id="rId23" w:history="1">
        <w:r>
          <w:rPr>
            <w:rStyle w:val="Hyperlink"/>
            <w:rFonts w:ascii="Arial" w:hAnsi="Arial" w:cs="Arial"/>
            <w:color w:val="1155CC"/>
          </w:rPr>
          <w:t>https://www.pharmacyregulation.org/</w:t>
        </w:r>
      </w:hyperlink>
      <w:r>
        <w:rPr>
          <w:rFonts w:ascii="Arial" w:hAnsi="Arial" w:cs="Arial"/>
          <w:color w:val="000000"/>
        </w:rPr>
        <w:t>  (Accessed: 12 October 2025).</w:t>
      </w:r>
      <w:r>
        <w:rPr>
          <w:rFonts w:ascii="Arial" w:hAnsi="Arial" w:cs="Arial"/>
          <w:color w:val="000000"/>
        </w:rPr>
        <w:br/>
        <w:t xml:space="preserve">NHS England, (2023) </w:t>
      </w:r>
      <w:r>
        <w:rPr>
          <w:rFonts w:ascii="Arial" w:hAnsi="Arial" w:cs="Arial"/>
          <w:i/>
          <w:iCs/>
          <w:color w:val="000000"/>
        </w:rPr>
        <w:t>Community Pharmacist Consultation Service.</w:t>
      </w:r>
      <w:r>
        <w:rPr>
          <w:rFonts w:ascii="Arial" w:hAnsi="Arial" w:cs="Arial"/>
          <w:color w:val="000000"/>
        </w:rPr>
        <w:t xml:space="preserve"> Available at: </w:t>
      </w:r>
      <w:hyperlink r:id="rId24" w:history="1">
        <w:r>
          <w:rPr>
            <w:rStyle w:val="Hyperlink"/>
            <w:rFonts w:ascii="Arial" w:hAnsi="Arial" w:cs="Arial"/>
            <w:color w:val="1155CC"/>
          </w:rPr>
          <w:t>https://www.england.nhs.uk/</w:t>
        </w:r>
      </w:hyperlink>
      <w:r>
        <w:rPr>
          <w:rFonts w:ascii="Arial" w:hAnsi="Arial" w:cs="Arial"/>
          <w:color w:val="000000"/>
        </w:rPr>
        <w:t>  (Accessed: 12 October 2025).</w:t>
      </w:r>
      <w:r>
        <w:rPr>
          <w:rFonts w:ascii="Arial" w:hAnsi="Arial" w:cs="Arial"/>
          <w:color w:val="000000"/>
        </w:rPr>
        <w:br/>
        <w:t xml:space="preserve">NHS England (2024) </w:t>
      </w:r>
      <w:r>
        <w:rPr>
          <w:rFonts w:ascii="Arial" w:hAnsi="Arial" w:cs="Arial"/>
          <w:i/>
          <w:iCs/>
          <w:color w:val="000000"/>
        </w:rPr>
        <w:t>Integrated Care Systems Overview.</w:t>
      </w:r>
      <w:r>
        <w:rPr>
          <w:rFonts w:ascii="Arial" w:hAnsi="Arial" w:cs="Arial"/>
          <w:color w:val="000000"/>
        </w:rPr>
        <w:t xml:space="preserve"> Available at: </w:t>
      </w:r>
      <w:hyperlink r:id="rId25" w:history="1">
        <w:r>
          <w:rPr>
            <w:rStyle w:val="Hyperlink"/>
            <w:rFonts w:ascii="Arial" w:hAnsi="Arial" w:cs="Arial"/>
            <w:color w:val="1155CC"/>
          </w:rPr>
          <w:t>https://www.england.nhs.uk/</w:t>
        </w:r>
      </w:hyperlink>
      <w:r>
        <w:rPr>
          <w:rFonts w:ascii="Arial" w:hAnsi="Arial" w:cs="Arial"/>
          <w:color w:val="000000"/>
        </w:rPr>
        <w:t>  (Accessed: 12 October 2025).</w:t>
      </w:r>
      <w:r>
        <w:rPr>
          <w:rFonts w:ascii="Arial" w:hAnsi="Arial" w:cs="Arial"/>
          <w:color w:val="000000"/>
        </w:rPr>
        <w:br/>
        <w:t xml:space="preserve">Office for National Statistics, (2024) </w:t>
      </w:r>
      <w:r>
        <w:rPr>
          <w:rFonts w:ascii="Arial" w:hAnsi="Arial" w:cs="Arial"/>
          <w:i/>
          <w:iCs/>
          <w:color w:val="000000"/>
        </w:rPr>
        <w:t>UK Healthcare Expenditure 2024.</w:t>
      </w:r>
      <w:r>
        <w:rPr>
          <w:rFonts w:ascii="Arial" w:hAnsi="Arial" w:cs="Arial"/>
          <w:color w:val="000000"/>
        </w:rPr>
        <w:t xml:space="preserve"> Available at: </w:t>
      </w:r>
      <w:hyperlink r:id="rId26" w:history="1">
        <w:r>
          <w:rPr>
            <w:rStyle w:val="Hyperlink"/>
            <w:rFonts w:ascii="Arial" w:hAnsi="Arial" w:cs="Arial"/>
            <w:color w:val="1155CC"/>
          </w:rPr>
          <w:t>https://www.ons.gov.uk/</w:t>
        </w:r>
      </w:hyperlink>
      <w:r>
        <w:rPr>
          <w:rFonts w:ascii="Arial" w:hAnsi="Arial" w:cs="Arial"/>
          <w:color w:val="000000"/>
        </w:rPr>
        <w:t>  (Accessed: 12 October 2025).</w:t>
      </w:r>
      <w:r>
        <w:rPr>
          <w:rFonts w:ascii="Arial" w:hAnsi="Arial" w:cs="Arial"/>
          <w:color w:val="000000"/>
        </w:rPr>
        <w:br/>
        <w:t xml:space="preserve">The King’s Fund. (2023) </w:t>
      </w:r>
      <w:r>
        <w:rPr>
          <w:rFonts w:ascii="Arial" w:hAnsi="Arial" w:cs="Arial"/>
          <w:i/>
          <w:iCs/>
          <w:color w:val="000000"/>
        </w:rPr>
        <w:t>NHS performance tracker 2023.</w:t>
      </w:r>
      <w:r>
        <w:rPr>
          <w:rFonts w:ascii="Arial" w:hAnsi="Arial" w:cs="Arial"/>
          <w:color w:val="000000"/>
        </w:rPr>
        <w:t xml:space="preserve"> Available at: https://www.kingsfund.org.uk/ (Accessed: 12 October 2025).</w:t>
      </w:r>
    </w:p>
    <w:sectPr w:rsidR="00FC0425" w:rsidRPr="00FC0425" w:rsidSect="00346E26">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306E" w:rsidRDefault="00FB306E" w:rsidP="00D37516">
      <w:pPr>
        <w:spacing w:after="0" w:line="240" w:lineRule="auto"/>
      </w:pPr>
      <w:r>
        <w:separator/>
      </w:r>
    </w:p>
  </w:endnote>
  <w:endnote w:type="continuationSeparator" w:id="0">
    <w:p w:rsidR="00FB306E" w:rsidRDefault="00FB306E" w:rsidP="00D37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306E" w:rsidRDefault="00FB306E" w:rsidP="00D37516">
      <w:pPr>
        <w:spacing w:after="0" w:line="240" w:lineRule="auto"/>
      </w:pPr>
      <w:r>
        <w:separator/>
      </w:r>
    </w:p>
  </w:footnote>
  <w:footnote w:type="continuationSeparator" w:id="0">
    <w:p w:rsidR="00FB306E" w:rsidRDefault="00FB306E" w:rsidP="00D37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2DF4"/>
    <w:multiLevelType w:val="hybridMultilevel"/>
    <w:tmpl w:val="56F68CD2"/>
    <w:lvl w:ilvl="0" w:tplc="CEFC20D6">
      <w:start w:val="1"/>
      <w:numFmt w:val="bullet"/>
      <w:lvlText w:val=""/>
      <w:lvlJc w:val="left"/>
      <w:pPr>
        <w:tabs>
          <w:tab w:val="num" w:pos="720"/>
        </w:tabs>
        <w:ind w:left="720" w:hanging="360"/>
      </w:pPr>
      <w:rPr>
        <w:rFonts w:ascii="Wingdings" w:hAnsi="Wingdings" w:hint="default"/>
      </w:rPr>
    </w:lvl>
    <w:lvl w:ilvl="1" w:tplc="3836C360" w:tentative="1">
      <w:start w:val="1"/>
      <w:numFmt w:val="bullet"/>
      <w:lvlText w:val=""/>
      <w:lvlJc w:val="left"/>
      <w:pPr>
        <w:tabs>
          <w:tab w:val="num" w:pos="1440"/>
        </w:tabs>
        <w:ind w:left="1440" w:hanging="360"/>
      </w:pPr>
      <w:rPr>
        <w:rFonts w:ascii="Wingdings" w:hAnsi="Wingdings" w:hint="default"/>
      </w:rPr>
    </w:lvl>
    <w:lvl w:ilvl="2" w:tplc="B3A08AAC" w:tentative="1">
      <w:start w:val="1"/>
      <w:numFmt w:val="bullet"/>
      <w:lvlText w:val=""/>
      <w:lvlJc w:val="left"/>
      <w:pPr>
        <w:tabs>
          <w:tab w:val="num" w:pos="2160"/>
        </w:tabs>
        <w:ind w:left="2160" w:hanging="360"/>
      </w:pPr>
      <w:rPr>
        <w:rFonts w:ascii="Wingdings" w:hAnsi="Wingdings" w:hint="default"/>
      </w:rPr>
    </w:lvl>
    <w:lvl w:ilvl="3" w:tplc="858EFA10" w:tentative="1">
      <w:start w:val="1"/>
      <w:numFmt w:val="bullet"/>
      <w:lvlText w:val=""/>
      <w:lvlJc w:val="left"/>
      <w:pPr>
        <w:tabs>
          <w:tab w:val="num" w:pos="2880"/>
        </w:tabs>
        <w:ind w:left="2880" w:hanging="360"/>
      </w:pPr>
      <w:rPr>
        <w:rFonts w:ascii="Wingdings" w:hAnsi="Wingdings" w:hint="default"/>
      </w:rPr>
    </w:lvl>
    <w:lvl w:ilvl="4" w:tplc="F59AA7D4" w:tentative="1">
      <w:start w:val="1"/>
      <w:numFmt w:val="bullet"/>
      <w:lvlText w:val=""/>
      <w:lvlJc w:val="left"/>
      <w:pPr>
        <w:tabs>
          <w:tab w:val="num" w:pos="3600"/>
        </w:tabs>
        <w:ind w:left="3600" w:hanging="360"/>
      </w:pPr>
      <w:rPr>
        <w:rFonts w:ascii="Wingdings" w:hAnsi="Wingdings" w:hint="default"/>
      </w:rPr>
    </w:lvl>
    <w:lvl w:ilvl="5" w:tplc="EE2C964E" w:tentative="1">
      <w:start w:val="1"/>
      <w:numFmt w:val="bullet"/>
      <w:lvlText w:val=""/>
      <w:lvlJc w:val="left"/>
      <w:pPr>
        <w:tabs>
          <w:tab w:val="num" w:pos="4320"/>
        </w:tabs>
        <w:ind w:left="4320" w:hanging="360"/>
      </w:pPr>
      <w:rPr>
        <w:rFonts w:ascii="Wingdings" w:hAnsi="Wingdings" w:hint="default"/>
      </w:rPr>
    </w:lvl>
    <w:lvl w:ilvl="6" w:tplc="D07CA2BA" w:tentative="1">
      <w:start w:val="1"/>
      <w:numFmt w:val="bullet"/>
      <w:lvlText w:val=""/>
      <w:lvlJc w:val="left"/>
      <w:pPr>
        <w:tabs>
          <w:tab w:val="num" w:pos="5040"/>
        </w:tabs>
        <w:ind w:left="5040" w:hanging="360"/>
      </w:pPr>
      <w:rPr>
        <w:rFonts w:ascii="Wingdings" w:hAnsi="Wingdings" w:hint="default"/>
      </w:rPr>
    </w:lvl>
    <w:lvl w:ilvl="7" w:tplc="61C67390" w:tentative="1">
      <w:start w:val="1"/>
      <w:numFmt w:val="bullet"/>
      <w:lvlText w:val=""/>
      <w:lvlJc w:val="left"/>
      <w:pPr>
        <w:tabs>
          <w:tab w:val="num" w:pos="5760"/>
        </w:tabs>
        <w:ind w:left="5760" w:hanging="360"/>
      </w:pPr>
      <w:rPr>
        <w:rFonts w:ascii="Wingdings" w:hAnsi="Wingdings" w:hint="default"/>
      </w:rPr>
    </w:lvl>
    <w:lvl w:ilvl="8" w:tplc="F51CDA7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47437F"/>
    <w:multiLevelType w:val="hybridMultilevel"/>
    <w:tmpl w:val="339EA6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320653"/>
    <w:multiLevelType w:val="hybridMultilevel"/>
    <w:tmpl w:val="8D6AC73C"/>
    <w:lvl w:ilvl="0" w:tplc="E49E0362">
      <w:start w:val="1"/>
      <w:numFmt w:val="bullet"/>
      <w:lvlText w:val=""/>
      <w:lvlJc w:val="left"/>
      <w:pPr>
        <w:tabs>
          <w:tab w:val="num" w:pos="720"/>
        </w:tabs>
        <w:ind w:left="720" w:hanging="360"/>
      </w:pPr>
      <w:rPr>
        <w:rFonts w:ascii="Wingdings" w:hAnsi="Wingdings" w:hint="default"/>
      </w:rPr>
    </w:lvl>
    <w:lvl w:ilvl="1" w:tplc="1564F71E" w:tentative="1">
      <w:start w:val="1"/>
      <w:numFmt w:val="bullet"/>
      <w:lvlText w:val=""/>
      <w:lvlJc w:val="left"/>
      <w:pPr>
        <w:tabs>
          <w:tab w:val="num" w:pos="1440"/>
        </w:tabs>
        <w:ind w:left="1440" w:hanging="360"/>
      </w:pPr>
      <w:rPr>
        <w:rFonts w:ascii="Wingdings" w:hAnsi="Wingdings" w:hint="default"/>
      </w:rPr>
    </w:lvl>
    <w:lvl w:ilvl="2" w:tplc="C95A28A6" w:tentative="1">
      <w:start w:val="1"/>
      <w:numFmt w:val="bullet"/>
      <w:lvlText w:val=""/>
      <w:lvlJc w:val="left"/>
      <w:pPr>
        <w:tabs>
          <w:tab w:val="num" w:pos="2160"/>
        </w:tabs>
        <w:ind w:left="2160" w:hanging="360"/>
      </w:pPr>
      <w:rPr>
        <w:rFonts w:ascii="Wingdings" w:hAnsi="Wingdings" w:hint="default"/>
      </w:rPr>
    </w:lvl>
    <w:lvl w:ilvl="3" w:tplc="BBB22DF2" w:tentative="1">
      <w:start w:val="1"/>
      <w:numFmt w:val="bullet"/>
      <w:lvlText w:val=""/>
      <w:lvlJc w:val="left"/>
      <w:pPr>
        <w:tabs>
          <w:tab w:val="num" w:pos="2880"/>
        </w:tabs>
        <w:ind w:left="2880" w:hanging="360"/>
      </w:pPr>
      <w:rPr>
        <w:rFonts w:ascii="Wingdings" w:hAnsi="Wingdings" w:hint="default"/>
      </w:rPr>
    </w:lvl>
    <w:lvl w:ilvl="4" w:tplc="057A72A0" w:tentative="1">
      <w:start w:val="1"/>
      <w:numFmt w:val="bullet"/>
      <w:lvlText w:val=""/>
      <w:lvlJc w:val="left"/>
      <w:pPr>
        <w:tabs>
          <w:tab w:val="num" w:pos="3600"/>
        </w:tabs>
        <w:ind w:left="3600" w:hanging="360"/>
      </w:pPr>
      <w:rPr>
        <w:rFonts w:ascii="Wingdings" w:hAnsi="Wingdings" w:hint="default"/>
      </w:rPr>
    </w:lvl>
    <w:lvl w:ilvl="5" w:tplc="F982B6E4" w:tentative="1">
      <w:start w:val="1"/>
      <w:numFmt w:val="bullet"/>
      <w:lvlText w:val=""/>
      <w:lvlJc w:val="left"/>
      <w:pPr>
        <w:tabs>
          <w:tab w:val="num" w:pos="4320"/>
        </w:tabs>
        <w:ind w:left="4320" w:hanging="360"/>
      </w:pPr>
      <w:rPr>
        <w:rFonts w:ascii="Wingdings" w:hAnsi="Wingdings" w:hint="default"/>
      </w:rPr>
    </w:lvl>
    <w:lvl w:ilvl="6" w:tplc="F8A8D5DE" w:tentative="1">
      <w:start w:val="1"/>
      <w:numFmt w:val="bullet"/>
      <w:lvlText w:val=""/>
      <w:lvlJc w:val="left"/>
      <w:pPr>
        <w:tabs>
          <w:tab w:val="num" w:pos="5040"/>
        </w:tabs>
        <w:ind w:left="5040" w:hanging="360"/>
      </w:pPr>
      <w:rPr>
        <w:rFonts w:ascii="Wingdings" w:hAnsi="Wingdings" w:hint="default"/>
      </w:rPr>
    </w:lvl>
    <w:lvl w:ilvl="7" w:tplc="1C160110" w:tentative="1">
      <w:start w:val="1"/>
      <w:numFmt w:val="bullet"/>
      <w:lvlText w:val=""/>
      <w:lvlJc w:val="left"/>
      <w:pPr>
        <w:tabs>
          <w:tab w:val="num" w:pos="5760"/>
        </w:tabs>
        <w:ind w:left="5760" w:hanging="360"/>
      </w:pPr>
      <w:rPr>
        <w:rFonts w:ascii="Wingdings" w:hAnsi="Wingdings" w:hint="default"/>
      </w:rPr>
    </w:lvl>
    <w:lvl w:ilvl="8" w:tplc="2CB8E1E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AB8670E"/>
    <w:multiLevelType w:val="hybridMultilevel"/>
    <w:tmpl w:val="C2782724"/>
    <w:lvl w:ilvl="0" w:tplc="F796E272">
      <w:start w:val="1"/>
      <w:numFmt w:val="bullet"/>
      <w:lvlText w:val=""/>
      <w:lvlJc w:val="left"/>
      <w:pPr>
        <w:tabs>
          <w:tab w:val="num" w:pos="360"/>
        </w:tabs>
        <w:ind w:left="360" w:hanging="360"/>
      </w:pPr>
      <w:rPr>
        <w:rFonts w:ascii="Wingdings" w:hAnsi="Wingdings" w:hint="default"/>
      </w:rPr>
    </w:lvl>
    <w:lvl w:ilvl="1" w:tplc="F4F4BCCC" w:tentative="1">
      <w:start w:val="1"/>
      <w:numFmt w:val="bullet"/>
      <w:lvlText w:val=""/>
      <w:lvlJc w:val="left"/>
      <w:pPr>
        <w:tabs>
          <w:tab w:val="num" w:pos="1440"/>
        </w:tabs>
        <w:ind w:left="1440" w:hanging="360"/>
      </w:pPr>
      <w:rPr>
        <w:rFonts w:ascii="Wingdings" w:hAnsi="Wingdings" w:hint="default"/>
      </w:rPr>
    </w:lvl>
    <w:lvl w:ilvl="2" w:tplc="7396A4C2" w:tentative="1">
      <w:start w:val="1"/>
      <w:numFmt w:val="bullet"/>
      <w:lvlText w:val=""/>
      <w:lvlJc w:val="left"/>
      <w:pPr>
        <w:tabs>
          <w:tab w:val="num" w:pos="2160"/>
        </w:tabs>
        <w:ind w:left="2160" w:hanging="360"/>
      </w:pPr>
      <w:rPr>
        <w:rFonts w:ascii="Wingdings" w:hAnsi="Wingdings" w:hint="default"/>
      </w:rPr>
    </w:lvl>
    <w:lvl w:ilvl="3" w:tplc="47ACF598" w:tentative="1">
      <w:start w:val="1"/>
      <w:numFmt w:val="bullet"/>
      <w:lvlText w:val=""/>
      <w:lvlJc w:val="left"/>
      <w:pPr>
        <w:tabs>
          <w:tab w:val="num" w:pos="2880"/>
        </w:tabs>
        <w:ind w:left="2880" w:hanging="360"/>
      </w:pPr>
      <w:rPr>
        <w:rFonts w:ascii="Wingdings" w:hAnsi="Wingdings" w:hint="default"/>
      </w:rPr>
    </w:lvl>
    <w:lvl w:ilvl="4" w:tplc="55527F24" w:tentative="1">
      <w:start w:val="1"/>
      <w:numFmt w:val="bullet"/>
      <w:lvlText w:val=""/>
      <w:lvlJc w:val="left"/>
      <w:pPr>
        <w:tabs>
          <w:tab w:val="num" w:pos="3600"/>
        </w:tabs>
        <w:ind w:left="3600" w:hanging="360"/>
      </w:pPr>
      <w:rPr>
        <w:rFonts w:ascii="Wingdings" w:hAnsi="Wingdings" w:hint="default"/>
      </w:rPr>
    </w:lvl>
    <w:lvl w:ilvl="5" w:tplc="E47041E6" w:tentative="1">
      <w:start w:val="1"/>
      <w:numFmt w:val="bullet"/>
      <w:lvlText w:val=""/>
      <w:lvlJc w:val="left"/>
      <w:pPr>
        <w:tabs>
          <w:tab w:val="num" w:pos="4320"/>
        </w:tabs>
        <w:ind w:left="4320" w:hanging="360"/>
      </w:pPr>
      <w:rPr>
        <w:rFonts w:ascii="Wingdings" w:hAnsi="Wingdings" w:hint="default"/>
      </w:rPr>
    </w:lvl>
    <w:lvl w:ilvl="6" w:tplc="60DAE84C" w:tentative="1">
      <w:start w:val="1"/>
      <w:numFmt w:val="bullet"/>
      <w:lvlText w:val=""/>
      <w:lvlJc w:val="left"/>
      <w:pPr>
        <w:tabs>
          <w:tab w:val="num" w:pos="5040"/>
        </w:tabs>
        <w:ind w:left="5040" w:hanging="360"/>
      </w:pPr>
      <w:rPr>
        <w:rFonts w:ascii="Wingdings" w:hAnsi="Wingdings" w:hint="default"/>
      </w:rPr>
    </w:lvl>
    <w:lvl w:ilvl="7" w:tplc="3C726662" w:tentative="1">
      <w:start w:val="1"/>
      <w:numFmt w:val="bullet"/>
      <w:lvlText w:val=""/>
      <w:lvlJc w:val="left"/>
      <w:pPr>
        <w:tabs>
          <w:tab w:val="num" w:pos="5760"/>
        </w:tabs>
        <w:ind w:left="5760" w:hanging="360"/>
      </w:pPr>
      <w:rPr>
        <w:rFonts w:ascii="Wingdings" w:hAnsi="Wingdings" w:hint="default"/>
      </w:rPr>
    </w:lvl>
    <w:lvl w:ilvl="8" w:tplc="372A9CC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3F4397"/>
    <w:multiLevelType w:val="hybridMultilevel"/>
    <w:tmpl w:val="78CEF6CA"/>
    <w:lvl w:ilvl="0" w:tplc="5C26778E">
      <w:start w:val="1"/>
      <w:numFmt w:val="bullet"/>
      <w:lvlText w:val=""/>
      <w:lvlJc w:val="left"/>
      <w:pPr>
        <w:tabs>
          <w:tab w:val="num" w:pos="720"/>
        </w:tabs>
        <w:ind w:left="720" w:hanging="360"/>
      </w:pPr>
      <w:rPr>
        <w:rFonts w:ascii="Wingdings" w:hAnsi="Wingdings" w:hint="default"/>
      </w:rPr>
    </w:lvl>
    <w:lvl w:ilvl="1" w:tplc="1B9CAC6A" w:tentative="1">
      <w:start w:val="1"/>
      <w:numFmt w:val="bullet"/>
      <w:lvlText w:val=""/>
      <w:lvlJc w:val="left"/>
      <w:pPr>
        <w:tabs>
          <w:tab w:val="num" w:pos="1440"/>
        </w:tabs>
        <w:ind w:left="1440" w:hanging="360"/>
      </w:pPr>
      <w:rPr>
        <w:rFonts w:ascii="Wingdings" w:hAnsi="Wingdings" w:hint="default"/>
      </w:rPr>
    </w:lvl>
    <w:lvl w:ilvl="2" w:tplc="FBDCEA36" w:tentative="1">
      <w:start w:val="1"/>
      <w:numFmt w:val="bullet"/>
      <w:lvlText w:val=""/>
      <w:lvlJc w:val="left"/>
      <w:pPr>
        <w:tabs>
          <w:tab w:val="num" w:pos="2160"/>
        </w:tabs>
        <w:ind w:left="2160" w:hanging="360"/>
      </w:pPr>
      <w:rPr>
        <w:rFonts w:ascii="Wingdings" w:hAnsi="Wingdings" w:hint="default"/>
      </w:rPr>
    </w:lvl>
    <w:lvl w:ilvl="3" w:tplc="B4081386" w:tentative="1">
      <w:start w:val="1"/>
      <w:numFmt w:val="bullet"/>
      <w:lvlText w:val=""/>
      <w:lvlJc w:val="left"/>
      <w:pPr>
        <w:tabs>
          <w:tab w:val="num" w:pos="2880"/>
        </w:tabs>
        <w:ind w:left="2880" w:hanging="360"/>
      </w:pPr>
      <w:rPr>
        <w:rFonts w:ascii="Wingdings" w:hAnsi="Wingdings" w:hint="default"/>
      </w:rPr>
    </w:lvl>
    <w:lvl w:ilvl="4" w:tplc="57E8C8E4" w:tentative="1">
      <w:start w:val="1"/>
      <w:numFmt w:val="bullet"/>
      <w:lvlText w:val=""/>
      <w:lvlJc w:val="left"/>
      <w:pPr>
        <w:tabs>
          <w:tab w:val="num" w:pos="3600"/>
        </w:tabs>
        <w:ind w:left="3600" w:hanging="360"/>
      </w:pPr>
      <w:rPr>
        <w:rFonts w:ascii="Wingdings" w:hAnsi="Wingdings" w:hint="default"/>
      </w:rPr>
    </w:lvl>
    <w:lvl w:ilvl="5" w:tplc="537E87A0" w:tentative="1">
      <w:start w:val="1"/>
      <w:numFmt w:val="bullet"/>
      <w:lvlText w:val=""/>
      <w:lvlJc w:val="left"/>
      <w:pPr>
        <w:tabs>
          <w:tab w:val="num" w:pos="4320"/>
        </w:tabs>
        <w:ind w:left="4320" w:hanging="360"/>
      </w:pPr>
      <w:rPr>
        <w:rFonts w:ascii="Wingdings" w:hAnsi="Wingdings" w:hint="default"/>
      </w:rPr>
    </w:lvl>
    <w:lvl w:ilvl="6" w:tplc="976EF258" w:tentative="1">
      <w:start w:val="1"/>
      <w:numFmt w:val="bullet"/>
      <w:lvlText w:val=""/>
      <w:lvlJc w:val="left"/>
      <w:pPr>
        <w:tabs>
          <w:tab w:val="num" w:pos="5040"/>
        </w:tabs>
        <w:ind w:left="5040" w:hanging="360"/>
      </w:pPr>
      <w:rPr>
        <w:rFonts w:ascii="Wingdings" w:hAnsi="Wingdings" w:hint="default"/>
      </w:rPr>
    </w:lvl>
    <w:lvl w:ilvl="7" w:tplc="9DC2A30A" w:tentative="1">
      <w:start w:val="1"/>
      <w:numFmt w:val="bullet"/>
      <w:lvlText w:val=""/>
      <w:lvlJc w:val="left"/>
      <w:pPr>
        <w:tabs>
          <w:tab w:val="num" w:pos="5760"/>
        </w:tabs>
        <w:ind w:left="5760" w:hanging="360"/>
      </w:pPr>
      <w:rPr>
        <w:rFonts w:ascii="Wingdings" w:hAnsi="Wingdings" w:hint="default"/>
      </w:rPr>
    </w:lvl>
    <w:lvl w:ilvl="8" w:tplc="41C491F4"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A71"/>
    <w:rsid w:val="00023A3C"/>
    <w:rsid w:val="000A3738"/>
    <w:rsid w:val="001059BE"/>
    <w:rsid w:val="00183C22"/>
    <w:rsid w:val="00190FDA"/>
    <w:rsid w:val="001A67E7"/>
    <w:rsid w:val="001E5CC9"/>
    <w:rsid w:val="00205F7E"/>
    <w:rsid w:val="002908A1"/>
    <w:rsid w:val="002D48FC"/>
    <w:rsid w:val="003D4A71"/>
    <w:rsid w:val="00473789"/>
    <w:rsid w:val="0059627A"/>
    <w:rsid w:val="00703837"/>
    <w:rsid w:val="008018BB"/>
    <w:rsid w:val="008F2F6E"/>
    <w:rsid w:val="009E146D"/>
    <w:rsid w:val="009F642D"/>
    <w:rsid w:val="00A43D5A"/>
    <w:rsid w:val="00AB7B70"/>
    <w:rsid w:val="00AE7380"/>
    <w:rsid w:val="00C93D91"/>
    <w:rsid w:val="00D37516"/>
    <w:rsid w:val="00D54555"/>
    <w:rsid w:val="00E54FC2"/>
    <w:rsid w:val="00ED5AE7"/>
    <w:rsid w:val="00F000F9"/>
    <w:rsid w:val="00F6680F"/>
    <w:rsid w:val="00F95152"/>
    <w:rsid w:val="00FB306E"/>
    <w:rsid w:val="00FC0425"/>
    <w:rsid w:val="00FD79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cf,#f4ffcd"/>
    </o:shapedefaults>
    <o:shapelayout v:ext="edit">
      <o:idmap v:ext="edit" data="1"/>
    </o:shapelayout>
  </w:shapeDefaults>
  <w:decimalSymbol w:val="."/>
  <w:listSeparator w:val=","/>
  <w14:docId w14:val="594C1BEC"/>
  <w15:docId w15:val="{7AB00A8A-D808-44E7-A12A-CEEFA0719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4A71"/>
  </w:style>
  <w:style w:type="paragraph" w:styleId="Heading1">
    <w:name w:val="heading 1"/>
    <w:basedOn w:val="Normal"/>
    <w:link w:val="Heading1Char"/>
    <w:uiPriority w:val="9"/>
    <w:qFormat/>
    <w:rsid w:val="00FC042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08A1"/>
    <w:pPr>
      <w:ind w:left="720"/>
      <w:contextualSpacing/>
    </w:pPr>
  </w:style>
  <w:style w:type="character" w:styleId="Hyperlink">
    <w:name w:val="Hyperlink"/>
    <w:basedOn w:val="DefaultParagraphFont"/>
    <w:uiPriority w:val="99"/>
    <w:unhideWhenUsed/>
    <w:rsid w:val="001A67E7"/>
    <w:rPr>
      <w:color w:val="0563C1" w:themeColor="hyperlink"/>
      <w:u w:val="single"/>
    </w:rPr>
  </w:style>
  <w:style w:type="paragraph" w:styleId="BalloonText">
    <w:name w:val="Balloon Text"/>
    <w:basedOn w:val="Normal"/>
    <w:link w:val="BalloonTextChar"/>
    <w:uiPriority w:val="99"/>
    <w:semiHidden/>
    <w:unhideWhenUsed/>
    <w:rsid w:val="00183C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C22"/>
    <w:rPr>
      <w:rFonts w:ascii="Tahoma" w:hAnsi="Tahoma" w:cs="Tahoma"/>
      <w:sz w:val="16"/>
      <w:szCs w:val="16"/>
    </w:rPr>
  </w:style>
  <w:style w:type="paragraph" w:styleId="NormalWeb">
    <w:name w:val="Normal (Web)"/>
    <w:basedOn w:val="Normal"/>
    <w:uiPriority w:val="99"/>
    <w:unhideWhenUsed/>
    <w:rsid w:val="00183C2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Heading1Char">
    <w:name w:val="Heading 1 Char"/>
    <w:basedOn w:val="DefaultParagraphFont"/>
    <w:link w:val="Heading1"/>
    <w:uiPriority w:val="9"/>
    <w:rsid w:val="00FC0425"/>
    <w:rPr>
      <w:rFonts w:ascii="Times New Roman" w:eastAsia="Times New Roman" w:hAnsi="Times New Roman" w:cs="Times New Roman"/>
      <w:b/>
      <w:bCs/>
      <w:kern w:val="36"/>
      <w:sz w:val="48"/>
      <w:szCs w:val="48"/>
      <w:lang w:val="en-US"/>
    </w:rPr>
  </w:style>
  <w:style w:type="paragraph" w:styleId="Header">
    <w:name w:val="header"/>
    <w:basedOn w:val="Normal"/>
    <w:link w:val="HeaderChar"/>
    <w:uiPriority w:val="99"/>
    <w:unhideWhenUsed/>
    <w:rsid w:val="00D375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516"/>
  </w:style>
  <w:style w:type="paragraph" w:styleId="Footer">
    <w:name w:val="footer"/>
    <w:basedOn w:val="Normal"/>
    <w:link w:val="FooterChar"/>
    <w:uiPriority w:val="99"/>
    <w:unhideWhenUsed/>
    <w:rsid w:val="00D375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5803">
      <w:bodyDiv w:val="1"/>
      <w:marLeft w:val="0"/>
      <w:marRight w:val="0"/>
      <w:marTop w:val="0"/>
      <w:marBottom w:val="0"/>
      <w:divBdr>
        <w:top w:val="none" w:sz="0" w:space="0" w:color="auto"/>
        <w:left w:val="none" w:sz="0" w:space="0" w:color="auto"/>
        <w:bottom w:val="none" w:sz="0" w:space="0" w:color="auto"/>
        <w:right w:val="none" w:sz="0" w:space="0" w:color="auto"/>
      </w:divBdr>
    </w:div>
    <w:div w:id="50734539">
      <w:bodyDiv w:val="1"/>
      <w:marLeft w:val="0"/>
      <w:marRight w:val="0"/>
      <w:marTop w:val="0"/>
      <w:marBottom w:val="0"/>
      <w:divBdr>
        <w:top w:val="none" w:sz="0" w:space="0" w:color="auto"/>
        <w:left w:val="none" w:sz="0" w:space="0" w:color="auto"/>
        <w:bottom w:val="none" w:sz="0" w:space="0" w:color="auto"/>
        <w:right w:val="none" w:sz="0" w:space="0" w:color="auto"/>
      </w:divBdr>
    </w:div>
    <w:div w:id="79915912">
      <w:bodyDiv w:val="1"/>
      <w:marLeft w:val="0"/>
      <w:marRight w:val="0"/>
      <w:marTop w:val="0"/>
      <w:marBottom w:val="0"/>
      <w:divBdr>
        <w:top w:val="none" w:sz="0" w:space="0" w:color="auto"/>
        <w:left w:val="none" w:sz="0" w:space="0" w:color="auto"/>
        <w:bottom w:val="none" w:sz="0" w:space="0" w:color="auto"/>
        <w:right w:val="none" w:sz="0" w:space="0" w:color="auto"/>
      </w:divBdr>
    </w:div>
    <w:div w:id="353115057">
      <w:bodyDiv w:val="1"/>
      <w:marLeft w:val="0"/>
      <w:marRight w:val="0"/>
      <w:marTop w:val="0"/>
      <w:marBottom w:val="0"/>
      <w:divBdr>
        <w:top w:val="none" w:sz="0" w:space="0" w:color="auto"/>
        <w:left w:val="none" w:sz="0" w:space="0" w:color="auto"/>
        <w:bottom w:val="none" w:sz="0" w:space="0" w:color="auto"/>
        <w:right w:val="none" w:sz="0" w:space="0" w:color="auto"/>
      </w:divBdr>
    </w:div>
    <w:div w:id="411239812">
      <w:bodyDiv w:val="1"/>
      <w:marLeft w:val="0"/>
      <w:marRight w:val="0"/>
      <w:marTop w:val="0"/>
      <w:marBottom w:val="0"/>
      <w:divBdr>
        <w:top w:val="none" w:sz="0" w:space="0" w:color="auto"/>
        <w:left w:val="none" w:sz="0" w:space="0" w:color="auto"/>
        <w:bottom w:val="none" w:sz="0" w:space="0" w:color="auto"/>
        <w:right w:val="none" w:sz="0" w:space="0" w:color="auto"/>
      </w:divBdr>
      <w:divsChild>
        <w:div w:id="1789549788">
          <w:marLeft w:val="-567"/>
          <w:marRight w:val="0"/>
          <w:marTop w:val="0"/>
          <w:marBottom w:val="0"/>
          <w:divBdr>
            <w:top w:val="none" w:sz="0" w:space="0" w:color="auto"/>
            <w:left w:val="none" w:sz="0" w:space="0" w:color="auto"/>
            <w:bottom w:val="none" w:sz="0" w:space="0" w:color="auto"/>
            <w:right w:val="none" w:sz="0" w:space="0" w:color="auto"/>
          </w:divBdr>
        </w:div>
      </w:divsChild>
    </w:div>
    <w:div w:id="419569210">
      <w:bodyDiv w:val="1"/>
      <w:marLeft w:val="0"/>
      <w:marRight w:val="0"/>
      <w:marTop w:val="0"/>
      <w:marBottom w:val="0"/>
      <w:divBdr>
        <w:top w:val="none" w:sz="0" w:space="0" w:color="auto"/>
        <w:left w:val="none" w:sz="0" w:space="0" w:color="auto"/>
        <w:bottom w:val="none" w:sz="0" w:space="0" w:color="auto"/>
        <w:right w:val="none" w:sz="0" w:space="0" w:color="auto"/>
      </w:divBdr>
    </w:div>
    <w:div w:id="484514160">
      <w:bodyDiv w:val="1"/>
      <w:marLeft w:val="0"/>
      <w:marRight w:val="0"/>
      <w:marTop w:val="0"/>
      <w:marBottom w:val="0"/>
      <w:divBdr>
        <w:top w:val="none" w:sz="0" w:space="0" w:color="auto"/>
        <w:left w:val="none" w:sz="0" w:space="0" w:color="auto"/>
        <w:bottom w:val="none" w:sz="0" w:space="0" w:color="auto"/>
        <w:right w:val="none" w:sz="0" w:space="0" w:color="auto"/>
      </w:divBdr>
    </w:div>
    <w:div w:id="489978124">
      <w:bodyDiv w:val="1"/>
      <w:marLeft w:val="0"/>
      <w:marRight w:val="0"/>
      <w:marTop w:val="0"/>
      <w:marBottom w:val="0"/>
      <w:divBdr>
        <w:top w:val="none" w:sz="0" w:space="0" w:color="auto"/>
        <w:left w:val="none" w:sz="0" w:space="0" w:color="auto"/>
        <w:bottom w:val="none" w:sz="0" w:space="0" w:color="auto"/>
        <w:right w:val="none" w:sz="0" w:space="0" w:color="auto"/>
      </w:divBdr>
    </w:div>
    <w:div w:id="637801753">
      <w:bodyDiv w:val="1"/>
      <w:marLeft w:val="0"/>
      <w:marRight w:val="0"/>
      <w:marTop w:val="0"/>
      <w:marBottom w:val="0"/>
      <w:divBdr>
        <w:top w:val="none" w:sz="0" w:space="0" w:color="auto"/>
        <w:left w:val="none" w:sz="0" w:space="0" w:color="auto"/>
        <w:bottom w:val="none" w:sz="0" w:space="0" w:color="auto"/>
        <w:right w:val="none" w:sz="0" w:space="0" w:color="auto"/>
      </w:divBdr>
    </w:div>
    <w:div w:id="701593541">
      <w:bodyDiv w:val="1"/>
      <w:marLeft w:val="0"/>
      <w:marRight w:val="0"/>
      <w:marTop w:val="0"/>
      <w:marBottom w:val="0"/>
      <w:divBdr>
        <w:top w:val="none" w:sz="0" w:space="0" w:color="auto"/>
        <w:left w:val="none" w:sz="0" w:space="0" w:color="auto"/>
        <w:bottom w:val="none" w:sz="0" w:space="0" w:color="auto"/>
        <w:right w:val="none" w:sz="0" w:space="0" w:color="auto"/>
      </w:divBdr>
    </w:div>
    <w:div w:id="707536563">
      <w:bodyDiv w:val="1"/>
      <w:marLeft w:val="0"/>
      <w:marRight w:val="0"/>
      <w:marTop w:val="0"/>
      <w:marBottom w:val="0"/>
      <w:divBdr>
        <w:top w:val="none" w:sz="0" w:space="0" w:color="auto"/>
        <w:left w:val="none" w:sz="0" w:space="0" w:color="auto"/>
        <w:bottom w:val="none" w:sz="0" w:space="0" w:color="auto"/>
        <w:right w:val="none" w:sz="0" w:space="0" w:color="auto"/>
      </w:divBdr>
    </w:div>
    <w:div w:id="771752305">
      <w:bodyDiv w:val="1"/>
      <w:marLeft w:val="0"/>
      <w:marRight w:val="0"/>
      <w:marTop w:val="0"/>
      <w:marBottom w:val="0"/>
      <w:divBdr>
        <w:top w:val="none" w:sz="0" w:space="0" w:color="auto"/>
        <w:left w:val="none" w:sz="0" w:space="0" w:color="auto"/>
        <w:bottom w:val="none" w:sz="0" w:space="0" w:color="auto"/>
        <w:right w:val="none" w:sz="0" w:space="0" w:color="auto"/>
      </w:divBdr>
      <w:divsChild>
        <w:div w:id="1324815729">
          <w:marLeft w:val="418"/>
          <w:marRight w:val="0"/>
          <w:marTop w:val="234"/>
          <w:marBottom w:val="0"/>
          <w:divBdr>
            <w:top w:val="none" w:sz="0" w:space="0" w:color="auto"/>
            <w:left w:val="none" w:sz="0" w:space="0" w:color="auto"/>
            <w:bottom w:val="none" w:sz="0" w:space="0" w:color="auto"/>
            <w:right w:val="none" w:sz="0" w:space="0" w:color="auto"/>
          </w:divBdr>
        </w:div>
        <w:div w:id="1029909628">
          <w:marLeft w:val="418"/>
          <w:marRight w:val="0"/>
          <w:marTop w:val="234"/>
          <w:marBottom w:val="0"/>
          <w:divBdr>
            <w:top w:val="none" w:sz="0" w:space="0" w:color="auto"/>
            <w:left w:val="none" w:sz="0" w:space="0" w:color="auto"/>
            <w:bottom w:val="none" w:sz="0" w:space="0" w:color="auto"/>
            <w:right w:val="none" w:sz="0" w:space="0" w:color="auto"/>
          </w:divBdr>
        </w:div>
        <w:div w:id="917516719">
          <w:marLeft w:val="418"/>
          <w:marRight w:val="0"/>
          <w:marTop w:val="234"/>
          <w:marBottom w:val="0"/>
          <w:divBdr>
            <w:top w:val="none" w:sz="0" w:space="0" w:color="auto"/>
            <w:left w:val="none" w:sz="0" w:space="0" w:color="auto"/>
            <w:bottom w:val="none" w:sz="0" w:space="0" w:color="auto"/>
            <w:right w:val="none" w:sz="0" w:space="0" w:color="auto"/>
          </w:divBdr>
        </w:div>
        <w:div w:id="1524244714">
          <w:marLeft w:val="418"/>
          <w:marRight w:val="0"/>
          <w:marTop w:val="234"/>
          <w:marBottom w:val="0"/>
          <w:divBdr>
            <w:top w:val="none" w:sz="0" w:space="0" w:color="auto"/>
            <w:left w:val="none" w:sz="0" w:space="0" w:color="auto"/>
            <w:bottom w:val="none" w:sz="0" w:space="0" w:color="auto"/>
            <w:right w:val="none" w:sz="0" w:space="0" w:color="auto"/>
          </w:divBdr>
        </w:div>
        <w:div w:id="2094085115">
          <w:marLeft w:val="418"/>
          <w:marRight w:val="0"/>
          <w:marTop w:val="234"/>
          <w:marBottom w:val="0"/>
          <w:divBdr>
            <w:top w:val="none" w:sz="0" w:space="0" w:color="auto"/>
            <w:left w:val="none" w:sz="0" w:space="0" w:color="auto"/>
            <w:bottom w:val="none" w:sz="0" w:space="0" w:color="auto"/>
            <w:right w:val="none" w:sz="0" w:space="0" w:color="auto"/>
          </w:divBdr>
        </w:div>
        <w:div w:id="1902672672">
          <w:marLeft w:val="418"/>
          <w:marRight w:val="0"/>
          <w:marTop w:val="234"/>
          <w:marBottom w:val="0"/>
          <w:divBdr>
            <w:top w:val="none" w:sz="0" w:space="0" w:color="auto"/>
            <w:left w:val="none" w:sz="0" w:space="0" w:color="auto"/>
            <w:bottom w:val="none" w:sz="0" w:space="0" w:color="auto"/>
            <w:right w:val="none" w:sz="0" w:space="0" w:color="auto"/>
          </w:divBdr>
        </w:div>
        <w:div w:id="1231647486">
          <w:marLeft w:val="418"/>
          <w:marRight w:val="0"/>
          <w:marTop w:val="234"/>
          <w:marBottom w:val="0"/>
          <w:divBdr>
            <w:top w:val="none" w:sz="0" w:space="0" w:color="auto"/>
            <w:left w:val="none" w:sz="0" w:space="0" w:color="auto"/>
            <w:bottom w:val="none" w:sz="0" w:space="0" w:color="auto"/>
            <w:right w:val="none" w:sz="0" w:space="0" w:color="auto"/>
          </w:divBdr>
        </w:div>
        <w:div w:id="554200911">
          <w:marLeft w:val="418"/>
          <w:marRight w:val="0"/>
          <w:marTop w:val="234"/>
          <w:marBottom w:val="0"/>
          <w:divBdr>
            <w:top w:val="none" w:sz="0" w:space="0" w:color="auto"/>
            <w:left w:val="none" w:sz="0" w:space="0" w:color="auto"/>
            <w:bottom w:val="none" w:sz="0" w:space="0" w:color="auto"/>
            <w:right w:val="none" w:sz="0" w:space="0" w:color="auto"/>
          </w:divBdr>
        </w:div>
        <w:div w:id="550381829">
          <w:marLeft w:val="418"/>
          <w:marRight w:val="0"/>
          <w:marTop w:val="234"/>
          <w:marBottom w:val="0"/>
          <w:divBdr>
            <w:top w:val="none" w:sz="0" w:space="0" w:color="auto"/>
            <w:left w:val="none" w:sz="0" w:space="0" w:color="auto"/>
            <w:bottom w:val="none" w:sz="0" w:space="0" w:color="auto"/>
            <w:right w:val="none" w:sz="0" w:space="0" w:color="auto"/>
          </w:divBdr>
        </w:div>
        <w:div w:id="1670019591">
          <w:marLeft w:val="418"/>
          <w:marRight w:val="0"/>
          <w:marTop w:val="234"/>
          <w:marBottom w:val="0"/>
          <w:divBdr>
            <w:top w:val="none" w:sz="0" w:space="0" w:color="auto"/>
            <w:left w:val="none" w:sz="0" w:space="0" w:color="auto"/>
            <w:bottom w:val="none" w:sz="0" w:space="0" w:color="auto"/>
            <w:right w:val="none" w:sz="0" w:space="0" w:color="auto"/>
          </w:divBdr>
        </w:div>
        <w:div w:id="1551066391">
          <w:marLeft w:val="418"/>
          <w:marRight w:val="0"/>
          <w:marTop w:val="234"/>
          <w:marBottom w:val="0"/>
          <w:divBdr>
            <w:top w:val="none" w:sz="0" w:space="0" w:color="auto"/>
            <w:left w:val="none" w:sz="0" w:space="0" w:color="auto"/>
            <w:bottom w:val="none" w:sz="0" w:space="0" w:color="auto"/>
            <w:right w:val="none" w:sz="0" w:space="0" w:color="auto"/>
          </w:divBdr>
        </w:div>
        <w:div w:id="867986534">
          <w:marLeft w:val="418"/>
          <w:marRight w:val="0"/>
          <w:marTop w:val="234"/>
          <w:marBottom w:val="0"/>
          <w:divBdr>
            <w:top w:val="none" w:sz="0" w:space="0" w:color="auto"/>
            <w:left w:val="none" w:sz="0" w:space="0" w:color="auto"/>
            <w:bottom w:val="none" w:sz="0" w:space="0" w:color="auto"/>
            <w:right w:val="none" w:sz="0" w:space="0" w:color="auto"/>
          </w:divBdr>
        </w:div>
        <w:div w:id="151526724">
          <w:marLeft w:val="418"/>
          <w:marRight w:val="0"/>
          <w:marTop w:val="234"/>
          <w:marBottom w:val="0"/>
          <w:divBdr>
            <w:top w:val="none" w:sz="0" w:space="0" w:color="auto"/>
            <w:left w:val="none" w:sz="0" w:space="0" w:color="auto"/>
            <w:bottom w:val="none" w:sz="0" w:space="0" w:color="auto"/>
            <w:right w:val="none" w:sz="0" w:space="0" w:color="auto"/>
          </w:divBdr>
        </w:div>
        <w:div w:id="1242643665">
          <w:marLeft w:val="418"/>
          <w:marRight w:val="0"/>
          <w:marTop w:val="234"/>
          <w:marBottom w:val="0"/>
          <w:divBdr>
            <w:top w:val="none" w:sz="0" w:space="0" w:color="auto"/>
            <w:left w:val="none" w:sz="0" w:space="0" w:color="auto"/>
            <w:bottom w:val="none" w:sz="0" w:space="0" w:color="auto"/>
            <w:right w:val="none" w:sz="0" w:space="0" w:color="auto"/>
          </w:divBdr>
        </w:div>
      </w:divsChild>
    </w:div>
    <w:div w:id="843127946">
      <w:bodyDiv w:val="1"/>
      <w:marLeft w:val="0"/>
      <w:marRight w:val="0"/>
      <w:marTop w:val="0"/>
      <w:marBottom w:val="0"/>
      <w:divBdr>
        <w:top w:val="none" w:sz="0" w:space="0" w:color="auto"/>
        <w:left w:val="none" w:sz="0" w:space="0" w:color="auto"/>
        <w:bottom w:val="none" w:sz="0" w:space="0" w:color="auto"/>
        <w:right w:val="none" w:sz="0" w:space="0" w:color="auto"/>
      </w:divBdr>
    </w:div>
    <w:div w:id="896824318">
      <w:bodyDiv w:val="1"/>
      <w:marLeft w:val="0"/>
      <w:marRight w:val="0"/>
      <w:marTop w:val="0"/>
      <w:marBottom w:val="0"/>
      <w:divBdr>
        <w:top w:val="none" w:sz="0" w:space="0" w:color="auto"/>
        <w:left w:val="none" w:sz="0" w:space="0" w:color="auto"/>
        <w:bottom w:val="none" w:sz="0" w:space="0" w:color="auto"/>
        <w:right w:val="none" w:sz="0" w:space="0" w:color="auto"/>
      </w:divBdr>
      <w:divsChild>
        <w:div w:id="1656762855">
          <w:marLeft w:val="274"/>
          <w:marRight w:val="0"/>
          <w:marTop w:val="0"/>
          <w:marBottom w:val="0"/>
          <w:divBdr>
            <w:top w:val="none" w:sz="0" w:space="0" w:color="auto"/>
            <w:left w:val="none" w:sz="0" w:space="0" w:color="auto"/>
            <w:bottom w:val="none" w:sz="0" w:space="0" w:color="auto"/>
            <w:right w:val="none" w:sz="0" w:space="0" w:color="auto"/>
          </w:divBdr>
        </w:div>
        <w:div w:id="539246394">
          <w:marLeft w:val="274"/>
          <w:marRight w:val="0"/>
          <w:marTop w:val="0"/>
          <w:marBottom w:val="0"/>
          <w:divBdr>
            <w:top w:val="none" w:sz="0" w:space="0" w:color="auto"/>
            <w:left w:val="none" w:sz="0" w:space="0" w:color="auto"/>
            <w:bottom w:val="none" w:sz="0" w:space="0" w:color="auto"/>
            <w:right w:val="none" w:sz="0" w:space="0" w:color="auto"/>
          </w:divBdr>
        </w:div>
        <w:div w:id="2040623501">
          <w:marLeft w:val="274"/>
          <w:marRight w:val="0"/>
          <w:marTop w:val="0"/>
          <w:marBottom w:val="0"/>
          <w:divBdr>
            <w:top w:val="none" w:sz="0" w:space="0" w:color="auto"/>
            <w:left w:val="none" w:sz="0" w:space="0" w:color="auto"/>
            <w:bottom w:val="none" w:sz="0" w:space="0" w:color="auto"/>
            <w:right w:val="none" w:sz="0" w:space="0" w:color="auto"/>
          </w:divBdr>
        </w:div>
        <w:div w:id="1468627633">
          <w:marLeft w:val="274"/>
          <w:marRight w:val="0"/>
          <w:marTop w:val="0"/>
          <w:marBottom w:val="0"/>
          <w:divBdr>
            <w:top w:val="none" w:sz="0" w:space="0" w:color="auto"/>
            <w:left w:val="none" w:sz="0" w:space="0" w:color="auto"/>
            <w:bottom w:val="none" w:sz="0" w:space="0" w:color="auto"/>
            <w:right w:val="none" w:sz="0" w:space="0" w:color="auto"/>
          </w:divBdr>
        </w:div>
        <w:div w:id="924267303">
          <w:marLeft w:val="274"/>
          <w:marRight w:val="0"/>
          <w:marTop w:val="0"/>
          <w:marBottom w:val="0"/>
          <w:divBdr>
            <w:top w:val="none" w:sz="0" w:space="0" w:color="auto"/>
            <w:left w:val="none" w:sz="0" w:space="0" w:color="auto"/>
            <w:bottom w:val="none" w:sz="0" w:space="0" w:color="auto"/>
            <w:right w:val="none" w:sz="0" w:space="0" w:color="auto"/>
          </w:divBdr>
        </w:div>
        <w:div w:id="547378962">
          <w:marLeft w:val="274"/>
          <w:marRight w:val="0"/>
          <w:marTop w:val="0"/>
          <w:marBottom w:val="0"/>
          <w:divBdr>
            <w:top w:val="none" w:sz="0" w:space="0" w:color="auto"/>
            <w:left w:val="none" w:sz="0" w:space="0" w:color="auto"/>
            <w:bottom w:val="none" w:sz="0" w:space="0" w:color="auto"/>
            <w:right w:val="none" w:sz="0" w:space="0" w:color="auto"/>
          </w:divBdr>
        </w:div>
        <w:div w:id="915866892">
          <w:marLeft w:val="274"/>
          <w:marRight w:val="0"/>
          <w:marTop w:val="0"/>
          <w:marBottom w:val="0"/>
          <w:divBdr>
            <w:top w:val="none" w:sz="0" w:space="0" w:color="auto"/>
            <w:left w:val="none" w:sz="0" w:space="0" w:color="auto"/>
            <w:bottom w:val="none" w:sz="0" w:space="0" w:color="auto"/>
            <w:right w:val="none" w:sz="0" w:space="0" w:color="auto"/>
          </w:divBdr>
        </w:div>
        <w:div w:id="622885642">
          <w:marLeft w:val="274"/>
          <w:marRight w:val="0"/>
          <w:marTop w:val="0"/>
          <w:marBottom w:val="0"/>
          <w:divBdr>
            <w:top w:val="none" w:sz="0" w:space="0" w:color="auto"/>
            <w:left w:val="none" w:sz="0" w:space="0" w:color="auto"/>
            <w:bottom w:val="none" w:sz="0" w:space="0" w:color="auto"/>
            <w:right w:val="none" w:sz="0" w:space="0" w:color="auto"/>
          </w:divBdr>
        </w:div>
        <w:div w:id="582957080">
          <w:marLeft w:val="274"/>
          <w:marRight w:val="0"/>
          <w:marTop w:val="0"/>
          <w:marBottom w:val="0"/>
          <w:divBdr>
            <w:top w:val="none" w:sz="0" w:space="0" w:color="auto"/>
            <w:left w:val="none" w:sz="0" w:space="0" w:color="auto"/>
            <w:bottom w:val="none" w:sz="0" w:space="0" w:color="auto"/>
            <w:right w:val="none" w:sz="0" w:space="0" w:color="auto"/>
          </w:divBdr>
        </w:div>
        <w:div w:id="1103259764">
          <w:marLeft w:val="274"/>
          <w:marRight w:val="0"/>
          <w:marTop w:val="0"/>
          <w:marBottom w:val="0"/>
          <w:divBdr>
            <w:top w:val="none" w:sz="0" w:space="0" w:color="auto"/>
            <w:left w:val="none" w:sz="0" w:space="0" w:color="auto"/>
            <w:bottom w:val="none" w:sz="0" w:space="0" w:color="auto"/>
            <w:right w:val="none" w:sz="0" w:space="0" w:color="auto"/>
          </w:divBdr>
        </w:div>
        <w:div w:id="426847189">
          <w:marLeft w:val="274"/>
          <w:marRight w:val="0"/>
          <w:marTop w:val="0"/>
          <w:marBottom w:val="0"/>
          <w:divBdr>
            <w:top w:val="none" w:sz="0" w:space="0" w:color="auto"/>
            <w:left w:val="none" w:sz="0" w:space="0" w:color="auto"/>
            <w:bottom w:val="none" w:sz="0" w:space="0" w:color="auto"/>
            <w:right w:val="none" w:sz="0" w:space="0" w:color="auto"/>
          </w:divBdr>
        </w:div>
        <w:div w:id="1260866071">
          <w:marLeft w:val="274"/>
          <w:marRight w:val="0"/>
          <w:marTop w:val="0"/>
          <w:marBottom w:val="0"/>
          <w:divBdr>
            <w:top w:val="none" w:sz="0" w:space="0" w:color="auto"/>
            <w:left w:val="none" w:sz="0" w:space="0" w:color="auto"/>
            <w:bottom w:val="none" w:sz="0" w:space="0" w:color="auto"/>
            <w:right w:val="none" w:sz="0" w:space="0" w:color="auto"/>
          </w:divBdr>
        </w:div>
        <w:div w:id="1374035464">
          <w:marLeft w:val="274"/>
          <w:marRight w:val="0"/>
          <w:marTop w:val="0"/>
          <w:marBottom w:val="0"/>
          <w:divBdr>
            <w:top w:val="none" w:sz="0" w:space="0" w:color="auto"/>
            <w:left w:val="none" w:sz="0" w:space="0" w:color="auto"/>
            <w:bottom w:val="none" w:sz="0" w:space="0" w:color="auto"/>
            <w:right w:val="none" w:sz="0" w:space="0" w:color="auto"/>
          </w:divBdr>
        </w:div>
        <w:div w:id="1754618311">
          <w:marLeft w:val="274"/>
          <w:marRight w:val="0"/>
          <w:marTop w:val="0"/>
          <w:marBottom w:val="0"/>
          <w:divBdr>
            <w:top w:val="none" w:sz="0" w:space="0" w:color="auto"/>
            <w:left w:val="none" w:sz="0" w:space="0" w:color="auto"/>
            <w:bottom w:val="none" w:sz="0" w:space="0" w:color="auto"/>
            <w:right w:val="none" w:sz="0" w:space="0" w:color="auto"/>
          </w:divBdr>
        </w:div>
        <w:div w:id="574703240">
          <w:marLeft w:val="274"/>
          <w:marRight w:val="0"/>
          <w:marTop w:val="0"/>
          <w:marBottom w:val="0"/>
          <w:divBdr>
            <w:top w:val="none" w:sz="0" w:space="0" w:color="auto"/>
            <w:left w:val="none" w:sz="0" w:space="0" w:color="auto"/>
            <w:bottom w:val="none" w:sz="0" w:space="0" w:color="auto"/>
            <w:right w:val="none" w:sz="0" w:space="0" w:color="auto"/>
          </w:divBdr>
        </w:div>
        <w:div w:id="548417981">
          <w:marLeft w:val="274"/>
          <w:marRight w:val="0"/>
          <w:marTop w:val="0"/>
          <w:marBottom w:val="0"/>
          <w:divBdr>
            <w:top w:val="none" w:sz="0" w:space="0" w:color="auto"/>
            <w:left w:val="none" w:sz="0" w:space="0" w:color="auto"/>
            <w:bottom w:val="none" w:sz="0" w:space="0" w:color="auto"/>
            <w:right w:val="none" w:sz="0" w:space="0" w:color="auto"/>
          </w:divBdr>
        </w:div>
      </w:divsChild>
    </w:div>
    <w:div w:id="1006639210">
      <w:bodyDiv w:val="1"/>
      <w:marLeft w:val="0"/>
      <w:marRight w:val="0"/>
      <w:marTop w:val="0"/>
      <w:marBottom w:val="0"/>
      <w:divBdr>
        <w:top w:val="none" w:sz="0" w:space="0" w:color="auto"/>
        <w:left w:val="none" w:sz="0" w:space="0" w:color="auto"/>
        <w:bottom w:val="none" w:sz="0" w:space="0" w:color="auto"/>
        <w:right w:val="none" w:sz="0" w:space="0" w:color="auto"/>
      </w:divBdr>
    </w:div>
    <w:div w:id="1044866309">
      <w:bodyDiv w:val="1"/>
      <w:marLeft w:val="0"/>
      <w:marRight w:val="0"/>
      <w:marTop w:val="0"/>
      <w:marBottom w:val="0"/>
      <w:divBdr>
        <w:top w:val="none" w:sz="0" w:space="0" w:color="auto"/>
        <w:left w:val="none" w:sz="0" w:space="0" w:color="auto"/>
        <w:bottom w:val="none" w:sz="0" w:space="0" w:color="auto"/>
        <w:right w:val="none" w:sz="0" w:space="0" w:color="auto"/>
      </w:divBdr>
    </w:div>
    <w:div w:id="1075013608">
      <w:bodyDiv w:val="1"/>
      <w:marLeft w:val="0"/>
      <w:marRight w:val="0"/>
      <w:marTop w:val="0"/>
      <w:marBottom w:val="0"/>
      <w:divBdr>
        <w:top w:val="none" w:sz="0" w:space="0" w:color="auto"/>
        <w:left w:val="none" w:sz="0" w:space="0" w:color="auto"/>
        <w:bottom w:val="none" w:sz="0" w:space="0" w:color="auto"/>
        <w:right w:val="none" w:sz="0" w:space="0" w:color="auto"/>
      </w:divBdr>
    </w:div>
    <w:div w:id="1092117914">
      <w:bodyDiv w:val="1"/>
      <w:marLeft w:val="0"/>
      <w:marRight w:val="0"/>
      <w:marTop w:val="0"/>
      <w:marBottom w:val="0"/>
      <w:divBdr>
        <w:top w:val="none" w:sz="0" w:space="0" w:color="auto"/>
        <w:left w:val="none" w:sz="0" w:space="0" w:color="auto"/>
        <w:bottom w:val="none" w:sz="0" w:space="0" w:color="auto"/>
        <w:right w:val="none" w:sz="0" w:space="0" w:color="auto"/>
      </w:divBdr>
    </w:div>
    <w:div w:id="1133989040">
      <w:bodyDiv w:val="1"/>
      <w:marLeft w:val="0"/>
      <w:marRight w:val="0"/>
      <w:marTop w:val="0"/>
      <w:marBottom w:val="0"/>
      <w:divBdr>
        <w:top w:val="none" w:sz="0" w:space="0" w:color="auto"/>
        <w:left w:val="none" w:sz="0" w:space="0" w:color="auto"/>
        <w:bottom w:val="none" w:sz="0" w:space="0" w:color="auto"/>
        <w:right w:val="none" w:sz="0" w:space="0" w:color="auto"/>
      </w:divBdr>
    </w:div>
    <w:div w:id="1242328316">
      <w:bodyDiv w:val="1"/>
      <w:marLeft w:val="0"/>
      <w:marRight w:val="0"/>
      <w:marTop w:val="0"/>
      <w:marBottom w:val="0"/>
      <w:divBdr>
        <w:top w:val="none" w:sz="0" w:space="0" w:color="auto"/>
        <w:left w:val="none" w:sz="0" w:space="0" w:color="auto"/>
        <w:bottom w:val="none" w:sz="0" w:space="0" w:color="auto"/>
        <w:right w:val="none" w:sz="0" w:space="0" w:color="auto"/>
      </w:divBdr>
    </w:div>
    <w:div w:id="1384787490">
      <w:bodyDiv w:val="1"/>
      <w:marLeft w:val="0"/>
      <w:marRight w:val="0"/>
      <w:marTop w:val="0"/>
      <w:marBottom w:val="0"/>
      <w:divBdr>
        <w:top w:val="none" w:sz="0" w:space="0" w:color="auto"/>
        <w:left w:val="none" w:sz="0" w:space="0" w:color="auto"/>
        <w:bottom w:val="none" w:sz="0" w:space="0" w:color="auto"/>
        <w:right w:val="none" w:sz="0" w:space="0" w:color="auto"/>
      </w:divBdr>
    </w:div>
    <w:div w:id="1510213416">
      <w:bodyDiv w:val="1"/>
      <w:marLeft w:val="0"/>
      <w:marRight w:val="0"/>
      <w:marTop w:val="0"/>
      <w:marBottom w:val="0"/>
      <w:divBdr>
        <w:top w:val="none" w:sz="0" w:space="0" w:color="auto"/>
        <w:left w:val="none" w:sz="0" w:space="0" w:color="auto"/>
        <w:bottom w:val="none" w:sz="0" w:space="0" w:color="auto"/>
        <w:right w:val="none" w:sz="0" w:space="0" w:color="auto"/>
      </w:divBdr>
    </w:div>
    <w:div w:id="1680158983">
      <w:bodyDiv w:val="1"/>
      <w:marLeft w:val="0"/>
      <w:marRight w:val="0"/>
      <w:marTop w:val="0"/>
      <w:marBottom w:val="0"/>
      <w:divBdr>
        <w:top w:val="none" w:sz="0" w:space="0" w:color="auto"/>
        <w:left w:val="none" w:sz="0" w:space="0" w:color="auto"/>
        <w:bottom w:val="none" w:sz="0" w:space="0" w:color="auto"/>
        <w:right w:val="none" w:sz="0" w:space="0" w:color="auto"/>
      </w:divBdr>
    </w:div>
    <w:div w:id="1833984175">
      <w:bodyDiv w:val="1"/>
      <w:marLeft w:val="0"/>
      <w:marRight w:val="0"/>
      <w:marTop w:val="0"/>
      <w:marBottom w:val="0"/>
      <w:divBdr>
        <w:top w:val="none" w:sz="0" w:space="0" w:color="auto"/>
        <w:left w:val="none" w:sz="0" w:space="0" w:color="auto"/>
        <w:bottom w:val="none" w:sz="0" w:space="0" w:color="auto"/>
        <w:right w:val="none" w:sz="0" w:space="0" w:color="auto"/>
      </w:divBdr>
    </w:div>
    <w:div w:id="1867055245">
      <w:bodyDiv w:val="1"/>
      <w:marLeft w:val="0"/>
      <w:marRight w:val="0"/>
      <w:marTop w:val="0"/>
      <w:marBottom w:val="0"/>
      <w:divBdr>
        <w:top w:val="none" w:sz="0" w:space="0" w:color="auto"/>
        <w:left w:val="none" w:sz="0" w:space="0" w:color="auto"/>
        <w:bottom w:val="none" w:sz="0" w:space="0" w:color="auto"/>
        <w:right w:val="none" w:sz="0" w:space="0" w:color="auto"/>
      </w:divBdr>
    </w:div>
    <w:div w:id="1873303005">
      <w:bodyDiv w:val="1"/>
      <w:marLeft w:val="0"/>
      <w:marRight w:val="0"/>
      <w:marTop w:val="0"/>
      <w:marBottom w:val="0"/>
      <w:divBdr>
        <w:top w:val="none" w:sz="0" w:space="0" w:color="auto"/>
        <w:left w:val="none" w:sz="0" w:space="0" w:color="auto"/>
        <w:bottom w:val="none" w:sz="0" w:space="0" w:color="auto"/>
        <w:right w:val="none" w:sz="0" w:space="0" w:color="auto"/>
      </w:divBdr>
    </w:div>
    <w:div w:id="1926837392">
      <w:bodyDiv w:val="1"/>
      <w:marLeft w:val="0"/>
      <w:marRight w:val="0"/>
      <w:marTop w:val="0"/>
      <w:marBottom w:val="0"/>
      <w:divBdr>
        <w:top w:val="none" w:sz="0" w:space="0" w:color="auto"/>
        <w:left w:val="none" w:sz="0" w:space="0" w:color="auto"/>
        <w:bottom w:val="none" w:sz="0" w:space="0" w:color="auto"/>
        <w:right w:val="none" w:sz="0" w:space="0" w:color="auto"/>
      </w:divBdr>
    </w:div>
    <w:div w:id="2006592835">
      <w:bodyDiv w:val="1"/>
      <w:marLeft w:val="0"/>
      <w:marRight w:val="0"/>
      <w:marTop w:val="0"/>
      <w:marBottom w:val="0"/>
      <w:divBdr>
        <w:top w:val="none" w:sz="0" w:space="0" w:color="auto"/>
        <w:left w:val="none" w:sz="0" w:space="0" w:color="auto"/>
        <w:bottom w:val="none" w:sz="0" w:space="0" w:color="auto"/>
        <w:right w:val="none" w:sz="0" w:space="0" w:color="auto"/>
      </w:divBdr>
    </w:div>
    <w:div w:id="202698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hyperlink" Target="https://www.pharmacymentor.com/new-pharmacy-model/" TargetMode="External"/><Relationship Id="rId26" Type="http://schemas.openxmlformats.org/officeDocument/2006/relationships/hyperlink" Target="https://www.ons.gov.uk/" TargetMode="External"/><Relationship Id="rId3" Type="http://schemas.openxmlformats.org/officeDocument/2006/relationships/settings" Target="settings.xml"/><Relationship Id="rId21" Type="http://schemas.openxmlformats.org/officeDocument/2006/relationships/hyperlink" Target="https://www.sciencedirect.com/science/article/abs/pii/B978012820007000043X"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england.nhs.uk/" TargetMode="External"/><Relationship Id="rId25"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hyperlink" Target="https://www.pharmacyregulation.org/" TargetMode="External"/><Relationship Id="rId20" Type="http://schemas.openxmlformats.org/officeDocument/2006/relationships/hyperlink" Target="https://www.raconteur.net/infographics/pharmacy-evolu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hyperlink" Target="https://www.gov.uk/" TargetMode="External"/><Relationship Id="rId23" Type="http://schemas.openxmlformats.org/officeDocument/2006/relationships/hyperlink" Target="https://www.pharmacyregulation.org/"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rpharms.com/"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hyperlink" Target="https://www.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1012</Words>
  <Characters>6412</Characters>
  <DocSecurity>0</DocSecurity>
  <Lines>164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2025-10-20T08:43:00Z</dcterms:created>
  <dcterms:modified xsi:type="dcterms:W3CDTF">2025-10-20T08:43:00Z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859200cb-43a7-49b6-9e5b-4f512bb91cab</vt:lpwstr>
  </property>
</Properties>
</file>