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7BE2675" w14:paraId="16F7F6F4" wp14:textId="5E5B264D">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8"/>
          <w:szCs w:val="28"/>
          <w:lang w:val="en-GB"/>
        </w:rPr>
      </w:pPr>
      <w:r w:rsidRPr="37BE2675" w:rsidR="32C424D4">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22222"/>
          <w:sz w:val="28"/>
          <w:szCs w:val="28"/>
          <w:u w:val="single"/>
          <w:lang w:val="en-GB"/>
        </w:rPr>
        <w:t>Groupe Presentation</w:t>
      </w:r>
      <w:r w:rsidRPr="37BE2675" w:rsidR="32C424D4">
        <w:rPr>
          <w:rFonts w:ascii="Calibri" w:hAnsi="Calibri" w:eastAsia="Calibri" w:cs="Calibri" w:asciiTheme="minorAscii" w:hAnsiTheme="minorAscii" w:eastAsiaTheme="minorAscii" w:cstheme="minorAscii"/>
          <w:b w:val="1"/>
          <w:bCs w:val="1"/>
          <w:i w:val="0"/>
          <w:iCs w:val="0"/>
          <w:caps w:val="0"/>
          <w:smallCaps w:val="0"/>
          <w:noProof w:val="0"/>
          <w:color w:val="222222"/>
          <w:sz w:val="28"/>
          <w:szCs w:val="28"/>
          <w:lang w:val="en-GB"/>
        </w:rPr>
        <w:t xml:space="preserve"> </w:t>
      </w:r>
    </w:p>
    <w:p xmlns:wp14="http://schemas.microsoft.com/office/word/2010/wordml" w:rsidP="37BE2675" w14:paraId="2BA11FAC" wp14:textId="2E85DA2D">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363003FF" wp14:textId="24C6DC16">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7866C97" wp14:textId="1BCDAE76">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32C424D4">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 xml:space="preserve">Contemporary </w:t>
      </w:r>
      <w:r w:rsidRPr="37BE2675" w:rsidR="32C424D4">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Challenges:</w:t>
      </w:r>
      <w:r w:rsidRPr="37BE2675" w:rsidR="32C424D4">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 xml:space="preserve"> Making a Difference </w:t>
      </w:r>
    </w:p>
    <w:p xmlns:wp14="http://schemas.microsoft.com/office/word/2010/wordml" w:rsidP="37BE2675" w14:paraId="0A26CE87" wp14:textId="6535AC89">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33CA6C35" wp14:textId="13CC08E4">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60224DBF" wp14:textId="770A205E">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DF4D19D" wp14:textId="6DAA3893">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32C424D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Name Ionut </w:t>
      </w:r>
      <w:r w:rsidRPr="37BE2675" w:rsidR="32C424D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Bargau</w:t>
      </w:r>
      <w:r w:rsidRPr="37BE2675" w:rsidR="32C424D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10FD24C6" wp14:textId="74F629E0">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7BE2675" w:rsidR="32C424D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Student Id </w:t>
      </w:r>
      <w:r w:rsidRPr="37BE2675" w:rsidR="32C424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2221598</w:t>
      </w:r>
    </w:p>
    <w:p xmlns:wp14="http://schemas.microsoft.com/office/word/2010/wordml" w:rsidP="37BE2675" w14:paraId="16CFEA3B" wp14:textId="394DB538">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32C424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22222"/>
          <w:sz w:val="22"/>
          <w:szCs w:val="22"/>
          <w:u w:val="none"/>
          <w:lang w:val="en-GB"/>
        </w:rPr>
        <w:t>Words count 12</w:t>
      </w:r>
      <w:r w:rsidRPr="37BE2675" w:rsidR="32C424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22222"/>
          <w:sz w:val="22"/>
          <w:szCs w:val="22"/>
          <w:u w:val="none"/>
          <w:lang w:val="en-GB"/>
        </w:rPr>
        <w:t>36</w:t>
      </w:r>
    </w:p>
    <w:p xmlns:wp14="http://schemas.microsoft.com/office/word/2010/wordml" w:rsidP="37BE2675" w14:paraId="16872B33" wp14:textId="1B056953">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329EA68E" wp14:textId="6BEB47A0">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5ABE0B63" wp14:textId="5DCD989E">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24194302" wp14:textId="5342C79E">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7F673D08" wp14:textId="24CD4B5B">
      <w:pPr>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6F8E3E1" wp14:textId="1D5534CC">
      <w:pPr>
        <w:pStyle w:val="Normal"/>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3BAF69A9" wp14:textId="3A907BAB">
      <w:pPr>
        <w:pStyle w:val="Normal"/>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460D4DC" wp14:textId="38871051">
      <w:pPr>
        <w:pStyle w:val="Normal"/>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7628344F" wp14:textId="37037AEC">
      <w:pPr>
        <w:pStyle w:val="Normal"/>
        <w:spacing w:before="12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12E6FAF3" wp14:textId="7834B9D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09B7AF49" wp14:textId="61795010">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79717002" wp14:textId="00105B0D">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63B19769" wp14:textId="76587FC0">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252F8F19" wp14:textId="44D59B69">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041CA262" wp14:textId="0896DCA1">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204C081" wp14:textId="7E074FE1">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22222"/>
          <w:sz w:val="22"/>
          <w:szCs w:val="22"/>
          <w:u w:val="none"/>
          <w:lang w:val="en-GB"/>
        </w:rPr>
      </w:pPr>
      <w:r w:rsidRPr="37BE2675" w:rsidR="54F7E12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37BE2675" w:rsidR="54F7E12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22222"/>
          <w:sz w:val="22"/>
          <w:szCs w:val="22"/>
          <w:u w:val="none"/>
          <w:lang w:val="en-GB"/>
        </w:rPr>
        <w:t>BMSW4007</w:t>
      </w:r>
    </w:p>
    <w:p xmlns:wp14="http://schemas.microsoft.com/office/word/2010/wordml" w:rsidP="37BE2675" w14:paraId="2E4A80AC" wp14:textId="2C139D3A">
      <w:pPr>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pPr>
    </w:p>
    <w:p xmlns:wp14="http://schemas.microsoft.com/office/word/2010/wordml" w:rsidP="37BE2675" w14:paraId="506D9281" wp14:textId="01B462EE">
      <w:pPr>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pPr>
    </w:p>
    <w:p xmlns:wp14="http://schemas.microsoft.com/office/word/2010/wordml" w:rsidP="37BE2675" w14:paraId="76B1C2E7" wp14:textId="4AACC676">
      <w:pPr>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pPr>
    </w:p>
    <w:p xmlns:wp14="http://schemas.microsoft.com/office/word/2010/wordml" w:rsidP="37BE2675" w14:paraId="664A040E" wp14:textId="5CE1B149">
      <w:pPr>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pPr>
    </w:p>
    <w:p xmlns:wp14="http://schemas.microsoft.com/office/word/2010/wordml" w:rsidP="37BE2675" w14:paraId="67B14F39" wp14:textId="753AE32A">
      <w:pPr>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pPr>
    </w:p>
    <w:p xmlns:wp14="http://schemas.microsoft.com/office/word/2010/wordml" w:rsidP="37BE2675" w14:paraId="7D431D2E" wp14:textId="32B7B9FA">
      <w:pPr>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pPr>
    </w:p>
    <w:p xmlns:wp14="http://schemas.microsoft.com/office/word/2010/wordml" w:rsidP="37BE2675" w14:paraId="0E2EF486" wp14:textId="050B1618">
      <w:pPr>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pPr>
    </w:p>
    <w:p xmlns:wp14="http://schemas.microsoft.com/office/word/2010/wordml" w:rsidP="37BE2675" w14:paraId="7B17A95A" wp14:textId="40391C90">
      <w:pPr>
        <w:spacing w:before="0" w:before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pPr>
      <w:r w:rsidRPr="37BE2675" w:rsidR="1D8AE1C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u w:val="single"/>
          <w:lang w:val="en-GB"/>
        </w:rPr>
        <w:t>Executive Summary</w:t>
      </w:r>
    </w:p>
    <w:p xmlns:wp14="http://schemas.microsoft.com/office/word/2010/wordml" w:rsidP="37BE2675" w14:paraId="2144B99D" wp14:textId="0D15C933">
      <w:pPr>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7BE2675" w:rsidR="1D8AE1C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This report explores the application of design thinking in addressing the challenges of climate change. The stages of empathize, define, ideate, prototype, and test are examined as key components of the design thinking process. By empathizing with affected communities, defining the problem accurately, generating creative ideas, prototyping tangible solutions, and rigorously testing their effectiveness, design thinking </w:t>
      </w:r>
      <w:r w:rsidRPr="37BE2675" w:rsidR="1D8AE1C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provides</w:t>
      </w:r>
      <w:r w:rsidRPr="37BE2675" w:rsidR="1D8AE1C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comprehensive framework for developing sustainable recommendations. The collaborative nature of design thinking ensures that environmental, social, and economic dimensions are considered. By adopting design thinking principles, we can pave the way for a more resilient and sustainable future in the face of climate change.</w:t>
      </w:r>
    </w:p>
    <w:p xmlns:wp14="http://schemas.microsoft.com/office/word/2010/wordml" w:rsidP="37BE2675" w14:paraId="3F3DF868" wp14:textId="498A1CE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07F86F67" wp14:textId="41EDB84E">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58F90EA3" wp14:textId="3CD3B30B">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29BB906B" wp14:textId="51589F99">
      <w:pPr>
        <w:pStyle w:val="Normal"/>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pPr>
      <w:r w:rsidRPr="37BE2675" w:rsidR="091997C6">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Design Thinking and Climate Change</w:t>
      </w:r>
    </w:p>
    <w:p xmlns:wp14="http://schemas.microsoft.com/office/word/2010/wordml" w:rsidP="37BE2675" w14:paraId="7CE9C66B" wp14:textId="277C2FC6">
      <w:pPr>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pPr>
      <w:r w:rsidRPr="37BE2675" w:rsidR="091997C6">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t>Introduction</w:t>
      </w:r>
    </w:p>
    <w:p xmlns:wp14="http://schemas.microsoft.com/office/word/2010/wordml" w:rsidP="37BE2675" w14:paraId="5F8D8CEB" wp14:textId="6D4A621D">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Climate change has quickly gained recognition as one of the most urgent and critical problems confronting our planet in the modern era. Its wide-ranging and profound impacts </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necessitate</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development of novel ways to reduce its effects and </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sustainable solutions</w:t>
      </w:r>
      <w:r w:rsidRPr="37BE2675" w:rsidR="0AE2812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7BE2675" w:rsidR="0AE28121">
        <w:rPr>
          <w:rFonts w:ascii="Calibri" w:hAnsi="Calibri" w:eastAsia="Calibri" w:cs="Calibri" w:asciiTheme="minorAscii" w:hAnsiTheme="minorAscii" w:eastAsiaTheme="minorAscii" w:cstheme="minorAscii"/>
          <w:noProof w:val="0"/>
          <w:sz w:val="24"/>
          <w:szCs w:val="24"/>
          <w:lang w:val="en-GB"/>
        </w:rPr>
        <w:t>(</w:t>
      </w:r>
      <w:r w:rsidRPr="37BE2675" w:rsidR="0AE28121">
        <w:rPr>
          <w:rFonts w:ascii="Calibri" w:hAnsi="Calibri" w:eastAsia="Calibri" w:cs="Calibri" w:asciiTheme="minorAscii" w:hAnsiTheme="minorAscii" w:eastAsiaTheme="minorAscii" w:cstheme="minorAscii"/>
          <w:noProof w:val="0"/>
          <w:sz w:val="24"/>
          <w:szCs w:val="24"/>
          <w:lang w:val="en-GB"/>
        </w:rPr>
        <w:t>Garrofé</w:t>
      </w:r>
      <w:r w:rsidRPr="37BE2675" w:rsidR="0AE28121">
        <w:rPr>
          <w:rFonts w:ascii="Calibri" w:hAnsi="Calibri" w:eastAsia="Calibri" w:cs="Calibri" w:asciiTheme="minorAscii" w:hAnsiTheme="minorAscii" w:eastAsiaTheme="minorAscii" w:cstheme="minorAscii"/>
          <w:noProof w:val="0"/>
          <w:sz w:val="24"/>
          <w:szCs w:val="24"/>
          <w:lang w:val="en-GB"/>
        </w:rPr>
        <w:t xml:space="preserve"> et al. 2022)</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In response to this pressing global challenge, this paper investigates how design thinking, as a human-</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centered</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problem-solving approach, can be effectively applied to tackle climate change. The stages of empathize, define, ideate, prototype, and test are the primary focuses of this investigation, as each stage plays an important part in recognizing the multifaceted issues presented by climate change and developing </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appropriate solutions</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to address these challenges.</w:t>
      </w:r>
    </w:p>
    <w:p xmlns:wp14="http://schemas.microsoft.com/office/word/2010/wordml" w:rsidP="37BE2675" w14:paraId="0BAF2495" wp14:textId="5FA76CA6">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escalating consequences of climate change, such as rising temperatures, extreme weather events, and the loss of biodiversity, demand immediate action</w:t>
      </w:r>
      <w:r w:rsidRPr="37BE2675" w:rsidR="1FE9455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7BE2675" w:rsidR="1FE9455E">
        <w:rPr>
          <w:rFonts w:ascii="Calibri" w:hAnsi="Calibri" w:eastAsia="Calibri" w:cs="Calibri" w:asciiTheme="minorAscii" w:hAnsiTheme="minorAscii" w:eastAsiaTheme="minorAscii" w:cstheme="minorAscii"/>
          <w:noProof w:val="0"/>
          <w:sz w:val="24"/>
          <w:szCs w:val="24"/>
          <w:lang w:val="en-GB"/>
        </w:rPr>
        <w:t xml:space="preserve">(Climate News - BBC </w:t>
      </w:r>
      <w:r w:rsidRPr="37BE2675" w:rsidR="1FE9455E">
        <w:rPr>
          <w:rFonts w:ascii="Calibri" w:hAnsi="Calibri" w:eastAsia="Calibri" w:cs="Calibri" w:asciiTheme="minorAscii" w:hAnsiTheme="minorAscii" w:eastAsiaTheme="minorAscii" w:cstheme="minorAscii"/>
          <w:noProof w:val="0"/>
          <w:sz w:val="24"/>
          <w:szCs w:val="24"/>
          <w:lang w:val="en-GB"/>
        </w:rPr>
        <w:t>News,n.</w:t>
      </w:r>
      <w:r w:rsidRPr="37BE2675" w:rsidR="1FE9455E">
        <w:rPr>
          <w:rFonts w:ascii="Calibri" w:hAnsi="Calibri" w:eastAsia="Calibri" w:cs="Calibri" w:asciiTheme="minorAscii" w:hAnsiTheme="minorAscii" w:eastAsiaTheme="minorAscii" w:cstheme="minorAscii"/>
          <w:noProof w:val="0"/>
          <w:sz w:val="24"/>
          <w:szCs w:val="24"/>
          <w:lang w:val="en-GB"/>
        </w:rPr>
        <w:t>d</w:t>
      </w:r>
      <w:r w:rsidRPr="37BE2675" w:rsidR="1FE9455E">
        <w:rPr>
          <w:rFonts w:ascii="Calibri" w:hAnsi="Calibri" w:eastAsia="Calibri" w:cs="Calibri" w:asciiTheme="minorAscii" w:hAnsiTheme="minorAscii" w:eastAsiaTheme="minorAscii" w:cstheme="minorAscii"/>
          <w:noProof w:val="0"/>
          <w:sz w:val="24"/>
          <w:szCs w:val="24"/>
          <w:lang w:val="en-GB"/>
        </w:rPr>
        <w:t>)</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It is no longer enough to rely solely on traditional approaches to problem-solving. Design thinking offers a fresh perspective and </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met</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hodology</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w:t>
      </w:r>
      <w:r w:rsidRPr="37BE2675" w:rsidR="6629FCB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at can help us navigate the complexities of climate change and create innovative and impactful solutions</w:t>
      </w:r>
    </w:p>
    <w:p xmlns:wp14="http://schemas.microsoft.com/office/word/2010/wordml" w:rsidP="37BE2675" w14:paraId="4185E951" wp14:textId="5E182E6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E1B66D8" wp14:textId="7DCB0092">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30387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139CC65A">
        <w:drawing>
          <wp:inline xmlns:wp14="http://schemas.microsoft.com/office/word/2010/wordprocessingDrawing" wp14:editId="5025B627" wp14:anchorId="7F997CC5">
            <wp:extent cx="2962275" cy="1543050"/>
            <wp:effectExtent l="0" t="0" r="0" b="0"/>
            <wp:docPr id="323033460" name="" title=""/>
            <wp:cNvGraphicFramePr>
              <a:graphicFrameLocks noChangeAspect="1"/>
            </wp:cNvGraphicFramePr>
            <a:graphic>
              <a:graphicData uri="http://schemas.openxmlformats.org/drawingml/2006/picture">
                <pic:pic>
                  <pic:nvPicPr>
                    <pic:cNvPr id="0" name=""/>
                    <pic:cNvPicPr/>
                  </pic:nvPicPr>
                  <pic:blipFill>
                    <a:blip r:embed="R3944c8b1a8b64cab">
                      <a:extLst>
                        <a:ext xmlns:a="http://schemas.openxmlformats.org/drawingml/2006/main" uri="{28A0092B-C50C-407E-A947-70E740481C1C}">
                          <a14:useLocalDpi val="0"/>
                        </a:ext>
                      </a:extLst>
                    </a:blip>
                    <a:stretch>
                      <a:fillRect/>
                    </a:stretch>
                  </pic:blipFill>
                  <pic:spPr>
                    <a:xfrm>
                      <a:off x="0" y="0"/>
                      <a:ext cx="2962275" cy="1543050"/>
                    </a:xfrm>
                    <a:prstGeom prst="rect">
                      <a:avLst/>
                    </a:prstGeom>
                  </pic:spPr>
                </pic:pic>
              </a:graphicData>
            </a:graphic>
          </wp:inline>
        </w:drawing>
      </w:r>
    </w:p>
    <w:p xmlns:wp14="http://schemas.microsoft.com/office/word/2010/wordml" w:rsidP="37BE2675" w14:paraId="1BD7E1F3" wp14:textId="6D313EB1">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30387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0CDC3B97" wp14:textId="4BA85D5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30387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2E630E8E" wp14:textId="3A2E542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30387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23A33948" wp14:textId="6E77F84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0CEDFCA1" wp14:textId="519877E3">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74742ED2" wp14:textId="41C2ACFE">
      <w:pPr>
        <w:pStyle w:val="Normal"/>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pPr>
      <w:r w:rsidRPr="37BE2675" w:rsidR="091997C6">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Empathize</w:t>
      </w:r>
    </w:p>
    <w:p xmlns:wp14="http://schemas.microsoft.com/office/word/2010/wordml" w:rsidP="37BE2675" w14:paraId="6D6CE582" wp14:textId="123C4D47">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7BE2675" w:rsidR="62EF94F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In the empathize stage, the process begins by gaining a deep understanding of the experiences, needs, and vulnerabilities of communities affected by climate change. Through active engagement with individuals, organizations, and policymakers, we can listen to their stories, empathize with their struggles, and develop a profound sense of empathy. This empathetic understanding is essential in designing solutions that are not only effective but also meaningful and inclusive. </w:t>
      </w:r>
      <w:r w:rsidRPr="37BE2675" w:rsidR="31941E2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According to </w:t>
      </w:r>
      <w:r w:rsidRPr="37BE2675" w:rsidR="31941E24">
        <w:rPr>
          <w:rFonts w:ascii="Calibri" w:hAnsi="Calibri" w:eastAsia="Calibri" w:cs="Calibri" w:asciiTheme="minorAscii" w:hAnsiTheme="minorAscii" w:eastAsiaTheme="minorAscii" w:cstheme="minorAscii"/>
          <w:noProof w:val="0"/>
          <w:sz w:val="24"/>
          <w:szCs w:val="24"/>
          <w:lang w:val="en-GB"/>
        </w:rPr>
        <w:t>Ku et al. (2020)</w:t>
      </w:r>
      <w:r w:rsidRPr="37BE2675" w:rsidR="31941E2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b</w:t>
      </w:r>
      <w:r w:rsidRPr="37BE2675" w:rsidR="62EF94F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y placing ourselves in the shoes of those directly </w:t>
      </w:r>
      <w:r w:rsidRPr="37BE2675" w:rsidR="62EF94F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impacted</w:t>
      </w:r>
      <w:r w:rsidRPr="37BE2675" w:rsidR="62EF94F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by climate change, we can gain invaluable insights and develop solutions that address their specific needs and challenges</w:t>
      </w:r>
    </w:p>
    <w:p xmlns:wp14="http://schemas.microsoft.com/office/word/2010/wordml" w:rsidP="37BE2675" w14:paraId="7326917B" wp14:textId="31C99E1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3A8A267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79C1AA0C" wp14:textId="16ADDB23">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3A8A2674">
        <w:drawing>
          <wp:inline xmlns:wp14="http://schemas.microsoft.com/office/word/2010/wordprocessingDrawing" wp14:editId="1DF644A4" wp14:anchorId="59CA32B8">
            <wp:extent cx="2962275" cy="1543050"/>
            <wp:effectExtent l="0" t="0" r="0" b="0"/>
            <wp:docPr id="1222337776" name="" title=""/>
            <wp:cNvGraphicFramePr>
              <a:graphicFrameLocks noChangeAspect="1"/>
            </wp:cNvGraphicFramePr>
            <a:graphic>
              <a:graphicData uri="http://schemas.openxmlformats.org/drawingml/2006/picture">
                <pic:pic>
                  <pic:nvPicPr>
                    <pic:cNvPr id="0" name=""/>
                    <pic:cNvPicPr/>
                  </pic:nvPicPr>
                  <pic:blipFill>
                    <a:blip r:embed="R2c38071f1e1b4dab">
                      <a:extLst>
                        <a:ext xmlns:a="http://schemas.openxmlformats.org/drawingml/2006/main" uri="{28A0092B-C50C-407E-A947-70E740481C1C}">
                          <a14:useLocalDpi val="0"/>
                        </a:ext>
                      </a:extLst>
                    </a:blip>
                    <a:stretch>
                      <a:fillRect/>
                    </a:stretch>
                  </pic:blipFill>
                  <pic:spPr>
                    <a:xfrm>
                      <a:off x="0" y="0"/>
                      <a:ext cx="2962275" cy="1543050"/>
                    </a:xfrm>
                    <a:prstGeom prst="rect">
                      <a:avLst/>
                    </a:prstGeom>
                  </pic:spPr>
                </pic:pic>
              </a:graphicData>
            </a:graphic>
          </wp:inline>
        </w:drawing>
      </w:r>
    </w:p>
    <w:p xmlns:wp14="http://schemas.microsoft.com/office/word/2010/wordml" w:rsidP="37BE2675" w14:paraId="739AA7F9" wp14:textId="2D5727F9">
      <w:pPr>
        <w:pStyle w:val="Normal"/>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pPr>
      <w:r w:rsidRPr="37BE2675" w:rsidR="091997C6">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Define</w:t>
      </w:r>
    </w:p>
    <w:p xmlns:wp14="http://schemas.microsoft.com/office/word/2010/wordml" w:rsidP="37BE2675" w14:paraId="11ED85B7" wp14:textId="6871EFC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8C677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Moving to the define stage, the focus shifts to synthesizing the information gathered during the empathize phase to </w:t>
      </w:r>
      <w:r w:rsidRPr="37BE2675" w:rsidR="58C677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identify</w:t>
      </w:r>
      <w:r w:rsidRPr="37BE2675" w:rsidR="58C677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root causes and consequences of climate change. This stage requires a multidisciplinary approach, considering the environmental, social, and economic dimensions of the problem. By framing a well-defined problem statement, we can ensure a comprehensive understanding of the challenge at hand and effectively direct our efforts toward developing impactful solutions</w:t>
      </w:r>
      <w:r w:rsidRPr="37BE2675" w:rsidR="7039035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7BE2675" w:rsidR="70390355">
        <w:rPr>
          <w:rFonts w:ascii="Calibri" w:hAnsi="Calibri" w:eastAsia="Calibri" w:cs="Calibri" w:asciiTheme="minorAscii" w:hAnsiTheme="minorAscii" w:eastAsiaTheme="minorAscii" w:cstheme="minorAscii"/>
          <w:noProof w:val="0"/>
          <w:sz w:val="24"/>
          <w:szCs w:val="24"/>
          <w:lang w:val="en-GB"/>
        </w:rPr>
        <w:t>(Vercelli 2012)</w:t>
      </w:r>
      <w:r w:rsidRPr="37BE2675" w:rsidR="58C677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r w:rsidRPr="37BE2675" w:rsidR="4F8B75E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7BE2675" w:rsidR="58C677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Clear problem definition allows us to target the underlying causes of climate change and guide our </w:t>
      </w:r>
      <w:r w:rsidRPr="37BE2675" w:rsidR="58C677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subsequent</w:t>
      </w:r>
      <w:r w:rsidRPr="37BE2675" w:rsidR="58C677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ideation and prototyping efforts</w:t>
      </w:r>
      <w:r w:rsidRPr="37BE2675" w:rsidR="091997C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xmlns:wp14="http://schemas.microsoft.com/office/word/2010/wordml" w:rsidP="37BE2675" w14:paraId="45C15658" wp14:textId="4E967B99">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521AE7DA">
        <w:drawing>
          <wp:inline xmlns:wp14="http://schemas.microsoft.com/office/word/2010/wordprocessingDrawing" wp14:editId="6D113AB7" wp14:anchorId="26442A1A">
            <wp:extent cx="3238500" cy="1409700"/>
            <wp:effectExtent l="0" t="0" r="0" b="0"/>
            <wp:docPr id="541690857" name="" title=""/>
            <wp:cNvGraphicFramePr>
              <a:graphicFrameLocks noChangeAspect="1"/>
            </wp:cNvGraphicFramePr>
            <a:graphic>
              <a:graphicData uri="http://schemas.openxmlformats.org/drawingml/2006/picture">
                <pic:pic>
                  <pic:nvPicPr>
                    <pic:cNvPr id="0" name=""/>
                    <pic:cNvPicPr/>
                  </pic:nvPicPr>
                  <pic:blipFill>
                    <a:blip r:embed="R5027ad96af66459a">
                      <a:extLst>
                        <a:ext xmlns:a="http://schemas.openxmlformats.org/drawingml/2006/main" uri="{28A0092B-C50C-407E-A947-70E740481C1C}">
                          <a14:useLocalDpi val="0"/>
                        </a:ext>
                      </a:extLst>
                    </a:blip>
                    <a:stretch>
                      <a:fillRect/>
                    </a:stretch>
                  </pic:blipFill>
                  <pic:spPr>
                    <a:xfrm>
                      <a:off x="0" y="0"/>
                      <a:ext cx="3238500" cy="1409700"/>
                    </a:xfrm>
                    <a:prstGeom prst="rect">
                      <a:avLst/>
                    </a:prstGeom>
                  </pic:spPr>
                </pic:pic>
              </a:graphicData>
            </a:graphic>
          </wp:inline>
        </w:drawing>
      </w:r>
    </w:p>
    <w:p xmlns:wp14="http://schemas.microsoft.com/office/word/2010/wordml" w:rsidP="37BE2675" w14:paraId="62AF55EF" wp14:textId="1B222AE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BB0ECD6" wp14:textId="33B3A202">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597EEBC1" wp14:textId="1CE907D4">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pPr>
      <w:r w:rsidRPr="37BE2675" w:rsidR="091997C6">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Ideate</w:t>
      </w:r>
    </w:p>
    <w:p xmlns:wp14="http://schemas.microsoft.com/office/word/2010/wordml" w:rsidP="37BE2675" w14:paraId="4BC14385" wp14:textId="702FBF64">
      <w:pPr>
        <w:pStyle w:val="Normal"/>
        <w:rPr>
          <w:rFonts w:ascii="Calibri" w:hAnsi="Calibri" w:eastAsia="Calibri" w:cs="Calibri" w:asciiTheme="minorAscii" w:hAnsiTheme="minorAscii" w:eastAsiaTheme="minorAscii" w:cstheme="minorAscii"/>
          <w:noProof w:val="0"/>
          <w:sz w:val="22"/>
          <w:szCs w:val="22"/>
          <w:lang w:val="en-GB"/>
        </w:rPr>
      </w:pP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The </w:t>
      </w: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subsequent</w:t>
      </w: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phase in the design thinking process is known as ideation, wherein a diverse array of concepts is generated with the aim of addressing the issue of climate change. This phase promotes the cultivation of divergent thinking and the embrace of creativity as we delve into the exploration of innovative approaches, technologies, and strategies. By employing various methodologies such as brainstorming, mind mapping, and collaborative workshops, it becomes possible to explore untapped potentials and evaluate both incremental and disruptive concepts. By cultivating a climate that promotes inclusivity and openness, we can effectively harness the collective knowledge and insights of a wide range of stakeholders, thereby generating a substantial reservoir of </w:t>
      </w: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possible solutions</w:t>
      </w: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37BE2675" w:rsidR="05AD80D0">
        <w:rPr>
          <w:rFonts w:ascii="Calibri" w:hAnsi="Calibri" w:eastAsia="Calibri" w:cs="Calibri" w:asciiTheme="minorAscii" w:hAnsiTheme="minorAscii" w:eastAsiaTheme="minorAscii" w:cstheme="minorAscii"/>
          <w:noProof w:val="0"/>
          <w:sz w:val="22"/>
          <w:szCs w:val="22"/>
          <w:lang w:val="en-GB"/>
        </w:rPr>
        <w:t xml:space="preserve"> (Maria Sousa 2019)</w:t>
      </w:r>
    </w:p>
    <w:p xmlns:wp14="http://schemas.microsoft.com/office/word/2010/wordml" w:rsidP="37BE2675" w14:paraId="3C5539A1" wp14:textId="1A3CBE1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0B64EFE5" wp14:textId="3C0C6124">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5129790B" wp14:textId="4D20799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64CA78E4">
        <w:drawing>
          <wp:inline xmlns:wp14="http://schemas.microsoft.com/office/word/2010/wordprocessingDrawing" wp14:editId="734F0D3A" wp14:anchorId="4E39CB43">
            <wp:extent cx="3362325" cy="1362075"/>
            <wp:effectExtent l="0" t="0" r="0" b="0"/>
            <wp:docPr id="1573761736" name="" title=""/>
            <wp:cNvGraphicFramePr>
              <a:graphicFrameLocks noChangeAspect="1"/>
            </wp:cNvGraphicFramePr>
            <a:graphic>
              <a:graphicData uri="http://schemas.openxmlformats.org/drawingml/2006/picture">
                <pic:pic>
                  <pic:nvPicPr>
                    <pic:cNvPr id="0" name=""/>
                    <pic:cNvPicPr/>
                  </pic:nvPicPr>
                  <pic:blipFill>
                    <a:blip r:embed="R2e56c150d68e40fd">
                      <a:extLst>
                        <a:ext xmlns:a="http://schemas.openxmlformats.org/drawingml/2006/main" uri="{28A0092B-C50C-407E-A947-70E740481C1C}">
                          <a14:useLocalDpi val="0"/>
                        </a:ext>
                      </a:extLst>
                    </a:blip>
                    <a:stretch>
                      <a:fillRect/>
                    </a:stretch>
                  </pic:blipFill>
                  <pic:spPr>
                    <a:xfrm>
                      <a:off x="0" y="0"/>
                      <a:ext cx="3362325" cy="1362075"/>
                    </a:xfrm>
                    <a:prstGeom prst="rect">
                      <a:avLst/>
                    </a:prstGeom>
                  </pic:spPr>
                </pic:pic>
              </a:graphicData>
            </a:graphic>
          </wp:inline>
        </w:drawing>
      </w:r>
    </w:p>
    <w:p xmlns:wp14="http://schemas.microsoft.com/office/word/2010/wordml" w:rsidP="37BE2675" w14:paraId="392C5FA7" wp14:textId="4721347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604BF7C1" wp14:textId="700D4902">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13CA40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2E644C75" wp14:textId="2625C08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29CE2631" wp14:textId="21BEA22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3FB1CF5" wp14:textId="322C8433">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pPr>
      <w:r w:rsidRPr="37BE2675" w:rsidR="091997C6">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Prototype</w:t>
      </w:r>
    </w:p>
    <w:p xmlns:wp14="http://schemas.microsoft.com/office/word/2010/wordml" w:rsidP="37BE2675" w14:paraId="270C4C32" wp14:textId="3DCE9872">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7A33A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As we progress towards the prototype stage, our primary emphasis lies in the development of physical manifestations that embody our conceptual ideas. The process of prototyping enables the testing and collection of feedback on proposed solutions, thereby </w:t>
      </w:r>
      <w:r w:rsidRPr="37BE2675" w:rsidR="57A33A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facilitating</w:t>
      </w:r>
      <w:r w:rsidRPr="37BE2675" w:rsidR="57A33A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the connection between abstract concepts and their practical implementation. Prototypes serve as valuable tools for assessing the viability, </w:t>
      </w:r>
      <w:r w:rsidRPr="37BE2675" w:rsidR="7C2B9173">
        <w:rPr>
          <w:rFonts w:ascii="Calibri" w:hAnsi="Calibri" w:eastAsia="Calibri" w:cs="Calibri" w:asciiTheme="minorAscii" w:hAnsiTheme="minorAscii" w:eastAsiaTheme="minorAscii" w:cstheme="minorAscii"/>
          <w:noProof w:val="0"/>
          <w:sz w:val="22"/>
          <w:szCs w:val="22"/>
          <w:lang w:val="en-GB"/>
        </w:rPr>
        <w:t>(</w:t>
      </w:r>
      <w:r w:rsidRPr="37BE2675" w:rsidR="7C2B9173">
        <w:rPr>
          <w:rFonts w:ascii="Calibri" w:hAnsi="Calibri" w:eastAsia="Calibri" w:cs="Calibri" w:asciiTheme="minorAscii" w:hAnsiTheme="minorAscii" w:eastAsiaTheme="minorAscii" w:cstheme="minorAscii"/>
          <w:noProof w:val="0"/>
          <w:sz w:val="22"/>
          <w:szCs w:val="22"/>
          <w:lang w:val="en-GB"/>
        </w:rPr>
        <w:t>Chasanidou</w:t>
      </w:r>
      <w:r w:rsidRPr="37BE2675" w:rsidR="7C2B9173">
        <w:rPr>
          <w:rFonts w:ascii="Calibri" w:hAnsi="Calibri" w:eastAsia="Calibri" w:cs="Calibri" w:asciiTheme="minorAscii" w:hAnsiTheme="minorAscii" w:eastAsiaTheme="minorAscii" w:cstheme="minorAscii"/>
          <w:noProof w:val="0"/>
          <w:sz w:val="22"/>
          <w:szCs w:val="22"/>
          <w:lang w:val="en-GB"/>
        </w:rPr>
        <w:t xml:space="preserve"> et al. 2015)</w:t>
      </w:r>
      <w:r w:rsidRPr="37BE2675" w:rsidR="7C2B917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37BE2675" w:rsidR="57A33A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efficacy, and potential ramifications of our proposed solutions, whether achieved through low-fidelity models, simulations, or pilot projects. The utilisation of this iterative process allows for the enhancement and optimisation of our designs, thereby guaranteeing their feasibility and relevance in real-world scenarios.</w:t>
      </w:r>
    </w:p>
    <w:p xmlns:wp14="http://schemas.microsoft.com/office/word/2010/wordml" w:rsidP="37BE2675" w14:paraId="5C83FBFA" wp14:textId="3788FB4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7A33A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61D373E8" wp14:textId="4EB38DB8">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7A33A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3D5E7DD4" wp14:textId="27565B41">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7A33A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3A3FF3E7">
        <w:drawing>
          <wp:inline xmlns:wp14="http://schemas.microsoft.com/office/word/2010/wordprocessingDrawing" wp14:editId="0A74674C" wp14:anchorId="5A063477">
            <wp:extent cx="2857500" cy="1600200"/>
            <wp:effectExtent l="0" t="0" r="0" b="0"/>
            <wp:docPr id="852759902" name="" title=""/>
            <wp:cNvGraphicFramePr>
              <a:graphicFrameLocks noChangeAspect="1"/>
            </wp:cNvGraphicFramePr>
            <a:graphic>
              <a:graphicData uri="http://schemas.openxmlformats.org/drawingml/2006/picture">
                <pic:pic>
                  <pic:nvPicPr>
                    <pic:cNvPr id="0" name=""/>
                    <pic:cNvPicPr/>
                  </pic:nvPicPr>
                  <pic:blipFill>
                    <a:blip r:embed="R24891f35e70a4575">
                      <a:extLst>
                        <a:ext xmlns:a="http://schemas.openxmlformats.org/drawingml/2006/main" uri="{28A0092B-C50C-407E-A947-70E740481C1C}">
                          <a14:useLocalDpi val="0"/>
                        </a:ext>
                      </a:extLst>
                    </a:blip>
                    <a:stretch>
                      <a:fillRect/>
                    </a:stretch>
                  </pic:blipFill>
                  <pic:spPr>
                    <a:xfrm>
                      <a:off x="0" y="0"/>
                      <a:ext cx="2857500" cy="1600200"/>
                    </a:xfrm>
                    <a:prstGeom prst="rect">
                      <a:avLst/>
                    </a:prstGeom>
                  </pic:spPr>
                </pic:pic>
              </a:graphicData>
            </a:graphic>
          </wp:inline>
        </w:drawing>
      </w:r>
    </w:p>
    <w:p xmlns:wp14="http://schemas.microsoft.com/office/word/2010/wordml" w:rsidP="37BE2675" w14:paraId="3B5F5303" wp14:textId="42C43B0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57A33A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509BAD32" wp14:textId="468C7FF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36D9DB11" wp14:textId="4A90067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7CF8EEF1" wp14:textId="431686FD">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pPr>
      <w:r w:rsidRPr="37BE2675" w:rsidR="091997C6">
        <w:rPr>
          <w:rFonts w:ascii="Calibri" w:hAnsi="Calibri" w:eastAsia="Calibri" w:cs="Calibri" w:asciiTheme="minorAscii" w:hAnsiTheme="minorAscii" w:eastAsiaTheme="minorAscii" w:cstheme="minorAscii"/>
          <w:b w:val="1"/>
          <w:bCs w:val="1"/>
          <w:i w:val="0"/>
          <w:iCs w:val="0"/>
          <w:caps w:val="0"/>
          <w:smallCaps w:val="0"/>
          <w:noProof w:val="0"/>
          <w:color w:val="222222"/>
          <w:sz w:val="22"/>
          <w:szCs w:val="22"/>
          <w:lang w:val="en-GB"/>
        </w:rPr>
        <w:t>Test</w:t>
      </w:r>
    </w:p>
    <w:p xmlns:wp14="http://schemas.microsoft.com/office/word/2010/wordml" w:rsidP="37BE2675" w14:paraId="40E3A76C" wp14:textId="727ED22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5B29B333" wp14:textId="0F4B17E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In the final stage of testing, it is imperative to place significant emphasis on actively involving stakeholders to assess the feasibility and level of acceptance of our prototypes. By engaging in active participation with communities, policymakers, and experts, we can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acquire</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significant feedback and gain valuable insights.</w:t>
      </w:r>
      <w:r w:rsidRPr="37BE2675" w:rsidR="7AA06DB9">
        <w:rPr>
          <w:rFonts w:ascii="Calibri" w:hAnsi="Calibri" w:eastAsia="Calibri" w:cs="Calibri" w:asciiTheme="minorAscii" w:hAnsiTheme="minorAscii" w:eastAsiaTheme="minorAscii" w:cstheme="minorAscii"/>
          <w:noProof w:val="0"/>
          <w:sz w:val="22"/>
          <w:szCs w:val="22"/>
          <w:lang w:val="en-GB"/>
        </w:rPr>
        <w:t xml:space="preserve"> (Bruni 2022)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By employing a combination of observational techniques, surveys, and interviews, we undertake a comprehensive evaluation of the efficacy of our proposed solutions, while also</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identifyin</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potential avenues for further enhancement. The process of testing is essential to ensure that our recommendations are in line with the needs and aspirations of the target audience. This increases the probability of successful implementation and adoption.</w:t>
      </w:r>
    </w:p>
    <w:p xmlns:wp14="http://schemas.microsoft.com/office/word/2010/wordml" w:rsidP="37BE2675" w14:paraId="06569280" wp14:textId="1FCCAAD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10D2083D">
        <w:drawing>
          <wp:inline xmlns:wp14="http://schemas.microsoft.com/office/word/2010/wordprocessingDrawing" wp14:editId="2BE24484" wp14:anchorId="27DB109E">
            <wp:extent cx="2466975" cy="1847850"/>
            <wp:effectExtent l="0" t="0" r="0" b="0"/>
            <wp:docPr id="1884114626" name="" title=""/>
            <wp:cNvGraphicFramePr>
              <a:graphicFrameLocks noChangeAspect="1"/>
            </wp:cNvGraphicFramePr>
            <a:graphic>
              <a:graphicData uri="http://schemas.openxmlformats.org/drawingml/2006/picture">
                <pic:pic>
                  <pic:nvPicPr>
                    <pic:cNvPr id="0" name=""/>
                    <pic:cNvPicPr/>
                  </pic:nvPicPr>
                  <pic:blipFill>
                    <a:blip r:embed="R8ac5e9a8d2094244">
                      <a:extLst>
                        <a:ext xmlns:a="http://schemas.openxmlformats.org/drawingml/2006/main" uri="{28A0092B-C50C-407E-A947-70E740481C1C}">
                          <a14:useLocalDpi val="0"/>
                        </a:ext>
                      </a:extLst>
                    </a:blip>
                    <a:stretch>
                      <a:fillRect/>
                    </a:stretch>
                  </pic:blipFill>
                  <pic:spPr>
                    <a:xfrm>
                      <a:off x="0" y="0"/>
                      <a:ext cx="2466975" cy="1847850"/>
                    </a:xfrm>
                    <a:prstGeom prst="rect">
                      <a:avLst/>
                    </a:prstGeom>
                  </pic:spPr>
                </pic:pic>
              </a:graphicData>
            </a:graphic>
          </wp:inline>
        </w:drawing>
      </w:r>
    </w:p>
    <w:p xmlns:wp14="http://schemas.microsoft.com/office/word/2010/wordml" w:rsidP="37BE2675" w14:paraId="59D27FD9" wp14:textId="2DD9E81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By employing the principles of design thinking, our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objective</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is to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facilitate</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the progression towards a future that is both resilient and sustainable, particularly considering the challenges posed by climate change.</w:t>
      </w:r>
      <w:r w:rsidRPr="37BE2675" w:rsidR="54D11D77">
        <w:rPr>
          <w:rFonts w:ascii="Calibri" w:hAnsi="Calibri" w:eastAsia="Calibri" w:cs="Calibri" w:asciiTheme="minorAscii" w:hAnsiTheme="minorAscii" w:eastAsiaTheme="minorAscii" w:cstheme="minorAscii"/>
          <w:noProof w:val="0"/>
          <w:sz w:val="22"/>
          <w:szCs w:val="22"/>
          <w:lang w:val="en-GB"/>
        </w:rPr>
        <w:t xml:space="preserve"> (Announcement (ScienceDirect Article in Press). 2004)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By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demonstrating</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empathy towards the communities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impacted</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accurately delineating the problem, generating a diverse array of innovative ideas, constructing tangible prototypes, and rigorously evaluating their efficacy, we can formulate comprehensive recommendations that encompass the environmental, social, and economic aspects of the challenge. The adoption of a comprehensive and cooperative strategy is imperative for tackling the complex and interconnected aspects of climate change and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identifying</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viable</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enduring remedies that can effectively preserve our planet for present and future cohorts. </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By adopting the principles of design thinking, there</w:t>
      </w: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exists the potential to unlock novel methodologies for addressing climate change mitigation and adaptation, thereby progressing towards a future characterised by enhanced sustainability and resilience.</w:t>
      </w:r>
    </w:p>
    <w:p xmlns:wp14="http://schemas.microsoft.com/office/word/2010/wordml" w:rsidP="37BE2675" w14:paraId="5C9466CF" wp14:textId="0C97AF1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0780E6DE" wp14:textId="429FFC4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791D343A" wp14:textId="7C2DAD7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26F1A4D8" wp14:textId="78329249">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7BE2675" w:rsidR="16C19C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p xmlns:wp14="http://schemas.microsoft.com/office/word/2010/wordml" w:rsidP="37BE2675" w14:paraId="68B5CCAC" wp14:textId="64B089F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4649751F" wp14:textId="05BA56F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7943C98A" wp14:textId="0FE7272A">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6A9780C8" wp14:textId="36E4F418">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71C589DF" wp14:textId="67908AAA">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04A06A0A" wp14:textId="5C9E61D5">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6DA5CDCB" wp14:textId="2654C3DE">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3F2A1018" wp14:textId="4AA22E95">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xmlns:wp14="http://schemas.microsoft.com/office/word/2010/wordml" w:rsidP="37BE2675" w14:paraId="27A660D7" wp14:textId="6360D9B4">
      <w:pPr>
        <w:rPr>
          <w:rFonts w:ascii="Arial" w:hAnsi="Arial" w:eastAsia="Arial" w:cs="Arial"/>
          <w:b w:val="0"/>
          <w:bCs w:val="0"/>
          <w:i w:val="0"/>
          <w:iCs w:val="0"/>
          <w:caps w:val="0"/>
          <w:smallCaps w:val="0"/>
          <w:noProof w:val="0"/>
          <w:color w:val="222222"/>
          <w:sz w:val="22"/>
          <w:szCs w:val="22"/>
          <w:lang w:val="en-GB"/>
        </w:rPr>
      </w:pPr>
    </w:p>
    <w:p xmlns:wp14="http://schemas.microsoft.com/office/word/2010/wordml" w:rsidP="37BE2675" w14:paraId="67B3424C" wp14:textId="1160E641">
      <w:pPr>
        <w:rPr>
          <w:rFonts w:ascii="Arial" w:hAnsi="Arial" w:eastAsia="Arial" w:cs="Arial"/>
          <w:b w:val="0"/>
          <w:bCs w:val="0"/>
          <w:i w:val="0"/>
          <w:iCs w:val="0"/>
          <w:caps w:val="0"/>
          <w:smallCaps w:val="0"/>
          <w:noProof w:val="0"/>
          <w:color w:val="222222"/>
          <w:sz w:val="22"/>
          <w:szCs w:val="22"/>
          <w:lang w:val="en-GB"/>
        </w:rPr>
      </w:pPr>
    </w:p>
    <w:p xmlns:wp14="http://schemas.microsoft.com/office/word/2010/wordml" w:rsidP="37BE2675" w14:paraId="0F0270B2" wp14:textId="3565BE0D">
      <w:pPr>
        <w:rPr>
          <w:rFonts w:ascii="Arial" w:hAnsi="Arial" w:eastAsia="Arial" w:cs="Arial"/>
          <w:b w:val="0"/>
          <w:bCs w:val="0"/>
          <w:i w:val="0"/>
          <w:iCs w:val="0"/>
          <w:caps w:val="0"/>
          <w:smallCaps w:val="0"/>
          <w:noProof w:val="0"/>
          <w:color w:val="222222"/>
          <w:sz w:val="22"/>
          <w:szCs w:val="22"/>
          <w:lang w:val="en-GB"/>
        </w:rPr>
      </w:pPr>
    </w:p>
    <w:p xmlns:wp14="http://schemas.microsoft.com/office/word/2010/wordml" w:rsidP="37BE2675" w14:paraId="13B31FD8" wp14:textId="6A5DF0D8">
      <w:pPr>
        <w:rPr>
          <w:rFonts w:ascii="Arial" w:hAnsi="Arial" w:eastAsia="Arial" w:cs="Arial"/>
          <w:b w:val="0"/>
          <w:bCs w:val="0"/>
          <w:i w:val="0"/>
          <w:iCs w:val="0"/>
          <w:caps w:val="0"/>
          <w:smallCaps w:val="0"/>
          <w:noProof w:val="0"/>
          <w:color w:val="222222"/>
          <w:sz w:val="22"/>
          <w:szCs w:val="22"/>
          <w:lang w:val="en-GB"/>
        </w:rPr>
      </w:pPr>
    </w:p>
    <w:p xmlns:wp14="http://schemas.microsoft.com/office/word/2010/wordml" w:rsidP="37BE2675" w14:paraId="27D2308A" wp14:textId="56AAEC01">
      <w:pPr>
        <w:rPr>
          <w:rFonts w:ascii="Arial" w:hAnsi="Arial" w:eastAsia="Arial" w:cs="Arial"/>
          <w:b w:val="0"/>
          <w:bCs w:val="0"/>
          <w:i w:val="0"/>
          <w:iCs w:val="0"/>
          <w:caps w:val="0"/>
          <w:smallCaps w:val="0"/>
          <w:noProof w:val="0"/>
          <w:color w:val="222222"/>
          <w:sz w:val="22"/>
          <w:szCs w:val="22"/>
          <w:lang w:val="en-GB"/>
        </w:rPr>
      </w:pPr>
    </w:p>
    <w:p xmlns:wp14="http://schemas.microsoft.com/office/word/2010/wordml" w:rsidP="37BE2675" w14:paraId="3154F725" wp14:textId="5017044E">
      <w:pPr>
        <w:rPr>
          <w:rFonts w:ascii="Arial" w:hAnsi="Arial" w:eastAsia="Arial" w:cs="Arial"/>
          <w:b w:val="1"/>
          <w:bCs w:val="1"/>
          <w:i w:val="0"/>
          <w:iCs w:val="0"/>
          <w:caps w:val="0"/>
          <w:smallCaps w:val="0"/>
          <w:noProof w:val="0"/>
          <w:color w:val="222222"/>
          <w:sz w:val="24"/>
          <w:szCs w:val="24"/>
          <w:lang w:val="en-GB"/>
        </w:rPr>
      </w:pPr>
    </w:p>
    <w:p xmlns:wp14="http://schemas.microsoft.com/office/word/2010/wordml" w14:paraId="0509284D" wp14:textId="5CF5CB6B">
      <w:r w:rsidRPr="37BE2675" w:rsidR="091997C6">
        <w:rPr>
          <w:rFonts w:ascii="Arial" w:hAnsi="Arial" w:eastAsia="Arial" w:cs="Arial"/>
          <w:b w:val="1"/>
          <w:bCs w:val="1"/>
          <w:i w:val="0"/>
          <w:iCs w:val="0"/>
          <w:caps w:val="0"/>
          <w:smallCaps w:val="0"/>
          <w:noProof w:val="0"/>
          <w:color w:val="222222"/>
          <w:sz w:val="24"/>
          <w:szCs w:val="24"/>
          <w:lang w:val="en-GB"/>
        </w:rPr>
        <w:t>Conclusion</w:t>
      </w:r>
    </w:p>
    <w:p xmlns:wp14="http://schemas.microsoft.com/office/word/2010/wordml" w:rsidP="37BE2675" w14:paraId="755E3CB2" wp14:textId="7BD1AF04">
      <w:pPr>
        <w:rPr>
          <w:rFonts w:ascii="Arial" w:hAnsi="Arial" w:eastAsia="Arial" w:cs="Arial"/>
          <w:b w:val="0"/>
          <w:bCs w:val="0"/>
          <w:i w:val="0"/>
          <w:iCs w:val="0"/>
          <w:caps w:val="0"/>
          <w:smallCaps w:val="0"/>
          <w:noProof w:val="0"/>
          <w:color w:val="222222"/>
          <w:sz w:val="22"/>
          <w:szCs w:val="22"/>
          <w:lang w:val="en-GB"/>
        </w:rPr>
      </w:pPr>
    </w:p>
    <w:p xmlns:wp14="http://schemas.microsoft.com/office/word/2010/wordml" w:rsidP="37BE2675" w14:paraId="71F64FE6" wp14:textId="7735D2F2">
      <w:pPr>
        <w:pStyle w:val="Normal"/>
      </w:pPr>
      <w:r w:rsidR="704A5D8E">
        <w:rPr/>
        <w:t xml:space="preserve">In Conclusion the utilisation of design thinking presents a robust framework for effectively addressing the complex and multifaceted challenges posed by climate change. Through the process of empathising with communities that have been </w:t>
      </w:r>
      <w:r w:rsidR="704A5D8E">
        <w:rPr/>
        <w:t>impacted</w:t>
      </w:r>
      <w:r w:rsidR="704A5D8E">
        <w:rPr/>
        <w:t xml:space="preserve">, accurately defining the problem at hand, generating creative ideas for potential solutions, creating tangible representations of these ideas through prototyping, and rigorously testing their effectiveness, it is possible to formulate recommendations that are comprehensive, innovative, and capable of long-term sustainability. The inclusive and cooperative nature of design thinking </w:t>
      </w:r>
      <w:r w:rsidR="704A5D8E">
        <w:rPr/>
        <w:t>facilitates</w:t>
      </w:r>
      <w:r w:rsidR="704A5D8E">
        <w:rPr/>
        <w:t xml:space="preserve"> the incorporation of a wide range of viewpoints, thereby ensuring that our solutions </w:t>
      </w:r>
      <w:r w:rsidR="704A5D8E">
        <w:rPr/>
        <w:t>consider</w:t>
      </w:r>
      <w:r w:rsidR="704A5D8E">
        <w:rPr/>
        <w:t xml:space="preserve"> the environmental, social, and economic aspects. By employing the principles of design thinking, it is possible to </w:t>
      </w:r>
      <w:r w:rsidR="704A5D8E">
        <w:rPr/>
        <w:t>establish</w:t>
      </w:r>
      <w:r w:rsidR="704A5D8E">
        <w:rPr/>
        <w:t xml:space="preserve"> a pathway towards a future that is both resilient and sustainable in the context of climate change.</w:t>
      </w:r>
    </w:p>
    <w:p xmlns:wp14="http://schemas.microsoft.com/office/word/2010/wordml" w:rsidP="37BE2675" w14:paraId="5E5787A5" wp14:textId="1288B36E">
      <w:pPr>
        <w:pStyle w:val="Normal"/>
      </w:pPr>
    </w:p>
    <w:p w:rsidR="37BE2675" w:rsidP="37BE2675" w:rsidRDefault="37BE2675" w14:paraId="6C32AC31" w14:textId="3D8DEA21">
      <w:pPr>
        <w:pStyle w:val="Normal"/>
        <w:rPr>
          <w:b w:val="1"/>
          <w:bCs w:val="1"/>
          <w:u w:val="single"/>
        </w:rPr>
      </w:pPr>
    </w:p>
    <w:p w:rsidR="37BE2675" w:rsidP="37BE2675" w:rsidRDefault="37BE2675" w14:paraId="7E61D92C" w14:textId="0F48ECC2">
      <w:pPr>
        <w:pStyle w:val="Normal"/>
        <w:rPr>
          <w:b w:val="1"/>
          <w:bCs w:val="1"/>
          <w:u w:val="single"/>
        </w:rPr>
      </w:pPr>
    </w:p>
    <w:p w:rsidR="37BE2675" w:rsidP="37BE2675" w:rsidRDefault="37BE2675" w14:paraId="5311E9F9" w14:textId="7948F7AD">
      <w:pPr>
        <w:pStyle w:val="Normal"/>
        <w:rPr>
          <w:b w:val="1"/>
          <w:bCs w:val="1"/>
          <w:u w:val="single"/>
        </w:rPr>
      </w:pPr>
    </w:p>
    <w:p w:rsidR="37BE2675" w:rsidP="37BE2675" w:rsidRDefault="37BE2675" w14:paraId="0BFBDDD2" w14:textId="59F21EBF">
      <w:pPr>
        <w:pStyle w:val="Normal"/>
        <w:rPr>
          <w:b w:val="1"/>
          <w:bCs w:val="1"/>
          <w:u w:val="single"/>
        </w:rPr>
      </w:pPr>
    </w:p>
    <w:p w:rsidR="37BE2675" w:rsidP="37BE2675" w:rsidRDefault="37BE2675" w14:paraId="4D6C29F3" w14:textId="3C8263C6">
      <w:pPr>
        <w:pStyle w:val="Normal"/>
        <w:rPr>
          <w:b w:val="1"/>
          <w:bCs w:val="1"/>
          <w:u w:val="single"/>
        </w:rPr>
      </w:pPr>
    </w:p>
    <w:p w:rsidR="37BE2675" w:rsidP="37BE2675" w:rsidRDefault="37BE2675" w14:paraId="58E3495A" w14:textId="1CD78EFA">
      <w:pPr>
        <w:pStyle w:val="Normal"/>
        <w:rPr>
          <w:b w:val="1"/>
          <w:bCs w:val="1"/>
          <w:u w:val="single"/>
        </w:rPr>
      </w:pPr>
    </w:p>
    <w:p w:rsidR="37BE2675" w:rsidP="37BE2675" w:rsidRDefault="37BE2675" w14:paraId="7A58EA90" w14:textId="37D8A845">
      <w:pPr>
        <w:pStyle w:val="Normal"/>
        <w:rPr>
          <w:b w:val="1"/>
          <w:bCs w:val="1"/>
          <w:u w:val="single"/>
        </w:rPr>
      </w:pPr>
    </w:p>
    <w:p w:rsidR="37BE2675" w:rsidP="37BE2675" w:rsidRDefault="37BE2675" w14:paraId="626D9B63" w14:textId="6163D8F5">
      <w:pPr>
        <w:pStyle w:val="Normal"/>
        <w:rPr>
          <w:b w:val="1"/>
          <w:bCs w:val="1"/>
          <w:u w:val="single"/>
        </w:rPr>
      </w:pPr>
    </w:p>
    <w:p w:rsidR="37BE2675" w:rsidP="37BE2675" w:rsidRDefault="37BE2675" w14:paraId="317C232B" w14:textId="44ED3D5A">
      <w:pPr>
        <w:pStyle w:val="Normal"/>
        <w:rPr>
          <w:b w:val="1"/>
          <w:bCs w:val="1"/>
          <w:u w:val="single"/>
        </w:rPr>
      </w:pPr>
    </w:p>
    <w:p w:rsidR="37BE2675" w:rsidP="37BE2675" w:rsidRDefault="37BE2675" w14:paraId="34C28313" w14:textId="403B3DC6">
      <w:pPr>
        <w:pStyle w:val="Normal"/>
        <w:rPr>
          <w:b w:val="1"/>
          <w:bCs w:val="1"/>
          <w:u w:val="single"/>
        </w:rPr>
      </w:pPr>
    </w:p>
    <w:p w:rsidR="506AFE7A" w:rsidP="37BE2675" w:rsidRDefault="506AFE7A" w14:paraId="6725A27B" w14:textId="4F1B50DD">
      <w:pPr>
        <w:pStyle w:val="Normal"/>
        <w:rPr>
          <w:b w:val="1"/>
          <w:bCs w:val="1"/>
          <w:u w:val="single"/>
        </w:rPr>
      </w:pPr>
      <w:r w:rsidRPr="37BE2675" w:rsidR="506AFE7A">
        <w:rPr>
          <w:b w:val="1"/>
          <w:bCs w:val="1"/>
          <w:u w:val="single"/>
        </w:rPr>
        <w:t>References</w:t>
      </w:r>
      <w:r w:rsidRPr="37BE2675" w:rsidR="506AFE7A">
        <w:rPr>
          <w:b w:val="1"/>
          <w:bCs w:val="1"/>
        </w:rPr>
        <w:t xml:space="preserve"> </w:t>
      </w:r>
    </w:p>
    <w:p w:rsidR="37BE2675" w:rsidP="37BE2675" w:rsidRDefault="37BE2675" w14:paraId="09E2B930" w14:textId="546D93AE">
      <w:pPr>
        <w:pStyle w:val="Normal"/>
        <w:rPr>
          <w:b w:val="1"/>
          <w:bCs w:val="1"/>
        </w:rPr>
      </w:pPr>
    </w:p>
    <w:p w:rsidR="506AFE7A" w:rsidRDefault="506AFE7A" w14:paraId="11CD10CE" w14:textId="12A3FC97">
      <w:r w:rsidRPr="37BE2675" w:rsidR="506AFE7A">
        <w:rPr>
          <w:rFonts w:ascii="Calibri" w:hAnsi="Calibri" w:eastAsia="Calibri" w:cs="Calibri"/>
          <w:noProof w:val="0"/>
          <w:sz w:val="22"/>
          <w:szCs w:val="22"/>
          <w:lang w:val="en-GB"/>
        </w:rPr>
        <w:t>Garrofé</w:t>
      </w:r>
      <w:r w:rsidRPr="37BE2675" w:rsidR="506AFE7A">
        <w:rPr>
          <w:rFonts w:ascii="Calibri" w:hAnsi="Calibri" w:eastAsia="Calibri" w:cs="Calibri"/>
          <w:noProof w:val="0"/>
          <w:sz w:val="22"/>
          <w:szCs w:val="22"/>
          <w:lang w:val="en-GB"/>
        </w:rPr>
        <w:t xml:space="preserve">, A., Picca, M. and Kaplan, A. 2022. </w:t>
      </w:r>
      <w:hyperlink r:id="R529a138afc9d4cf3">
        <w:r w:rsidRPr="37BE2675" w:rsidR="506AFE7A">
          <w:rPr>
            <w:rStyle w:val="Hyperlink"/>
            <w:rFonts w:ascii="Calibri" w:hAnsi="Calibri" w:eastAsia="Calibri" w:cs="Calibri"/>
            <w:noProof w:val="0"/>
            <w:sz w:val="22"/>
            <w:szCs w:val="22"/>
            <w:lang w:val="en-GB"/>
          </w:rPr>
          <w:t>https://actaodontologicalat.com/wp-content/uploads/2022/05/aol_2022_35-1-03.pdf</w:t>
        </w:r>
      </w:hyperlink>
      <w:r w:rsidRPr="37BE2675" w:rsidR="506AFE7A">
        <w:rPr>
          <w:rFonts w:ascii="Calibri" w:hAnsi="Calibri" w:eastAsia="Calibri" w:cs="Calibri"/>
          <w:noProof w:val="0"/>
          <w:sz w:val="22"/>
          <w:szCs w:val="22"/>
          <w:lang w:val="en-GB"/>
        </w:rPr>
        <w:t xml:space="preserve">. </w:t>
      </w:r>
      <w:r w:rsidRPr="37BE2675" w:rsidR="506AFE7A">
        <w:rPr>
          <w:rFonts w:ascii="Calibri" w:hAnsi="Calibri" w:eastAsia="Calibri" w:cs="Calibri"/>
          <w:i w:val="1"/>
          <w:iCs w:val="1"/>
          <w:noProof w:val="0"/>
          <w:sz w:val="22"/>
          <w:szCs w:val="22"/>
          <w:lang w:val="en-GB"/>
        </w:rPr>
        <w:t xml:space="preserve">Acta </w:t>
      </w:r>
      <w:r w:rsidRPr="37BE2675" w:rsidR="506AFE7A">
        <w:rPr>
          <w:rFonts w:ascii="Calibri" w:hAnsi="Calibri" w:eastAsia="Calibri" w:cs="Calibri"/>
          <w:i w:val="1"/>
          <w:iCs w:val="1"/>
          <w:noProof w:val="0"/>
          <w:sz w:val="22"/>
          <w:szCs w:val="22"/>
          <w:lang w:val="en-GB"/>
        </w:rPr>
        <w:t>Odontológica</w:t>
      </w:r>
      <w:r w:rsidRPr="37BE2675" w:rsidR="506AFE7A">
        <w:rPr>
          <w:rFonts w:ascii="Calibri" w:hAnsi="Calibri" w:eastAsia="Calibri" w:cs="Calibri"/>
          <w:i w:val="1"/>
          <w:iCs w:val="1"/>
          <w:noProof w:val="0"/>
          <w:sz w:val="22"/>
          <w:szCs w:val="22"/>
          <w:lang w:val="en-GB"/>
        </w:rPr>
        <w:t xml:space="preserve"> Latinoamericana</w:t>
      </w:r>
      <w:r w:rsidRPr="37BE2675" w:rsidR="506AFE7A">
        <w:rPr>
          <w:rFonts w:ascii="Calibri" w:hAnsi="Calibri" w:eastAsia="Calibri" w:cs="Calibri"/>
          <w:noProof w:val="0"/>
          <w:sz w:val="22"/>
          <w:szCs w:val="22"/>
          <w:lang w:val="en-GB"/>
        </w:rPr>
        <w:t xml:space="preserve"> 35(1), pp. 10–15. Available at: </w:t>
      </w:r>
      <w:hyperlink r:id="Re5728df156694559">
        <w:r w:rsidRPr="37BE2675" w:rsidR="506AFE7A">
          <w:rPr>
            <w:rStyle w:val="Hyperlink"/>
            <w:rFonts w:ascii="Calibri" w:hAnsi="Calibri" w:eastAsia="Calibri" w:cs="Calibri"/>
            <w:noProof w:val="0"/>
            <w:sz w:val="22"/>
            <w:szCs w:val="22"/>
            <w:lang w:val="en-GB"/>
          </w:rPr>
          <w:t>http://dx.doi.org/10.54589/aol.35/1/10</w:t>
        </w:r>
      </w:hyperlink>
      <w:r w:rsidRPr="37BE2675" w:rsidR="506AFE7A">
        <w:rPr>
          <w:rFonts w:ascii="Calibri" w:hAnsi="Calibri" w:eastAsia="Calibri" w:cs="Calibri"/>
          <w:noProof w:val="0"/>
          <w:sz w:val="22"/>
          <w:szCs w:val="22"/>
          <w:lang w:val="en-GB"/>
        </w:rPr>
        <w:t>. Accessed 30/06/2023</w:t>
      </w:r>
    </w:p>
    <w:p w:rsidR="7F3BB7F6" w:rsidRDefault="7F3BB7F6" w14:paraId="19435F9E" w14:textId="06B2B285">
      <w:r w:rsidRPr="37BE2675" w:rsidR="7F3BB7F6">
        <w:rPr>
          <w:rFonts w:ascii="Calibri" w:hAnsi="Calibri" w:eastAsia="Calibri" w:cs="Calibri"/>
          <w:noProof w:val="0"/>
          <w:sz w:val="22"/>
          <w:szCs w:val="22"/>
          <w:lang w:val="en-GB"/>
        </w:rPr>
        <w:t xml:space="preserve">Climate News - BBC News. [no date]. Available at: </w:t>
      </w:r>
      <w:hyperlink r:id="R159dc5cd757b490d">
        <w:r w:rsidRPr="37BE2675" w:rsidR="7F3BB7F6">
          <w:rPr>
            <w:rStyle w:val="Hyperlink"/>
            <w:rFonts w:ascii="Calibri" w:hAnsi="Calibri" w:eastAsia="Calibri" w:cs="Calibri"/>
            <w:noProof w:val="0"/>
            <w:sz w:val="22"/>
            <w:szCs w:val="22"/>
            <w:lang w:val="en-GB"/>
          </w:rPr>
          <w:t>https://www.bbc.com/news/science-environment-56837908</w:t>
        </w:r>
      </w:hyperlink>
      <w:r w:rsidRPr="37BE2675" w:rsidR="7F3BB7F6">
        <w:rPr>
          <w:rFonts w:ascii="Calibri" w:hAnsi="Calibri" w:eastAsia="Calibri" w:cs="Calibri"/>
          <w:noProof w:val="0"/>
          <w:sz w:val="22"/>
          <w:szCs w:val="22"/>
          <w:lang w:val="en-GB"/>
        </w:rPr>
        <w:t xml:space="preserve">. Accessed 29/06/2023 </w:t>
      </w:r>
    </w:p>
    <w:p w:rsidR="7955CF56" w:rsidRDefault="7955CF56" w14:paraId="680CB4F6" w14:textId="21334B51">
      <w:r w:rsidRPr="37BE2675" w:rsidR="7955CF56">
        <w:rPr>
          <w:rFonts w:ascii="Calibri" w:hAnsi="Calibri" w:eastAsia="Calibri" w:cs="Calibri"/>
          <w:noProof w:val="0"/>
          <w:sz w:val="22"/>
          <w:szCs w:val="22"/>
          <w:lang w:val="en-GB"/>
        </w:rPr>
        <w:t xml:space="preserve">Ku, S., Ahn, H. and Kim, D. 2020. SA Review on Necessity to Calculate Navigation Errors in UTM Environments with SE Process. </w:t>
      </w:r>
      <w:r w:rsidRPr="37BE2675" w:rsidR="7955CF56">
        <w:rPr>
          <w:rFonts w:ascii="Calibri" w:hAnsi="Calibri" w:eastAsia="Calibri" w:cs="Calibri"/>
          <w:i w:val="1"/>
          <w:iCs w:val="1"/>
          <w:noProof w:val="0"/>
          <w:sz w:val="22"/>
          <w:szCs w:val="22"/>
          <w:lang w:val="en-GB"/>
        </w:rPr>
        <w:t>Journal of the Korean Society for Aviation and Aeronautics</w:t>
      </w:r>
      <w:r w:rsidRPr="37BE2675" w:rsidR="7955CF56">
        <w:rPr>
          <w:rFonts w:ascii="Calibri" w:hAnsi="Calibri" w:eastAsia="Calibri" w:cs="Calibri"/>
          <w:noProof w:val="0"/>
          <w:sz w:val="22"/>
          <w:szCs w:val="22"/>
          <w:lang w:val="en-GB"/>
        </w:rPr>
        <w:t xml:space="preserve"> 28(4), pp. 47–54. Available at: </w:t>
      </w:r>
      <w:hyperlink r:id="Racba4d0643974679">
        <w:r w:rsidRPr="37BE2675" w:rsidR="7955CF56">
          <w:rPr>
            <w:rStyle w:val="Hyperlink"/>
            <w:rFonts w:ascii="Calibri" w:hAnsi="Calibri" w:eastAsia="Calibri" w:cs="Calibri"/>
            <w:noProof w:val="0"/>
            <w:sz w:val="22"/>
            <w:szCs w:val="22"/>
            <w:lang w:val="en-GB"/>
          </w:rPr>
          <w:t>http://dx.doi.org/10.12985/ksaa.2020.28.4.047</w:t>
        </w:r>
      </w:hyperlink>
      <w:r w:rsidRPr="37BE2675" w:rsidR="7955CF56">
        <w:rPr>
          <w:rFonts w:ascii="Calibri" w:hAnsi="Calibri" w:eastAsia="Calibri" w:cs="Calibri"/>
          <w:noProof w:val="0"/>
          <w:sz w:val="22"/>
          <w:szCs w:val="22"/>
          <w:lang w:val="en-GB"/>
        </w:rPr>
        <w:t xml:space="preserve">. Accessed 02/07/2023 </w:t>
      </w:r>
    </w:p>
    <w:p w:rsidR="1D61B659" w:rsidRDefault="1D61B659" w14:paraId="17157D16" w14:textId="0BBC5665">
      <w:r w:rsidRPr="37BE2675" w:rsidR="1D61B659">
        <w:rPr>
          <w:rFonts w:ascii="Calibri" w:hAnsi="Calibri" w:eastAsia="Calibri" w:cs="Calibri"/>
          <w:noProof w:val="0"/>
          <w:sz w:val="22"/>
          <w:szCs w:val="22"/>
          <w:lang w:val="en-GB"/>
        </w:rPr>
        <w:t xml:space="preserve">Vercelli, A. 2012. Google Books y </w:t>
      </w:r>
      <w:r w:rsidRPr="37BE2675" w:rsidR="1D61B659">
        <w:rPr>
          <w:rFonts w:ascii="Calibri" w:hAnsi="Calibri" w:eastAsia="Calibri" w:cs="Calibri"/>
          <w:noProof w:val="0"/>
          <w:sz w:val="22"/>
          <w:szCs w:val="22"/>
          <w:lang w:val="en-GB"/>
        </w:rPr>
        <w:t>los</w:t>
      </w:r>
      <w:r w:rsidRPr="37BE2675" w:rsidR="1D61B659">
        <w:rPr>
          <w:rFonts w:ascii="Calibri" w:hAnsi="Calibri" w:eastAsia="Calibri" w:cs="Calibri"/>
          <w:noProof w:val="0"/>
          <w:sz w:val="22"/>
          <w:szCs w:val="22"/>
          <w:lang w:val="en-GB"/>
        </w:rPr>
        <w:t xml:space="preserve"> </w:t>
      </w:r>
      <w:r w:rsidRPr="37BE2675" w:rsidR="1D61B659">
        <w:rPr>
          <w:rFonts w:ascii="Calibri" w:hAnsi="Calibri" w:eastAsia="Calibri" w:cs="Calibri"/>
          <w:noProof w:val="0"/>
          <w:sz w:val="22"/>
          <w:szCs w:val="22"/>
          <w:lang w:val="en-GB"/>
        </w:rPr>
        <w:t>cambios</w:t>
      </w:r>
      <w:r w:rsidRPr="37BE2675" w:rsidR="1D61B659">
        <w:rPr>
          <w:rFonts w:ascii="Calibri" w:hAnsi="Calibri" w:eastAsia="Calibri" w:cs="Calibri"/>
          <w:noProof w:val="0"/>
          <w:sz w:val="22"/>
          <w:szCs w:val="22"/>
          <w:lang w:val="en-GB"/>
        </w:rPr>
        <w:t xml:space="preserve"> </w:t>
      </w:r>
      <w:r w:rsidRPr="37BE2675" w:rsidR="1D61B659">
        <w:rPr>
          <w:rFonts w:ascii="Calibri" w:hAnsi="Calibri" w:eastAsia="Calibri" w:cs="Calibri"/>
          <w:noProof w:val="0"/>
          <w:sz w:val="22"/>
          <w:szCs w:val="22"/>
          <w:lang w:val="en-GB"/>
        </w:rPr>
        <w:t>en</w:t>
      </w:r>
      <w:r w:rsidRPr="37BE2675" w:rsidR="1D61B659">
        <w:rPr>
          <w:rFonts w:ascii="Calibri" w:hAnsi="Calibri" w:eastAsia="Calibri" w:cs="Calibri"/>
          <w:noProof w:val="0"/>
          <w:sz w:val="22"/>
          <w:szCs w:val="22"/>
          <w:lang w:val="en-GB"/>
        </w:rPr>
        <w:t xml:space="preserve"> las </w:t>
      </w:r>
      <w:r w:rsidRPr="37BE2675" w:rsidR="1D61B659">
        <w:rPr>
          <w:rFonts w:ascii="Calibri" w:hAnsi="Calibri" w:eastAsia="Calibri" w:cs="Calibri"/>
          <w:noProof w:val="0"/>
          <w:sz w:val="22"/>
          <w:szCs w:val="22"/>
          <w:lang w:val="en-GB"/>
        </w:rPr>
        <w:t>industrias</w:t>
      </w:r>
      <w:r w:rsidRPr="37BE2675" w:rsidR="1D61B659">
        <w:rPr>
          <w:rFonts w:ascii="Calibri" w:hAnsi="Calibri" w:eastAsia="Calibri" w:cs="Calibri"/>
          <w:noProof w:val="0"/>
          <w:sz w:val="22"/>
          <w:szCs w:val="22"/>
          <w:lang w:val="en-GB"/>
        </w:rPr>
        <w:t xml:space="preserve"> </w:t>
      </w:r>
      <w:r w:rsidRPr="37BE2675" w:rsidR="1D61B659">
        <w:rPr>
          <w:rFonts w:ascii="Calibri" w:hAnsi="Calibri" w:eastAsia="Calibri" w:cs="Calibri"/>
          <w:noProof w:val="0"/>
          <w:sz w:val="22"/>
          <w:szCs w:val="22"/>
          <w:lang w:val="en-GB"/>
        </w:rPr>
        <w:t>editoriales</w:t>
      </w:r>
      <w:r w:rsidRPr="37BE2675" w:rsidR="1D61B659">
        <w:rPr>
          <w:rFonts w:ascii="Calibri" w:hAnsi="Calibri" w:eastAsia="Calibri" w:cs="Calibri"/>
          <w:noProof w:val="0"/>
          <w:sz w:val="22"/>
          <w:szCs w:val="22"/>
          <w:lang w:val="en-GB"/>
        </w:rPr>
        <w:t xml:space="preserve">. </w:t>
      </w:r>
      <w:r w:rsidRPr="37BE2675" w:rsidR="1D61B659">
        <w:rPr>
          <w:rFonts w:ascii="Calibri" w:hAnsi="Calibri" w:eastAsia="Calibri" w:cs="Calibri"/>
          <w:i w:val="1"/>
          <w:iCs w:val="1"/>
          <w:noProof w:val="0"/>
          <w:sz w:val="22"/>
          <w:szCs w:val="22"/>
          <w:lang w:val="en-GB"/>
        </w:rPr>
        <w:t>Revista</w:t>
      </w:r>
      <w:r w:rsidRPr="37BE2675" w:rsidR="1D61B659">
        <w:rPr>
          <w:rFonts w:ascii="Calibri" w:hAnsi="Calibri" w:eastAsia="Calibri" w:cs="Calibri"/>
          <w:i w:val="1"/>
          <w:iCs w:val="1"/>
          <w:noProof w:val="0"/>
          <w:sz w:val="22"/>
          <w:szCs w:val="22"/>
          <w:lang w:val="en-GB"/>
        </w:rPr>
        <w:t xml:space="preserve"> </w:t>
      </w:r>
      <w:r w:rsidRPr="37BE2675" w:rsidR="1D61B659">
        <w:rPr>
          <w:rFonts w:ascii="Calibri" w:hAnsi="Calibri" w:eastAsia="Calibri" w:cs="Calibri"/>
          <w:i w:val="1"/>
          <w:iCs w:val="1"/>
          <w:noProof w:val="0"/>
          <w:sz w:val="22"/>
          <w:szCs w:val="22"/>
          <w:lang w:val="en-GB"/>
        </w:rPr>
        <w:t>Educación</w:t>
      </w:r>
      <w:r w:rsidRPr="37BE2675" w:rsidR="1D61B659">
        <w:rPr>
          <w:rFonts w:ascii="Calibri" w:hAnsi="Calibri" w:eastAsia="Calibri" w:cs="Calibri"/>
          <w:i w:val="1"/>
          <w:iCs w:val="1"/>
          <w:noProof w:val="0"/>
          <w:sz w:val="22"/>
          <w:szCs w:val="22"/>
          <w:lang w:val="en-GB"/>
        </w:rPr>
        <w:t xml:space="preserve"> Superior y Sociedad (ESS)</w:t>
      </w:r>
      <w:r w:rsidRPr="37BE2675" w:rsidR="1D61B659">
        <w:rPr>
          <w:rFonts w:ascii="Calibri" w:hAnsi="Calibri" w:eastAsia="Calibri" w:cs="Calibri"/>
          <w:noProof w:val="0"/>
          <w:sz w:val="22"/>
          <w:szCs w:val="22"/>
          <w:lang w:val="en-GB"/>
        </w:rPr>
        <w:t xml:space="preserve"> 16(2). Available at: </w:t>
      </w:r>
      <w:hyperlink r:id="Ra793d9fc517d4b9f">
        <w:r w:rsidRPr="37BE2675" w:rsidR="1D61B659">
          <w:rPr>
            <w:rStyle w:val="Hyperlink"/>
            <w:rFonts w:ascii="Calibri" w:hAnsi="Calibri" w:eastAsia="Calibri" w:cs="Calibri"/>
            <w:noProof w:val="0"/>
            <w:sz w:val="22"/>
            <w:szCs w:val="22"/>
            <w:lang w:val="en-GB"/>
          </w:rPr>
          <w:t>http://dx.doi.org/10.54674/ess.v16i2.654</w:t>
        </w:r>
      </w:hyperlink>
      <w:r w:rsidRPr="37BE2675" w:rsidR="1D61B659">
        <w:rPr>
          <w:rFonts w:ascii="Calibri" w:hAnsi="Calibri" w:eastAsia="Calibri" w:cs="Calibri"/>
          <w:noProof w:val="0"/>
          <w:sz w:val="22"/>
          <w:szCs w:val="22"/>
          <w:lang w:val="en-GB"/>
        </w:rPr>
        <w:t>. Accessed 27/06/2023</w:t>
      </w:r>
    </w:p>
    <w:p w:rsidR="67854F41" w:rsidRDefault="67854F41" w14:paraId="2D4BE387" w14:textId="30B11870">
      <w:r w:rsidRPr="37BE2675" w:rsidR="67854F41">
        <w:rPr>
          <w:rFonts w:ascii="Calibri" w:hAnsi="Calibri" w:eastAsia="Calibri" w:cs="Calibri"/>
          <w:noProof w:val="0"/>
          <w:sz w:val="22"/>
          <w:szCs w:val="22"/>
          <w:lang w:val="en-GB"/>
        </w:rPr>
        <w:t xml:space="preserve">Maria Sousa, J. 2019. Aiming at an Emancipatory Curriculum. </w:t>
      </w:r>
      <w:r w:rsidRPr="37BE2675" w:rsidR="67854F41">
        <w:rPr>
          <w:rFonts w:ascii="Calibri" w:hAnsi="Calibri" w:eastAsia="Calibri" w:cs="Calibri"/>
          <w:i w:val="1"/>
          <w:iCs w:val="1"/>
          <w:noProof w:val="0"/>
          <w:sz w:val="22"/>
          <w:szCs w:val="22"/>
          <w:lang w:val="en-GB"/>
        </w:rPr>
        <w:t>Education Journal</w:t>
      </w:r>
      <w:r w:rsidRPr="37BE2675" w:rsidR="67854F41">
        <w:rPr>
          <w:rFonts w:ascii="Calibri" w:hAnsi="Calibri" w:eastAsia="Calibri" w:cs="Calibri"/>
          <w:noProof w:val="0"/>
          <w:sz w:val="22"/>
          <w:szCs w:val="22"/>
          <w:lang w:val="en-GB"/>
        </w:rPr>
        <w:t xml:space="preserve"> 8(3), p. 89. Available at: </w:t>
      </w:r>
      <w:hyperlink r:id="R4ec138f654454c60">
        <w:r w:rsidRPr="37BE2675" w:rsidR="67854F41">
          <w:rPr>
            <w:rStyle w:val="Hyperlink"/>
            <w:rFonts w:ascii="Calibri" w:hAnsi="Calibri" w:eastAsia="Calibri" w:cs="Calibri"/>
            <w:noProof w:val="0"/>
            <w:sz w:val="22"/>
            <w:szCs w:val="22"/>
            <w:lang w:val="en-GB"/>
          </w:rPr>
          <w:t>http://dx.doi.org/10.11648/j.edu.20190803.11</w:t>
        </w:r>
      </w:hyperlink>
      <w:r w:rsidRPr="37BE2675" w:rsidR="67854F41">
        <w:rPr>
          <w:rFonts w:ascii="Calibri" w:hAnsi="Calibri" w:eastAsia="Calibri" w:cs="Calibri"/>
          <w:noProof w:val="0"/>
          <w:sz w:val="22"/>
          <w:szCs w:val="22"/>
          <w:lang w:val="en-GB"/>
        </w:rPr>
        <w:t xml:space="preserve">. Accessed 29/06/2023 </w:t>
      </w:r>
    </w:p>
    <w:p w:rsidR="6CA55C4A" w:rsidRDefault="6CA55C4A" w14:paraId="1BB36E8D" w14:textId="1AAC5D5A">
      <w:r w:rsidRPr="37BE2675" w:rsidR="6CA55C4A">
        <w:rPr>
          <w:rFonts w:ascii="Calibri" w:hAnsi="Calibri" w:eastAsia="Calibri" w:cs="Calibri"/>
          <w:noProof w:val="0"/>
          <w:sz w:val="22"/>
          <w:szCs w:val="22"/>
          <w:lang w:val="en-GB"/>
        </w:rPr>
        <w:t>Chasanidou</w:t>
      </w:r>
      <w:r w:rsidRPr="37BE2675" w:rsidR="6CA55C4A">
        <w:rPr>
          <w:rFonts w:ascii="Calibri" w:hAnsi="Calibri" w:eastAsia="Calibri" w:cs="Calibri"/>
          <w:noProof w:val="0"/>
          <w:sz w:val="22"/>
          <w:szCs w:val="22"/>
          <w:lang w:val="en-GB"/>
        </w:rPr>
        <w:t xml:space="preserve">, D., Gasparini, A.A. and Lee, E. 2015. Design Thinking Methods and Tools for Innovation. </w:t>
      </w:r>
      <w:r w:rsidRPr="37BE2675" w:rsidR="6CA55C4A">
        <w:rPr>
          <w:rFonts w:ascii="Calibri" w:hAnsi="Calibri" w:eastAsia="Calibri" w:cs="Calibri"/>
          <w:i w:val="1"/>
          <w:iCs w:val="1"/>
          <w:noProof w:val="0"/>
          <w:sz w:val="22"/>
          <w:szCs w:val="22"/>
          <w:lang w:val="en-GB"/>
        </w:rPr>
        <w:t xml:space="preserve">Design, User Experience, and Usability: Design </w:t>
      </w:r>
      <w:r w:rsidRPr="37BE2675" w:rsidR="6CA55C4A">
        <w:rPr>
          <w:rFonts w:ascii="Calibri" w:hAnsi="Calibri" w:eastAsia="Calibri" w:cs="Calibri"/>
          <w:i w:val="1"/>
          <w:iCs w:val="1"/>
          <w:noProof w:val="0"/>
          <w:sz w:val="22"/>
          <w:szCs w:val="22"/>
          <w:lang w:val="en-GB"/>
        </w:rPr>
        <w:t>Discourse</w:t>
      </w:r>
      <w:r w:rsidRPr="37BE2675" w:rsidR="6CA55C4A">
        <w:rPr>
          <w:rFonts w:ascii="Calibri" w:hAnsi="Calibri" w:eastAsia="Calibri" w:cs="Calibri"/>
          <w:noProof w:val="0"/>
          <w:sz w:val="22"/>
          <w:szCs w:val="22"/>
          <w:lang w:val="en-GB"/>
        </w:rPr>
        <w:t xml:space="preserve"> ,</w:t>
      </w:r>
      <w:r w:rsidRPr="37BE2675" w:rsidR="6CA55C4A">
        <w:rPr>
          <w:rFonts w:ascii="Calibri" w:hAnsi="Calibri" w:eastAsia="Calibri" w:cs="Calibri"/>
          <w:noProof w:val="0"/>
          <w:sz w:val="22"/>
          <w:szCs w:val="22"/>
          <w:lang w:val="en-GB"/>
        </w:rPr>
        <w:t xml:space="preserve"> pp. 12–23. Available at: </w:t>
      </w:r>
      <w:hyperlink r:id="Rfae74c8f2c084d39">
        <w:r w:rsidRPr="37BE2675" w:rsidR="6CA55C4A">
          <w:rPr>
            <w:rStyle w:val="Hyperlink"/>
            <w:rFonts w:ascii="Calibri" w:hAnsi="Calibri" w:eastAsia="Calibri" w:cs="Calibri"/>
            <w:noProof w:val="0"/>
            <w:sz w:val="22"/>
            <w:szCs w:val="22"/>
            <w:lang w:val="en-GB"/>
          </w:rPr>
          <w:t>http://dx.doi.org/10.1007/978-3-319-20886-2_2</w:t>
        </w:r>
      </w:hyperlink>
      <w:r w:rsidRPr="37BE2675" w:rsidR="6CA55C4A">
        <w:rPr>
          <w:rFonts w:ascii="Calibri" w:hAnsi="Calibri" w:eastAsia="Calibri" w:cs="Calibri"/>
          <w:noProof w:val="0"/>
          <w:sz w:val="22"/>
          <w:szCs w:val="22"/>
          <w:lang w:val="en-GB"/>
        </w:rPr>
        <w:t>. Accessed 30/06/2023</w:t>
      </w:r>
    </w:p>
    <w:p w:rsidR="089E6A17" w:rsidRDefault="089E6A17" w14:paraId="6C756AC2" w14:textId="5B3F5EFB">
      <w:r w:rsidRPr="37BE2675" w:rsidR="089E6A17">
        <w:rPr>
          <w:rFonts w:ascii="Calibri" w:hAnsi="Calibri" w:eastAsia="Calibri" w:cs="Calibri"/>
          <w:noProof w:val="0"/>
          <w:sz w:val="22"/>
          <w:szCs w:val="22"/>
          <w:lang w:val="en-GB"/>
        </w:rPr>
        <w:t xml:space="preserve">An Automatic and Scalable Application Crawler for Large-Scale Mobile Internet Content Retrieval. 2018. </w:t>
      </w:r>
      <w:r w:rsidRPr="37BE2675" w:rsidR="089E6A17">
        <w:rPr>
          <w:rFonts w:ascii="Calibri" w:hAnsi="Calibri" w:eastAsia="Calibri" w:cs="Calibri"/>
          <w:i w:val="1"/>
          <w:iCs w:val="1"/>
          <w:noProof w:val="0"/>
          <w:sz w:val="22"/>
          <w:szCs w:val="22"/>
          <w:lang w:val="en-GB"/>
        </w:rPr>
        <w:t>KSII Transactions on Internet and Information Systems</w:t>
      </w:r>
      <w:r w:rsidRPr="37BE2675" w:rsidR="089E6A17">
        <w:rPr>
          <w:rFonts w:ascii="Calibri" w:hAnsi="Calibri" w:eastAsia="Calibri" w:cs="Calibri"/>
          <w:noProof w:val="0"/>
          <w:sz w:val="22"/>
          <w:szCs w:val="22"/>
          <w:lang w:val="en-GB"/>
        </w:rPr>
        <w:t xml:space="preserve"> 12(10). Available at: </w:t>
      </w:r>
      <w:hyperlink r:id="R455cb43df74a40e5">
        <w:r w:rsidRPr="37BE2675" w:rsidR="089E6A17">
          <w:rPr>
            <w:rStyle w:val="Hyperlink"/>
            <w:rFonts w:ascii="Calibri" w:hAnsi="Calibri" w:eastAsia="Calibri" w:cs="Calibri"/>
            <w:noProof w:val="0"/>
            <w:sz w:val="22"/>
            <w:szCs w:val="22"/>
            <w:lang w:val="en-GB"/>
          </w:rPr>
          <w:t>http://dx.doi.org/10.3837/tiis.2018.10.013</w:t>
        </w:r>
      </w:hyperlink>
      <w:r w:rsidRPr="37BE2675" w:rsidR="089E6A17">
        <w:rPr>
          <w:rFonts w:ascii="Calibri" w:hAnsi="Calibri" w:eastAsia="Calibri" w:cs="Calibri"/>
          <w:noProof w:val="0"/>
          <w:sz w:val="22"/>
          <w:szCs w:val="22"/>
          <w:lang w:val="en-GB"/>
        </w:rPr>
        <w:t>.</w:t>
      </w:r>
    </w:p>
    <w:p w:rsidR="5675EF04" w:rsidRDefault="5675EF04" w14:paraId="5B48A17D" w14:textId="3E29F14A">
      <w:r w:rsidRPr="37BE2675" w:rsidR="5675EF04">
        <w:rPr>
          <w:rFonts w:ascii="Calibri" w:hAnsi="Calibri" w:eastAsia="Calibri" w:cs="Calibri"/>
          <w:noProof w:val="0"/>
          <w:sz w:val="22"/>
          <w:szCs w:val="22"/>
          <w:lang w:val="en-GB"/>
        </w:rPr>
        <w:t xml:space="preserve">Bruni, M.E. 2022. MDPI Sustainability: Special Issue: “Women’s Special Issue Series: Sustainable Energy.” </w:t>
      </w:r>
      <w:r w:rsidRPr="37BE2675" w:rsidR="5675EF04">
        <w:rPr>
          <w:rFonts w:ascii="Calibri" w:hAnsi="Calibri" w:eastAsia="Calibri" w:cs="Calibri"/>
          <w:i w:val="1"/>
          <w:iCs w:val="1"/>
          <w:noProof w:val="0"/>
          <w:sz w:val="22"/>
          <w:szCs w:val="22"/>
          <w:lang w:val="en-GB"/>
        </w:rPr>
        <w:t>Sustainability</w:t>
      </w:r>
      <w:r w:rsidRPr="37BE2675" w:rsidR="5675EF04">
        <w:rPr>
          <w:rFonts w:ascii="Calibri" w:hAnsi="Calibri" w:eastAsia="Calibri" w:cs="Calibri"/>
          <w:noProof w:val="0"/>
          <w:sz w:val="22"/>
          <w:szCs w:val="22"/>
          <w:lang w:val="en-GB"/>
        </w:rPr>
        <w:t xml:space="preserve"> 14(8), p. 4470. Available at: </w:t>
      </w:r>
      <w:hyperlink r:id="Rc4ac93ecfbbc49fa">
        <w:r w:rsidRPr="37BE2675" w:rsidR="5675EF04">
          <w:rPr>
            <w:rStyle w:val="Hyperlink"/>
            <w:rFonts w:ascii="Calibri" w:hAnsi="Calibri" w:eastAsia="Calibri" w:cs="Calibri"/>
            <w:noProof w:val="0"/>
            <w:sz w:val="22"/>
            <w:szCs w:val="22"/>
            <w:lang w:val="en-GB"/>
          </w:rPr>
          <w:t>http://dx.doi.org/10.3390/su14084470</w:t>
        </w:r>
      </w:hyperlink>
      <w:r w:rsidRPr="37BE2675" w:rsidR="5675EF04">
        <w:rPr>
          <w:rFonts w:ascii="Calibri" w:hAnsi="Calibri" w:eastAsia="Calibri" w:cs="Calibri"/>
          <w:noProof w:val="0"/>
          <w:sz w:val="22"/>
          <w:szCs w:val="22"/>
          <w:lang w:val="en-GB"/>
        </w:rPr>
        <w:t>. Accessed 30/06/2023</w:t>
      </w:r>
    </w:p>
    <w:p w:rsidR="2FA2FB56" w:rsidRDefault="2FA2FB56" w14:paraId="3A7FA945" w14:textId="4A3BE7C9">
      <w:r w:rsidRPr="37BE2675" w:rsidR="2FA2FB56">
        <w:rPr>
          <w:rFonts w:ascii="Calibri" w:hAnsi="Calibri" w:eastAsia="Calibri" w:cs="Calibri"/>
          <w:noProof w:val="0"/>
          <w:sz w:val="22"/>
          <w:szCs w:val="22"/>
          <w:lang w:val="en-GB"/>
        </w:rPr>
        <w:t xml:space="preserve">Announcement (ScienceDirect Article in Press). 2004. </w:t>
      </w:r>
      <w:r w:rsidRPr="37BE2675" w:rsidR="2FA2FB56">
        <w:rPr>
          <w:rFonts w:ascii="Calibri" w:hAnsi="Calibri" w:eastAsia="Calibri" w:cs="Calibri"/>
          <w:i w:val="1"/>
          <w:iCs w:val="1"/>
          <w:noProof w:val="0"/>
          <w:sz w:val="22"/>
          <w:szCs w:val="22"/>
          <w:lang w:val="en-GB"/>
        </w:rPr>
        <w:t>Assessing Writing</w:t>
      </w:r>
      <w:r w:rsidRPr="37BE2675" w:rsidR="2FA2FB56">
        <w:rPr>
          <w:rFonts w:ascii="Calibri" w:hAnsi="Calibri" w:eastAsia="Calibri" w:cs="Calibri"/>
          <w:noProof w:val="0"/>
          <w:sz w:val="22"/>
          <w:szCs w:val="22"/>
          <w:lang w:val="en-GB"/>
        </w:rPr>
        <w:t xml:space="preserve"> 9(1), p. III–IV. Available at: </w:t>
      </w:r>
      <w:hyperlink r:id="R9e4c52defd3948c5">
        <w:r w:rsidRPr="37BE2675" w:rsidR="2FA2FB56">
          <w:rPr>
            <w:rStyle w:val="Hyperlink"/>
            <w:rFonts w:ascii="Calibri" w:hAnsi="Calibri" w:eastAsia="Calibri" w:cs="Calibri"/>
            <w:noProof w:val="0"/>
            <w:sz w:val="22"/>
            <w:szCs w:val="22"/>
            <w:lang w:val="en-GB"/>
          </w:rPr>
          <w:t>http://dx.doi.org/10.1016/s1075-2935(04)00016-9</w:t>
        </w:r>
      </w:hyperlink>
      <w:r w:rsidRPr="37BE2675" w:rsidR="2FA2FB56">
        <w:rPr>
          <w:rFonts w:ascii="Calibri" w:hAnsi="Calibri" w:eastAsia="Calibri" w:cs="Calibri"/>
          <w:noProof w:val="0"/>
          <w:sz w:val="22"/>
          <w:szCs w:val="22"/>
          <w:lang w:val="en-GB"/>
        </w:rPr>
        <w:t xml:space="preserve">. </w:t>
      </w:r>
      <w:r w:rsidRPr="37BE2675" w:rsidR="2FA2FB56">
        <w:rPr>
          <w:rFonts w:ascii="Calibri" w:hAnsi="Calibri" w:eastAsia="Calibri" w:cs="Calibri"/>
          <w:noProof w:val="0"/>
          <w:sz w:val="22"/>
          <w:szCs w:val="22"/>
          <w:lang w:val="en-GB"/>
        </w:rPr>
        <w:t>Accesed</w:t>
      </w:r>
      <w:r w:rsidRPr="37BE2675" w:rsidR="2FA2FB56">
        <w:rPr>
          <w:rFonts w:ascii="Calibri" w:hAnsi="Calibri" w:eastAsia="Calibri" w:cs="Calibri"/>
          <w:noProof w:val="0"/>
          <w:sz w:val="22"/>
          <w:szCs w:val="22"/>
          <w:lang w:val="en-GB"/>
        </w:rPr>
        <w:t xml:space="preserve"> 01/07/2023 </w:t>
      </w:r>
    </w:p>
    <w:p w:rsidR="37BE2675" w:rsidP="37BE2675" w:rsidRDefault="37BE2675" w14:paraId="33BABB40" w14:textId="13F7EAE5">
      <w:pPr>
        <w:pStyle w:val="Normal"/>
        <w:rPr>
          <w:rFonts w:ascii="Calibri" w:hAnsi="Calibri" w:eastAsia="Calibri" w:cs="Calibri"/>
          <w:noProof w:val="0"/>
          <w:sz w:val="22"/>
          <w:szCs w:val="22"/>
          <w:lang w:val="en-GB"/>
        </w:rPr>
      </w:pPr>
    </w:p>
    <w:p w:rsidR="37BE2675" w:rsidP="37BE2675" w:rsidRDefault="37BE2675" w14:paraId="3DC7AB21" w14:textId="467BF903">
      <w:pPr>
        <w:pStyle w:val="Normal"/>
        <w:rPr>
          <w:rFonts w:ascii="Calibri" w:hAnsi="Calibri" w:eastAsia="Calibri" w:cs="Calibri"/>
          <w:noProof w:val="0"/>
          <w:sz w:val="22"/>
          <w:szCs w:val="22"/>
          <w:lang w:val="en-GB"/>
        </w:rPr>
      </w:pPr>
    </w:p>
    <w:p w:rsidR="37BE2675" w:rsidP="37BE2675" w:rsidRDefault="37BE2675" w14:paraId="079ECCEB" w14:textId="6DB0D5A6">
      <w:pPr>
        <w:pStyle w:val="Normal"/>
        <w:rPr>
          <w:rFonts w:ascii="Calibri" w:hAnsi="Calibri" w:eastAsia="Calibri" w:cs="Calibri"/>
          <w:noProof w:val="0"/>
          <w:sz w:val="22"/>
          <w:szCs w:val="22"/>
          <w:lang w:val="en-GB"/>
        </w:rPr>
      </w:pPr>
    </w:p>
    <w:p w:rsidR="37BE2675" w:rsidP="37BE2675" w:rsidRDefault="37BE2675" w14:paraId="0F29416B" w14:textId="545472FA">
      <w:pPr>
        <w:pStyle w:val="Normal"/>
        <w:rPr>
          <w:rFonts w:ascii="Calibri" w:hAnsi="Calibri" w:eastAsia="Calibri" w:cs="Calibri"/>
          <w:noProof w:val="0"/>
          <w:sz w:val="22"/>
          <w:szCs w:val="22"/>
          <w:lang w:val="en-GB"/>
        </w:rPr>
      </w:pPr>
    </w:p>
    <w:p w:rsidR="37BE2675" w:rsidP="37BE2675" w:rsidRDefault="37BE2675" w14:paraId="7679C072" w14:textId="14480725">
      <w:pPr>
        <w:pStyle w:val="Normal"/>
        <w:rPr>
          <w:rFonts w:ascii="Calibri" w:hAnsi="Calibri" w:eastAsia="Calibri" w:cs="Calibri"/>
          <w:noProof w:val="0"/>
          <w:sz w:val="22"/>
          <w:szCs w:val="22"/>
          <w:lang w:val="en-GB"/>
        </w:rPr>
      </w:pPr>
    </w:p>
    <w:p w:rsidR="37BE2675" w:rsidP="37BE2675" w:rsidRDefault="37BE2675" w14:paraId="22AA96A5" w14:textId="059AD7C3">
      <w:pPr>
        <w:pStyle w:val="Normal"/>
        <w:rPr>
          <w:rFonts w:ascii="Calibri" w:hAnsi="Calibri" w:eastAsia="Calibri" w:cs="Calibri"/>
          <w:noProof w:val="0"/>
          <w:sz w:val="22"/>
          <w:szCs w:val="22"/>
          <w:lang w:val="en-GB"/>
        </w:rPr>
      </w:pPr>
    </w:p>
    <w:p w:rsidR="37BE2675" w:rsidP="37BE2675" w:rsidRDefault="37BE2675" w14:paraId="034028DE" w14:textId="0C5E63E2">
      <w:pPr>
        <w:pStyle w:val="Normal"/>
        <w:rPr>
          <w:rFonts w:ascii="Calibri" w:hAnsi="Calibri" w:eastAsia="Calibri" w:cs="Calibri"/>
          <w:noProof w:val="0"/>
          <w:sz w:val="22"/>
          <w:szCs w:val="22"/>
          <w:lang w:val="en-GB"/>
        </w:rPr>
      </w:pPr>
    </w:p>
    <w:p w:rsidR="37BE2675" w:rsidP="37BE2675" w:rsidRDefault="37BE2675" w14:paraId="50C6E3BA" w14:textId="5C96AA64">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08d1a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6BFDE0"/>
    <w:rsid w:val="00B27E8F"/>
    <w:rsid w:val="024E4EF0"/>
    <w:rsid w:val="03EA1F51"/>
    <w:rsid w:val="04B89E7C"/>
    <w:rsid w:val="056ACF17"/>
    <w:rsid w:val="05AD80D0"/>
    <w:rsid w:val="0721C013"/>
    <w:rsid w:val="089E6A17"/>
    <w:rsid w:val="08BD9074"/>
    <w:rsid w:val="091997C6"/>
    <w:rsid w:val="0A5960D5"/>
    <w:rsid w:val="0AE28121"/>
    <w:rsid w:val="0BF53136"/>
    <w:rsid w:val="0F989F4B"/>
    <w:rsid w:val="10D2083D"/>
    <w:rsid w:val="10EAF0C9"/>
    <w:rsid w:val="139CC65A"/>
    <w:rsid w:val="14CC00BA"/>
    <w:rsid w:val="1672802D"/>
    <w:rsid w:val="16C19CFF"/>
    <w:rsid w:val="180E508E"/>
    <w:rsid w:val="1C7F0FD9"/>
    <w:rsid w:val="1D61B659"/>
    <w:rsid w:val="1D8AE1CD"/>
    <w:rsid w:val="1E1AE03A"/>
    <w:rsid w:val="1FE9455E"/>
    <w:rsid w:val="22EE515D"/>
    <w:rsid w:val="266BFDE0"/>
    <w:rsid w:val="2AE5FD5C"/>
    <w:rsid w:val="2FA2FB56"/>
    <w:rsid w:val="30387CF7"/>
    <w:rsid w:val="31941E24"/>
    <w:rsid w:val="32C424D4"/>
    <w:rsid w:val="34239010"/>
    <w:rsid w:val="34F3F230"/>
    <w:rsid w:val="36713D5F"/>
    <w:rsid w:val="37BE2675"/>
    <w:rsid w:val="39336658"/>
    <w:rsid w:val="3A3FF3E7"/>
    <w:rsid w:val="3A8A2674"/>
    <w:rsid w:val="3C6B071A"/>
    <w:rsid w:val="3CE5DBB8"/>
    <w:rsid w:val="3D3C7320"/>
    <w:rsid w:val="455F7D77"/>
    <w:rsid w:val="495177A8"/>
    <w:rsid w:val="4AED4809"/>
    <w:rsid w:val="4B13D887"/>
    <w:rsid w:val="4C89186A"/>
    <w:rsid w:val="4F8B75EE"/>
    <w:rsid w:val="4FC0B92C"/>
    <w:rsid w:val="506AFE7A"/>
    <w:rsid w:val="513CA403"/>
    <w:rsid w:val="521AE7DA"/>
    <w:rsid w:val="54D11D77"/>
    <w:rsid w:val="54F7E128"/>
    <w:rsid w:val="5675EF04"/>
    <w:rsid w:val="57989CF9"/>
    <w:rsid w:val="57A33A67"/>
    <w:rsid w:val="58C67784"/>
    <w:rsid w:val="62EF94F2"/>
    <w:rsid w:val="64CA78E4"/>
    <w:rsid w:val="6629FCB1"/>
    <w:rsid w:val="67854F41"/>
    <w:rsid w:val="6B6CF564"/>
    <w:rsid w:val="6CA55C4A"/>
    <w:rsid w:val="6D08C5C5"/>
    <w:rsid w:val="70390355"/>
    <w:rsid w:val="704A5D8E"/>
    <w:rsid w:val="71C95DE2"/>
    <w:rsid w:val="72398BEB"/>
    <w:rsid w:val="73652E43"/>
    <w:rsid w:val="743D9DCA"/>
    <w:rsid w:val="7449CD62"/>
    <w:rsid w:val="7955CF56"/>
    <w:rsid w:val="7AA06DB9"/>
    <w:rsid w:val="7BA0A241"/>
    <w:rsid w:val="7C2B9173"/>
    <w:rsid w:val="7E04E342"/>
    <w:rsid w:val="7F16AE2D"/>
    <w:rsid w:val="7F3BB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BFDE0"/>
  <w15:chartTrackingRefBased/>
  <w15:docId w15:val="{6290BEA5-ED05-4AA7-9613-DB2DF37211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944c8b1a8b64cab" /><Relationship Type="http://schemas.openxmlformats.org/officeDocument/2006/relationships/image" Target="/media/image.png" Id="R2c38071f1e1b4dab" /><Relationship Type="http://schemas.openxmlformats.org/officeDocument/2006/relationships/image" Target="/media/image2.png" Id="R5027ad96af66459a" /><Relationship Type="http://schemas.openxmlformats.org/officeDocument/2006/relationships/image" Target="/media/image2.jpg" Id="R2e56c150d68e40fd" /><Relationship Type="http://schemas.openxmlformats.org/officeDocument/2006/relationships/image" Target="/media/image3.png" Id="R24891f35e70a4575" /><Relationship Type="http://schemas.openxmlformats.org/officeDocument/2006/relationships/image" Target="/media/image3.jpg" Id="R8ac5e9a8d2094244" /><Relationship Type="http://schemas.openxmlformats.org/officeDocument/2006/relationships/hyperlink" Target="https://actaodontologicalat.com/wp-content/uploads/2022/05/aol_2022_35-1-03.pdf" TargetMode="External" Id="R529a138afc9d4cf3" /><Relationship Type="http://schemas.openxmlformats.org/officeDocument/2006/relationships/hyperlink" Target="http://dx.doi.org/10.54589/aol.35/1/10" TargetMode="External" Id="Re5728df156694559" /><Relationship Type="http://schemas.openxmlformats.org/officeDocument/2006/relationships/hyperlink" Target="https://www.bbc.com/news/science-environment-56837908" TargetMode="External" Id="R159dc5cd757b490d" /><Relationship Type="http://schemas.openxmlformats.org/officeDocument/2006/relationships/hyperlink" Target="http://dx.doi.org/10.12985/ksaa.2020.28.4.047" TargetMode="External" Id="Racba4d0643974679" /><Relationship Type="http://schemas.openxmlformats.org/officeDocument/2006/relationships/hyperlink" Target="http://dx.doi.org/10.54674/ess.v16i2.654" TargetMode="External" Id="Ra793d9fc517d4b9f" /><Relationship Type="http://schemas.openxmlformats.org/officeDocument/2006/relationships/hyperlink" Target="http://dx.doi.org/10.11648/j.edu.20190803.11" TargetMode="External" Id="R4ec138f654454c60" /><Relationship Type="http://schemas.openxmlformats.org/officeDocument/2006/relationships/hyperlink" Target="http://dx.doi.org/10.1007/978-3-319-20886-2_2" TargetMode="External" Id="Rfae74c8f2c084d39" /><Relationship Type="http://schemas.openxmlformats.org/officeDocument/2006/relationships/hyperlink" Target="http://dx.doi.org/10.3837/tiis.2018.10.013" TargetMode="External" Id="R455cb43df74a40e5" /><Relationship Type="http://schemas.openxmlformats.org/officeDocument/2006/relationships/hyperlink" Target="http://dx.doi.org/10.3390/su14084470" TargetMode="External" Id="Rc4ac93ecfbbc49fa" /><Relationship Type="http://schemas.openxmlformats.org/officeDocument/2006/relationships/hyperlink" Target="http://dx.doi.org/10.1016/s1075-2935(04)00016-9" TargetMode="External" Id="R9e4c52defd3948c5" /><Relationship Type="http://schemas.openxmlformats.org/officeDocument/2006/relationships/numbering" Target="/word/numbering.xml" Id="R51afb40cc13043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Alina Mucenic (2108840)</dc:creator>
  <keywords/>
  <dc:description/>
  <lastModifiedBy>Alina Mucenic (2108840)</lastModifiedBy>
  <revision>2</revision>
  <dcterms:created xsi:type="dcterms:W3CDTF">2023-07-02T19:19:55.1854494Z</dcterms:created>
  <dcterms:modified xsi:type="dcterms:W3CDTF">2023-07-02T21:28:39.8999089Z</dcterms:modified>
</coreProperties>
</file>