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E9ACA6" w14:textId="5B4F0AA2" w:rsidR="00BB66D1" w:rsidRDefault="00A4427A" w:rsidP="00BB66D1">
      <w:pPr>
        <w:spacing w:line="480" w:lineRule="auto"/>
        <w:rPr>
          <w:rFonts w:ascii="Britannic Bold" w:hAnsi="Britannic Bold" w:cs="Times New Roman"/>
          <w:b/>
          <w:color w:val="676A6C"/>
          <w:sz w:val="44"/>
          <w:szCs w:val="44"/>
          <w:shd w:val="clear" w:color="auto" w:fill="FFFFFF"/>
        </w:rPr>
      </w:pPr>
      <w:r w:rsidRPr="00BB66D1">
        <w:rPr>
          <w:rFonts w:ascii="Britannic Bold" w:hAnsi="Britannic Bold" w:cs="Times New Roman"/>
          <w:b/>
          <w:color w:val="676A6C"/>
          <w:sz w:val="44"/>
          <w:szCs w:val="44"/>
          <w:shd w:val="clear" w:color="auto" w:fill="FFFFFF"/>
        </w:rPr>
        <w:t>Diversity in th</w:t>
      </w:r>
      <w:r w:rsidR="00E20DFF" w:rsidRPr="00BB66D1">
        <w:rPr>
          <w:rFonts w:ascii="Britannic Bold" w:hAnsi="Britannic Bold" w:cs="Times New Roman"/>
          <w:b/>
          <w:color w:val="676A6C"/>
          <w:sz w:val="44"/>
          <w:szCs w:val="44"/>
          <w:shd w:val="clear" w:color="auto" w:fill="FFFFFF"/>
        </w:rPr>
        <w:t>e Judiciary(Supreme Court)</w:t>
      </w:r>
    </w:p>
    <w:p w14:paraId="4A71CE99" w14:textId="77777777" w:rsidR="008D0A3F" w:rsidRPr="00E25741" w:rsidRDefault="00A4427A" w:rsidP="008D0A3F">
      <w:pPr>
        <w:spacing w:line="480" w:lineRule="auto"/>
        <w:rPr>
          <w:rFonts w:cs="Times New Roman"/>
          <w:b/>
          <w:sz w:val="36"/>
          <w:szCs w:val="36"/>
          <w:u w:val="single"/>
        </w:rPr>
      </w:pPr>
      <w:r>
        <w:t xml:space="preserve">To understand the role of a Supreme Court judge we must understand the functions of the Supreme Court in the United Kingdom. The Supreme Court plays a very major role in forming laws of the United Kingdom since it is the final court of appeal of </w:t>
      </w:r>
      <w:r w:rsidR="00DD1BD5">
        <w:t>the country which covers civil and criminal from Wales, northern island and England. It is also a court of appeal for cases on the substantial question of law and of issues relating to general im</w:t>
      </w:r>
      <w:r w:rsidR="00E70BD6">
        <w:t>portance which includes cases related to</w:t>
      </w:r>
      <w:r w:rsidR="00DD1BD5">
        <w:t xml:space="preserve"> public and constitutional importance. </w:t>
      </w:r>
      <w:r w:rsidR="00E70BD6">
        <w:t>On an international level, T</w:t>
      </w:r>
      <w:r w:rsidR="00DD1BD5">
        <w:t>he UK Supreme Court is a leader of common law and is the author of various common law rules which are not only followed in England but also in the whole world in different jurisdictions in some of the other form</w:t>
      </w:r>
      <w:r>
        <w:t>s. Along with being the highest court in the country it also hears appe</w:t>
      </w:r>
      <w:r w:rsidR="00E70BD6">
        <w:t>als from the following courts belonging to</w:t>
      </w:r>
      <w:r>
        <w:t xml:space="preserve"> each jurisdiction-</w:t>
      </w:r>
    </w:p>
    <w:p w14:paraId="0B0F9C00" w14:textId="77777777" w:rsidR="008D0A3F" w:rsidRPr="008D0A3F" w:rsidRDefault="00A4427A" w:rsidP="008D0A3F">
      <w:pPr>
        <w:spacing w:line="480" w:lineRule="auto"/>
        <w:rPr>
          <w:rFonts w:cs="Times New Roman"/>
          <w:szCs w:val="24"/>
          <w:u w:val="single"/>
        </w:rPr>
      </w:pPr>
      <w:r w:rsidRPr="008D0A3F">
        <w:rPr>
          <w:rFonts w:cs="Times New Roman"/>
          <w:szCs w:val="24"/>
          <w:u w:val="single"/>
        </w:rPr>
        <w:t>England and Wales-</w:t>
      </w:r>
    </w:p>
    <w:p w14:paraId="70E06C5C" w14:textId="77777777" w:rsidR="008D0A3F" w:rsidRPr="008D0A3F" w:rsidRDefault="00A4427A" w:rsidP="008D0A3F">
      <w:pPr>
        <w:spacing w:line="480" w:lineRule="auto"/>
      </w:pPr>
      <w:r w:rsidRPr="008D0A3F">
        <w:rPr>
          <w:rFonts w:cs="Times New Roman"/>
          <w:szCs w:val="24"/>
        </w:rPr>
        <w:t>Civil Division</w:t>
      </w:r>
      <w:r w:rsidR="00E25741">
        <w:rPr>
          <w:rFonts w:cs="Times New Roman"/>
          <w:szCs w:val="24"/>
        </w:rPr>
        <w:t>, The court of Appeal</w:t>
      </w:r>
    </w:p>
    <w:p w14:paraId="6CAA06BF" w14:textId="77777777" w:rsidR="008D0A3F" w:rsidRPr="008D0A3F" w:rsidRDefault="00A4427A" w:rsidP="008D0A3F">
      <w:pPr>
        <w:spacing w:line="480" w:lineRule="auto"/>
        <w:rPr>
          <w:rFonts w:cs="Times New Roman"/>
          <w:szCs w:val="24"/>
        </w:rPr>
      </w:pPr>
      <w:r w:rsidRPr="008D0A3F">
        <w:rPr>
          <w:rFonts w:cs="Times New Roman"/>
          <w:szCs w:val="24"/>
        </w:rPr>
        <w:t>Criminal Division</w:t>
      </w:r>
      <w:r w:rsidR="00E25741">
        <w:rPr>
          <w:rFonts w:cs="Times New Roman"/>
          <w:szCs w:val="24"/>
        </w:rPr>
        <w:t>,</w:t>
      </w:r>
      <w:r w:rsidR="00E25741" w:rsidRPr="00E25741">
        <w:rPr>
          <w:rFonts w:cs="Times New Roman"/>
          <w:szCs w:val="24"/>
        </w:rPr>
        <w:t xml:space="preserve"> </w:t>
      </w:r>
      <w:r w:rsidR="00E25741" w:rsidRPr="008D0A3F">
        <w:rPr>
          <w:rFonts w:cs="Times New Roman"/>
          <w:szCs w:val="24"/>
        </w:rPr>
        <w:t>The Court of Appeal</w:t>
      </w:r>
    </w:p>
    <w:p w14:paraId="51D1BB02" w14:textId="77777777" w:rsidR="008D0A3F" w:rsidRPr="008D0A3F" w:rsidRDefault="00A4427A" w:rsidP="008D0A3F">
      <w:pPr>
        <w:spacing w:line="480" w:lineRule="auto"/>
        <w:rPr>
          <w:rFonts w:cs="Times New Roman"/>
          <w:szCs w:val="24"/>
        </w:rPr>
      </w:pPr>
      <w:r>
        <w:rPr>
          <w:rFonts w:cs="Times New Roman"/>
          <w:szCs w:val="24"/>
        </w:rPr>
        <w:t>T</w:t>
      </w:r>
      <w:r w:rsidRPr="008D0A3F">
        <w:rPr>
          <w:rFonts w:cs="Times New Roman"/>
          <w:szCs w:val="24"/>
        </w:rPr>
        <w:t>he High Court</w:t>
      </w:r>
      <w:r>
        <w:rPr>
          <w:rFonts w:cs="Times New Roman"/>
          <w:szCs w:val="24"/>
        </w:rPr>
        <w:t>(in some limited cases)</w:t>
      </w:r>
    </w:p>
    <w:p w14:paraId="76000BAC" w14:textId="77777777" w:rsidR="008D0A3F" w:rsidRPr="008D0A3F" w:rsidRDefault="00A4427A" w:rsidP="008D0A3F">
      <w:pPr>
        <w:spacing w:line="480" w:lineRule="auto"/>
        <w:rPr>
          <w:rFonts w:cs="Times New Roman"/>
          <w:szCs w:val="24"/>
          <w:u w:val="single"/>
        </w:rPr>
      </w:pPr>
      <w:r w:rsidRPr="008D0A3F">
        <w:rPr>
          <w:rFonts w:cs="Times New Roman"/>
          <w:szCs w:val="24"/>
          <w:u w:val="single"/>
        </w:rPr>
        <w:t>Scotland-</w:t>
      </w:r>
    </w:p>
    <w:p w14:paraId="7ACCBE6A" w14:textId="77777777" w:rsidR="008D0A3F" w:rsidRPr="008D0A3F" w:rsidRDefault="00A4427A" w:rsidP="008D0A3F">
      <w:pPr>
        <w:spacing w:line="480" w:lineRule="auto"/>
        <w:rPr>
          <w:rFonts w:cs="Times New Roman"/>
          <w:szCs w:val="24"/>
        </w:rPr>
      </w:pPr>
      <w:r>
        <w:rPr>
          <w:rFonts w:cs="Times New Roman"/>
          <w:szCs w:val="24"/>
        </w:rPr>
        <w:t xml:space="preserve">The </w:t>
      </w:r>
      <w:r w:rsidRPr="008D0A3F">
        <w:rPr>
          <w:rFonts w:cs="Times New Roman"/>
          <w:szCs w:val="24"/>
        </w:rPr>
        <w:t>Session</w:t>
      </w:r>
      <w:r>
        <w:rPr>
          <w:rFonts w:cs="Times New Roman"/>
          <w:szCs w:val="24"/>
        </w:rPr>
        <w:t>s court/ The court of Session</w:t>
      </w:r>
    </w:p>
    <w:p w14:paraId="1BB1EF4E" w14:textId="77777777" w:rsidR="008D0A3F" w:rsidRPr="008D0A3F" w:rsidRDefault="00A4427A" w:rsidP="008D0A3F">
      <w:pPr>
        <w:spacing w:line="480" w:lineRule="auto"/>
        <w:rPr>
          <w:rFonts w:cs="Times New Roman"/>
          <w:szCs w:val="24"/>
          <w:u w:val="single"/>
        </w:rPr>
      </w:pPr>
      <w:r w:rsidRPr="008D0A3F">
        <w:rPr>
          <w:rFonts w:cs="Times New Roman"/>
          <w:szCs w:val="24"/>
          <w:u w:val="single"/>
        </w:rPr>
        <w:t>Northern Ireland-</w:t>
      </w:r>
    </w:p>
    <w:p w14:paraId="1436547C" w14:textId="77777777" w:rsidR="008D0A3F" w:rsidRPr="008D0A3F" w:rsidRDefault="00A4427A" w:rsidP="008D0A3F">
      <w:pPr>
        <w:spacing w:line="480" w:lineRule="auto"/>
        <w:rPr>
          <w:rFonts w:cs="Times New Roman"/>
          <w:szCs w:val="24"/>
        </w:rPr>
      </w:pPr>
      <w:r w:rsidRPr="008D0A3F">
        <w:rPr>
          <w:rFonts w:cs="Times New Roman"/>
          <w:szCs w:val="24"/>
        </w:rPr>
        <w:t>The Court of Appeal in Northern Ireland</w:t>
      </w:r>
    </w:p>
    <w:p w14:paraId="0353E806" w14:textId="77777777" w:rsidR="008D0A3F" w:rsidRPr="008D0A3F" w:rsidRDefault="00A4427A" w:rsidP="008D0A3F">
      <w:pPr>
        <w:spacing w:line="480" w:lineRule="auto"/>
        <w:rPr>
          <w:rFonts w:eastAsia="Times New Roman" w:cs="Times New Roman"/>
          <w:szCs w:val="24"/>
        </w:rPr>
      </w:pPr>
      <w:r w:rsidRPr="008D0A3F">
        <w:rPr>
          <w:rFonts w:eastAsia="Times New Roman" w:cs="Times New Roman"/>
          <w:szCs w:val="24"/>
        </w:rPr>
        <w:lastRenderedPageBreak/>
        <w:t>(in some limited cases) the High Court</w:t>
      </w:r>
    </w:p>
    <w:p w14:paraId="44F8F2E4" w14:textId="77777777" w:rsidR="000079A8" w:rsidRPr="007331B4" w:rsidRDefault="003801A7" w:rsidP="007B1C30">
      <w:pPr>
        <w:spacing w:line="480" w:lineRule="auto"/>
        <w:rPr>
          <w:rFonts w:cs="Times New Roman"/>
          <w:szCs w:val="24"/>
        </w:rPr>
      </w:pPr>
      <w:r w:rsidRPr="00842E4F">
        <w:rPr>
          <w:rFonts w:cs="Times New Roman"/>
          <w:szCs w:val="24"/>
        </w:rPr>
        <w:t xml:space="preserve">Traditionally the characteristics of a judge are related to being </w:t>
      </w:r>
      <w:proofErr w:type="spellStart"/>
      <w:r w:rsidRPr="00842E4F">
        <w:rPr>
          <w:rFonts w:cs="Times New Roman"/>
          <w:szCs w:val="24"/>
        </w:rPr>
        <w:t>self ruling</w:t>
      </w:r>
      <w:proofErr w:type="spellEnd"/>
      <w:r w:rsidRPr="00842E4F">
        <w:rPr>
          <w:rFonts w:cs="Times New Roman"/>
          <w:szCs w:val="24"/>
        </w:rPr>
        <w:t xml:space="preserve"> and </w:t>
      </w:r>
      <w:proofErr w:type="spellStart"/>
      <w:r w:rsidRPr="00842E4F">
        <w:rPr>
          <w:rFonts w:cs="Times New Roman"/>
          <w:szCs w:val="24"/>
        </w:rPr>
        <w:t>self determining</w:t>
      </w:r>
      <w:proofErr w:type="spellEnd"/>
      <w:r w:rsidRPr="00842E4F">
        <w:rPr>
          <w:rFonts w:cs="Times New Roman"/>
          <w:szCs w:val="24"/>
        </w:rPr>
        <w:t xml:space="preserve"> and for that a person must to be a judge must be assertive and independent with maximum competence and flexibility.</w:t>
      </w:r>
      <w:r>
        <w:rPr>
          <w:rFonts w:cs="Times New Roman"/>
          <w:szCs w:val="24"/>
        </w:rPr>
        <w:t xml:space="preserve"> In the past women are more likely to be in jobs that required being soft and caring and being patient and understanding like nursing, teaching, or secretarial jobs which were completely opposite of jobs mentioned above. Thus the notion was that women are not assertive or independent or competent for job of a judge as the traditional value which should be in a judge were not possessed by them at all. </w:t>
      </w:r>
      <w:r w:rsidRPr="00842E4F">
        <w:rPr>
          <w:rFonts w:cs="Times New Roman"/>
          <w:szCs w:val="24"/>
        </w:rPr>
        <w:t>“Furthermore, in contrast to traditional perceptions of indispensable characteristics of judges, I would claim that judges encompass characteristics of both gender stereotypes</w:t>
      </w:r>
      <w:r w:rsidRPr="00842E4F">
        <w:rPr>
          <w:rStyle w:val="Odwoanieprzypisudolnego"/>
          <w:rFonts w:cs="Times New Roman"/>
          <w:szCs w:val="24"/>
        </w:rPr>
        <w:footnoteReference w:id="1"/>
      </w:r>
      <w:r w:rsidRPr="00842E4F">
        <w:rPr>
          <w:rFonts w:cs="Times New Roman"/>
          <w:szCs w:val="24"/>
        </w:rPr>
        <w:t>” (Just, Alexandra, 2020 "Gender and Judicial Decision-Making". Undergraduate Theses. 47.)</w:t>
      </w:r>
      <w:r w:rsidR="00A4427A" w:rsidRPr="009C541E">
        <w:t>To be a judge, for example, requires authority, rationality, and logicality, as well as being instrumental or influential. Nonetheless, this role calls for communal attributes such as concern for community, being attuned with others, having interpersonal ski</w:t>
      </w:r>
      <w:r w:rsidR="00A4427A">
        <w:t>lls, and building relationships</w:t>
      </w:r>
      <w:r w:rsidR="00A4427A">
        <w:rPr>
          <w:rStyle w:val="Odwoanieprzypisudolnego"/>
        </w:rPr>
        <w:footnoteReference w:id="2"/>
      </w:r>
      <w:r w:rsidR="00A4427A">
        <w:t>.</w:t>
      </w:r>
    </w:p>
    <w:p w14:paraId="1D8ADDF7" w14:textId="77777777" w:rsidR="009C541E" w:rsidRDefault="00A4427A" w:rsidP="007B1C30">
      <w:pPr>
        <w:spacing w:line="480" w:lineRule="auto"/>
      </w:pPr>
      <w:r>
        <w:t>(</w:t>
      </w:r>
      <w:r w:rsidRPr="009C541E">
        <w:t>https://scholarworks.bellarmine.edu/cgi/viewcontent.cgi?article=1055&amp;context=ugrad_theses</w:t>
      </w:r>
      <w:r>
        <w:t>)</w:t>
      </w:r>
    </w:p>
    <w:p w14:paraId="7371FBA2" w14:textId="77777777" w:rsidR="00FD717A" w:rsidRDefault="00A4427A" w:rsidP="007B1C30">
      <w:pPr>
        <w:spacing w:line="480" w:lineRule="auto"/>
      </w:pPr>
      <w:r>
        <w:t xml:space="preserve">Lord Reed who took over as president of the Supreme Court from Lady Hale </w:t>
      </w:r>
      <w:r w:rsidR="00496AC1">
        <w:t>in an intervi</w:t>
      </w:r>
      <w:r>
        <w:t xml:space="preserve">ew taken in 2020 </w:t>
      </w:r>
      <w:r w:rsidR="00496AC1">
        <w:t>said that the lack of diversity in the Supreme Court among the 12 Supreme Court judges should not persist as it is shameful and would be more if it persists</w:t>
      </w:r>
      <w:r>
        <w:rPr>
          <w:rStyle w:val="Odwoanieprzypisudolnego"/>
        </w:rPr>
        <w:footnoteReference w:id="3"/>
      </w:r>
      <w:r w:rsidR="000079A8">
        <w:t xml:space="preserve">   (</w:t>
      </w:r>
      <w:r w:rsidR="000079A8" w:rsidRPr="00496AC1">
        <w:t>https://www.bbc.com/news/uk-54410466</w:t>
      </w:r>
      <w:r w:rsidR="000079A8">
        <w:t>).</w:t>
      </w:r>
      <w:r w:rsidR="00496AC1">
        <w:t xml:space="preserve"> According to the interview, only 4% of the total strength of judges </w:t>
      </w:r>
      <w:r w:rsidR="000079A8">
        <w:t>was</w:t>
      </w:r>
      <w:r w:rsidR="00496AC1">
        <w:t xml:space="preserve"> from ethnic minority backgrounds. Through this interview we can get the understanding that if the President defines the act of fewer people like Supreme Court judges as </w:t>
      </w:r>
      <w:r w:rsidR="00496AC1">
        <w:lastRenderedPageBreak/>
        <w:t>shameful that means the decisions by judges at su</w:t>
      </w:r>
      <w:r w:rsidR="000079A8">
        <w:t>c</w:t>
      </w:r>
      <w:r w:rsidR="00496AC1">
        <w:t>h an institution are untouched by the fact of gender or ethnic backgrounds, rather people from diverse backgrounds if are appointed to a place such as the Supreme Court that means more people will get representation and no community will be left behind.</w:t>
      </w:r>
      <w:r w:rsidR="000079A8">
        <w:t xml:space="preserve"> The representation of women has got better but still needs improvement since it is unequal as compared to males.</w:t>
      </w:r>
    </w:p>
    <w:p w14:paraId="76CF6AD0" w14:textId="77777777" w:rsidR="00FD717A" w:rsidRDefault="00A4427A" w:rsidP="007B1C30">
      <w:pPr>
        <w:spacing w:line="480" w:lineRule="auto"/>
      </w:pPr>
      <w:r>
        <w:t>The Constitutional Reform Act, 2005 gives the procedure of appointment of Judges of the Supreme Court. Sections 25 -31 along with schedule 8 deal with the procedure for appointment.</w:t>
      </w:r>
    </w:p>
    <w:p w14:paraId="0E419C3C" w14:textId="77777777" w:rsidR="00FD717A" w:rsidRDefault="00A4427A" w:rsidP="007B1C30">
      <w:pPr>
        <w:spacing w:line="480" w:lineRule="auto"/>
      </w:pPr>
      <w:r w:rsidRPr="00FD717A">
        <w:t>A statutory qualification list is set out in Section 25 of the 2005 Act. By Sections 50-52 of the Tribunals and Enforcement Act 2007, Section 25 now requires:</w:t>
      </w:r>
    </w:p>
    <w:p w14:paraId="06136837" w14:textId="77777777" w:rsidR="00FD717A" w:rsidRDefault="00A4427A" w:rsidP="00FD717A">
      <w:pPr>
        <w:pStyle w:val="Akapitzlist"/>
        <w:numPr>
          <w:ilvl w:val="0"/>
          <w:numId w:val="4"/>
        </w:numPr>
        <w:spacing w:line="480" w:lineRule="auto"/>
      </w:pPr>
      <w:r w:rsidRPr="00FD717A">
        <w:t>"Applicants must have held high judicial offices for at least two years." (High Court Judges of England and Wales, and Northern Ireland; Court of Appeal Judges of England and Wales, and Northern Ireland; and Judges of the Court of Session)</w:t>
      </w:r>
    </w:p>
    <w:p w14:paraId="3191C539" w14:textId="77777777" w:rsidR="00FD717A" w:rsidRDefault="00A4427A" w:rsidP="00FD717A">
      <w:pPr>
        <w:pStyle w:val="Akapitzlist"/>
        <w:numPr>
          <w:ilvl w:val="0"/>
          <w:numId w:val="4"/>
        </w:numPr>
        <w:spacing w:line="480" w:lineRule="auto"/>
      </w:pPr>
      <w:r w:rsidRPr="00A9655D">
        <w:t>If an applicant meets the judicial-appointment eligibility requirement over 15 years, or if they are a qualified practitioner for at least 15 years, then they are eligible</w:t>
      </w:r>
    </w:p>
    <w:p w14:paraId="4047DADF" w14:textId="77777777" w:rsidR="00A9655D" w:rsidRDefault="00A4427A" w:rsidP="00FD717A">
      <w:pPr>
        <w:pStyle w:val="Akapitzlist"/>
        <w:numPr>
          <w:ilvl w:val="0"/>
          <w:numId w:val="4"/>
        </w:numPr>
        <w:spacing w:line="480" w:lineRule="auto"/>
      </w:pPr>
      <w:r w:rsidRPr="00A9655D">
        <w:t>A person meets the judicial appointment eligibility condition if he or she has been a solicitor of the senior courts of England and Wales, or a barrister in England and Wales, for at least 15 years; and has been gaining experience in law during the post-qualification period.</w:t>
      </w:r>
    </w:p>
    <w:p w14:paraId="1FA47B93" w14:textId="77777777" w:rsidR="00A9655D" w:rsidRDefault="00A4427A" w:rsidP="00FD717A">
      <w:pPr>
        <w:pStyle w:val="Akapitzlist"/>
        <w:numPr>
          <w:ilvl w:val="0"/>
          <w:numId w:val="4"/>
        </w:numPr>
        <w:spacing w:line="480" w:lineRule="auto"/>
      </w:pPr>
      <w:r w:rsidRPr="00A9655D">
        <w:t>A qualifying practitioner is entitled to appear in Scotland's Court of Session and the High Court of Justice, or who is a member of the Northern Ireland Bar, or who is a solicitor of the Northern Ireland Court of Judicature.</w:t>
      </w:r>
    </w:p>
    <w:p w14:paraId="042572B9" w14:textId="77777777" w:rsidR="00A9655D" w:rsidRDefault="00A4427A" w:rsidP="00FD717A">
      <w:pPr>
        <w:pStyle w:val="Akapitzlist"/>
        <w:numPr>
          <w:ilvl w:val="0"/>
          <w:numId w:val="4"/>
        </w:numPr>
        <w:spacing w:line="480" w:lineRule="auto"/>
      </w:pPr>
      <w:r w:rsidRPr="00A9655D">
        <w:lastRenderedPageBreak/>
        <w:t>According to sections 52(2) to (5) of the Tribunals and Enforcement Act 2007, "gaining experience in law" refers to an engagement in law-related activities.</w:t>
      </w:r>
    </w:p>
    <w:p w14:paraId="2BAEDF27" w14:textId="77777777" w:rsidR="00A9655D" w:rsidRDefault="00A4427A" w:rsidP="00A9655D">
      <w:pPr>
        <w:spacing w:line="480" w:lineRule="auto"/>
        <w:ind w:left="360"/>
      </w:pPr>
      <w:r w:rsidRPr="00A9655D">
        <w:rPr>
          <w:b/>
        </w:rPr>
        <w:t>In the Crime and Courts Act 2013, there are also provisions for diversity in judicial appointments. Section 159 of the Equality Act 2010 does not apply for appointments to the Supreme Court under Section 9 of Schedule 13 of the Act when two candidates are of equal merit, but this does not prevent the commission from recommending one candidate over another to increase diversity among those appointed to the Court</w:t>
      </w:r>
      <w:r w:rsidRPr="00A9655D">
        <w:t>.</w:t>
      </w:r>
      <w:r>
        <w:t xml:space="preserve"> </w:t>
      </w:r>
    </w:p>
    <w:p w14:paraId="6EB39AA1" w14:textId="77777777" w:rsidR="00A9655D" w:rsidRDefault="00A4427A" w:rsidP="00A9655D">
      <w:pPr>
        <w:spacing w:line="480" w:lineRule="auto"/>
        <w:ind w:left="360"/>
      </w:pPr>
      <w:r w:rsidRPr="00A9655D">
        <w:t>The regulation doesn't endorse a cycle that a determination commission needs to follow, albeit under Section 27(9) the commission should have respect to any direction given by the Lord Chancellor as to issues to be considered (dependent upon some other arrangement in the Act) in making a choice. By and by every determination commission decides its cycle.</w:t>
      </w:r>
    </w:p>
    <w:p w14:paraId="7B400CEB" w14:textId="77777777" w:rsidR="007C230A" w:rsidRDefault="00A4427A" w:rsidP="007C230A">
      <w:pPr>
        <w:spacing w:line="480" w:lineRule="auto"/>
        <w:ind w:left="360"/>
      </w:pPr>
      <w:r>
        <w:t>Passage 27 of the 2005 Act sets out various necessities:</w:t>
      </w:r>
    </w:p>
    <w:p w14:paraId="633C8C14" w14:textId="77777777" w:rsidR="00A9655D" w:rsidRDefault="00A4427A" w:rsidP="007C230A">
      <w:pPr>
        <w:pStyle w:val="Akapitzlist"/>
        <w:numPr>
          <w:ilvl w:val="0"/>
          <w:numId w:val="5"/>
        </w:numPr>
        <w:spacing w:line="480" w:lineRule="auto"/>
      </w:pPr>
      <w:r>
        <w:t>Determination should be on merit.</w:t>
      </w:r>
    </w:p>
    <w:p w14:paraId="24D6CD15" w14:textId="77777777" w:rsidR="00A9655D" w:rsidRDefault="00A4427A" w:rsidP="007C230A">
      <w:pPr>
        <w:pStyle w:val="Akapitzlist"/>
        <w:numPr>
          <w:ilvl w:val="0"/>
          <w:numId w:val="5"/>
        </w:numPr>
        <w:spacing w:line="480" w:lineRule="auto"/>
      </w:pPr>
      <w:r>
        <w:t>An individual may be chosen on the off chance that he meets the capabilities set out at Section 25.</w:t>
      </w:r>
    </w:p>
    <w:p w14:paraId="5F867518" w14:textId="77777777" w:rsidR="00A9655D" w:rsidRDefault="00A4427A" w:rsidP="007C230A">
      <w:pPr>
        <w:pStyle w:val="Akapitzlist"/>
        <w:numPr>
          <w:ilvl w:val="0"/>
          <w:numId w:val="5"/>
        </w:numPr>
        <w:spacing w:line="480" w:lineRule="auto"/>
      </w:pPr>
      <w:r>
        <w:t>An individual may not be chosen assuming he is an individual from the commission.</w:t>
      </w:r>
    </w:p>
    <w:p w14:paraId="44470B16" w14:textId="77777777" w:rsidR="00A9655D" w:rsidRDefault="00A4427A" w:rsidP="007C230A">
      <w:pPr>
        <w:pStyle w:val="Akapitzlist"/>
        <w:numPr>
          <w:ilvl w:val="0"/>
          <w:numId w:val="5"/>
        </w:numPr>
        <w:spacing w:line="480" w:lineRule="auto"/>
      </w:pPr>
      <w:r>
        <w:t>Any determination should be of one individual in particular; and</w:t>
      </w:r>
    </w:p>
    <w:p w14:paraId="74811E03" w14:textId="77777777" w:rsidR="00A9655D" w:rsidRPr="00E8257E" w:rsidRDefault="00A4427A" w:rsidP="007C230A">
      <w:pPr>
        <w:pStyle w:val="Akapitzlist"/>
        <w:numPr>
          <w:ilvl w:val="0"/>
          <w:numId w:val="5"/>
        </w:numPr>
        <w:spacing w:line="480" w:lineRule="auto"/>
        <w:rPr>
          <w:rFonts w:cs="Times New Roman"/>
          <w:szCs w:val="24"/>
        </w:rPr>
      </w:pPr>
      <w:r>
        <w:t xml:space="preserve">In making determinations the commission should guarantee "that between them the Judges will know </w:t>
      </w:r>
      <w:r w:rsidR="007C230A">
        <w:t>about</w:t>
      </w:r>
      <w:r>
        <w:t xml:space="preserve"> and experience of training in, the law of everyone of each </w:t>
      </w:r>
      <w:r w:rsidRPr="00E8257E">
        <w:rPr>
          <w:rFonts w:cs="Times New Roman"/>
          <w:szCs w:val="24"/>
        </w:rPr>
        <w:t>piece of the United Kingdom."</w:t>
      </w:r>
    </w:p>
    <w:p w14:paraId="18693CD2" w14:textId="77777777" w:rsidR="00E8257E" w:rsidRDefault="00022398" w:rsidP="00E8257E">
      <w:pPr>
        <w:spacing w:line="480" w:lineRule="auto"/>
        <w:ind w:left="720"/>
        <w:rPr>
          <w:rFonts w:cs="Times New Roman"/>
          <w:color w:val="0B0C0C"/>
          <w:szCs w:val="24"/>
          <w:shd w:val="clear" w:color="auto" w:fill="FFFFFF"/>
        </w:rPr>
      </w:pPr>
      <w:r>
        <w:rPr>
          <w:rFonts w:cs="Times New Roman"/>
          <w:color w:val="0B0C0C"/>
          <w:szCs w:val="24"/>
          <w:shd w:val="clear" w:color="auto" w:fill="FFFFFF"/>
        </w:rPr>
        <w:lastRenderedPageBreak/>
        <w:t xml:space="preserve">According to a statistical report as of </w:t>
      </w:r>
      <w:r w:rsidR="00A4427A" w:rsidRPr="00E8257E">
        <w:rPr>
          <w:rFonts w:cs="Times New Roman"/>
          <w:color w:val="0B0C0C"/>
          <w:szCs w:val="24"/>
          <w:shd w:val="clear" w:color="auto" w:fill="FFFFFF"/>
        </w:rPr>
        <w:t xml:space="preserve"> 1 April 2021, about a third (34%) of court judges and half of the tribunal judges were women. The proportion of women has </w:t>
      </w:r>
      <w:r w:rsidR="00A4427A" w:rsidRPr="00E8257E">
        <w:rPr>
          <w:rStyle w:val="Pogrubienie"/>
          <w:rFonts w:cs="Times New Roman"/>
          <w:color w:val="0B0C0C"/>
          <w:szCs w:val="24"/>
          <w:shd w:val="clear" w:color="auto" w:fill="FFFFFF"/>
        </w:rPr>
        <w:t>increased</w:t>
      </w:r>
      <w:r w:rsidR="00A4427A" w:rsidRPr="00E8257E">
        <w:rPr>
          <w:rFonts w:cs="Times New Roman"/>
          <w:color w:val="0B0C0C"/>
          <w:szCs w:val="24"/>
          <w:shd w:val="clear" w:color="auto" w:fill="FFFFFF"/>
        </w:rPr>
        <w:t xml:space="preserve"> in recent years but remains </w:t>
      </w:r>
      <w:r w:rsidR="00A4427A" w:rsidRPr="00E8257E">
        <w:rPr>
          <w:rStyle w:val="Pogrubienie"/>
          <w:rFonts w:cs="Times New Roman"/>
          <w:color w:val="0B0C0C"/>
          <w:szCs w:val="24"/>
          <w:shd w:val="clear" w:color="auto" w:fill="FFFFFF"/>
        </w:rPr>
        <w:t>lower</w:t>
      </w:r>
      <w:r w:rsidR="00A4427A" w:rsidRPr="00E8257E">
        <w:rPr>
          <w:rFonts w:cs="Times New Roman"/>
          <w:color w:val="0B0C0C"/>
          <w:szCs w:val="24"/>
          <w:shd w:val="clear" w:color="auto" w:fill="FFFFFF"/>
        </w:rPr>
        <w:t> in senior court appointments (29% for High Court and above)</w:t>
      </w:r>
      <w:r w:rsidR="00A4427A">
        <w:rPr>
          <w:rFonts w:cs="Times New Roman"/>
          <w:color w:val="0B0C0C"/>
          <w:szCs w:val="24"/>
          <w:shd w:val="clear" w:color="auto" w:fill="FFFFFF"/>
        </w:rPr>
        <w:t>.</w:t>
      </w:r>
      <w:r w:rsidR="00A4427A">
        <w:rPr>
          <w:rStyle w:val="Odwoanieprzypisudolnego"/>
          <w:rFonts w:cs="Times New Roman"/>
          <w:color w:val="0B0C0C"/>
          <w:szCs w:val="24"/>
          <w:shd w:val="clear" w:color="auto" w:fill="FFFFFF"/>
        </w:rPr>
        <w:footnoteReference w:id="4"/>
      </w:r>
      <w:r w:rsidR="00A561EE" w:rsidRPr="00A561EE">
        <w:t xml:space="preserve"> </w:t>
      </w:r>
      <w:r w:rsidR="00A561EE">
        <w:rPr>
          <w:rFonts w:cs="Times New Roman"/>
          <w:color w:val="0B0C0C"/>
          <w:szCs w:val="24"/>
          <w:shd w:val="clear" w:color="auto" w:fill="FFFFFF"/>
        </w:rPr>
        <w:t>Also</w:t>
      </w:r>
      <w:r w:rsidR="00A561EE" w:rsidRPr="00A561EE">
        <w:rPr>
          <w:rFonts w:cs="Times New Roman"/>
          <w:color w:val="0B0C0C"/>
          <w:szCs w:val="24"/>
          <w:shd w:val="clear" w:color="auto" w:fill="FFFFFF"/>
        </w:rPr>
        <w:t xml:space="preserve">, 5% of judges were from Asian foundations, 1% were from Black foundations, 2% were from Mixed ethnic foundations and 1% were from Other ethnic minority foundations. The extent of ethnic minorities is lower for senior court arrangements (4% for High Court </w:t>
      </w:r>
      <w:r w:rsidR="00A561EE">
        <w:rPr>
          <w:rFonts w:cs="Times New Roman"/>
          <w:color w:val="0B0C0C"/>
          <w:szCs w:val="24"/>
          <w:shd w:val="clear" w:color="auto" w:fill="FFFFFF"/>
        </w:rPr>
        <w:t>or more) contrasted with others.</w:t>
      </w:r>
      <w:r w:rsidR="00A4427A">
        <w:rPr>
          <w:rStyle w:val="Odwoanieprzypisudolnego"/>
          <w:rFonts w:cs="Times New Roman"/>
          <w:color w:val="0B0C0C"/>
          <w:szCs w:val="24"/>
          <w:shd w:val="clear" w:color="auto" w:fill="FFFFFF"/>
        </w:rPr>
        <w:footnoteReference w:id="5"/>
      </w:r>
      <w:r w:rsidR="00E25741">
        <w:rPr>
          <w:rFonts w:cs="Times New Roman"/>
          <w:color w:val="0B0C0C"/>
          <w:szCs w:val="24"/>
          <w:shd w:val="clear" w:color="auto" w:fill="FFFFFF"/>
        </w:rPr>
        <w:t>(</w:t>
      </w:r>
      <w:r w:rsidR="00E25741" w:rsidRPr="00E25741">
        <w:t xml:space="preserve"> </w:t>
      </w:r>
      <w:r w:rsidR="00E25741">
        <w:t>Official Statistics, Ministry of Justice, Diversity of the judiciary: legal professions, new appointments and current post holders- 2021 statistics)</w:t>
      </w:r>
    </w:p>
    <w:p w14:paraId="184F1524" w14:textId="77777777" w:rsidR="00E8257E" w:rsidRDefault="00022398" w:rsidP="00A561EE">
      <w:pPr>
        <w:spacing w:line="480" w:lineRule="auto"/>
        <w:rPr>
          <w:rFonts w:cs="Times New Roman"/>
          <w:szCs w:val="24"/>
        </w:rPr>
      </w:pPr>
      <w:r>
        <w:rPr>
          <w:rFonts w:cs="Times New Roman"/>
          <w:szCs w:val="24"/>
        </w:rPr>
        <w:t xml:space="preserve">The report further says that </w:t>
      </w:r>
      <w:r w:rsidRPr="00A561EE">
        <w:rPr>
          <w:rFonts w:cs="Times New Roman"/>
          <w:szCs w:val="24"/>
        </w:rPr>
        <w:t>Black</w:t>
      </w:r>
      <w:r w:rsidR="00A4427A" w:rsidRPr="00A561EE">
        <w:rPr>
          <w:rFonts w:cs="Times New Roman"/>
          <w:szCs w:val="24"/>
        </w:rPr>
        <w:t>, Asian and minority ethnic people each represented 5% of judges in the post. White ladies represented 3</w:t>
      </w:r>
      <w:r w:rsidR="00E70BD6">
        <w:rPr>
          <w:rFonts w:cs="Times New Roman"/>
          <w:szCs w:val="24"/>
        </w:rPr>
        <w:t>5% and White men represented an</w:t>
      </w:r>
      <w:r w:rsidR="00A4427A" w:rsidRPr="00A561EE">
        <w:rPr>
          <w:rFonts w:cs="Times New Roman"/>
          <w:szCs w:val="24"/>
        </w:rPr>
        <w:t xml:space="preserve"> excess 55%. The portrayal of these gatherings varied among courts and councils, with a higher extent of la</w:t>
      </w:r>
      <w:r w:rsidR="00E70BD6">
        <w:rPr>
          <w:rFonts w:cs="Times New Roman"/>
          <w:szCs w:val="24"/>
        </w:rPr>
        <w:t xml:space="preserve">dies from both White and Black or </w:t>
      </w:r>
      <w:r w:rsidR="00A4427A" w:rsidRPr="00A561EE">
        <w:rPr>
          <w:rFonts w:cs="Times New Roman"/>
          <w:szCs w:val="24"/>
        </w:rPr>
        <w:t>Asian and minority ethnic foundations among court judges. Inside the senior courts, White men com</w:t>
      </w:r>
      <w:r w:rsidR="00A4427A">
        <w:rPr>
          <w:rFonts w:cs="Times New Roman"/>
          <w:szCs w:val="24"/>
        </w:rPr>
        <w:t>prised a bigger extent of posts.</w:t>
      </w:r>
      <w:r w:rsidR="00A4427A">
        <w:rPr>
          <w:rStyle w:val="Odwoanieprzypisudolnego"/>
          <w:rFonts w:cs="Times New Roman"/>
          <w:szCs w:val="24"/>
        </w:rPr>
        <w:footnoteReference w:id="6"/>
      </w:r>
      <w:r w:rsidR="00E25741">
        <w:rPr>
          <w:rFonts w:cs="Times New Roman"/>
          <w:szCs w:val="24"/>
        </w:rPr>
        <w:t>(</w:t>
      </w:r>
      <w:r w:rsidR="00E25741" w:rsidRPr="00E25741">
        <w:t xml:space="preserve"> </w:t>
      </w:r>
      <w:r w:rsidR="00E25741">
        <w:t>Official Statistics, Ministry of Justice, Diversity of the judiciary: legal professions, new appointments and current post holders- 2021 statistics)</w:t>
      </w:r>
    </w:p>
    <w:p w14:paraId="2CEAB92E" w14:textId="77777777" w:rsidR="00A561EE" w:rsidRDefault="00A4427A" w:rsidP="00A561EE">
      <w:pPr>
        <w:spacing w:line="480" w:lineRule="auto"/>
        <w:rPr>
          <w:rFonts w:cs="Times New Roman"/>
          <w:szCs w:val="24"/>
        </w:rPr>
      </w:pPr>
      <w:r w:rsidRPr="00A561EE">
        <w:rPr>
          <w:rFonts w:cs="Times New Roman"/>
          <w:szCs w:val="24"/>
        </w:rPr>
        <w:t>Generally, 32% of court judges and 64% of council judges were from non-counselor foundations. Notwithstanding, in the more senior court posts just 5% of currently appointed authorities were</w:t>
      </w:r>
      <w:r w:rsidR="000A1452">
        <w:rPr>
          <w:rFonts w:cs="Times New Roman"/>
          <w:szCs w:val="24"/>
        </w:rPr>
        <w:t xml:space="preserve"> from </w:t>
      </w:r>
      <w:r w:rsidR="00022398">
        <w:rPr>
          <w:rFonts w:cs="Times New Roman"/>
          <w:szCs w:val="24"/>
        </w:rPr>
        <w:t>non-counselor backgrounds</w:t>
      </w:r>
      <w:r w:rsidRPr="00A561EE">
        <w:rPr>
          <w:rFonts w:cs="Times New Roman"/>
          <w:szCs w:val="24"/>
        </w:rPr>
        <w:t>. In the two courts and councils, the extent with a non-advocate foundation has fallen contrasted with 2014.</w:t>
      </w:r>
    </w:p>
    <w:p w14:paraId="43CEEEE8" w14:textId="77777777" w:rsidR="00A561EE" w:rsidRDefault="000A1452" w:rsidP="00A561EE">
      <w:pPr>
        <w:spacing w:line="480" w:lineRule="auto"/>
        <w:rPr>
          <w:rFonts w:cs="Times New Roman"/>
          <w:szCs w:val="24"/>
        </w:rPr>
      </w:pPr>
      <w:r>
        <w:rPr>
          <w:rFonts w:cs="Times New Roman"/>
          <w:szCs w:val="24"/>
        </w:rPr>
        <w:lastRenderedPageBreak/>
        <w:t>According to stats,</w:t>
      </w:r>
      <w:r w:rsidR="00A4427A">
        <w:rPr>
          <w:rFonts w:cs="Times New Roman"/>
          <w:szCs w:val="24"/>
        </w:rPr>
        <w:t xml:space="preserve"> 39% of judges were male advoc</w:t>
      </w:r>
      <w:r w:rsidR="00A4427A" w:rsidRPr="00A561EE">
        <w:rPr>
          <w:rFonts w:cs="Times New Roman"/>
          <w:szCs w:val="24"/>
        </w:rPr>
        <w:t>ates, 19% were female lawyers, 22% were male specialists and 20% were female specialists. The portrayal of these gatherings varied among courts and councils, with a higher extent of male and female specialists among council judges. Inside the senior courts legal executive, male counselors involved most of the posts</w:t>
      </w:r>
      <w:r w:rsidR="00A4427A">
        <w:rPr>
          <w:rFonts w:cs="Times New Roman"/>
          <w:szCs w:val="24"/>
        </w:rPr>
        <w:t xml:space="preserve">, moreover </w:t>
      </w:r>
      <w:r w:rsidR="00A4427A" w:rsidRPr="00A561EE">
        <w:rPr>
          <w:rFonts w:cs="Times New Roman"/>
          <w:szCs w:val="24"/>
        </w:rPr>
        <w:t>3% of judges were Black, Asian and minority ethnic male counselors, 2% were ethnic minority male specialists, 2% were ethnic minority female lawyers and 2% were ethnic minority female specialists. 34% were White male counselors, 21% were White male specialists, 17% were White female lawyers and 18% were White female specialists. The portrayal of these gatherings contrasted among courts and councils, with higher extents of Black, Asian, and minority ethnic people, specialists, and ladies among council judges.</w:t>
      </w:r>
      <w:r w:rsidR="00A4427A">
        <w:rPr>
          <w:rStyle w:val="Odwoanieprzypisudolnego"/>
          <w:rFonts w:cs="Times New Roman"/>
          <w:szCs w:val="24"/>
        </w:rPr>
        <w:footnoteReference w:id="7"/>
      </w:r>
    </w:p>
    <w:p w14:paraId="195C8E95" w14:textId="0ED6A39A" w:rsidR="0001344D" w:rsidRDefault="00A4427A" w:rsidP="00A561EE">
      <w:pPr>
        <w:spacing w:line="480" w:lineRule="auto"/>
        <w:rPr>
          <w:rFonts w:cs="Times New Roman"/>
          <w:szCs w:val="24"/>
        </w:rPr>
      </w:pPr>
      <w:r>
        <w:rPr>
          <w:rFonts w:cs="Times New Roman"/>
          <w:szCs w:val="24"/>
        </w:rPr>
        <w:t>To conclude what can be said is that it depends upon the members of the appointing committee who can make changes in diverse appointments and also on the people from different groups to educate themselves so that they can contribute to the building of the nation.</w:t>
      </w:r>
    </w:p>
    <w:p w14:paraId="1F463A5D" w14:textId="77777777" w:rsidR="00E25741" w:rsidRPr="00E8257E" w:rsidRDefault="00E25741" w:rsidP="00A561EE">
      <w:pPr>
        <w:spacing w:line="480" w:lineRule="auto"/>
        <w:rPr>
          <w:rFonts w:cs="Times New Roman"/>
          <w:szCs w:val="24"/>
        </w:rPr>
      </w:pPr>
    </w:p>
    <w:p w14:paraId="6439B8DB" w14:textId="77777777" w:rsidR="005C19CB" w:rsidRDefault="005C19CB" w:rsidP="007B1C30">
      <w:pPr>
        <w:spacing w:line="480" w:lineRule="auto"/>
      </w:pPr>
    </w:p>
    <w:sectPr w:rsidR="005C19CB" w:rsidSect="005C19C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6FDB33" w14:textId="77777777" w:rsidR="003B54EF" w:rsidRDefault="003B54EF" w:rsidP="009F75C0">
      <w:pPr>
        <w:spacing w:after="0" w:line="240" w:lineRule="auto"/>
      </w:pPr>
      <w:r>
        <w:separator/>
      </w:r>
    </w:p>
  </w:endnote>
  <w:endnote w:type="continuationSeparator" w:id="0">
    <w:p w14:paraId="091E9CAF" w14:textId="77777777" w:rsidR="003B54EF" w:rsidRDefault="003B54EF" w:rsidP="009F75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Britannic Bold">
    <w:charset w:val="00"/>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284C69" w14:textId="77777777" w:rsidR="003B54EF" w:rsidRDefault="003B54EF" w:rsidP="009C541E">
      <w:pPr>
        <w:spacing w:after="0" w:line="240" w:lineRule="auto"/>
      </w:pPr>
      <w:r>
        <w:separator/>
      </w:r>
    </w:p>
  </w:footnote>
  <w:footnote w:type="continuationSeparator" w:id="0">
    <w:p w14:paraId="64C2DE98" w14:textId="77777777" w:rsidR="003B54EF" w:rsidRDefault="003B54EF" w:rsidP="009C541E">
      <w:pPr>
        <w:spacing w:after="0" w:line="240" w:lineRule="auto"/>
      </w:pPr>
      <w:r>
        <w:continuationSeparator/>
      </w:r>
    </w:p>
  </w:footnote>
  <w:footnote w:id="1">
    <w:p w14:paraId="07946F23" w14:textId="77777777" w:rsidR="003801A7" w:rsidRDefault="003801A7" w:rsidP="003801A7">
      <w:pPr>
        <w:pStyle w:val="Tekstprzypisudolnego"/>
      </w:pPr>
      <w:r>
        <w:rPr>
          <w:rStyle w:val="Odwoanieprzypisudolnego"/>
        </w:rPr>
        <w:footnoteRef/>
      </w:r>
      <w:r>
        <w:t xml:space="preserve"> Just, Alexandra, 2020 "Gender and Judicial Decision-Making", Undergraduate Theses. 47.</w:t>
      </w:r>
    </w:p>
  </w:footnote>
  <w:footnote w:id="2">
    <w:p w14:paraId="6478347B" w14:textId="77777777" w:rsidR="009C541E" w:rsidRDefault="00A4427A">
      <w:pPr>
        <w:pStyle w:val="Tekstprzypisudolnego"/>
      </w:pPr>
      <w:r>
        <w:rPr>
          <w:rStyle w:val="Odwoanieprzypisudolnego"/>
        </w:rPr>
        <w:footnoteRef/>
      </w:r>
      <w:r>
        <w:t xml:space="preserve"> </w:t>
      </w:r>
      <w:r w:rsidRPr="009C541E">
        <w:t>https://scholarworks.bellarmine.edu/cgi/viewcontent.cgi?article=1055&amp;context=ugrad_theses</w:t>
      </w:r>
    </w:p>
  </w:footnote>
  <w:footnote w:id="3">
    <w:p w14:paraId="7282374F" w14:textId="77777777" w:rsidR="00496AC1" w:rsidRDefault="00A4427A">
      <w:pPr>
        <w:pStyle w:val="Tekstprzypisudolnego"/>
      </w:pPr>
      <w:r>
        <w:rPr>
          <w:rStyle w:val="Odwoanieprzypisudolnego"/>
        </w:rPr>
        <w:footnoteRef/>
      </w:r>
      <w:r>
        <w:t xml:space="preserve"> </w:t>
      </w:r>
      <w:r w:rsidRPr="00496AC1">
        <w:t>https://www.bbc.com/news/uk-54410466</w:t>
      </w:r>
    </w:p>
  </w:footnote>
  <w:footnote w:id="4">
    <w:p w14:paraId="0890CFBB" w14:textId="77777777" w:rsidR="00E8257E" w:rsidRDefault="00A4427A">
      <w:pPr>
        <w:pStyle w:val="Tekstprzypisudolnego"/>
      </w:pPr>
      <w:r>
        <w:rPr>
          <w:rStyle w:val="Odwoanieprzypisudolnego"/>
        </w:rPr>
        <w:footnoteRef/>
      </w:r>
      <w:r>
        <w:t xml:space="preserve"> Official Statistics, Ministry of Justice, Diversity of the judiciary: legal professions, new appointments and current post holders- 2021 statistics.</w:t>
      </w:r>
    </w:p>
  </w:footnote>
  <w:footnote w:id="5">
    <w:p w14:paraId="367E007E" w14:textId="77777777" w:rsidR="00A561EE" w:rsidRDefault="00A4427A">
      <w:pPr>
        <w:pStyle w:val="Tekstprzypisudolnego"/>
      </w:pPr>
      <w:r>
        <w:rPr>
          <w:rStyle w:val="Odwoanieprzypisudolnego"/>
        </w:rPr>
        <w:footnoteRef/>
      </w:r>
      <w:r>
        <w:t xml:space="preserve"> Official Statistics, Ministry of Justice, Diversity of the judiciary: legal professions, new appointments and current post holders- 2021 statistics</w:t>
      </w:r>
    </w:p>
  </w:footnote>
  <w:footnote w:id="6">
    <w:p w14:paraId="1AE5A729" w14:textId="77777777" w:rsidR="00A561EE" w:rsidRDefault="00A4427A">
      <w:pPr>
        <w:pStyle w:val="Tekstprzypisudolnego"/>
      </w:pPr>
      <w:r>
        <w:rPr>
          <w:rStyle w:val="Odwoanieprzypisudolnego"/>
        </w:rPr>
        <w:footnoteRef/>
      </w:r>
      <w:r>
        <w:t xml:space="preserve"> Official Statistics, Ministry of Justice, Diversity of the judiciary: legal professions, new appointments and current post holders- 2021 statistics</w:t>
      </w:r>
    </w:p>
  </w:footnote>
  <w:footnote w:id="7">
    <w:p w14:paraId="774A8B03" w14:textId="77777777" w:rsidR="00A561EE" w:rsidRDefault="00A4427A">
      <w:pPr>
        <w:pStyle w:val="Tekstprzypisudolnego"/>
      </w:pPr>
      <w:r>
        <w:rPr>
          <w:rStyle w:val="Odwoanieprzypisudolnego"/>
        </w:rPr>
        <w:footnoteRef/>
      </w:r>
      <w:r>
        <w:t xml:space="preserve"> </w:t>
      </w:r>
      <w:r w:rsidRPr="00A561EE">
        <w:t>https://www.gov.uk/government/statistics/diversity-of-the-judiciary-2021-statistics/diversity-of-the-judiciary-2021-statistics-report#fnref:1</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AF6AFC"/>
    <w:multiLevelType w:val="multilevel"/>
    <w:tmpl w:val="14AC5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AF03FD5"/>
    <w:multiLevelType w:val="multilevel"/>
    <w:tmpl w:val="2FD201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9A47664"/>
    <w:multiLevelType w:val="hybridMultilevel"/>
    <w:tmpl w:val="563CB03E"/>
    <w:lvl w:ilvl="0" w:tplc="1048DD6C">
      <w:start w:val="1"/>
      <w:numFmt w:val="bullet"/>
      <w:lvlText w:val=""/>
      <w:lvlJc w:val="left"/>
      <w:pPr>
        <w:ind w:left="720" w:hanging="360"/>
      </w:pPr>
      <w:rPr>
        <w:rFonts w:ascii="Symbol" w:hAnsi="Symbol" w:hint="default"/>
      </w:rPr>
    </w:lvl>
    <w:lvl w:ilvl="1" w:tplc="1F6246D4" w:tentative="1">
      <w:start w:val="1"/>
      <w:numFmt w:val="bullet"/>
      <w:lvlText w:val="o"/>
      <w:lvlJc w:val="left"/>
      <w:pPr>
        <w:ind w:left="1440" w:hanging="360"/>
      </w:pPr>
      <w:rPr>
        <w:rFonts w:ascii="Courier New" w:hAnsi="Courier New" w:cs="Courier New" w:hint="default"/>
      </w:rPr>
    </w:lvl>
    <w:lvl w:ilvl="2" w:tplc="92044D00" w:tentative="1">
      <w:start w:val="1"/>
      <w:numFmt w:val="bullet"/>
      <w:lvlText w:val=""/>
      <w:lvlJc w:val="left"/>
      <w:pPr>
        <w:ind w:left="2160" w:hanging="360"/>
      </w:pPr>
      <w:rPr>
        <w:rFonts w:ascii="Wingdings" w:hAnsi="Wingdings" w:hint="default"/>
      </w:rPr>
    </w:lvl>
    <w:lvl w:ilvl="3" w:tplc="46860992" w:tentative="1">
      <w:start w:val="1"/>
      <w:numFmt w:val="bullet"/>
      <w:lvlText w:val=""/>
      <w:lvlJc w:val="left"/>
      <w:pPr>
        <w:ind w:left="2880" w:hanging="360"/>
      </w:pPr>
      <w:rPr>
        <w:rFonts w:ascii="Symbol" w:hAnsi="Symbol" w:hint="default"/>
      </w:rPr>
    </w:lvl>
    <w:lvl w:ilvl="4" w:tplc="A024201A" w:tentative="1">
      <w:start w:val="1"/>
      <w:numFmt w:val="bullet"/>
      <w:lvlText w:val="o"/>
      <w:lvlJc w:val="left"/>
      <w:pPr>
        <w:ind w:left="3600" w:hanging="360"/>
      </w:pPr>
      <w:rPr>
        <w:rFonts w:ascii="Courier New" w:hAnsi="Courier New" w:cs="Courier New" w:hint="default"/>
      </w:rPr>
    </w:lvl>
    <w:lvl w:ilvl="5" w:tplc="EDBCF452" w:tentative="1">
      <w:start w:val="1"/>
      <w:numFmt w:val="bullet"/>
      <w:lvlText w:val=""/>
      <w:lvlJc w:val="left"/>
      <w:pPr>
        <w:ind w:left="4320" w:hanging="360"/>
      </w:pPr>
      <w:rPr>
        <w:rFonts w:ascii="Wingdings" w:hAnsi="Wingdings" w:hint="default"/>
      </w:rPr>
    </w:lvl>
    <w:lvl w:ilvl="6" w:tplc="81C4AF5A" w:tentative="1">
      <w:start w:val="1"/>
      <w:numFmt w:val="bullet"/>
      <w:lvlText w:val=""/>
      <w:lvlJc w:val="left"/>
      <w:pPr>
        <w:ind w:left="5040" w:hanging="360"/>
      </w:pPr>
      <w:rPr>
        <w:rFonts w:ascii="Symbol" w:hAnsi="Symbol" w:hint="default"/>
      </w:rPr>
    </w:lvl>
    <w:lvl w:ilvl="7" w:tplc="B380DC2E" w:tentative="1">
      <w:start w:val="1"/>
      <w:numFmt w:val="bullet"/>
      <w:lvlText w:val="o"/>
      <w:lvlJc w:val="left"/>
      <w:pPr>
        <w:ind w:left="5760" w:hanging="360"/>
      </w:pPr>
      <w:rPr>
        <w:rFonts w:ascii="Courier New" w:hAnsi="Courier New" w:cs="Courier New" w:hint="default"/>
      </w:rPr>
    </w:lvl>
    <w:lvl w:ilvl="8" w:tplc="7C1CDE42" w:tentative="1">
      <w:start w:val="1"/>
      <w:numFmt w:val="bullet"/>
      <w:lvlText w:val=""/>
      <w:lvlJc w:val="left"/>
      <w:pPr>
        <w:ind w:left="6480" w:hanging="360"/>
      </w:pPr>
      <w:rPr>
        <w:rFonts w:ascii="Wingdings" w:hAnsi="Wingdings" w:hint="default"/>
      </w:rPr>
    </w:lvl>
  </w:abstractNum>
  <w:abstractNum w:abstractNumId="3" w15:restartNumberingAfterBreak="0">
    <w:nsid w:val="72503D2C"/>
    <w:multiLevelType w:val="hybridMultilevel"/>
    <w:tmpl w:val="0E986100"/>
    <w:lvl w:ilvl="0" w:tplc="F0244730">
      <w:start w:val="1"/>
      <w:numFmt w:val="bullet"/>
      <w:lvlText w:val=""/>
      <w:lvlJc w:val="left"/>
      <w:pPr>
        <w:ind w:left="1080" w:hanging="360"/>
      </w:pPr>
      <w:rPr>
        <w:rFonts w:ascii="Symbol" w:hAnsi="Symbol" w:hint="default"/>
      </w:rPr>
    </w:lvl>
    <w:lvl w:ilvl="1" w:tplc="69F0BD2A" w:tentative="1">
      <w:start w:val="1"/>
      <w:numFmt w:val="bullet"/>
      <w:lvlText w:val="o"/>
      <w:lvlJc w:val="left"/>
      <w:pPr>
        <w:ind w:left="1800" w:hanging="360"/>
      </w:pPr>
      <w:rPr>
        <w:rFonts w:ascii="Courier New" w:hAnsi="Courier New" w:cs="Courier New" w:hint="default"/>
      </w:rPr>
    </w:lvl>
    <w:lvl w:ilvl="2" w:tplc="97BCA9AC" w:tentative="1">
      <w:start w:val="1"/>
      <w:numFmt w:val="bullet"/>
      <w:lvlText w:val=""/>
      <w:lvlJc w:val="left"/>
      <w:pPr>
        <w:ind w:left="2520" w:hanging="360"/>
      </w:pPr>
      <w:rPr>
        <w:rFonts w:ascii="Wingdings" w:hAnsi="Wingdings" w:hint="default"/>
      </w:rPr>
    </w:lvl>
    <w:lvl w:ilvl="3" w:tplc="C0EA7C0A" w:tentative="1">
      <w:start w:val="1"/>
      <w:numFmt w:val="bullet"/>
      <w:lvlText w:val=""/>
      <w:lvlJc w:val="left"/>
      <w:pPr>
        <w:ind w:left="3240" w:hanging="360"/>
      </w:pPr>
      <w:rPr>
        <w:rFonts w:ascii="Symbol" w:hAnsi="Symbol" w:hint="default"/>
      </w:rPr>
    </w:lvl>
    <w:lvl w:ilvl="4" w:tplc="19009BDE" w:tentative="1">
      <w:start w:val="1"/>
      <w:numFmt w:val="bullet"/>
      <w:lvlText w:val="o"/>
      <w:lvlJc w:val="left"/>
      <w:pPr>
        <w:ind w:left="3960" w:hanging="360"/>
      </w:pPr>
      <w:rPr>
        <w:rFonts w:ascii="Courier New" w:hAnsi="Courier New" w:cs="Courier New" w:hint="default"/>
      </w:rPr>
    </w:lvl>
    <w:lvl w:ilvl="5" w:tplc="10F6208E" w:tentative="1">
      <w:start w:val="1"/>
      <w:numFmt w:val="bullet"/>
      <w:lvlText w:val=""/>
      <w:lvlJc w:val="left"/>
      <w:pPr>
        <w:ind w:left="4680" w:hanging="360"/>
      </w:pPr>
      <w:rPr>
        <w:rFonts w:ascii="Wingdings" w:hAnsi="Wingdings" w:hint="default"/>
      </w:rPr>
    </w:lvl>
    <w:lvl w:ilvl="6" w:tplc="6D920718" w:tentative="1">
      <w:start w:val="1"/>
      <w:numFmt w:val="bullet"/>
      <w:lvlText w:val=""/>
      <w:lvlJc w:val="left"/>
      <w:pPr>
        <w:ind w:left="5400" w:hanging="360"/>
      </w:pPr>
      <w:rPr>
        <w:rFonts w:ascii="Symbol" w:hAnsi="Symbol" w:hint="default"/>
      </w:rPr>
    </w:lvl>
    <w:lvl w:ilvl="7" w:tplc="750600DC" w:tentative="1">
      <w:start w:val="1"/>
      <w:numFmt w:val="bullet"/>
      <w:lvlText w:val="o"/>
      <w:lvlJc w:val="left"/>
      <w:pPr>
        <w:ind w:left="6120" w:hanging="360"/>
      </w:pPr>
      <w:rPr>
        <w:rFonts w:ascii="Courier New" w:hAnsi="Courier New" w:cs="Courier New" w:hint="default"/>
      </w:rPr>
    </w:lvl>
    <w:lvl w:ilvl="8" w:tplc="3DE87752" w:tentative="1">
      <w:start w:val="1"/>
      <w:numFmt w:val="bullet"/>
      <w:lvlText w:val=""/>
      <w:lvlJc w:val="left"/>
      <w:pPr>
        <w:ind w:left="6840" w:hanging="360"/>
      </w:pPr>
      <w:rPr>
        <w:rFonts w:ascii="Wingdings" w:hAnsi="Wingdings" w:hint="default"/>
      </w:rPr>
    </w:lvl>
  </w:abstractNum>
  <w:abstractNum w:abstractNumId="4" w15:restartNumberingAfterBreak="0">
    <w:nsid w:val="77566C57"/>
    <w:multiLevelType w:val="multilevel"/>
    <w:tmpl w:val="0A688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0"/>
  </w:num>
  <w:num w:numId="3">
    <w:abstractNumId w:val="1"/>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B1C30"/>
    <w:rsid w:val="000079A8"/>
    <w:rsid w:val="0001344D"/>
    <w:rsid w:val="00022398"/>
    <w:rsid w:val="000A1452"/>
    <w:rsid w:val="001226B5"/>
    <w:rsid w:val="003801A7"/>
    <w:rsid w:val="003B0A57"/>
    <w:rsid w:val="003B54EF"/>
    <w:rsid w:val="003E250E"/>
    <w:rsid w:val="003F363B"/>
    <w:rsid w:val="00416BAF"/>
    <w:rsid w:val="00440D32"/>
    <w:rsid w:val="00496AC1"/>
    <w:rsid w:val="005165EA"/>
    <w:rsid w:val="005C19CB"/>
    <w:rsid w:val="006D2289"/>
    <w:rsid w:val="007331B4"/>
    <w:rsid w:val="007B1C30"/>
    <w:rsid w:val="007C230A"/>
    <w:rsid w:val="008D0A3F"/>
    <w:rsid w:val="009C541E"/>
    <w:rsid w:val="009F75C0"/>
    <w:rsid w:val="00A4427A"/>
    <w:rsid w:val="00A561EE"/>
    <w:rsid w:val="00A9449D"/>
    <w:rsid w:val="00A9655D"/>
    <w:rsid w:val="00B86F99"/>
    <w:rsid w:val="00BB66D1"/>
    <w:rsid w:val="00DD1BD5"/>
    <w:rsid w:val="00E20DFF"/>
    <w:rsid w:val="00E25741"/>
    <w:rsid w:val="00E70BD6"/>
    <w:rsid w:val="00E8257E"/>
    <w:rsid w:val="00FD71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F8F923"/>
  <w15:docId w15:val="{D3324C71-605F-452D-8EFB-48EE95D778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ny">
    <w:name w:val="Normal"/>
    <w:qFormat/>
    <w:rsid w:val="007B1C30"/>
    <w:rPr>
      <w:rFonts w:ascii="Times New Roman" w:hAnsi="Times New Roman"/>
      <w:sz w:val="24"/>
    </w:rPr>
  </w:style>
  <w:style w:type="paragraph" w:styleId="Nagwek1">
    <w:name w:val="heading 1"/>
    <w:basedOn w:val="Normalny"/>
    <w:next w:val="Normalny"/>
    <w:link w:val="Nagwek1Znak"/>
    <w:uiPriority w:val="9"/>
    <w:qFormat/>
    <w:rsid w:val="00E8257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Nagwek3">
    <w:name w:val="heading 3"/>
    <w:basedOn w:val="Normalny"/>
    <w:link w:val="Nagwek3Znak"/>
    <w:uiPriority w:val="9"/>
    <w:qFormat/>
    <w:rsid w:val="008D0A3F"/>
    <w:pPr>
      <w:spacing w:before="100" w:beforeAutospacing="1" w:after="100" w:afterAutospacing="1" w:line="240" w:lineRule="auto"/>
      <w:outlineLvl w:val="2"/>
    </w:pPr>
    <w:rPr>
      <w:rFonts w:eastAsia="Times New Roman" w:cs="Times New Roman"/>
      <w:b/>
      <w:bCs/>
      <w:sz w:val="27"/>
      <w:szCs w:val="27"/>
    </w:rPr>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character" w:customStyle="1" w:styleId="Nagwek3Znak">
    <w:name w:val="Nagłówek 3 Znak"/>
    <w:basedOn w:val="Domylnaczcionkaakapitu"/>
    <w:link w:val="Nagwek3"/>
    <w:uiPriority w:val="9"/>
    <w:rsid w:val="008D0A3F"/>
    <w:rPr>
      <w:rFonts w:ascii="Times New Roman" w:eastAsia="Times New Roman" w:hAnsi="Times New Roman" w:cs="Times New Roman"/>
      <w:b/>
      <w:bCs/>
      <w:sz w:val="27"/>
      <w:szCs w:val="27"/>
    </w:rPr>
  </w:style>
  <w:style w:type="paragraph" w:styleId="NormalnyWeb">
    <w:name w:val="Normal (Web)"/>
    <w:basedOn w:val="Normalny"/>
    <w:uiPriority w:val="99"/>
    <w:semiHidden/>
    <w:unhideWhenUsed/>
    <w:rsid w:val="008D0A3F"/>
    <w:pPr>
      <w:spacing w:before="100" w:beforeAutospacing="1" w:after="100" w:afterAutospacing="1" w:line="240" w:lineRule="auto"/>
    </w:pPr>
    <w:rPr>
      <w:rFonts w:eastAsia="Times New Roman" w:cs="Times New Roman"/>
      <w:szCs w:val="24"/>
    </w:rPr>
  </w:style>
  <w:style w:type="character" w:styleId="Hipercze">
    <w:name w:val="Hyperlink"/>
    <w:basedOn w:val="Domylnaczcionkaakapitu"/>
    <w:uiPriority w:val="99"/>
    <w:semiHidden/>
    <w:unhideWhenUsed/>
    <w:rsid w:val="008D0A3F"/>
    <w:rPr>
      <w:color w:val="0000FF"/>
      <w:u w:val="single"/>
    </w:rPr>
  </w:style>
  <w:style w:type="paragraph" w:styleId="Tekstprzypisudolnego">
    <w:name w:val="footnote text"/>
    <w:basedOn w:val="Normalny"/>
    <w:link w:val="TekstprzypisudolnegoZnak"/>
    <w:uiPriority w:val="99"/>
    <w:semiHidden/>
    <w:unhideWhenUsed/>
    <w:rsid w:val="009C541E"/>
    <w:pPr>
      <w:spacing w:after="0" w:line="240" w:lineRule="auto"/>
    </w:pPr>
    <w:rPr>
      <w:sz w:val="20"/>
      <w:szCs w:val="20"/>
    </w:rPr>
  </w:style>
  <w:style w:type="character" w:customStyle="1" w:styleId="TekstprzypisudolnegoZnak">
    <w:name w:val="Tekst przypisu dolnego Znak"/>
    <w:basedOn w:val="Domylnaczcionkaakapitu"/>
    <w:link w:val="Tekstprzypisudolnego"/>
    <w:uiPriority w:val="99"/>
    <w:semiHidden/>
    <w:rsid w:val="009C541E"/>
    <w:rPr>
      <w:rFonts w:ascii="Times New Roman" w:hAnsi="Times New Roman"/>
      <w:sz w:val="20"/>
      <w:szCs w:val="20"/>
    </w:rPr>
  </w:style>
  <w:style w:type="character" w:styleId="Odwoanieprzypisudolnego">
    <w:name w:val="footnote reference"/>
    <w:basedOn w:val="Domylnaczcionkaakapitu"/>
    <w:uiPriority w:val="99"/>
    <w:semiHidden/>
    <w:unhideWhenUsed/>
    <w:rsid w:val="009C541E"/>
    <w:rPr>
      <w:vertAlign w:val="superscript"/>
    </w:rPr>
  </w:style>
  <w:style w:type="paragraph" w:styleId="Tekstdymka">
    <w:name w:val="Balloon Text"/>
    <w:basedOn w:val="Normalny"/>
    <w:link w:val="TekstdymkaZnak"/>
    <w:uiPriority w:val="99"/>
    <w:semiHidden/>
    <w:unhideWhenUsed/>
    <w:rsid w:val="00FD717A"/>
    <w:pPr>
      <w:spacing w:after="0" w:line="240" w:lineRule="auto"/>
    </w:pPr>
    <w:rPr>
      <w:rFonts w:ascii="Tahoma" w:hAnsi="Tahoma" w:cs="Tahoma"/>
      <w:sz w:val="16"/>
      <w:szCs w:val="16"/>
    </w:rPr>
  </w:style>
  <w:style w:type="character" w:customStyle="1" w:styleId="TekstdymkaZnak">
    <w:name w:val="Tekst dymka Znak"/>
    <w:basedOn w:val="Domylnaczcionkaakapitu"/>
    <w:link w:val="Tekstdymka"/>
    <w:uiPriority w:val="99"/>
    <w:semiHidden/>
    <w:rsid w:val="00FD717A"/>
    <w:rPr>
      <w:rFonts w:ascii="Tahoma" w:hAnsi="Tahoma" w:cs="Tahoma"/>
      <w:sz w:val="16"/>
      <w:szCs w:val="16"/>
    </w:rPr>
  </w:style>
  <w:style w:type="paragraph" w:styleId="Akapitzlist">
    <w:name w:val="List Paragraph"/>
    <w:basedOn w:val="Normalny"/>
    <w:uiPriority w:val="34"/>
    <w:qFormat/>
    <w:rsid w:val="00FD717A"/>
    <w:pPr>
      <w:ind w:left="720"/>
      <w:contextualSpacing/>
    </w:pPr>
  </w:style>
  <w:style w:type="character" w:styleId="Pogrubienie">
    <w:name w:val="Strong"/>
    <w:basedOn w:val="Domylnaczcionkaakapitu"/>
    <w:uiPriority w:val="22"/>
    <w:qFormat/>
    <w:rsid w:val="00E8257E"/>
    <w:rPr>
      <w:b/>
      <w:bCs/>
    </w:rPr>
  </w:style>
  <w:style w:type="character" w:customStyle="1" w:styleId="Nagwek1Znak">
    <w:name w:val="Nagłówek 1 Znak"/>
    <w:basedOn w:val="Domylnaczcionkaakapitu"/>
    <w:link w:val="Nagwek1"/>
    <w:uiPriority w:val="9"/>
    <w:rsid w:val="00E8257E"/>
    <w:rPr>
      <w:rFonts w:asciiTheme="majorHAnsi" w:eastAsiaTheme="majorEastAsia" w:hAnsiTheme="majorHAnsi" w:cstheme="majorBidi"/>
      <w:b/>
      <w:bCs/>
      <w:color w:val="365F91" w:themeColor="accent1" w:themeShade="BF"/>
      <w:sz w:val="28"/>
      <w:szCs w:val="28"/>
    </w:rPr>
  </w:style>
  <w:style w:type="character" w:customStyle="1" w:styleId="govuk-caption-xl">
    <w:name w:val="govuk-caption-xl"/>
    <w:basedOn w:val="Domylnaczcionkaakapitu"/>
    <w:rsid w:val="00E8257E"/>
  </w:style>
  <w:style w:type="paragraph" w:customStyle="1" w:styleId="publication-headerlast-changed">
    <w:name w:val="publication-header__last-changed"/>
    <w:basedOn w:val="Normalny"/>
    <w:rsid w:val="00E8257E"/>
    <w:pPr>
      <w:spacing w:before="100" w:beforeAutospacing="1" w:after="100" w:afterAutospacing="1" w:line="240" w:lineRule="auto"/>
    </w:pPr>
    <w:rPr>
      <w:rFonts w:eastAsia="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FC19218-CEBB-49C0-832E-3BD8716B72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1335</Words>
  <Characters>7613</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8931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Michal Mlynarczyk (2022702)</cp:lastModifiedBy>
  <cp:revision>2</cp:revision>
  <dcterms:created xsi:type="dcterms:W3CDTF">2022-03-05T06:01:00Z</dcterms:created>
  <dcterms:modified xsi:type="dcterms:W3CDTF">2022-03-05T06:01:00Z</dcterms:modified>
</cp:coreProperties>
</file>