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C72886" w:rsidP="00C72886" w:rsidRDefault="00C72886" w14:paraId="51D939B8" w14:textId="77777777">
      <w:pPr>
        <w:spacing w:line="360" w:lineRule="auto"/>
        <w:jc w:val="center"/>
      </w:pPr>
    </w:p>
    <w:p w:rsidR="00C72886" w:rsidP="00C72886" w:rsidRDefault="00C72886" w14:paraId="2366FDE7" w14:textId="77777777">
      <w:pPr>
        <w:spacing w:line="360" w:lineRule="auto"/>
        <w:jc w:val="center"/>
      </w:pPr>
    </w:p>
    <w:p w:rsidR="00C72886" w:rsidP="00C72886" w:rsidRDefault="00C72886" w14:paraId="1B3CAC3E" w14:textId="77777777">
      <w:pPr>
        <w:spacing w:line="360" w:lineRule="auto"/>
        <w:jc w:val="center"/>
      </w:pPr>
    </w:p>
    <w:p w:rsidR="00C72886" w:rsidP="00C72886" w:rsidRDefault="00C72886" w14:paraId="39069088" w14:textId="77777777">
      <w:pPr>
        <w:spacing w:line="360" w:lineRule="auto"/>
        <w:jc w:val="center"/>
      </w:pPr>
    </w:p>
    <w:p w:rsidR="00C72886" w:rsidP="00C72886" w:rsidRDefault="00C72886" w14:paraId="73E60712" w14:textId="77777777">
      <w:pPr>
        <w:spacing w:line="360" w:lineRule="auto"/>
        <w:jc w:val="center"/>
      </w:pPr>
    </w:p>
    <w:p w:rsidR="00C72886" w:rsidP="00C72886" w:rsidRDefault="00C72886" w14:paraId="4F20DE6E" w14:textId="77777777">
      <w:pPr>
        <w:spacing w:line="360" w:lineRule="auto"/>
        <w:jc w:val="center"/>
      </w:pPr>
    </w:p>
    <w:p w:rsidR="00C72886" w:rsidP="00C72886" w:rsidRDefault="00C72886" w14:paraId="5598DF7B" w14:textId="77777777">
      <w:pPr>
        <w:spacing w:line="360" w:lineRule="auto"/>
        <w:jc w:val="center"/>
      </w:pPr>
    </w:p>
    <w:p w:rsidR="00C72886" w:rsidP="00C72886" w:rsidRDefault="00C72886" w14:paraId="0E4AF4AC" w14:textId="77777777">
      <w:pPr>
        <w:spacing w:line="360" w:lineRule="auto"/>
        <w:jc w:val="center"/>
      </w:pPr>
    </w:p>
    <w:p w:rsidRPr="00C72886" w:rsidR="00285697" w:rsidP="00C72886" w:rsidRDefault="00285697" w14:paraId="7FBB9DAE" w14:textId="64C25530">
      <w:pPr>
        <w:spacing w:line="360" w:lineRule="auto"/>
        <w:jc w:val="center"/>
      </w:pPr>
      <w:r w:rsidRPr="00C72886">
        <w:t xml:space="preserve">Assignment Title: </w:t>
      </w:r>
      <w:r w:rsidR="00C72886">
        <w:t>Written Assignment</w:t>
      </w:r>
    </w:p>
    <w:p w:rsidRPr="00C72886" w:rsidR="00285697" w:rsidP="00C72886" w:rsidRDefault="00285697" w14:paraId="5B9D0688" w14:textId="2CAB5BD9">
      <w:pPr>
        <w:spacing w:line="360" w:lineRule="auto"/>
        <w:jc w:val="center"/>
      </w:pPr>
      <w:r w:rsidR="6842654B">
        <w:rPr/>
        <w:t>Module code:</w:t>
      </w:r>
      <w:r w:rsidR="09C058B7">
        <w:rPr/>
        <w:t xml:space="preserve"> LCHS4003</w:t>
      </w:r>
    </w:p>
    <w:p w:rsidRPr="00C72886" w:rsidR="00285697" w:rsidP="00C72886" w:rsidRDefault="00285697" w14:paraId="32108605" w14:textId="57624795">
      <w:pPr>
        <w:spacing w:line="360" w:lineRule="auto"/>
        <w:jc w:val="center"/>
      </w:pPr>
      <w:r w:rsidR="6842654B">
        <w:rPr/>
        <w:t>Student id:</w:t>
      </w:r>
      <w:r w:rsidR="109D4586">
        <w:rPr/>
        <w:t xml:space="preserve"> 2522576</w:t>
      </w:r>
    </w:p>
    <w:p w:rsidRPr="00C72886" w:rsidR="00285697" w:rsidP="00C72886" w:rsidRDefault="00285697" w14:paraId="3EF235E6" w14:textId="0E3A7615">
      <w:pPr>
        <w:spacing w:line="360" w:lineRule="auto"/>
        <w:jc w:val="center"/>
      </w:pPr>
      <w:r w:rsidR="6842654B">
        <w:rPr/>
        <w:t>Lecture Name:</w:t>
      </w:r>
      <w:r w:rsidR="4FA49AA9">
        <w:rPr/>
        <w:t xml:space="preserve"> DR HELEN PARSONS</w:t>
      </w:r>
    </w:p>
    <w:p w:rsidRPr="00C72886" w:rsidR="00285697" w:rsidP="00C72886" w:rsidRDefault="00285697" w14:paraId="79DBC904" w14:textId="6D0A885A">
      <w:pPr>
        <w:spacing w:after="80" w:line="360" w:lineRule="auto"/>
        <w:jc w:val="center"/>
        <w:rPr>
          <w:b/>
          <w:bCs/>
          <w:color w:val="1F3A5F"/>
        </w:rPr>
      </w:pPr>
      <w:r w:rsidRPr="00C72886">
        <w:t>Submission Date</w:t>
      </w:r>
    </w:p>
    <w:p w:rsidRPr="00C72886" w:rsidR="00285697" w:rsidP="00C72886" w:rsidRDefault="00285697" w14:paraId="3949EFCC" w14:textId="77777777">
      <w:pPr>
        <w:spacing w:line="360" w:lineRule="auto"/>
        <w:rPr>
          <w:b/>
          <w:bCs/>
          <w:color w:val="1F3A5F"/>
        </w:rPr>
      </w:pPr>
      <w:r w:rsidRPr="00C72886">
        <w:rPr>
          <w:b/>
          <w:bCs/>
          <w:color w:val="1F3A5F"/>
        </w:rPr>
        <w:br w:type="page"/>
      </w:r>
    </w:p>
    <w:p w:rsidRPr="00C72886" w:rsidR="006C2D7E" w:rsidP="00C72886" w:rsidRDefault="006E6CDB" w14:paraId="7D6F2AAB" w14:textId="5DE51B01">
      <w:pPr>
        <w:spacing w:after="80" w:line="360" w:lineRule="auto"/>
        <w:jc w:val="both"/>
      </w:pPr>
      <w:r w:rsidRPr="00C72886">
        <w:rPr>
          <w:b/>
          <w:bCs/>
          <w:color w:val="1F3A5F"/>
        </w:rPr>
        <w:t>Task 1: Guided Scenario Response</w:t>
      </w:r>
    </w:p>
    <w:p w:rsidRPr="00C72886" w:rsidR="006C2D7E" w:rsidP="00C72886" w:rsidRDefault="006E6CDB" w14:paraId="2CC4CFE4" w14:textId="77777777">
      <w:pPr>
        <w:spacing w:after="200" w:line="360" w:lineRule="auto"/>
        <w:jc w:val="both"/>
      </w:pPr>
      <w:r w:rsidRPr="00C72886">
        <w:rPr>
          <w:color w:val="444444"/>
        </w:rPr>
        <w:t>Mini-report: community disability services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000"/>
        <w:gridCol w:w="7026"/>
      </w:tblGrid>
      <w:tr w:rsidRPr="00C72886" w:rsidR="006C2D7E" w:rsidTr="69B382CD" w14:paraId="3830D73B" w14:textId="77777777">
        <w:tc>
          <w:tcPr>
            <w:tcW w:w="2000" w:type="dxa"/>
            <w:tcBorders>
              <w:top w:val="single" w:color="B8C4D4" w:sz="4" w:space="0"/>
              <w:left w:val="single" w:color="B8C4D4" w:sz="4" w:space="0"/>
              <w:bottom w:val="single" w:color="B8C4D4" w:sz="4" w:space="0"/>
              <w:right w:val="single" w:color="B8C4D4" w:sz="4" w:space="0"/>
            </w:tcBorders>
            <w:shd w:val="clear" w:color="auto" w:fill="E8EEF5"/>
            <w:tcMar>
              <w:top w:w="70" w:type="dxa"/>
              <w:left w:w="110" w:type="dxa"/>
              <w:bottom w:w="70" w:type="dxa"/>
              <w:right w:w="110" w:type="dxa"/>
            </w:tcMar>
          </w:tcPr>
          <w:p w:rsidRPr="00C72886" w:rsidR="006C2D7E" w:rsidP="00C72886" w:rsidRDefault="006E6CDB" w14:paraId="15683BB7" w14:textId="77777777">
            <w:pPr>
              <w:spacing w:line="360" w:lineRule="auto"/>
              <w:jc w:val="both"/>
            </w:pPr>
            <w:r w:rsidRPr="00C72886">
              <w:rPr>
                <w:b/>
                <w:bCs/>
              </w:rPr>
              <w:t>To</w:t>
            </w:r>
          </w:p>
        </w:tc>
        <w:tc>
          <w:tcPr>
            <w:tcW w:w="7026" w:type="dxa"/>
            <w:tcBorders>
              <w:top w:val="single" w:color="B8C4D4" w:sz="4" w:space="0"/>
              <w:left w:val="single" w:color="B8C4D4" w:sz="4" w:space="0"/>
              <w:bottom w:val="single" w:color="B8C4D4" w:sz="4" w:space="0"/>
              <w:right w:val="single" w:color="B8C4D4" w:sz="4" w:space="0"/>
            </w:tcBorders>
            <w:shd w:val="clear" w:color="auto" w:fill="FFFFFF" w:themeFill="background1"/>
            <w:tcMar>
              <w:top w:w="70" w:type="dxa"/>
              <w:left w:w="110" w:type="dxa"/>
              <w:bottom w:w="70" w:type="dxa"/>
              <w:right w:w="110" w:type="dxa"/>
            </w:tcMar>
          </w:tcPr>
          <w:p w:rsidRPr="00C72886" w:rsidR="006C2D7E" w:rsidP="00C72886" w:rsidRDefault="006E6CDB" w14:paraId="5AC7A5CF" w14:textId="77777777">
            <w:pPr>
              <w:spacing w:line="360" w:lineRule="auto"/>
              <w:jc w:val="both"/>
            </w:pPr>
            <w:r w:rsidRPr="00C72886">
              <w:t>Councillor Jamil Khan, Sparkbrook &amp; Balsall Heath East Ward; Deputy Cabinet Member for Equalities, Communities and Social Justice, Birmingham City Council</w:t>
            </w:r>
          </w:p>
        </w:tc>
      </w:tr>
      <w:tr w:rsidRPr="00C72886" w:rsidR="006C2D7E" w:rsidTr="69B382CD" w14:paraId="3E852F43" w14:textId="77777777">
        <w:tc>
          <w:tcPr>
            <w:tcW w:w="2000" w:type="dxa"/>
            <w:tcBorders>
              <w:top w:val="single" w:color="B8C4D4" w:sz="4" w:space="0"/>
              <w:left w:val="single" w:color="B8C4D4" w:sz="4" w:space="0"/>
              <w:bottom w:val="single" w:color="B8C4D4" w:sz="4" w:space="0"/>
              <w:right w:val="single" w:color="B8C4D4" w:sz="4" w:space="0"/>
            </w:tcBorders>
            <w:shd w:val="clear" w:color="auto" w:fill="E8EEF5"/>
            <w:tcMar>
              <w:top w:w="70" w:type="dxa"/>
              <w:left w:w="110" w:type="dxa"/>
              <w:bottom w:w="70" w:type="dxa"/>
              <w:right w:w="110" w:type="dxa"/>
            </w:tcMar>
          </w:tcPr>
          <w:p w:rsidRPr="00C72886" w:rsidR="006C2D7E" w:rsidP="00C72886" w:rsidRDefault="006E6CDB" w14:paraId="44BDD4E4" w14:textId="77777777">
            <w:pPr>
              <w:spacing w:line="360" w:lineRule="auto"/>
              <w:jc w:val="both"/>
            </w:pPr>
            <w:r w:rsidRPr="00C72886">
              <w:rPr>
                <w:b/>
                <w:bCs/>
              </w:rPr>
              <w:t>From</w:t>
            </w:r>
          </w:p>
        </w:tc>
        <w:tc>
          <w:tcPr>
            <w:tcW w:w="7026" w:type="dxa"/>
            <w:tcBorders>
              <w:top w:val="single" w:color="B8C4D4" w:sz="4" w:space="0"/>
              <w:left w:val="single" w:color="B8C4D4" w:sz="4" w:space="0"/>
              <w:bottom w:val="single" w:color="B8C4D4" w:sz="4" w:space="0"/>
              <w:right w:val="single" w:color="B8C4D4" w:sz="4" w:space="0"/>
            </w:tcBorders>
            <w:shd w:val="clear" w:color="auto" w:fill="FFFFFF" w:themeFill="background1"/>
            <w:tcMar>
              <w:top w:w="70" w:type="dxa"/>
              <w:left w:w="110" w:type="dxa"/>
              <w:bottom w:w="70" w:type="dxa"/>
              <w:right w:w="110" w:type="dxa"/>
            </w:tcMar>
          </w:tcPr>
          <w:p w:rsidRPr="00C72886" w:rsidR="006C2D7E" w:rsidP="00C72886" w:rsidRDefault="006E6CDB" w14:paraId="419CFC3B" w14:textId="1512D95D">
            <w:pPr>
              <w:spacing w:line="360" w:lineRule="auto"/>
              <w:jc w:val="both"/>
            </w:pPr>
            <w:r w:rsidR="5F00ECCF">
              <w:rPr/>
              <w:t>Sabrina begum ID 2522576</w:t>
            </w:r>
          </w:p>
        </w:tc>
      </w:tr>
      <w:tr w:rsidRPr="00C72886" w:rsidR="006C2D7E" w:rsidTr="69B382CD" w14:paraId="0699880E" w14:textId="77777777">
        <w:tc>
          <w:tcPr>
            <w:tcW w:w="2000" w:type="dxa"/>
            <w:tcBorders>
              <w:top w:val="single" w:color="B8C4D4" w:sz="4" w:space="0"/>
              <w:left w:val="single" w:color="B8C4D4" w:sz="4" w:space="0"/>
              <w:bottom w:val="single" w:color="B8C4D4" w:sz="4" w:space="0"/>
              <w:right w:val="single" w:color="B8C4D4" w:sz="4" w:space="0"/>
            </w:tcBorders>
            <w:shd w:val="clear" w:color="auto" w:fill="E8EEF5"/>
            <w:tcMar>
              <w:top w:w="70" w:type="dxa"/>
              <w:left w:w="110" w:type="dxa"/>
              <w:bottom w:w="70" w:type="dxa"/>
              <w:right w:w="110" w:type="dxa"/>
            </w:tcMar>
          </w:tcPr>
          <w:p w:rsidRPr="00C72886" w:rsidR="006C2D7E" w:rsidP="00C72886" w:rsidRDefault="006E6CDB" w14:paraId="1672F04A" w14:textId="77777777">
            <w:pPr>
              <w:spacing w:line="360" w:lineRule="auto"/>
              <w:jc w:val="both"/>
            </w:pPr>
            <w:r w:rsidRPr="00C72886">
              <w:rPr>
                <w:b/>
                <w:bCs/>
              </w:rPr>
              <w:t>Date</w:t>
            </w:r>
          </w:p>
        </w:tc>
        <w:tc>
          <w:tcPr>
            <w:tcW w:w="7026" w:type="dxa"/>
            <w:tcBorders>
              <w:top w:val="single" w:color="B8C4D4" w:sz="4" w:space="0"/>
              <w:left w:val="single" w:color="B8C4D4" w:sz="4" w:space="0"/>
              <w:bottom w:val="single" w:color="B8C4D4" w:sz="4" w:space="0"/>
              <w:right w:val="single" w:color="B8C4D4" w:sz="4" w:space="0"/>
            </w:tcBorders>
            <w:shd w:val="clear" w:color="auto" w:fill="FFFFFF" w:themeFill="background1"/>
            <w:tcMar>
              <w:top w:w="70" w:type="dxa"/>
              <w:left w:w="110" w:type="dxa"/>
              <w:bottom w:w="70" w:type="dxa"/>
              <w:right w:w="110" w:type="dxa"/>
            </w:tcMar>
          </w:tcPr>
          <w:p w:rsidRPr="00C72886" w:rsidR="006C2D7E" w:rsidP="00C72886" w:rsidRDefault="006E6CDB" w14:paraId="5278FD48" w14:textId="77777777">
            <w:pPr>
              <w:spacing w:line="360" w:lineRule="auto"/>
              <w:jc w:val="both"/>
            </w:pPr>
            <w:r w:rsidRPr="00C72886">
              <w:t>29 September 2026</w:t>
            </w:r>
          </w:p>
        </w:tc>
      </w:tr>
      <w:tr w:rsidRPr="00C72886" w:rsidR="006C2D7E" w:rsidTr="69B382CD" w14:paraId="3DD48733" w14:textId="77777777">
        <w:tc>
          <w:tcPr>
            <w:tcW w:w="2000" w:type="dxa"/>
            <w:tcBorders>
              <w:top w:val="single" w:color="B8C4D4" w:sz="4" w:space="0"/>
              <w:left w:val="single" w:color="B8C4D4" w:sz="4" w:space="0"/>
              <w:bottom w:val="single" w:color="B8C4D4" w:sz="4" w:space="0"/>
              <w:right w:val="single" w:color="B8C4D4" w:sz="4" w:space="0"/>
            </w:tcBorders>
            <w:shd w:val="clear" w:color="auto" w:fill="E8EEF5"/>
            <w:tcMar>
              <w:top w:w="70" w:type="dxa"/>
              <w:left w:w="110" w:type="dxa"/>
              <w:bottom w:w="70" w:type="dxa"/>
              <w:right w:w="110" w:type="dxa"/>
            </w:tcMar>
          </w:tcPr>
          <w:p w:rsidRPr="00C72886" w:rsidR="006C2D7E" w:rsidP="00C72886" w:rsidRDefault="006E6CDB" w14:paraId="4B052CD8" w14:textId="77777777">
            <w:pPr>
              <w:spacing w:line="360" w:lineRule="auto"/>
              <w:jc w:val="both"/>
            </w:pPr>
            <w:r w:rsidRPr="00C72886">
              <w:rPr>
                <w:b/>
                <w:bCs/>
              </w:rPr>
              <w:t>Subject</w:t>
            </w:r>
          </w:p>
        </w:tc>
        <w:tc>
          <w:tcPr>
            <w:tcW w:w="7026" w:type="dxa"/>
            <w:tcBorders>
              <w:top w:val="single" w:color="B8C4D4" w:sz="4" w:space="0"/>
              <w:left w:val="single" w:color="B8C4D4" w:sz="4" w:space="0"/>
              <w:bottom w:val="single" w:color="B8C4D4" w:sz="4" w:space="0"/>
              <w:right w:val="single" w:color="B8C4D4" w:sz="4" w:space="0"/>
            </w:tcBorders>
            <w:shd w:val="clear" w:color="auto" w:fill="FFFFFF" w:themeFill="background1"/>
            <w:tcMar>
              <w:top w:w="70" w:type="dxa"/>
              <w:left w:w="110" w:type="dxa"/>
              <w:bottom w:w="70" w:type="dxa"/>
              <w:right w:w="110" w:type="dxa"/>
            </w:tcMar>
          </w:tcPr>
          <w:p w:rsidRPr="00C72886" w:rsidR="006C2D7E" w:rsidP="00C72886" w:rsidRDefault="006E6CDB" w14:paraId="2096374F" w14:textId="77777777">
            <w:pPr>
              <w:spacing w:line="360" w:lineRule="auto"/>
              <w:jc w:val="both"/>
            </w:pPr>
            <w:r w:rsidRPr="00C72886">
              <w:t>Addressing gaps in community disability services for young disabled adults in Sparkbrook &amp; Balsall Heath East</w:t>
            </w:r>
          </w:p>
        </w:tc>
      </w:tr>
    </w:tbl>
    <w:p w:rsidRPr="00C72886" w:rsidR="006C2D7E" w:rsidP="00C72886" w:rsidRDefault="006C2D7E" w14:paraId="1D537D88" w14:textId="77777777">
      <w:pPr>
        <w:spacing w:after="120" w:line="360" w:lineRule="auto"/>
        <w:jc w:val="both"/>
      </w:pPr>
    </w:p>
    <w:p w:rsidRPr="00C72886" w:rsidR="00285697" w:rsidP="00C72886" w:rsidRDefault="00285697" w14:paraId="6BBA876D" w14:textId="1374EE21">
      <w:pPr>
        <w:spacing w:after="160" w:line="360" w:lineRule="auto"/>
        <w:jc w:val="both"/>
        <w:rPr>
          <w:b/>
          <w:bCs/>
        </w:rPr>
      </w:pPr>
      <w:r w:rsidRPr="00C72886">
        <w:rPr>
          <w:b/>
          <w:bCs/>
        </w:rPr>
        <w:t>Introduction</w:t>
      </w:r>
    </w:p>
    <w:p w:rsidRPr="00C72886" w:rsidR="00285697" w:rsidP="00C72886" w:rsidRDefault="00285697" w14:paraId="6DEA5D20" w14:textId="77777777">
      <w:pPr>
        <w:spacing w:after="160" w:line="360" w:lineRule="auto"/>
        <w:jc w:val="both"/>
      </w:pPr>
      <w:r w:rsidRPr="00C72886">
        <w:t>This report tackles a lack of community disability services for young disabled adults in Sparkbrook and Balsall Heath East. These are day opportunities, short breaks for carers, supported living and moving from children's to adult care. The Care Quality Commission (CQC) identified Birmingham's services for people with a learning disability, autistic people and people with complex needs were lacking (CQC, 2023). It also identified under-performance in respite care for working age adults in a bed setting (CQC, 2023). This report recommends that this should be addressed within the framework of Part 1 of the Care Act 2014.</w:t>
      </w:r>
    </w:p>
    <w:p w:rsidRPr="00C72886" w:rsidR="00285697" w:rsidP="00C72886" w:rsidRDefault="00285697" w14:paraId="4AD06201" w14:textId="77777777">
      <w:pPr>
        <w:spacing w:after="160" w:line="360" w:lineRule="auto"/>
        <w:jc w:val="both"/>
      </w:pPr>
      <w:r w:rsidRPr="00C72886">
        <w:t>The Care Act 2014 imposes a number of duties on the Council in Part 1. The definition of wellbeing includes 'control by the individual over day-to-day life' and 'participation in work, education, training or recreation' (s.1). The Council is required to prevent and delay the development of needs (s.2) and is required to promote a diverse market of high quality services (s.5). It has to assess adults (s.9) and carers (s.10) and satisfy eligible needs (s.18 and 20). It must also consider children who are likely to need care after they turn 18 (s.58), but that is important too.</w:t>
      </w:r>
    </w:p>
    <w:p w:rsidRPr="00C72886" w:rsidR="00285697" w:rsidP="00C72886" w:rsidRDefault="00285697" w14:paraId="374CA152" w14:textId="77777777">
      <w:pPr>
        <w:spacing w:after="160" w:line="360" w:lineRule="auto"/>
        <w:jc w:val="both"/>
      </w:pPr>
      <w:r w:rsidRPr="00C72886">
        <w:t>The need of these services in the area is apparent. 217 young people were awaiting assessments as they transitioned into adult services across Birmingham, and 114 young people had waited more than 90 days (CQC, 2023). The population at Sparkbrook and Balsall Heath East is very young. There is a higher proportion of residents aged under 18 than the Birmingham City Council average of 25.1% (Birmingham City Council, no date) of residents are. Over the next few years, many will, therefore, grow up to become young adults with a disability in the ward. In 2021, 16% of adults (aged 18 to 64) in Birmingham identified as disabled (CQC, 2026).</w:t>
      </w:r>
    </w:p>
    <w:p w:rsidRPr="00C72886" w:rsidR="00285697" w:rsidP="00C72886" w:rsidRDefault="00285697" w14:paraId="11D5A248" w14:textId="77777777">
      <w:pPr>
        <w:spacing w:after="160" w:line="360" w:lineRule="auto"/>
        <w:jc w:val="both"/>
      </w:pPr>
      <w:r w:rsidRPr="00C72886">
        <w:t>The need can only be satisfied through the partnership, communication and good record. The Council will work with NHS, schools and children's services (ss.6 and 7) with integrated care boards (Health and Care Act 2022). Disabled people are entitled to be given information in a form they can understand including easy read (Health and Social Care Act 2012, s.250). The Council must have regard for disability, race and religion in its plans for services under the public sector equality duty (Equality Act 2010, s.149). Families should not have to retell their story, accurate records that follow with the support of data protection law (Data Protection Act 2018).</w:t>
      </w:r>
    </w:p>
    <w:p w:rsidRPr="00C72886" w:rsidR="00285697" w:rsidP="00C72886" w:rsidRDefault="00285697" w14:paraId="4BBF4F51" w14:textId="3C0D476F">
      <w:pPr>
        <w:spacing w:line="360" w:lineRule="auto"/>
        <w:contextualSpacing/>
        <w:jc w:val="both"/>
        <w:rPr>
          <w:b/>
          <w:bCs/>
          <w:color w:val="000000" w:themeColor="text1"/>
        </w:rPr>
      </w:pPr>
      <w:r w:rsidRPr="00C72886">
        <w:rPr>
          <w:b/>
          <w:bCs/>
          <w:color w:val="000000" w:themeColor="text1"/>
        </w:rPr>
        <w:t>Impact of the issue on the community</w:t>
      </w:r>
    </w:p>
    <w:p w:rsidRPr="00C72886" w:rsidR="00285697" w:rsidP="00C72886" w:rsidRDefault="00285697" w14:paraId="4ECF46BA" w14:textId="77777777">
      <w:pPr>
        <w:spacing w:line="360" w:lineRule="auto"/>
        <w:contextualSpacing/>
        <w:jc w:val="both"/>
        <w:rPr>
          <w:color w:val="000000" w:themeColor="text1"/>
        </w:rPr>
      </w:pPr>
    </w:p>
    <w:p w:rsidRPr="00C72886" w:rsidR="00285697" w:rsidP="00C72886" w:rsidRDefault="00285697" w14:paraId="0552A1E2" w14:textId="77777777">
      <w:pPr>
        <w:spacing w:after="160" w:line="360" w:lineRule="auto"/>
        <w:jc w:val="both"/>
      </w:pPr>
      <w:r w:rsidRPr="00C72886">
        <w:t xml:space="preserve">The shortage has three main impacts. Firstly, young people can end up without support at the transition to adult services. There is evidence that transitioning from children to adult services can lead to gaps in services and loss of continuity of care (Zylbersztejn et al., 2023). </w:t>
      </w:r>
    </w:p>
    <w:p w:rsidRPr="00C72886" w:rsidR="00285697" w:rsidP="00C72886" w:rsidRDefault="00285697" w14:paraId="4E190B34" w14:textId="77777777">
      <w:pPr>
        <w:spacing w:after="160" w:line="360" w:lineRule="auto"/>
        <w:jc w:val="both"/>
      </w:pPr>
      <w:r w:rsidRPr="00C72886">
        <w:t>Second, there is a need to increase the pressure on family carers, given the shortage. The UK study showed that the care of an adult with complex needs was associated with more depression and stress in family carers (Thompson et al., 2025). If there is no respite, parents might not be able to remain working or to care for their own health. This is an issue in a ward where 42% of residents are working (Birmingham City Council, no date).</w:t>
      </w:r>
    </w:p>
    <w:p w:rsidRPr="00C72886" w:rsidR="00285697" w:rsidP="00C72886" w:rsidRDefault="00285697" w14:paraId="31CFBB42" w14:textId="77777777">
      <w:pPr>
        <w:spacing w:after="160" w:line="360" w:lineRule="auto"/>
        <w:jc w:val="both"/>
      </w:pPr>
      <w:r w:rsidRPr="00C72886">
        <w:t>Third, lack of local services may result in crisis responses. If community services are not available, disabled adults may require emergency placements, which can be distant from their home. Shortages of workers make addressing the problem more challenging. The care sector is struggling to respond to the growing demand for care due to high staff turnover and recruitment challenges, according to research (Teo, Vadean and Saloniki, 2022).</w:t>
      </w:r>
    </w:p>
    <w:p w:rsidRPr="00C72886" w:rsidR="00285697" w:rsidP="00C72886" w:rsidRDefault="00285697" w14:paraId="094FA600" w14:textId="6114DD6C">
      <w:pPr>
        <w:spacing w:after="160" w:line="360" w:lineRule="auto"/>
        <w:jc w:val="both"/>
        <w:rPr>
          <w:b/>
          <w:bCs/>
        </w:rPr>
      </w:pPr>
      <w:r w:rsidRPr="00C72886">
        <w:rPr>
          <w:b/>
          <w:bCs/>
        </w:rPr>
        <w:t>Recommended response</w:t>
      </w:r>
    </w:p>
    <w:p w:rsidRPr="00C72886" w:rsidR="00285697" w:rsidP="00C72886" w:rsidRDefault="00285697" w14:paraId="4FA00B5E" w14:textId="77777777">
      <w:pPr>
        <w:spacing w:after="160" w:line="360" w:lineRule="auto"/>
        <w:jc w:val="both"/>
      </w:pPr>
      <w:r w:rsidRPr="00C72886">
        <w:t>In view of the Council's financial constraints, I suggest a phased and targeted response:</w:t>
      </w:r>
    </w:p>
    <w:p w:rsidRPr="00C72886" w:rsidR="00285697" w:rsidP="00C72886" w:rsidRDefault="00285697" w14:paraId="49E0E5EC" w14:textId="77777777">
      <w:pPr>
        <w:pStyle w:val="ListParagraph"/>
        <w:numPr>
          <w:ilvl w:val="0"/>
          <w:numId w:val="4"/>
        </w:numPr>
        <w:spacing w:after="160" w:line="360" w:lineRule="auto"/>
        <w:jc w:val="both"/>
      </w:pPr>
      <w:r w:rsidRPr="00C72886">
        <w:t>Complete the transition backlog (s.58). Establish a dedicated transitions team and begin planning for a young person's transition well before their 18th birthday.</w:t>
      </w:r>
    </w:p>
    <w:p w:rsidRPr="00C72886" w:rsidR="00285697" w:rsidP="00C72886" w:rsidRDefault="00285697" w14:paraId="53E1613B" w14:textId="1416AF5D">
      <w:pPr>
        <w:pStyle w:val="ListParagraph"/>
        <w:numPr>
          <w:ilvl w:val="0"/>
          <w:numId w:val="4"/>
        </w:numPr>
        <w:spacing w:after="160" w:line="360" w:lineRule="auto"/>
        <w:jc w:val="both"/>
      </w:pPr>
      <w:r w:rsidRPr="00C72886">
        <w:t>Develop Local Day Opportunities (s.5). Provide community activities, training and supported employment opportunities with local colleges and groups.</w:t>
      </w:r>
    </w:p>
    <w:p w:rsidRPr="00C72886" w:rsidR="00285697" w:rsidP="00C72886" w:rsidRDefault="00285697" w14:paraId="085BEDC0" w14:textId="6C17C456">
      <w:pPr>
        <w:pStyle w:val="ListParagraph"/>
        <w:numPr>
          <w:ilvl w:val="0"/>
          <w:numId w:val="4"/>
        </w:numPr>
        <w:spacing w:after="160" w:line="360" w:lineRule="auto"/>
        <w:jc w:val="both"/>
      </w:pPr>
      <w:r w:rsidRPr="00C72886">
        <w:t>Develop short breaks for carers (ss.10 and 20). Develop local respite options, including culturally relevant services that are trusted by families.</w:t>
      </w:r>
    </w:p>
    <w:p w:rsidRPr="00C72886" w:rsidR="00285697" w:rsidP="00C72886" w:rsidRDefault="00285697" w14:paraId="49BCA602" w14:textId="645222DB">
      <w:pPr>
        <w:pStyle w:val="ListParagraph"/>
        <w:numPr>
          <w:ilvl w:val="0"/>
          <w:numId w:val="4"/>
        </w:numPr>
        <w:spacing w:after="160" w:line="360" w:lineRule="auto"/>
        <w:jc w:val="both"/>
      </w:pPr>
      <w:r w:rsidRPr="00C72886">
        <w:t>foster choice and control. Ensure that direct payment is encouraged (s.31) for families to access personal assistants, who understand their needs.</w:t>
      </w:r>
    </w:p>
    <w:p w:rsidRPr="00C72886" w:rsidR="00285697" w:rsidP="00C72886" w:rsidRDefault="00285697" w14:paraId="65396A99" w14:textId="5E8647C4">
      <w:pPr>
        <w:pStyle w:val="ListParagraph"/>
        <w:numPr>
          <w:ilvl w:val="0"/>
          <w:numId w:val="4"/>
        </w:numPr>
        <w:spacing w:after="160" w:line="360" w:lineRule="auto"/>
        <w:jc w:val="both"/>
      </w:pPr>
      <w:r w:rsidRPr="00C72886">
        <w:t>Enhance information and awareness (s.4). Make multi-lingual, accessible information available in schools, community centres and places of worship.</w:t>
      </w:r>
    </w:p>
    <w:p w:rsidRPr="00C72886" w:rsidR="00285697" w:rsidP="00C72886" w:rsidRDefault="00285697" w14:paraId="66BB618C" w14:textId="147A16BD">
      <w:pPr>
        <w:pStyle w:val="ListParagraph"/>
        <w:numPr>
          <w:ilvl w:val="0"/>
          <w:numId w:val="4"/>
        </w:numPr>
        <w:spacing w:after="160" w:line="360" w:lineRule="auto"/>
        <w:jc w:val="both"/>
      </w:pPr>
      <w:r w:rsidRPr="00C72886">
        <w:t>Share information and records, and co-produce services. Design services for families, share records between child and adult services and report transition waiting times to scrutiny.</w:t>
      </w:r>
    </w:p>
    <w:p w:rsidRPr="00C72886" w:rsidR="00285697" w:rsidP="00C72886" w:rsidRDefault="00285697" w14:paraId="3D9A1C44" w14:textId="316EA0A6">
      <w:pPr>
        <w:spacing w:after="160" w:line="360" w:lineRule="auto"/>
        <w:jc w:val="both"/>
        <w:rPr>
          <w:b/>
          <w:bCs/>
        </w:rPr>
      </w:pPr>
      <w:r w:rsidRPr="00C72886">
        <w:rPr>
          <w:b/>
          <w:bCs/>
        </w:rPr>
        <w:t>Conclusion</w:t>
      </w:r>
    </w:p>
    <w:p w:rsidRPr="00C72886" w:rsidR="006C2D7E" w:rsidP="00C72886" w:rsidRDefault="00285697" w14:paraId="2F99BD26" w14:textId="5C3B1F76">
      <w:pPr>
        <w:spacing w:after="160" w:line="360" w:lineRule="auto"/>
        <w:jc w:val="both"/>
      </w:pPr>
      <w:r w:rsidRPr="00C72886">
        <w:t>The needs of young disabled adults and their families are not being met by community disability services in this ward. There are delays, limited day time opportunities, and gaps in respite, which have a significant impact on independence and carer stress. The Care Act 2014 places specific responsibilities on the Council to promote wellbeing and prevent needs (Part 1). It also calls on the Council to take forward planning for young people's transition to adult services. These duties could be met by a focused transitions team, local day opportunities and short breaks that are reliable. I would like to discuss these proposals with you.</w:t>
      </w:r>
    </w:p>
    <w:p w:rsidRPr="00C72886" w:rsidR="006C2D7E" w:rsidP="00C72886" w:rsidRDefault="006E6CDB" w14:paraId="102DA462" w14:textId="77777777">
      <w:pPr>
        <w:pStyle w:val="Heading2"/>
        <w:spacing w:line="360" w:lineRule="auto"/>
        <w:jc w:val="both"/>
        <w:rPr>
          <w:sz w:val="22"/>
          <w:szCs w:val="22"/>
        </w:rPr>
      </w:pPr>
      <w:r w:rsidRPr="00C72886">
        <w:rPr>
          <w:sz w:val="22"/>
          <w:szCs w:val="22"/>
        </w:rPr>
        <w:t>References</w:t>
      </w:r>
    </w:p>
    <w:p w:rsidRPr="00C72886" w:rsidR="006C2D7E" w:rsidP="00C72886" w:rsidRDefault="006E6CDB" w14:paraId="4207F009" w14:textId="77777777">
      <w:pPr>
        <w:spacing w:after="120" w:line="360" w:lineRule="auto"/>
        <w:ind w:left="567" w:hanging="567"/>
        <w:jc w:val="both"/>
      </w:pPr>
      <w:r w:rsidRPr="00C72886">
        <w:t xml:space="preserve">Birmingham City Council (no date) </w:t>
      </w:r>
      <w:r w:rsidRPr="00C72886">
        <w:rPr>
          <w:i/>
          <w:iCs/>
        </w:rPr>
        <w:t>Sparkbrook &amp; Balsall Heath East ward factsheet</w:t>
      </w:r>
      <w:r w:rsidRPr="00C72886">
        <w:t>. Available at: https://www.birmingham.gov.uk/download/downloads/id/15502/sparkbrook_and_balsall_heath_east_profile.pdf (Accessed: 29 September 2026).</w:t>
      </w:r>
    </w:p>
    <w:p w:rsidRPr="00C72886" w:rsidR="006C2D7E" w:rsidP="00C72886" w:rsidRDefault="006E6CDB" w14:paraId="45905818" w14:textId="77777777">
      <w:pPr>
        <w:spacing w:after="120" w:line="360" w:lineRule="auto"/>
        <w:ind w:left="567" w:hanging="567"/>
        <w:jc w:val="both"/>
      </w:pPr>
      <w:r w:rsidRPr="00C72886">
        <w:t>Care Act 2014, c. 23. Available at: https://www.legislation.gov.uk/ukpga/2014/23/contents (Accessed: 29 September 2026).</w:t>
      </w:r>
    </w:p>
    <w:p w:rsidRPr="00C72886" w:rsidR="006C2D7E" w:rsidP="00C72886" w:rsidRDefault="006E6CDB" w14:paraId="4D906DDB" w14:textId="77777777">
      <w:pPr>
        <w:spacing w:after="120" w:line="360" w:lineRule="auto"/>
        <w:ind w:left="567" w:hanging="567"/>
        <w:jc w:val="both"/>
      </w:pPr>
      <w:r w:rsidRPr="00C72886">
        <w:t xml:space="preserve">Care Quality Commission (2023) </w:t>
      </w:r>
      <w:r w:rsidRPr="00C72886">
        <w:rPr>
          <w:i/>
          <w:iCs/>
        </w:rPr>
        <w:t>Birmingham City Council: local authority assessment</w:t>
      </w:r>
      <w:r w:rsidRPr="00C72886">
        <w:t>. Available at: https://www.cqc.org.uk/care-services/local-authority-assessment-reports/birmingham-cc/overall-summary (Accessed: 29 September 2026).</w:t>
      </w:r>
    </w:p>
    <w:p w:rsidRPr="00C72886" w:rsidR="006C2D7E" w:rsidP="00C72886" w:rsidRDefault="006E6CDB" w14:paraId="38D33BEE" w14:textId="77777777">
      <w:pPr>
        <w:spacing w:after="120" w:line="360" w:lineRule="auto"/>
        <w:ind w:left="567" w:hanging="567"/>
        <w:jc w:val="both"/>
      </w:pPr>
      <w:r w:rsidRPr="00C72886">
        <w:t xml:space="preserve">Care Quality Commission (2026) </w:t>
      </w:r>
      <w:r w:rsidRPr="00C72886">
        <w:rPr>
          <w:i/>
          <w:iCs/>
        </w:rPr>
        <w:t>Birmingham City Council: local authority assessment</w:t>
      </w:r>
      <w:r w:rsidRPr="00C72886">
        <w:t>. Available at: https://www.cqc.org.uk/care-services/local-authority-assessment-reports/birmingham-0526 (Accessed: 29 September 2026).</w:t>
      </w:r>
    </w:p>
    <w:p w:rsidRPr="00C72886" w:rsidR="006C2D7E" w:rsidP="00C72886" w:rsidRDefault="006E6CDB" w14:paraId="1AAEFD58" w14:textId="77777777">
      <w:pPr>
        <w:spacing w:after="120" w:line="360" w:lineRule="auto"/>
        <w:ind w:left="567" w:hanging="567"/>
        <w:jc w:val="both"/>
      </w:pPr>
      <w:r w:rsidRPr="00C72886">
        <w:t>Data Protection Act 2018, c. 12.</w:t>
      </w:r>
    </w:p>
    <w:p w:rsidRPr="00C72886" w:rsidR="006C2D7E" w:rsidP="00C72886" w:rsidRDefault="006E6CDB" w14:paraId="4639D151" w14:textId="77777777">
      <w:pPr>
        <w:spacing w:after="120" w:line="360" w:lineRule="auto"/>
        <w:ind w:left="567" w:hanging="567"/>
        <w:jc w:val="both"/>
      </w:pPr>
      <w:r w:rsidRPr="00C72886">
        <w:t>Equality Act 2010, c. 15.</w:t>
      </w:r>
    </w:p>
    <w:p w:rsidRPr="00C72886" w:rsidR="006C2D7E" w:rsidP="00C72886" w:rsidRDefault="006E6CDB" w14:paraId="331FDAAE" w14:textId="77777777">
      <w:pPr>
        <w:spacing w:after="120" w:line="360" w:lineRule="auto"/>
        <w:ind w:left="567" w:hanging="567"/>
        <w:jc w:val="both"/>
      </w:pPr>
      <w:r w:rsidRPr="00C72886">
        <w:t>Health and Care Act 2022, c. 31.</w:t>
      </w:r>
    </w:p>
    <w:p w:rsidRPr="00C72886" w:rsidR="006C2D7E" w:rsidP="00C72886" w:rsidRDefault="006E6CDB" w14:paraId="68151F46" w14:textId="77777777">
      <w:pPr>
        <w:spacing w:after="120" w:line="360" w:lineRule="auto"/>
        <w:ind w:left="567" w:hanging="567"/>
        <w:jc w:val="both"/>
      </w:pPr>
      <w:r w:rsidRPr="00C72886">
        <w:t>Health and Social Care Act 2012, c. 7.</w:t>
      </w:r>
    </w:p>
    <w:p w:rsidRPr="00C72886" w:rsidR="006C2D7E" w:rsidP="00C72886" w:rsidRDefault="006E6CDB" w14:paraId="0D5DA703" w14:textId="77777777">
      <w:pPr>
        <w:spacing w:after="120" w:line="360" w:lineRule="auto"/>
        <w:ind w:left="567" w:hanging="567"/>
        <w:jc w:val="both"/>
      </w:pPr>
      <w:r w:rsidRPr="00C72886">
        <w:t>Teo, H., Vadean</w:t>
      </w:r>
      <w:r w:rsidRPr="00C72886">
        <w:t xml:space="preserve">, F. and Saloniki, E.-C. (2022) 'Recruitment, retention and employment growth in the long-term care sector in England', </w:t>
      </w:r>
      <w:r w:rsidRPr="00C72886">
        <w:rPr>
          <w:i/>
          <w:iCs/>
        </w:rPr>
        <w:t>Frontiers in Public Health</w:t>
      </w:r>
      <w:r w:rsidRPr="00C72886">
        <w:t>, 10, article 969098.</w:t>
      </w:r>
    </w:p>
    <w:p w:rsidRPr="00C72886" w:rsidR="006C2D7E" w:rsidP="00C72886" w:rsidRDefault="006E6CDB" w14:paraId="5CDCC4C0" w14:textId="77777777">
      <w:pPr>
        <w:spacing w:after="120" w:line="360" w:lineRule="auto"/>
        <w:ind w:left="567" w:hanging="567"/>
        <w:jc w:val="both"/>
      </w:pPr>
      <w:r w:rsidRPr="00C72886">
        <w:t xml:space="preserve">Thompson, P.A., Summers, E., Caton, S., Hayden, N., Todd, S., Oloidi, E., Taggart, L., Kelly, R., Bradshaw, J., Maguire, R., Jahoda, A., Hatton, C. and Hastings, R.P. (2025) 'Wellbeing of family carers of adults with intellectual disabilities during the COVID-19 pandemic in the UK: longitudinal study', </w:t>
      </w:r>
      <w:r w:rsidRPr="00C72886">
        <w:rPr>
          <w:i/>
          <w:iCs/>
        </w:rPr>
        <w:t>Journal of Intellectual Disability Research</w:t>
      </w:r>
      <w:r w:rsidRPr="00C72886">
        <w:t>, 69(4), pp. 265–273.</w:t>
      </w:r>
    </w:p>
    <w:p w:rsidRPr="00C72886" w:rsidR="006C2D7E" w:rsidP="00C72886" w:rsidRDefault="006E6CDB" w14:paraId="1C74EF77" w14:textId="77777777">
      <w:pPr>
        <w:spacing w:after="120" w:line="360" w:lineRule="auto"/>
        <w:ind w:left="567" w:hanging="567"/>
        <w:jc w:val="both"/>
      </w:pPr>
      <w:r w:rsidRPr="00C72886">
        <w:t xml:space="preserve">Zylbersztejn, A., Stilwell, P.A., Zhu, H., Ainsworth, V., Allister, J., Horridge, K., Stephenson, T., Wijlaars, L., Gilbert, R., Heys, M. and Hardelid, P. (2023) 'Trends in hospital admissions during transition from paediatric to adult services for young people with learning disabilities or autism: population-based cohort study', </w:t>
      </w:r>
      <w:r w:rsidRPr="00C72886">
        <w:rPr>
          <w:i/>
          <w:iCs/>
        </w:rPr>
        <w:t>The Lancet Regional Health – Europe</w:t>
      </w:r>
      <w:r w:rsidRPr="00C72886">
        <w:t>, 24, article 100531.</w:t>
      </w:r>
    </w:p>
    <w:p w:rsidRPr="00C72886" w:rsidR="006C2D7E" w:rsidP="00C72886" w:rsidRDefault="006E6CDB" w14:paraId="4D13696B" w14:textId="77777777">
      <w:pPr>
        <w:spacing w:line="360" w:lineRule="auto"/>
        <w:jc w:val="both"/>
      </w:pPr>
      <w:r w:rsidRPr="00C72886">
        <w:br w:type="page"/>
      </w:r>
    </w:p>
    <w:p w:rsidRPr="00C72886" w:rsidR="006C2D7E" w:rsidP="00C72886" w:rsidRDefault="006E6CDB" w14:paraId="7CC008C1" w14:textId="77777777">
      <w:pPr>
        <w:spacing w:after="80" w:line="360" w:lineRule="auto"/>
        <w:jc w:val="both"/>
      </w:pPr>
      <w:r w:rsidRPr="00C72886">
        <w:rPr>
          <w:b/>
          <w:bCs/>
          <w:color w:val="1F3A5F"/>
        </w:rPr>
        <w:t>Task 2: Essay</w:t>
      </w:r>
    </w:p>
    <w:p w:rsidRPr="00C72886" w:rsidR="006C2D7E" w:rsidP="00C72886" w:rsidRDefault="006E6CDB" w14:paraId="6E1CE0FA" w14:textId="77777777">
      <w:pPr>
        <w:spacing w:after="240" w:line="360" w:lineRule="auto"/>
        <w:jc w:val="both"/>
        <w:rPr>
          <w:color w:val="444444"/>
        </w:rPr>
      </w:pPr>
      <w:r w:rsidRPr="00C72886">
        <w:rPr>
          <w:color w:val="444444"/>
        </w:rPr>
        <w:t>Community antenatal midwifery services in England: origins, present function and contribution to quality of life</w:t>
      </w:r>
    </w:p>
    <w:p w:rsidRPr="00C72886" w:rsidR="00285697" w:rsidP="00C72886" w:rsidRDefault="00285697" w14:paraId="630E0D3B" w14:textId="77777777">
      <w:pPr>
        <w:spacing w:after="240" w:line="360" w:lineRule="auto"/>
        <w:jc w:val="both"/>
      </w:pPr>
      <w:r w:rsidRPr="00C72886">
        <w:t>Community antenatal midwifery services are the provision of midwifery care to women in the community and typically take place in midwifery clinics, GP surgeries, children's centres and homes. They provide screening and prepare families for birth, and evaluate the health of mother and baby. Antenatal care, like many NHS services is free at the point of delivery. This essay begins by following the development of midwifery services and its history. It then critically reviews the role of the midwife in the ante natal period today. Lastly, it examines the impact of the service on women's and their families' quality of life.</w:t>
      </w:r>
    </w:p>
    <w:p w:rsidRPr="00C72886" w:rsidR="00285697" w:rsidP="00C72886" w:rsidRDefault="00285697" w14:paraId="2D1E70DE" w14:textId="77777777">
      <w:pPr>
        <w:spacing w:after="240" w:line="360" w:lineRule="auto"/>
        <w:jc w:val="both"/>
      </w:pPr>
      <w:r w:rsidRPr="00C72886">
        <w:t>In pre-twentieth century England midwifery was largely unregulated. Practical experience, but no formal training, attended many births. Members of the public became more worried about the safety of mothers and babies and this concern was reflected in the Midwives Act 1902. This Act created the Central Midwives Board and a roll of certified midwives. Eventually, it barred uncertificated women from coming to the hospital often, for delivery fees.</w:t>
      </w:r>
    </w:p>
    <w:p w:rsidRPr="00C72886" w:rsidR="00285697" w:rsidP="00C72886" w:rsidRDefault="00285697" w14:paraId="03DCC5BA" w14:textId="77777777">
      <w:pPr>
        <w:spacing w:after="240" w:line="360" w:lineRule="auto"/>
        <w:jc w:val="both"/>
      </w:pPr>
      <w:r w:rsidRPr="00C72886">
        <w:t>The following pivotal was the Midwives Act 1936. It called for local authorities to give a paid midwifery service to women in their own homes. This brought trained midwives to many more families, without regard to payment. From 1948, the National Health Service Act 1946 abolished charges for maternity services (including antenatal services). Antenatal care then became a service for everyone and was closely associated with the rest of the NHS.</w:t>
      </w:r>
    </w:p>
    <w:p w:rsidRPr="00C72886" w:rsidR="00285697" w:rsidP="00C72886" w:rsidRDefault="00285697" w14:paraId="479A1237" w14:textId="77777777">
      <w:pPr>
        <w:spacing w:after="240" w:line="360" w:lineRule="auto"/>
        <w:jc w:val="both"/>
      </w:pPr>
      <w:r w:rsidRPr="00C72886">
        <w:t>Most of the routine antenatal care today is provided by community midwives. They make appointments, conduct blood testing, blood pressure screening and give health information during pregnancy. If there is a problem identified, they send the women to obstetricians and other specialist services. This will be dependent on close collaboration between GPs, health visitors and hospital teams. There should be accurate shared maternity records that ensure that all professionals have the same information. Since the Health and Care Act 2022, ICBs have also been supporting the planning of maternity services in local areas. One of the policy objectives has been continuity of carer, having the same midwife or a small team of midwives. This model was evaluated in a Cochrane review of 17 trials, which included 18,533 women (Sandall et al., 2024). It concluded that continuity models is associated with more spontaneous vaginal births and fewer of caesarean and instrumental births. When compared to women in the other models, women in this model were also more likely to report a positive experience of care.</w:t>
      </w:r>
    </w:p>
    <w:p w:rsidRPr="00C72886" w:rsidR="00285697" w:rsidP="00C72886" w:rsidRDefault="00285697" w14:paraId="7CB990CF" w14:textId="77777777">
      <w:pPr>
        <w:spacing w:after="240" w:line="360" w:lineRule="auto"/>
        <w:jc w:val="both"/>
      </w:pPr>
      <w:r w:rsidRPr="00C72886">
        <w:t>But there are also key caveats to the evidence. There was very little or no difference in preterm birth (Sandall et al., 2024). There was also little or no difference in heavy bleeding after birth or admission to neonatal care. Effect on stillbirth and neonatal death was also unclear. Continuity is hard to provide as a result of staffing shortages. In England the NHS has a shortage of 1,932 midwives (Moncrieff et al., 2023). Between 2021 and 2022, the midwife workforce decreased by a further 633 full-time equivalent (FTE) positions. Low staffing levels are often associated with unsafe care and sub-optimal maternal and infant outcomes.</w:t>
      </w:r>
    </w:p>
    <w:p w:rsidRPr="00C72886" w:rsidR="00285697" w:rsidP="00C72886" w:rsidRDefault="00285697" w14:paraId="75F54451" w14:textId="77777777">
      <w:pPr>
        <w:spacing w:after="240" w:line="360" w:lineRule="auto"/>
        <w:jc w:val="both"/>
      </w:pPr>
      <w:r w:rsidRPr="00C72886">
        <w:t>Women's access to antenatal care is also inequitable between communities. Ethnic minority women have been found to have structural and organisational barriers to antenatal care: the findings of a systematic review of 30 studies (Sharma et al., 2023). These include not being able to attend appointments, communication issues and concerns related to immigration status. This means that some women choose to begin their ante-natal care later than recommended, creating risks.</w:t>
      </w:r>
    </w:p>
    <w:p w:rsidRPr="00C72886" w:rsidR="00285697" w:rsidP="00C72886" w:rsidRDefault="00285697" w14:paraId="5D4ABFA6" w14:textId="77777777">
      <w:pPr>
        <w:spacing w:after="240" w:line="360" w:lineRule="auto"/>
        <w:jc w:val="both"/>
      </w:pPr>
      <w:r w:rsidRPr="00C72886">
        <w:t>This has implications for the prevention of negative outcomes for mothers and babies with antenatal care (Sharma et al., 2023). Problems can be identified early through regular checks, allowing for timely women to be treated and supported. Information and education also enables women to feel prepared and in control of their pregnancy. Continuity of carer has the added value of establishing trust and enhances the women's experience of care (Sandall et al., 2024). It is also associated with reduced interventions including cesareans, that may have impacts on women's post-partum recovery.</w:t>
      </w:r>
    </w:p>
    <w:p w:rsidRPr="00C72886" w:rsidR="00285697" w:rsidP="00C72886" w:rsidRDefault="00285697" w14:paraId="17A7369F" w14:textId="77777777">
      <w:pPr>
        <w:spacing w:after="240" w:line="360" w:lineRule="auto"/>
        <w:jc w:val="both"/>
      </w:pPr>
      <w:r w:rsidRPr="00C72886">
        <w:t>These benefits are not equally shared. Late arrival to care or language barriers may mean women do not receive screening and advice. There may be fewer staff or more rushed appointments and less time for emotional support (Moncrieff et al, 2023). It must be well staffed, and accessible to all communities, if it is to improve the quality of life of all.</w:t>
      </w:r>
    </w:p>
    <w:p w:rsidRPr="00C72886" w:rsidR="00285697" w:rsidP="00C72886" w:rsidRDefault="00285697" w14:paraId="31205518" w14:textId="04E73A25">
      <w:pPr>
        <w:spacing w:after="240" w:line="360" w:lineRule="auto"/>
        <w:jc w:val="both"/>
      </w:pPr>
      <w:r w:rsidRPr="00C72886">
        <w:t>To sum up, the community antenatal midwifery (CAM) has transformed from an ad hoc service to a trained, universal NHS service. For women, continuity of carer is clearly beneficial with respect to their experience and the outcome of their birth. But staffing and unequal access restricts these benefits particularly for ethnic minority women. A better staffing and culturally-responsive care will be critical if every family is to truly benefit. A policy to ensure the retention of experienced midwives in their roles and to train new midwives is recommended for the future (Moncrieff et al., 2023).</w:t>
      </w:r>
    </w:p>
    <w:p w:rsidRPr="00C72886" w:rsidR="006C2D7E" w:rsidP="00C72886" w:rsidRDefault="006E6CDB" w14:paraId="16F64196" w14:textId="77777777">
      <w:pPr>
        <w:pStyle w:val="Heading2"/>
        <w:spacing w:line="360" w:lineRule="auto"/>
        <w:jc w:val="both"/>
        <w:rPr>
          <w:sz w:val="22"/>
          <w:szCs w:val="22"/>
        </w:rPr>
      </w:pPr>
      <w:r w:rsidRPr="00C72886">
        <w:rPr>
          <w:sz w:val="22"/>
          <w:szCs w:val="22"/>
        </w:rPr>
        <w:t>References</w:t>
      </w:r>
    </w:p>
    <w:p w:rsidRPr="00C72886" w:rsidR="006C2D7E" w:rsidP="00C72886" w:rsidRDefault="006E6CDB" w14:paraId="003EDAA2" w14:textId="77777777">
      <w:pPr>
        <w:spacing w:after="120" w:line="360" w:lineRule="auto"/>
        <w:ind w:left="567" w:hanging="567"/>
        <w:jc w:val="both"/>
      </w:pPr>
      <w:r w:rsidRPr="00C72886">
        <w:t>Health and Care Act 2022, c. 31.</w:t>
      </w:r>
    </w:p>
    <w:p w:rsidRPr="00C72886" w:rsidR="006C2D7E" w:rsidP="00C72886" w:rsidRDefault="006E6CDB" w14:paraId="065622BE" w14:textId="77777777">
      <w:pPr>
        <w:spacing w:after="120" w:line="360" w:lineRule="auto"/>
        <w:ind w:left="567" w:hanging="567"/>
        <w:jc w:val="both"/>
      </w:pPr>
      <w:r w:rsidRPr="00C72886">
        <w:t>Midwives Act 1902 (2 Edw. 7 c. 17).</w:t>
      </w:r>
    </w:p>
    <w:p w:rsidRPr="00C72886" w:rsidR="006C2D7E" w:rsidP="00C72886" w:rsidRDefault="006E6CDB" w14:paraId="317F74BE" w14:textId="77777777">
      <w:pPr>
        <w:spacing w:after="120" w:line="360" w:lineRule="auto"/>
        <w:ind w:left="567" w:hanging="567"/>
        <w:jc w:val="both"/>
      </w:pPr>
      <w:r w:rsidRPr="00C72886">
        <w:t>Midwives Act 1936 (26 Geo. 5 &amp; 1 Edw. 8 c. 40).</w:t>
      </w:r>
    </w:p>
    <w:p w:rsidRPr="00C72886" w:rsidR="006C2D7E" w:rsidP="00C72886" w:rsidRDefault="006E6CDB" w14:paraId="01AE7B33" w14:textId="77777777">
      <w:pPr>
        <w:spacing w:after="120" w:line="360" w:lineRule="auto"/>
        <w:ind w:left="567" w:hanging="567"/>
        <w:jc w:val="both"/>
      </w:pPr>
      <w:r w:rsidRPr="00C72886">
        <w:t xml:space="preserve">Moncrieff, G., Downe, S., Maxwell, M. and Cheyne, H. (2023) 'Mapping factors that may influence attrition and retention of midwives: a scoping review protocol', </w:t>
      </w:r>
      <w:r w:rsidRPr="00C72886">
        <w:rPr>
          <w:i/>
          <w:iCs/>
        </w:rPr>
        <w:t>BMJ Open</w:t>
      </w:r>
      <w:r w:rsidRPr="00C72886">
        <w:t>, 13(10), article e076686.</w:t>
      </w:r>
    </w:p>
    <w:p w:rsidRPr="00C72886" w:rsidR="006C2D7E" w:rsidP="00C72886" w:rsidRDefault="006E6CDB" w14:paraId="1DB8FC7A" w14:textId="77777777">
      <w:pPr>
        <w:spacing w:after="120" w:line="360" w:lineRule="auto"/>
        <w:ind w:left="567" w:hanging="567"/>
        <w:jc w:val="both"/>
      </w:pPr>
      <w:r w:rsidRPr="00C72886">
        <w:t>National Health Service Act 1946 (9 &amp; 10 Geo. 6 c. 81).</w:t>
      </w:r>
    </w:p>
    <w:p w:rsidRPr="00C72886" w:rsidR="006C2D7E" w:rsidP="00C72886" w:rsidRDefault="006E6CDB" w14:paraId="5CBAA535" w14:textId="77777777">
      <w:pPr>
        <w:spacing w:after="120" w:line="360" w:lineRule="auto"/>
        <w:ind w:left="567" w:hanging="567"/>
        <w:jc w:val="both"/>
      </w:pPr>
      <w:r w:rsidRPr="00C72886">
        <w:t xml:space="preserve">Sandall, J., Fernandez Turienzo, C., Devane, D., Soltani, H., Gillespie, P., Gates, S., Jones, L.V., Shennan, A.H. and Rayment-Jones, H. (2024) 'Midwife continuity of care models versus other models of care for childbearing women', </w:t>
      </w:r>
      <w:r w:rsidRPr="00C72886">
        <w:rPr>
          <w:i/>
          <w:iCs/>
        </w:rPr>
        <w:t>Cochrane Database of Systematic Reviews</w:t>
      </w:r>
      <w:r w:rsidRPr="00C72886">
        <w:t>, 4, CD004667.</w:t>
      </w:r>
    </w:p>
    <w:p w:rsidRPr="00C72886" w:rsidR="006C2D7E" w:rsidP="00C72886" w:rsidRDefault="006E6CDB" w14:paraId="7F60C305" w14:textId="77777777">
      <w:pPr>
        <w:spacing w:after="120" w:line="360" w:lineRule="auto"/>
        <w:ind w:left="567" w:hanging="567"/>
        <w:jc w:val="both"/>
      </w:pPr>
      <w:r w:rsidRPr="00C72886">
        <w:t xml:space="preserve">Sharma, E., Tseng, P.-C., Harden, A., Li, L. and Puthussery, S. (2023) 'Ethnic minority women's experiences of accessing antenatal care in high income European countries: a systematic review', </w:t>
      </w:r>
      <w:r w:rsidRPr="00C72886">
        <w:rPr>
          <w:i/>
          <w:iCs/>
        </w:rPr>
        <w:t>BMC Health Services Research</w:t>
      </w:r>
      <w:r w:rsidRPr="00C72886">
        <w:t>, 23. Available at: https://doi.org/10.1186/s12913-023-09536-y (Accessed: 29 September 2026).</w:t>
      </w:r>
    </w:p>
    <w:sectPr w:rsidRPr="00C72886" w:rsidR="006C2D7E">
      <w:footerReference w:type="default" r:id="rId7"/>
      <w:pgSz w:w="11906" w:h="16838" w:orient="portrait"/>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4E2D57" w:rsidRDefault="004E2D57" w14:paraId="306036A1" w14:textId="77777777">
      <w:r>
        <w:separator/>
      </w:r>
    </w:p>
  </w:endnote>
  <w:endnote w:type="continuationSeparator" w:id="0">
    <w:p w:rsidR="004E2D57" w:rsidRDefault="004E2D57" w14:paraId="41F2C15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6C2D7E" w:rsidRDefault="006E6CDB" w14:paraId="1C3AFB83" w14:textId="77777777">
    <w:pPr>
      <w:jc w:val="center"/>
    </w:pPr>
    <w:r>
      <w:rPr>
        <w:color w:val="777777"/>
        <w:sz w:val="16"/>
        <w:szCs w:val="16"/>
      </w:rPr>
      <w:t xml:space="preserve">Page </w:t>
    </w:r>
    <w:r>
      <w:rPr>
        <w:color w:val="777777"/>
        <w:sz w:val="16"/>
        <w:szCs w:val="16"/>
      </w:rPr>
      <w:fldChar w:fldCharType="begin"/>
    </w:r>
    <w:r>
      <w:rPr>
        <w:color w:val="777777"/>
        <w:sz w:val="16"/>
        <w:szCs w:val="16"/>
      </w:rPr>
      <w:instrText>PAGE</w:instrText>
    </w:r>
    <w:r>
      <w:rPr>
        <w:color w:val="777777"/>
        <w:sz w:val="16"/>
        <w:szCs w:val="16"/>
      </w:rPr>
      <w:fldChar w:fldCharType="separate"/>
    </w:r>
    <w:r w:rsidR="00285697">
      <w:rPr>
        <w:noProof/>
        <w:color w:val="777777"/>
        <w:sz w:val="16"/>
        <w:szCs w:val="16"/>
      </w:rPr>
      <w:t>1</w:t>
    </w:r>
    <w:r>
      <w:rPr>
        <w:color w:val="777777"/>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4E2D57" w:rsidRDefault="004E2D57" w14:paraId="14CCD677" w14:textId="77777777">
      <w:r>
        <w:separator/>
      </w:r>
    </w:p>
  </w:footnote>
  <w:footnote w:type="continuationSeparator" w:id="0">
    <w:p w:rsidR="004E2D57" w:rsidRDefault="004E2D57" w14:paraId="39E1D5A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C94258"/>
    <w:multiLevelType w:val="hybridMultilevel"/>
    <w:tmpl w:val="C06ED20E"/>
    <w:lvl w:ilvl="0" w:tplc="11F0914C">
      <w:start w:val="1"/>
      <w:numFmt w:val="decimal"/>
      <w:lvlText w:val="%1."/>
      <w:lvlJc w:val="left"/>
      <w:pPr>
        <w:ind w:left="720" w:hanging="360"/>
      </w:pPr>
    </w:lvl>
    <w:lvl w:ilvl="1" w:tplc="77F2E6AA">
      <w:numFmt w:val="decimal"/>
      <w:lvlText w:val=""/>
      <w:lvlJc w:val="left"/>
    </w:lvl>
    <w:lvl w:ilvl="2" w:tplc="9F8C5AC2">
      <w:numFmt w:val="decimal"/>
      <w:lvlText w:val=""/>
      <w:lvlJc w:val="left"/>
    </w:lvl>
    <w:lvl w:ilvl="3" w:tplc="57085B34">
      <w:numFmt w:val="decimal"/>
      <w:lvlText w:val=""/>
      <w:lvlJc w:val="left"/>
    </w:lvl>
    <w:lvl w:ilvl="4" w:tplc="643498DC">
      <w:numFmt w:val="decimal"/>
      <w:lvlText w:val=""/>
      <w:lvlJc w:val="left"/>
    </w:lvl>
    <w:lvl w:ilvl="5" w:tplc="C2A854A0">
      <w:numFmt w:val="decimal"/>
      <w:lvlText w:val=""/>
      <w:lvlJc w:val="left"/>
    </w:lvl>
    <w:lvl w:ilvl="6" w:tplc="0E3C95D2">
      <w:numFmt w:val="decimal"/>
      <w:lvlText w:val=""/>
      <w:lvlJc w:val="left"/>
    </w:lvl>
    <w:lvl w:ilvl="7" w:tplc="0FAC7E7E">
      <w:numFmt w:val="decimal"/>
      <w:lvlText w:val=""/>
      <w:lvlJc w:val="left"/>
    </w:lvl>
    <w:lvl w:ilvl="8" w:tplc="10BE93CC">
      <w:numFmt w:val="decimal"/>
      <w:lvlText w:val=""/>
      <w:lvlJc w:val="left"/>
    </w:lvl>
  </w:abstractNum>
  <w:abstractNum w:abstractNumId="1" w15:restartNumberingAfterBreak="0">
    <w:nsid w:val="2A90691E"/>
    <w:multiLevelType w:val="hybridMultilevel"/>
    <w:tmpl w:val="7068C086"/>
    <w:lvl w:ilvl="0" w:tplc="6FCAF482">
      <w:start w:val="1"/>
      <w:numFmt w:val="bullet"/>
      <w:lvlText w:val="-"/>
      <w:lvlJc w:val="left"/>
      <w:pPr>
        <w:ind w:left="720" w:hanging="360"/>
      </w:pPr>
      <w:rPr>
        <w:rFonts w:hint="default" w:ascii="Aptos" w:hAnsi="Aptos"/>
      </w:rPr>
    </w:lvl>
    <w:lvl w:ilvl="1" w:tplc="DABAC986">
      <w:start w:val="1"/>
      <w:numFmt w:val="bullet"/>
      <w:lvlText w:val="o"/>
      <w:lvlJc w:val="left"/>
      <w:pPr>
        <w:ind w:left="1440" w:hanging="360"/>
      </w:pPr>
      <w:rPr>
        <w:rFonts w:hint="default" w:ascii="Courier New" w:hAnsi="Courier New"/>
      </w:rPr>
    </w:lvl>
    <w:lvl w:ilvl="2" w:tplc="BECE824E">
      <w:start w:val="1"/>
      <w:numFmt w:val="bullet"/>
      <w:lvlText w:val=""/>
      <w:lvlJc w:val="left"/>
      <w:pPr>
        <w:ind w:left="2160" w:hanging="360"/>
      </w:pPr>
      <w:rPr>
        <w:rFonts w:hint="default" w:ascii="Wingdings" w:hAnsi="Wingdings"/>
      </w:rPr>
    </w:lvl>
    <w:lvl w:ilvl="3" w:tplc="53B00538">
      <w:start w:val="1"/>
      <w:numFmt w:val="bullet"/>
      <w:lvlText w:val=""/>
      <w:lvlJc w:val="left"/>
      <w:pPr>
        <w:ind w:left="2880" w:hanging="360"/>
      </w:pPr>
      <w:rPr>
        <w:rFonts w:hint="default" w:ascii="Symbol" w:hAnsi="Symbol"/>
      </w:rPr>
    </w:lvl>
    <w:lvl w:ilvl="4" w:tplc="A1E6676C">
      <w:start w:val="1"/>
      <w:numFmt w:val="bullet"/>
      <w:lvlText w:val="o"/>
      <w:lvlJc w:val="left"/>
      <w:pPr>
        <w:ind w:left="3600" w:hanging="360"/>
      </w:pPr>
      <w:rPr>
        <w:rFonts w:hint="default" w:ascii="Courier New" w:hAnsi="Courier New"/>
      </w:rPr>
    </w:lvl>
    <w:lvl w:ilvl="5" w:tplc="218A17A8">
      <w:start w:val="1"/>
      <w:numFmt w:val="bullet"/>
      <w:lvlText w:val=""/>
      <w:lvlJc w:val="left"/>
      <w:pPr>
        <w:ind w:left="4320" w:hanging="360"/>
      </w:pPr>
      <w:rPr>
        <w:rFonts w:hint="default" w:ascii="Wingdings" w:hAnsi="Wingdings"/>
      </w:rPr>
    </w:lvl>
    <w:lvl w:ilvl="6" w:tplc="F9108446">
      <w:start w:val="1"/>
      <w:numFmt w:val="bullet"/>
      <w:lvlText w:val=""/>
      <w:lvlJc w:val="left"/>
      <w:pPr>
        <w:ind w:left="5040" w:hanging="360"/>
      </w:pPr>
      <w:rPr>
        <w:rFonts w:hint="default" w:ascii="Symbol" w:hAnsi="Symbol"/>
      </w:rPr>
    </w:lvl>
    <w:lvl w:ilvl="7" w:tplc="F12E00C4">
      <w:start w:val="1"/>
      <w:numFmt w:val="bullet"/>
      <w:lvlText w:val="o"/>
      <w:lvlJc w:val="left"/>
      <w:pPr>
        <w:ind w:left="5760" w:hanging="360"/>
      </w:pPr>
      <w:rPr>
        <w:rFonts w:hint="default" w:ascii="Courier New" w:hAnsi="Courier New"/>
      </w:rPr>
    </w:lvl>
    <w:lvl w:ilvl="8" w:tplc="B44A05FE">
      <w:start w:val="1"/>
      <w:numFmt w:val="bullet"/>
      <w:lvlText w:val=""/>
      <w:lvlJc w:val="left"/>
      <w:pPr>
        <w:ind w:left="6480" w:hanging="360"/>
      </w:pPr>
      <w:rPr>
        <w:rFonts w:hint="default" w:ascii="Wingdings" w:hAnsi="Wingdings"/>
      </w:rPr>
    </w:lvl>
  </w:abstractNum>
  <w:abstractNum w:abstractNumId="2" w15:restartNumberingAfterBreak="0">
    <w:nsid w:val="36C43140"/>
    <w:multiLevelType w:val="hybridMultilevel"/>
    <w:tmpl w:val="2BE448CE"/>
    <w:lvl w:ilvl="0" w:tplc="89EECF7C">
      <w:start w:val="1"/>
      <w:numFmt w:val="bullet"/>
      <w:lvlText w:val="●"/>
      <w:lvlJc w:val="left"/>
      <w:pPr>
        <w:ind w:left="720" w:hanging="360"/>
      </w:pPr>
    </w:lvl>
    <w:lvl w:ilvl="1" w:tplc="668C914E">
      <w:start w:val="1"/>
      <w:numFmt w:val="bullet"/>
      <w:lvlText w:val="○"/>
      <w:lvlJc w:val="left"/>
      <w:pPr>
        <w:ind w:left="1440" w:hanging="360"/>
      </w:pPr>
    </w:lvl>
    <w:lvl w:ilvl="2" w:tplc="FF9A5B70">
      <w:start w:val="1"/>
      <w:numFmt w:val="bullet"/>
      <w:lvlText w:val="■"/>
      <w:lvlJc w:val="left"/>
      <w:pPr>
        <w:ind w:left="2160" w:hanging="360"/>
      </w:pPr>
    </w:lvl>
    <w:lvl w:ilvl="3" w:tplc="3BC6655A">
      <w:start w:val="1"/>
      <w:numFmt w:val="bullet"/>
      <w:lvlText w:val="●"/>
      <w:lvlJc w:val="left"/>
      <w:pPr>
        <w:ind w:left="2880" w:hanging="360"/>
      </w:pPr>
    </w:lvl>
    <w:lvl w:ilvl="4" w:tplc="861C484C">
      <w:start w:val="1"/>
      <w:numFmt w:val="bullet"/>
      <w:lvlText w:val="○"/>
      <w:lvlJc w:val="left"/>
      <w:pPr>
        <w:ind w:left="3600" w:hanging="360"/>
      </w:pPr>
    </w:lvl>
    <w:lvl w:ilvl="5" w:tplc="1B2A9782">
      <w:start w:val="1"/>
      <w:numFmt w:val="bullet"/>
      <w:lvlText w:val="■"/>
      <w:lvlJc w:val="left"/>
      <w:pPr>
        <w:ind w:left="4320" w:hanging="360"/>
      </w:pPr>
    </w:lvl>
    <w:lvl w:ilvl="6" w:tplc="F51CC880">
      <w:start w:val="1"/>
      <w:numFmt w:val="bullet"/>
      <w:lvlText w:val="●"/>
      <w:lvlJc w:val="left"/>
      <w:pPr>
        <w:ind w:left="5040" w:hanging="360"/>
      </w:pPr>
    </w:lvl>
    <w:lvl w:ilvl="7" w:tplc="66787DC8">
      <w:start w:val="1"/>
      <w:numFmt w:val="bullet"/>
      <w:lvlText w:val="●"/>
      <w:lvlJc w:val="left"/>
      <w:pPr>
        <w:ind w:left="5760" w:hanging="360"/>
      </w:pPr>
    </w:lvl>
    <w:lvl w:ilvl="8" w:tplc="C52CBD8C">
      <w:start w:val="1"/>
      <w:numFmt w:val="bullet"/>
      <w:lvlText w:val="●"/>
      <w:lvlJc w:val="left"/>
      <w:pPr>
        <w:ind w:left="6480" w:hanging="360"/>
      </w:pPr>
    </w:lvl>
  </w:abstractNum>
  <w:abstractNum w:abstractNumId="3" w15:restartNumberingAfterBreak="0">
    <w:nsid w:val="3D35551F"/>
    <w:multiLevelType w:val="hybridMultilevel"/>
    <w:tmpl w:val="90627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5229781">
    <w:abstractNumId w:val="2"/>
    <w:lvlOverride w:ilvl="0">
      <w:startOverride w:val="1"/>
    </w:lvlOverride>
  </w:num>
  <w:num w:numId="2" w16cid:durableId="1183205851">
    <w:abstractNumId w:val="0"/>
    <w:lvlOverride w:ilvl="0">
      <w:startOverride w:val="1"/>
    </w:lvlOverride>
  </w:num>
  <w:num w:numId="3" w16cid:durableId="731585817">
    <w:abstractNumId w:val="1"/>
  </w:num>
  <w:num w:numId="4" w16cid:durableId="457601262">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displayBackgroundShape/>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D7E"/>
    <w:rsid w:val="00285697"/>
    <w:rsid w:val="004E2D57"/>
    <w:rsid w:val="006610D5"/>
    <w:rsid w:val="006C2D7E"/>
    <w:rsid w:val="006E6CDB"/>
    <w:rsid w:val="00880D0B"/>
    <w:rsid w:val="008B0113"/>
    <w:rsid w:val="00C72886"/>
    <w:rsid w:val="09C058B7"/>
    <w:rsid w:val="109D4586"/>
    <w:rsid w:val="2A28A34B"/>
    <w:rsid w:val="4F115BCB"/>
    <w:rsid w:val="4FA49AA9"/>
    <w:rsid w:val="5F00ECCF"/>
    <w:rsid w:val="6842654B"/>
    <w:rsid w:val="69B38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F991"/>
  <w15:docId w15:val="{C56F88E3-1E7D-45AB-8504-8BBAFE95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hAnsi="Arial" w:eastAsia="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spacing w:before="240" w:after="120"/>
      <w:outlineLvl w:val="0"/>
    </w:pPr>
    <w:rPr>
      <w:b/>
      <w:bCs/>
      <w:color w:val="1F3A5F"/>
      <w:sz w:val="26"/>
      <w:szCs w:val="26"/>
    </w:rPr>
  </w:style>
  <w:style w:type="paragraph" w:styleId="Heading2">
    <w:name w:val="heading 2"/>
    <w:uiPriority w:val="9"/>
    <w:unhideWhenUsed/>
    <w:qFormat/>
    <w:pPr>
      <w:spacing w:before="200" w:after="100"/>
      <w:outlineLvl w:val="1"/>
    </w:pPr>
    <w:rPr>
      <w:b/>
      <w:bCs/>
      <w:color w:val="2A6F97"/>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styleId="EndnoteTextChar" w:customStyle="1">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Un-named</dc:creator>
  <lastModifiedBy>Sabrina Begum (2522576)</lastModifiedBy>
  <revision>3</revision>
  <dcterms:created xsi:type="dcterms:W3CDTF">2026-10-12T10:10:00.0000000Z</dcterms:created>
  <dcterms:modified xsi:type="dcterms:W3CDTF">2026-10-12T10:22:56.6502111Z</dcterms:modified>
</coreProperties>
</file>