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FF108C" w14:textId="77777777" w:rsidR="005201E6" w:rsidRPr="005B2427" w:rsidRDefault="005201E6" w:rsidP="005201E6">
      <w:pPr>
        <w:spacing w:line="360" w:lineRule="auto"/>
        <w:jc w:val="both"/>
        <w:rPr>
          <w:rFonts w:ascii="Arial" w:hAnsi="Arial" w:cs="Arial"/>
          <w:b/>
          <w:bCs/>
        </w:rPr>
      </w:pPr>
    </w:p>
    <w:p w14:paraId="3254E8F1" w14:textId="77777777" w:rsidR="005201E6" w:rsidRPr="005B2427" w:rsidRDefault="005201E6" w:rsidP="005201E6">
      <w:pPr>
        <w:spacing w:line="360" w:lineRule="auto"/>
        <w:jc w:val="center"/>
        <w:rPr>
          <w:rFonts w:ascii="Arial" w:hAnsi="Arial" w:cs="Arial"/>
          <w:b/>
          <w:bCs/>
        </w:rPr>
      </w:pPr>
    </w:p>
    <w:p w14:paraId="4D29A1D1" w14:textId="77777777" w:rsidR="005201E6" w:rsidRPr="005B2427" w:rsidRDefault="005201E6" w:rsidP="005201E6">
      <w:pPr>
        <w:spacing w:line="360" w:lineRule="auto"/>
        <w:jc w:val="center"/>
        <w:rPr>
          <w:rFonts w:ascii="Arial" w:hAnsi="Arial" w:cs="Arial"/>
          <w:b/>
          <w:bCs/>
        </w:rPr>
      </w:pPr>
    </w:p>
    <w:p w14:paraId="7A0FEE44" w14:textId="77777777" w:rsidR="005201E6" w:rsidRPr="005B2427" w:rsidRDefault="005201E6" w:rsidP="005201E6">
      <w:pPr>
        <w:spacing w:line="360" w:lineRule="auto"/>
        <w:jc w:val="center"/>
        <w:rPr>
          <w:rFonts w:ascii="Arial" w:hAnsi="Arial" w:cs="Arial"/>
          <w:b/>
          <w:bCs/>
        </w:rPr>
      </w:pPr>
    </w:p>
    <w:p w14:paraId="0FFC5822" w14:textId="66748D61" w:rsidR="005201E6" w:rsidRPr="005B2427" w:rsidRDefault="009344D8" w:rsidP="005201E6">
      <w:pPr>
        <w:spacing w:line="360" w:lineRule="auto"/>
        <w:jc w:val="center"/>
        <w:rPr>
          <w:rFonts w:ascii="Arial" w:hAnsi="Arial" w:cs="Arial"/>
          <w:b/>
          <w:bCs/>
        </w:rPr>
      </w:pPr>
      <w:r>
        <w:rPr>
          <w:rFonts w:ascii="Arial" w:hAnsi="Arial" w:cs="Arial"/>
          <w:b/>
          <w:bCs/>
        </w:rPr>
        <w:t>BMIH6003</w:t>
      </w:r>
    </w:p>
    <w:p w14:paraId="1884FAAE" w14:textId="77777777" w:rsidR="005201E6" w:rsidRPr="005B2427" w:rsidRDefault="005201E6" w:rsidP="005201E6">
      <w:pPr>
        <w:spacing w:line="360" w:lineRule="auto"/>
        <w:jc w:val="center"/>
        <w:rPr>
          <w:rFonts w:ascii="Arial" w:hAnsi="Arial" w:cs="Arial"/>
          <w:b/>
          <w:bCs/>
        </w:rPr>
      </w:pPr>
    </w:p>
    <w:p w14:paraId="02ADB25B" w14:textId="49569316" w:rsidR="005201E6" w:rsidRPr="005B2427" w:rsidRDefault="009344D8" w:rsidP="005201E6">
      <w:pPr>
        <w:spacing w:line="360" w:lineRule="auto"/>
        <w:jc w:val="center"/>
        <w:rPr>
          <w:rFonts w:ascii="Arial" w:hAnsi="Arial" w:cs="Arial"/>
          <w:b/>
          <w:bCs/>
        </w:rPr>
      </w:pPr>
      <w:r>
        <w:rPr>
          <w:rFonts w:ascii="Arial" w:hAnsi="Arial" w:cs="Arial"/>
          <w:b/>
          <w:bCs/>
        </w:rPr>
        <w:tab/>
        <w:t>Managing Guest Service Operations</w:t>
      </w:r>
    </w:p>
    <w:p w14:paraId="5C9FF1FF" w14:textId="19558784" w:rsidR="005201E6" w:rsidRDefault="005201E6" w:rsidP="005201E6">
      <w:pPr>
        <w:spacing w:line="360" w:lineRule="auto"/>
        <w:jc w:val="center"/>
        <w:rPr>
          <w:rFonts w:ascii="Arial" w:hAnsi="Arial" w:cs="Arial"/>
          <w:b/>
          <w:bCs/>
        </w:rPr>
      </w:pPr>
      <w:r w:rsidRPr="005B2427">
        <w:rPr>
          <w:rFonts w:ascii="Arial" w:hAnsi="Arial" w:cs="Arial"/>
          <w:b/>
          <w:bCs/>
        </w:rPr>
        <w:t>Ibis Styles Barnsley</w:t>
      </w:r>
    </w:p>
    <w:p w14:paraId="013C823D" w14:textId="77777777" w:rsidR="009344D8" w:rsidRPr="005B2427" w:rsidRDefault="009344D8" w:rsidP="005201E6">
      <w:pPr>
        <w:spacing w:line="360" w:lineRule="auto"/>
        <w:jc w:val="center"/>
        <w:rPr>
          <w:rFonts w:ascii="Arial" w:hAnsi="Arial" w:cs="Arial"/>
        </w:rPr>
      </w:pPr>
    </w:p>
    <w:p w14:paraId="7F13B288" w14:textId="4091A041" w:rsidR="005201E6" w:rsidRPr="005B2427" w:rsidRDefault="005201E6" w:rsidP="005201E6">
      <w:pPr>
        <w:spacing w:line="360" w:lineRule="auto"/>
        <w:jc w:val="center"/>
        <w:rPr>
          <w:rFonts w:ascii="Arial" w:hAnsi="Arial" w:cs="Arial"/>
          <w:b/>
          <w:bCs/>
        </w:rPr>
      </w:pPr>
    </w:p>
    <w:p w14:paraId="2DBDBC8D" w14:textId="62F72604" w:rsidR="005201E6" w:rsidRPr="005B2427" w:rsidRDefault="005201E6" w:rsidP="005201E6">
      <w:pPr>
        <w:spacing w:line="360" w:lineRule="auto"/>
        <w:jc w:val="center"/>
        <w:rPr>
          <w:rFonts w:ascii="Arial" w:hAnsi="Arial" w:cs="Arial"/>
          <w:b/>
          <w:bCs/>
        </w:rPr>
      </w:pPr>
    </w:p>
    <w:p w14:paraId="3E7A5B84" w14:textId="7715BEA7" w:rsidR="005201E6" w:rsidRPr="005B2427" w:rsidRDefault="005201E6" w:rsidP="005201E6">
      <w:pPr>
        <w:spacing w:line="360" w:lineRule="auto"/>
        <w:jc w:val="center"/>
        <w:rPr>
          <w:rFonts w:ascii="Arial" w:hAnsi="Arial" w:cs="Arial"/>
          <w:b/>
          <w:bCs/>
        </w:rPr>
      </w:pPr>
    </w:p>
    <w:p w14:paraId="183FF57F" w14:textId="326186A3" w:rsidR="005201E6" w:rsidRPr="005B2427" w:rsidRDefault="005201E6" w:rsidP="005201E6">
      <w:pPr>
        <w:spacing w:line="360" w:lineRule="auto"/>
        <w:rPr>
          <w:rFonts w:ascii="Arial" w:hAnsi="Arial" w:cs="Arial"/>
          <w:b/>
          <w:bCs/>
        </w:rPr>
      </w:pPr>
      <w:r w:rsidRPr="005B2427">
        <w:rPr>
          <w:rFonts w:ascii="Arial" w:hAnsi="Arial" w:cs="Arial"/>
          <w:b/>
          <w:bCs/>
        </w:rPr>
        <w:t xml:space="preserve">Student name: </w:t>
      </w:r>
      <w:proofErr w:type="spellStart"/>
      <w:r w:rsidRPr="005B2427">
        <w:rPr>
          <w:rFonts w:ascii="Arial" w:hAnsi="Arial" w:cs="Arial"/>
          <w:b/>
          <w:bCs/>
        </w:rPr>
        <w:t>Nisipeanu</w:t>
      </w:r>
      <w:proofErr w:type="spellEnd"/>
      <w:r w:rsidRPr="005B2427">
        <w:rPr>
          <w:rFonts w:ascii="Arial" w:hAnsi="Arial" w:cs="Arial"/>
          <w:b/>
          <w:bCs/>
        </w:rPr>
        <w:t xml:space="preserve"> </w:t>
      </w:r>
      <w:proofErr w:type="spellStart"/>
      <w:r w:rsidRPr="005B2427">
        <w:rPr>
          <w:rFonts w:ascii="Arial" w:hAnsi="Arial" w:cs="Arial"/>
          <w:b/>
          <w:bCs/>
        </w:rPr>
        <w:t>Denisa</w:t>
      </w:r>
      <w:proofErr w:type="spellEnd"/>
      <w:r w:rsidRPr="005B2427">
        <w:rPr>
          <w:rFonts w:ascii="Arial" w:hAnsi="Arial" w:cs="Arial"/>
          <w:b/>
          <w:bCs/>
        </w:rPr>
        <w:t xml:space="preserve"> Elena</w:t>
      </w:r>
    </w:p>
    <w:p w14:paraId="6276DFEC" w14:textId="029D0785" w:rsidR="005201E6" w:rsidRPr="005B2427" w:rsidRDefault="004A3ACB" w:rsidP="005201E6">
      <w:pPr>
        <w:spacing w:line="360" w:lineRule="auto"/>
        <w:rPr>
          <w:rFonts w:ascii="Arial" w:hAnsi="Arial" w:cs="Arial"/>
          <w:b/>
          <w:bCs/>
        </w:rPr>
      </w:pPr>
      <w:r w:rsidRPr="005B2427">
        <w:rPr>
          <w:rFonts w:ascii="Arial" w:hAnsi="Arial" w:cs="Arial"/>
          <w:b/>
          <w:bCs/>
        </w:rPr>
        <w:t xml:space="preserve">ID: </w:t>
      </w:r>
      <w:r w:rsidR="005201E6" w:rsidRPr="005B2427">
        <w:rPr>
          <w:rFonts w:ascii="Arial" w:hAnsi="Arial" w:cs="Arial"/>
          <w:b/>
          <w:bCs/>
        </w:rPr>
        <w:t>2234127</w:t>
      </w:r>
    </w:p>
    <w:p w14:paraId="53AF0E72" w14:textId="7DCA0BD8" w:rsidR="005201E6" w:rsidRPr="005B2427" w:rsidRDefault="005201E6" w:rsidP="005201E6">
      <w:pPr>
        <w:spacing w:line="360" w:lineRule="auto"/>
        <w:rPr>
          <w:rFonts w:ascii="Arial" w:hAnsi="Arial" w:cs="Arial"/>
          <w:b/>
          <w:bCs/>
        </w:rPr>
      </w:pPr>
    </w:p>
    <w:p w14:paraId="4B3554E7" w14:textId="58071070" w:rsidR="005201E6" w:rsidRPr="005B2427" w:rsidRDefault="005201E6" w:rsidP="005201E6">
      <w:pPr>
        <w:spacing w:line="360" w:lineRule="auto"/>
        <w:rPr>
          <w:rFonts w:ascii="Arial" w:hAnsi="Arial" w:cs="Arial"/>
          <w:b/>
          <w:bCs/>
        </w:rPr>
      </w:pPr>
    </w:p>
    <w:p w14:paraId="220E6F75" w14:textId="1ED69C05" w:rsidR="005201E6" w:rsidRPr="005B2427" w:rsidRDefault="005201E6" w:rsidP="005201E6">
      <w:pPr>
        <w:spacing w:line="360" w:lineRule="auto"/>
        <w:rPr>
          <w:rFonts w:ascii="Arial" w:hAnsi="Arial" w:cs="Arial"/>
          <w:b/>
          <w:bCs/>
        </w:rPr>
      </w:pPr>
    </w:p>
    <w:p w14:paraId="6E387546" w14:textId="77777777" w:rsidR="005201E6" w:rsidRPr="005B2427" w:rsidRDefault="005201E6" w:rsidP="005201E6">
      <w:pPr>
        <w:spacing w:line="360" w:lineRule="auto"/>
        <w:jc w:val="right"/>
        <w:rPr>
          <w:rFonts w:ascii="Arial" w:hAnsi="Arial" w:cs="Arial"/>
          <w:b/>
          <w:bCs/>
        </w:rPr>
      </w:pPr>
      <w:r w:rsidRPr="005B2427">
        <w:rPr>
          <w:rFonts w:ascii="Arial" w:hAnsi="Arial" w:cs="Arial"/>
          <w:b/>
          <w:bCs/>
        </w:rPr>
        <w:t xml:space="preserve">Lecturer name: </w:t>
      </w:r>
    </w:p>
    <w:p w14:paraId="2A2C2E5B" w14:textId="3239CB49" w:rsidR="005201E6" w:rsidRPr="005B2427" w:rsidRDefault="005201E6" w:rsidP="005201E6">
      <w:pPr>
        <w:spacing w:line="360" w:lineRule="auto"/>
        <w:jc w:val="right"/>
        <w:rPr>
          <w:rFonts w:ascii="Arial" w:hAnsi="Arial" w:cs="Arial"/>
          <w:b/>
          <w:bCs/>
        </w:rPr>
      </w:pPr>
      <w:r w:rsidRPr="005B2427">
        <w:rPr>
          <w:rFonts w:ascii="Arial" w:hAnsi="Arial" w:cs="Arial"/>
          <w:b/>
          <w:bCs/>
        </w:rPr>
        <w:t>Kathryn Roberts</w:t>
      </w:r>
    </w:p>
    <w:p w14:paraId="31B4F5A8" w14:textId="77777777" w:rsidR="005201E6" w:rsidRPr="005B2427" w:rsidRDefault="005201E6" w:rsidP="005201E6">
      <w:pPr>
        <w:spacing w:line="360" w:lineRule="auto"/>
        <w:jc w:val="both"/>
        <w:rPr>
          <w:rFonts w:ascii="Arial" w:hAnsi="Arial" w:cs="Arial"/>
          <w:b/>
          <w:bCs/>
        </w:rPr>
      </w:pPr>
    </w:p>
    <w:p w14:paraId="0640F764" w14:textId="77777777" w:rsidR="005201E6" w:rsidRPr="005B2427" w:rsidRDefault="005201E6" w:rsidP="005201E6">
      <w:pPr>
        <w:spacing w:line="360" w:lineRule="auto"/>
        <w:jc w:val="both"/>
        <w:rPr>
          <w:rFonts w:ascii="Arial" w:hAnsi="Arial" w:cs="Arial"/>
          <w:b/>
          <w:bCs/>
        </w:rPr>
      </w:pPr>
    </w:p>
    <w:p w14:paraId="5556E13D" w14:textId="77777777" w:rsidR="005201E6" w:rsidRPr="005B2427" w:rsidRDefault="005201E6" w:rsidP="005201E6">
      <w:pPr>
        <w:spacing w:line="360" w:lineRule="auto"/>
        <w:jc w:val="both"/>
        <w:rPr>
          <w:rFonts w:ascii="Arial" w:hAnsi="Arial" w:cs="Arial"/>
          <w:b/>
          <w:bCs/>
        </w:rPr>
      </w:pPr>
    </w:p>
    <w:p w14:paraId="36812F3B" w14:textId="77777777" w:rsidR="009344D8" w:rsidRDefault="009344D8" w:rsidP="005B2427">
      <w:pPr>
        <w:spacing w:line="360" w:lineRule="auto"/>
        <w:jc w:val="both"/>
        <w:rPr>
          <w:rFonts w:ascii="Arial" w:hAnsi="Arial" w:cs="Arial"/>
          <w:b/>
          <w:bCs/>
        </w:rPr>
      </w:pPr>
    </w:p>
    <w:p w14:paraId="5F7E4319" w14:textId="2060A406" w:rsidR="005B2427" w:rsidRPr="005B2427" w:rsidRDefault="005B2427" w:rsidP="005B2427">
      <w:pPr>
        <w:spacing w:line="360" w:lineRule="auto"/>
        <w:jc w:val="both"/>
        <w:rPr>
          <w:rFonts w:ascii="Arial" w:hAnsi="Arial" w:cs="Arial"/>
          <w:b/>
          <w:bCs/>
        </w:rPr>
      </w:pPr>
      <w:r w:rsidRPr="005B2427">
        <w:rPr>
          <w:rFonts w:ascii="Arial" w:hAnsi="Arial" w:cs="Arial"/>
          <w:b/>
          <w:bCs/>
        </w:rPr>
        <w:lastRenderedPageBreak/>
        <w:t xml:space="preserve">Learning Log </w:t>
      </w:r>
    </w:p>
    <w:p w14:paraId="09E10B0C" w14:textId="77777777" w:rsidR="005B2427" w:rsidRPr="005B2427" w:rsidRDefault="005B2427" w:rsidP="005B2427">
      <w:pPr>
        <w:spacing w:line="360" w:lineRule="auto"/>
        <w:jc w:val="both"/>
        <w:rPr>
          <w:rFonts w:ascii="Arial" w:hAnsi="Arial" w:cs="Arial"/>
          <w:b/>
          <w:bCs/>
        </w:rPr>
      </w:pPr>
      <w:r w:rsidRPr="005B2427">
        <w:rPr>
          <w:rFonts w:ascii="Arial" w:hAnsi="Arial" w:cs="Arial"/>
          <w:b/>
          <w:bCs/>
        </w:rPr>
        <w:t>Housekeeping, Ibis Styles Barnsley</w:t>
      </w:r>
    </w:p>
    <w:p w14:paraId="19719398" w14:textId="77777777" w:rsidR="005B2427" w:rsidRPr="005B2427" w:rsidRDefault="005B2427" w:rsidP="005B2427">
      <w:pPr>
        <w:spacing w:line="360" w:lineRule="auto"/>
        <w:jc w:val="both"/>
        <w:rPr>
          <w:rFonts w:ascii="Arial" w:hAnsi="Arial" w:cs="Arial"/>
        </w:rPr>
      </w:pPr>
      <w:r w:rsidRPr="005B2427">
        <w:rPr>
          <w:rFonts w:ascii="Arial" w:hAnsi="Arial" w:cs="Arial"/>
          <w:b/>
          <w:bCs/>
        </w:rPr>
        <w:t>Lens:</w:t>
      </w:r>
      <w:r w:rsidRPr="005B2427">
        <w:rPr>
          <w:rFonts w:ascii="Arial" w:hAnsi="Arial" w:cs="Arial"/>
        </w:rPr>
        <w:t xml:space="preserve"> Management style and guest service (Level 5 MOB)</w:t>
      </w:r>
    </w:p>
    <w:p w14:paraId="3537E597" w14:textId="77777777" w:rsidR="005B2427" w:rsidRPr="005B2427" w:rsidRDefault="005B2427" w:rsidP="005B2427">
      <w:pPr>
        <w:spacing w:line="360" w:lineRule="auto"/>
        <w:jc w:val="both"/>
        <w:rPr>
          <w:rFonts w:ascii="Arial" w:hAnsi="Arial" w:cs="Arial"/>
        </w:rPr>
      </w:pPr>
      <w:r w:rsidRPr="005B2427">
        <w:rPr>
          <w:rFonts w:ascii="Arial" w:hAnsi="Arial" w:cs="Arial"/>
          <w:b/>
          <w:bCs/>
        </w:rPr>
        <w:t>Model:</w:t>
      </w:r>
      <w:r w:rsidRPr="005B2427">
        <w:rPr>
          <w:rFonts w:ascii="Arial" w:hAnsi="Arial" w:cs="Arial"/>
        </w:rPr>
        <w:t xml:space="preserve"> Kolb’s experiential learning cycle</w:t>
      </w:r>
    </w:p>
    <w:p w14:paraId="3C6FB49D" w14:textId="77777777" w:rsidR="005B2427" w:rsidRPr="005B2427" w:rsidRDefault="005B2427" w:rsidP="005B2427">
      <w:pPr>
        <w:spacing w:line="360" w:lineRule="auto"/>
        <w:jc w:val="both"/>
        <w:rPr>
          <w:rFonts w:ascii="Arial" w:hAnsi="Arial" w:cs="Arial"/>
          <w:b/>
          <w:bCs/>
        </w:rPr>
      </w:pPr>
      <w:r w:rsidRPr="005B2427">
        <w:rPr>
          <w:rFonts w:ascii="Arial" w:hAnsi="Arial" w:cs="Arial"/>
          <w:b/>
          <w:bCs/>
        </w:rPr>
        <w:t>Introduction</w:t>
      </w:r>
    </w:p>
    <w:p w14:paraId="2470ADF3" w14:textId="77777777" w:rsidR="005B2427" w:rsidRPr="005B2427" w:rsidRDefault="005B2427" w:rsidP="005B2427">
      <w:pPr>
        <w:spacing w:line="360" w:lineRule="auto"/>
        <w:jc w:val="both"/>
        <w:rPr>
          <w:rFonts w:ascii="Arial" w:hAnsi="Arial" w:cs="Arial"/>
        </w:rPr>
      </w:pPr>
      <w:r w:rsidRPr="005B2427">
        <w:rPr>
          <w:rFonts w:ascii="Arial" w:hAnsi="Arial" w:cs="Arial"/>
        </w:rPr>
        <w:t xml:space="preserve">What follows looks at Housekeeping at </w:t>
      </w:r>
      <w:r w:rsidRPr="005B2427">
        <w:rPr>
          <w:rFonts w:ascii="Arial" w:hAnsi="Arial" w:cs="Arial"/>
          <w:b/>
          <w:bCs/>
        </w:rPr>
        <w:t>Ibis Styles Barnsley</w:t>
      </w:r>
      <w:r w:rsidRPr="005B2427">
        <w:rPr>
          <w:rFonts w:ascii="Arial" w:hAnsi="Arial" w:cs="Arial"/>
        </w:rPr>
        <w:t xml:space="preserve"> during my Level 6 placement. The department operated with a contracted provider supplying room attendants, a head housekeeper, and supervisory coverage, while the hotel retained a compact in-house maintenance function that logged corrective and preventative tasks digitally. Day-to-day coordination between the hotel’s general management and the contractor’s supervisor set the rhythm for room allocation, inspection, and room release. In practice, the work was steady in the early hours and exacting at departure peaks. Management style mattered because it set tone, speed, and clarity, and those three elements showed directly in guest-ready rooms and response to faults. The module frame on leadership, teams, structure, and change helped me name what I experienced and, more importantly, decide what to do next (MOB Week 2). </w:t>
      </w:r>
    </w:p>
    <w:p w14:paraId="11CDFEA0" w14:textId="77777777" w:rsidR="005B2427" w:rsidRPr="005B2427" w:rsidRDefault="005B2427" w:rsidP="005B2427">
      <w:pPr>
        <w:spacing w:line="360" w:lineRule="auto"/>
        <w:jc w:val="both"/>
        <w:rPr>
          <w:rFonts w:ascii="Arial" w:hAnsi="Arial" w:cs="Arial"/>
          <w:b/>
          <w:bCs/>
        </w:rPr>
      </w:pPr>
      <w:r w:rsidRPr="005B2427">
        <w:rPr>
          <w:rFonts w:ascii="Arial" w:hAnsi="Arial" w:cs="Arial"/>
          <w:b/>
          <w:bCs/>
        </w:rPr>
        <w:t>Kolb 1 - Concrete experience</w:t>
      </w:r>
    </w:p>
    <w:p w14:paraId="26ADEE35" w14:textId="77777777" w:rsidR="005B2427" w:rsidRPr="005B2427" w:rsidRDefault="005B2427" w:rsidP="005B2427">
      <w:pPr>
        <w:spacing w:line="360" w:lineRule="auto"/>
        <w:jc w:val="both"/>
        <w:rPr>
          <w:rFonts w:ascii="Arial" w:hAnsi="Arial" w:cs="Arial"/>
        </w:rPr>
      </w:pPr>
      <w:r w:rsidRPr="005B2427">
        <w:rPr>
          <w:rFonts w:ascii="Arial" w:hAnsi="Arial" w:cs="Arial"/>
        </w:rPr>
        <w:t>Two scenes shaped my view of management and guest service.</w:t>
      </w:r>
    </w:p>
    <w:p w14:paraId="799835ED" w14:textId="77777777" w:rsidR="005B2427" w:rsidRPr="005B2427" w:rsidRDefault="005B2427" w:rsidP="005B2427">
      <w:pPr>
        <w:spacing w:line="360" w:lineRule="auto"/>
        <w:jc w:val="both"/>
        <w:rPr>
          <w:rFonts w:ascii="Arial" w:hAnsi="Arial" w:cs="Arial"/>
        </w:rPr>
      </w:pPr>
      <w:r w:rsidRPr="005B2427">
        <w:rPr>
          <w:rFonts w:ascii="Arial" w:hAnsi="Arial" w:cs="Arial"/>
        </w:rPr>
        <w:t>First, a facilities incident: a guest reported water on the ground-floor bathroom tiles. Front office placed an “out of order” sign, maintenance attended immediately, traced a failed gasket, completed the repair, and logged the intervention. The sequence was orderly, communications were precise, and responsibility was visible end-to-end. Guests were protected from inconvenience and the facility returned to service quickly.</w:t>
      </w:r>
    </w:p>
    <w:p w14:paraId="4802C672" w14:textId="77777777" w:rsidR="005B2427" w:rsidRDefault="005B2427" w:rsidP="005B2427">
      <w:pPr>
        <w:spacing w:line="360" w:lineRule="auto"/>
        <w:jc w:val="both"/>
        <w:rPr>
          <w:rFonts w:ascii="Arial" w:hAnsi="Arial" w:cs="Arial"/>
        </w:rPr>
      </w:pPr>
      <w:r w:rsidRPr="005B2427">
        <w:rPr>
          <w:rFonts w:ascii="Arial" w:hAnsi="Arial" w:cs="Arial"/>
        </w:rPr>
        <w:t>Second, the routine that decides standards: post-clean inspections. I accompanied the housekeeping coordinator to check rooms marked as clean, testing for overlooked dust on edges, smears on mirrors, correct bin liners, precise bed finish, and amenity placement. The inspection itself was calm and methodical.</w:t>
      </w:r>
    </w:p>
    <w:p w14:paraId="5F59BAA9" w14:textId="40CE5E41" w:rsidR="005B2427" w:rsidRPr="005B2427" w:rsidRDefault="005B2427" w:rsidP="005B2427">
      <w:pPr>
        <w:spacing w:line="360" w:lineRule="auto"/>
        <w:jc w:val="both"/>
        <w:rPr>
          <w:rFonts w:ascii="Arial" w:hAnsi="Arial" w:cs="Arial"/>
        </w:rPr>
      </w:pPr>
      <w:r w:rsidRPr="005B2427">
        <w:rPr>
          <w:rFonts w:ascii="Arial" w:hAnsi="Arial" w:cs="Arial"/>
        </w:rPr>
        <w:lastRenderedPageBreak/>
        <w:t xml:space="preserve"> At peak times, however, leadership attention moved across multiple requests, and the inspection round compressed. This is where style counts most.</w:t>
      </w:r>
    </w:p>
    <w:p w14:paraId="105ABF16" w14:textId="77777777" w:rsidR="005B2427" w:rsidRPr="005B2427" w:rsidRDefault="005B2427" w:rsidP="005B2427">
      <w:pPr>
        <w:spacing w:line="360" w:lineRule="auto"/>
        <w:jc w:val="both"/>
        <w:rPr>
          <w:rFonts w:ascii="Arial" w:hAnsi="Arial" w:cs="Arial"/>
          <w:b/>
          <w:bCs/>
        </w:rPr>
      </w:pPr>
      <w:r w:rsidRPr="005B2427">
        <w:rPr>
          <w:rFonts w:ascii="Arial" w:hAnsi="Arial" w:cs="Arial"/>
          <w:b/>
          <w:bCs/>
        </w:rPr>
        <w:t>Kolb 2 - Reflective observation</w:t>
      </w:r>
    </w:p>
    <w:p w14:paraId="046172BB" w14:textId="77777777" w:rsidR="005B2427" w:rsidRPr="005B2427" w:rsidRDefault="005B2427" w:rsidP="005B2427">
      <w:pPr>
        <w:spacing w:line="360" w:lineRule="auto"/>
        <w:jc w:val="both"/>
        <w:rPr>
          <w:rFonts w:ascii="Arial" w:hAnsi="Arial" w:cs="Arial"/>
        </w:rPr>
      </w:pPr>
      <w:r w:rsidRPr="005B2427">
        <w:rPr>
          <w:rFonts w:ascii="Arial" w:hAnsi="Arial" w:cs="Arial"/>
        </w:rPr>
        <w:t>I noticed how small choices from the person in charge altered the department’s confidence. When the supervisor opened the day with specific allocations and one clear expectation for inspections, attendants moved with fewer interruptions, and fewer rooms bounced back for rework. When communication became brief or ambiguous, the same attendants sought clarification in corridors, room release slowed, and guest readiness felt less predictable. The difference was visible in how quickly rooms transitioned from “cleaned” to “inspected and signed” and how often minor faults spiralled into calls at reception. It kept coming up, especially on heavy departure days.</w:t>
      </w:r>
    </w:p>
    <w:p w14:paraId="297B2B34" w14:textId="77777777" w:rsidR="005B2427" w:rsidRPr="005B2427" w:rsidRDefault="005B2427" w:rsidP="005B2427">
      <w:pPr>
        <w:spacing w:line="360" w:lineRule="auto"/>
        <w:jc w:val="both"/>
        <w:rPr>
          <w:rFonts w:ascii="Arial" w:hAnsi="Arial" w:cs="Arial"/>
        </w:rPr>
      </w:pPr>
      <w:r w:rsidRPr="005B2427">
        <w:rPr>
          <w:rFonts w:ascii="Arial" w:hAnsi="Arial" w:cs="Arial"/>
        </w:rPr>
        <w:t>This also changed how I behaved. I began to pre-empt specification questions during my checks, kept a pocket list of known “miss points” for the shift, and relayed them to the supervisor in one batch, not scattered across the morning. It was a small adjustment, yet it made the process more efficient.</w:t>
      </w:r>
    </w:p>
    <w:p w14:paraId="7535375D" w14:textId="77777777" w:rsidR="005B2427" w:rsidRPr="005B2427" w:rsidRDefault="005B2427" w:rsidP="005B2427">
      <w:pPr>
        <w:spacing w:line="360" w:lineRule="auto"/>
        <w:jc w:val="both"/>
        <w:rPr>
          <w:rFonts w:ascii="Arial" w:hAnsi="Arial" w:cs="Arial"/>
          <w:b/>
          <w:bCs/>
        </w:rPr>
      </w:pPr>
      <w:r w:rsidRPr="005B2427">
        <w:rPr>
          <w:rFonts w:ascii="Arial" w:hAnsi="Arial" w:cs="Arial"/>
          <w:b/>
          <w:bCs/>
        </w:rPr>
        <w:t>Kolb 3 - Abstract conceptualisation (link to Level 5 MOB)</w:t>
      </w:r>
    </w:p>
    <w:p w14:paraId="1599E3F2" w14:textId="77777777" w:rsidR="005B2427" w:rsidRPr="005B2427" w:rsidRDefault="005B2427" w:rsidP="005B2427">
      <w:pPr>
        <w:spacing w:line="360" w:lineRule="auto"/>
        <w:jc w:val="both"/>
        <w:rPr>
          <w:rFonts w:ascii="Arial" w:hAnsi="Arial" w:cs="Arial"/>
        </w:rPr>
      </w:pPr>
      <w:r w:rsidRPr="005B2427">
        <w:rPr>
          <w:rFonts w:ascii="Arial" w:hAnsi="Arial" w:cs="Arial"/>
        </w:rPr>
        <w:t xml:space="preserve">Leadership theory framed these patterns usefully. </w:t>
      </w:r>
      <w:r w:rsidRPr="005B2427">
        <w:rPr>
          <w:rFonts w:ascii="Arial" w:hAnsi="Arial" w:cs="Arial"/>
          <w:b/>
          <w:bCs/>
        </w:rPr>
        <w:t>Lewin’s</w:t>
      </w:r>
      <w:r w:rsidRPr="005B2427">
        <w:rPr>
          <w:rFonts w:ascii="Arial" w:hAnsi="Arial" w:cs="Arial"/>
        </w:rPr>
        <w:t xml:space="preserve"> classical categories explain the different daily postures I observed: an </w:t>
      </w:r>
      <w:r w:rsidRPr="005B2427">
        <w:rPr>
          <w:rFonts w:ascii="Arial" w:hAnsi="Arial" w:cs="Arial"/>
          <w:b/>
          <w:bCs/>
        </w:rPr>
        <w:t>authoritative</w:t>
      </w:r>
      <w:r w:rsidRPr="005B2427">
        <w:rPr>
          <w:rFonts w:ascii="Arial" w:hAnsi="Arial" w:cs="Arial"/>
        </w:rPr>
        <w:t xml:space="preserve"> posture moved quickly but risked limited voice from attendants; a </w:t>
      </w:r>
      <w:r w:rsidRPr="005B2427">
        <w:rPr>
          <w:rFonts w:ascii="Arial" w:hAnsi="Arial" w:cs="Arial"/>
          <w:b/>
          <w:bCs/>
        </w:rPr>
        <w:t>democratic</w:t>
      </w:r>
      <w:r w:rsidRPr="005B2427">
        <w:rPr>
          <w:rFonts w:ascii="Arial" w:hAnsi="Arial" w:cs="Arial"/>
        </w:rPr>
        <w:t xml:space="preserve"> posture improved engagement but needed tighter time control at peaks (Lewin, 1939). </w:t>
      </w:r>
      <w:r w:rsidRPr="005B2427">
        <w:rPr>
          <w:rFonts w:ascii="Arial" w:hAnsi="Arial" w:cs="Arial"/>
          <w:b/>
          <w:bCs/>
        </w:rPr>
        <w:t>McGregor’s</w:t>
      </w:r>
      <w:r w:rsidRPr="005B2427">
        <w:rPr>
          <w:rFonts w:ascii="Arial" w:hAnsi="Arial" w:cs="Arial"/>
        </w:rPr>
        <w:t xml:space="preserve"> Theory </w:t>
      </w:r>
      <w:r w:rsidRPr="005B2427">
        <w:rPr>
          <w:rFonts w:ascii="Arial" w:hAnsi="Arial" w:cs="Arial"/>
          <w:b/>
          <w:bCs/>
        </w:rPr>
        <w:t>X–Y</w:t>
      </w:r>
      <w:r w:rsidRPr="005B2427">
        <w:rPr>
          <w:rFonts w:ascii="Arial" w:hAnsi="Arial" w:cs="Arial"/>
        </w:rPr>
        <w:t xml:space="preserve"> lens clarified why language matters: where the tone assumed low discretion, initiative fell; where the tone assumed capability and care, attendants raised early warnings about borderline rooms, which protected guest experience (McGregor, 1960). </w:t>
      </w:r>
      <w:r w:rsidRPr="005B2427">
        <w:rPr>
          <w:rFonts w:ascii="Arial" w:hAnsi="Arial" w:cs="Arial"/>
          <w:b/>
          <w:bCs/>
        </w:rPr>
        <w:t>Blake and Mouton’s</w:t>
      </w:r>
      <w:r w:rsidRPr="005B2427">
        <w:rPr>
          <w:rFonts w:ascii="Arial" w:hAnsi="Arial" w:cs="Arial"/>
        </w:rPr>
        <w:t xml:space="preserve"> grid placed the most effective days in the high-concern-for-people and high-concern-for-results quadrant, because the supervisor combined clear targets with short, respectful coaching as rooms moved to inspection (Blake and Mouton, 1981). These links map directly to the MOB sessions on leadership styles, managerial behaviour, and effectiveness (MOB Week 3; MOOB Week 1). </w:t>
      </w:r>
    </w:p>
    <w:p w14:paraId="4BCA89D0" w14:textId="77777777" w:rsidR="005B2427" w:rsidRPr="005B2427" w:rsidRDefault="005B2427" w:rsidP="005B2427">
      <w:pPr>
        <w:spacing w:line="360" w:lineRule="auto"/>
        <w:jc w:val="both"/>
        <w:rPr>
          <w:rFonts w:ascii="Arial" w:hAnsi="Arial" w:cs="Arial"/>
        </w:rPr>
      </w:pPr>
    </w:p>
    <w:p w14:paraId="3415D4AB" w14:textId="77777777" w:rsidR="005B2427" w:rsidRPr="005B2427" w:rsidRDefault="005B2427" w:rsidP="005B2427">
      <w:pPr>
        <w:spacing w:line="360" w:lineRule="auto"/>
        <w:jc w:val="both"/>
        <w:rPr>
          <w:rFonts w:ascii="Arial" w:hAnsi="Arial" w:cs="Arial"/>
        </w:rPr>
      </w:pPr>
      <w:r w:rsidRPr="005B2427">
        <w:rPr>
          <w:rFonts w:ascii="Arial" w:hAnsi="Arial" w:cs="Arial"/>
        </w:rPr>
        <w:lastRenderedPageBreak/>
        <w:t xml:space="preserve">Team dynamics mattered as much as leadership. The days worked best when roles were complementary: one colleague with exceptional attention to detail paired with another who was quick on finishing tasks. </w:t>
      </w:r>
      <w:r w:rsidRPr="005B2427">
        <w:rPr>
          <w:rFonts w:ascii="Arial" w:hAnsi="Arial" w:cs="Arial"/>
          <w:b/>
          <w:bCs/>
        </w:rPr>
        <w:t>Belbin</w:t>
      </w:r>
      <w:r w:rsidRPr="005B2427">
        <w:rPr>
          <w:rFonts w:ascii="Arial" w:hAnsi="Arial" w:cs="Arial"/>
        </w:rPr>
        <w:t xml:space="preserve"> presents this complementarity in team-role terms, and I could see how a “completer–finisher” and a “monitor–evaluator” pairing in inspections reduced rework and stabilised release times (Belbin, 2010). The MOB materials on groups and teams reinforce the performance value of clear role relationships and practical cohesion in service settings (MOOB Week 8). </w:t>
      </w:r>
    </w:p>
    <w:p w14:paraId="448C715F" w14:textId="77777777" w:rsidR="005B2427" w:rsidRPr="005B2427" w:rsidRDefault="005B2427" w:rsidP="005B2427">
      <w:pPr>
        <w:spacing w:line="360" w:lineRule="auto"/>
        <w:jc w:val="both"/>
        <w:rPr>
          <w:rFonts w:ascii="Arial" w:hAnsi="Arial" w:cs="Arial"/>
        </w:rPr>
      </w:pPr>
      <w:r w:rsidRPr="005B2427">
        <w:rPr>
          <w:rFonts w:ascii="Arial" w:hAnsi="Arial" w:cs="Arial"/>
        </w:rPr>
        <w:t xml:space="preserve">Structure and boundaries added another layer. The outsourced housekeeping model creates a visible line between contractor and hotel. </w:t>
      </w:r>
      <w:r w:rsidRPr="005B2427">
        <w:rPr>
          <w:rFonts w:ascii="Arial" w:hAnsi="Arial" w:cs="Arial"/>
          <w:b/>
          <w:bCs/>
        </w:rPr>
        <w:t>Organisational design</w:t>
      </w:r>
      <w:r w:rsidRPr="005B2427">
        <w:rPr>
          <w:rFonts w:ascii="Arial" w:hAnsi="Arial" w:cs="Arial"/>
        </w:rPr>
        <w:t xml:space="preserve"> content in MOB highlights how structure determines authority, span of control, and communication pathways; where those pathways are crisp, service moves; where they are diffuse, routine queries escalate at the wrong time (Knight, 1990); Drucker, 1993; MOB structure sessions). In Barnsley, daily liaison between the hotel’s management and the contractor’s supervisor generally kept the pathway in good order; during peaks, the lack of a simple visual signal for “inspection required” versus “inspection completed” created avoidable loops (MOOB Week 4). </w:t>
      </w:r>
    </w:p>
    <w:p w14:paraId="5AE62DC4" w14:textId="77777777" w:rsidR="005B2427" w:rsidRPr="005B2427" w:rsidRDefault="005B2427" w:rsidP="005B2427">
      <w:pPr>
        <w:spacing w:line="360" w:lineRule="auto"/>
        <w:jc w:val="both"/>
        <w:rPr>
          <w:rFonts w:ascii="Arial" w:hAnsi="Arial" w:cs="Arial"/>
        </w:rPr>
      </w:pPr>
      <w:r w:rsidRPr="005B2427">
        <w:rPr>
          <w:rFonts w:ascii="Arial" w:hAnsi="Arial" w:cs="Arial"/>
        </w:rPr>
        <w:t xml:space="preserve">Change guidance from MOB was also instructive. Triggers were </w:t>
      </w:r>
      <w:proofErr w:type="spellStart"/>
      <w:proofErr w:type="gramStart"/>
      <w:r w:rsidRPr="005B2427">
        <w:rPr>
          <w:rFonts w:ascii="Arial" w:hAnsi="Arial" w:cs="Arial"/>
        </w:rPr>
        <w:t>familiar,heavy</w:t>
      </w:r>
      <w:proofErr w:type="spellEnd"/>
      <w:proofErr w:type="gramEnd"/>
      <w:r w:rsidRPr="005B2427">
        <w:rPr>
          <w:rFonts w:ascii="Arial" w:hAnsi="Arial" w:cs="Arial"/>
        </w:rPr>
        <w:t xml:space="preserve"> departures, a late group, or a minor failure in a bathroom. The </w:t>
      </w:r>
      <w:r w:rsidRPr="005B2427">
        <w:rPr>
          <w:rFonts w:ascii="Arial" w:hAnsi="Arial" w:cs="Arial"/>
          <w:b/>
          <w:bCs/>
        </w:rPr>
        <w:t>change</w:t>
      </w:r>
      <w:r w:rsidRPr="005B2427">
        <w:rPr>
          <w:rFonts w:ascii="Arial" w:hAnsi="Arial" w:cs="Arial"/>
        </w:rPr>
        <w:t xml:space="preserve"> sessions describe how people may resist new micro-routines due to low tolerance for change, different assessments of the situation, or simple misinformation. </w:t>
      </w:r>
      <w:r w:rsidRPr="005B2427">
        <w:rPr>
          <w:rFonts w:ascii="Arial" w:hAnsi="Arial" w:cs="Arial"/>
          <w:b/>
          <w:bCs/>
        </w:rPr>
        <w:t>Kotter’s</w:t>
      </w:r>
      <w:r w:rsidRPr="005B2427">
        <w:rPr>
          <w:rFonts w:ascii="Arial" w:hAnsi="Arial" w:cs="Arial"/>
        </w:rPr>
        <w:t xml:space="preserve"> steps emphasise clear communication, removal of obstacles, and consolidating short-term wins; applied here, that translates into briefings that set one risk for the day, simple tools that remove ambiguity, and regular recognition when the department meets its timing and quality targets (Kotter and Cohen, 2002; MOB change sessions). In practice, that is what sustains improved behaviour, and it keeps guest experience steady (MOOB Week 6). </w:t>
      </w:r>
    </w:p>
    <w:p w14:paraId="346793D5" w14:textId="77777777" w:rsidR="005B2427" w:rsidRDefault="005B2427" w:rsidP="005B2427">
      <w:pPr>
        <w:spacing w:line="360" w:lineRule="auto"/>
        <w:jc w:val="both"/>
        <w:rPr>
          <w:rFonts w:ascii="Arial" w:hAnsi="Arial" w:cs="Arial"/>
        </w:rPr>
      </w:pPr>
      <w:r w:rsidRPr="005B2427">
        <w:rPr>
          <w:rFonts w:ascii="Arial" w:hAnsi="Arial" w:cs="Arial"/>
        </w:rPr>
        <w:t xml:space="preserve">Evidence from hospitality research supports these insights. </w:t>
      </w:r>
      <w:r w:rsidRPr="005B2427">
        <w:rPr>
          <w:rFonts w:ascii="Arial" w:hAnsi="Arial" w:cs="Arial"/>
          <w:b/>
          <w:bCs/>
        </w:rPr>
        <w:t>Hard skills</w:t>
      </w:r>
      <w:r w:rsidRPr="005B2427">
        <w:rPr>
          <w:rFonts w:ascii="Arial" w:hAnsi="Arial" w:cs="Arial"/>
        </w:rPr>
        <w:t xml:space="preserve"> in room care develop through repetition, yet </w:t>
      </w:r>
      <w:r w:rsidRPr="005B2427">
        <w:rPr>
          <w:rFonts w:ascii="Arial" w:hAnsi="Arial" w:cs="Arial"/>
          <w:b/>
          <w:bCs/>
        </w:rPr>
        <w:t>soft skills</w:t>
      </w:r>
      <w:r w:rsidRPr="005B2427">
        <w:rPr>
          <w:rFonts w:ascii="Arial" w:hAnsi="Arial" w:cs="Arial"/>
        </w:rPr>
        <w:t xml:space="preserve"> in communication and coordination are critical for service performance and are harder to cultivate without deliberate management (</w:t>
      </w:r>
      <w:proofErr w:type="spellStart"/>
      <w:r w:rsidRPr="005B2427">
        <w:rPr>
          <w:rFonts w:ascii="Arial" w:hAnsi="Arial" w:cs="Arial"/>
        </w:rPr>
        <w:t>Mok</w:t>
      </w:r>
      <w:proofErr w:type="spellEnd"/>
      <w:r w:rsidRPr="005B2427">
        <w:rPr>
          <w:rFonts w:ascii="Arial" w:hAnsi="Arial" w:cs="Arial"/>
        </w:rPr>
        <w:t xml:space="preserve">, Sparks and </w:t>
      </w:r>
      <w:proofErr w:type="spellStart"/>
      <w:r w:rsidRPr="005B2427">
        <w:rPr>
          <w:rFonts w:ascii="Arial" w:hAnsi="Arial" w:cs="Arial"/>
        </w:rPr>
        <w:t>Kadampully</w:t>
      </w:r>
      <w:proofErr w:type="spellEnd"/>
      <w:r w:rsidRPr="005B2427">
        <w:rPr>
          <w:rFonts w:ascii="Arial" w:hAnsi="Arial" w:cs="Arial"/>
        </w:rPr>
        <w:t xml:space="preserve">, 2013; Burns, 1997). </w:t>
      </w:r>
    </w:p>
    <w:p w14:paraId="4B769364" w14:textId="2D83CD4B" w:rsidR="005B2427" w:rsidRPr="005B2427" w:rsidRDefault="005B2427" w:rsidP="005B2427">
      <w:pPr>
        <w:spacing w:line="360" w:lineRule="auto"/>
        <w:jc w:val="both"/>
        <w:rPr>
          <w:rFonts w:ascii="Arial" w:hAnsi="Arial" w:cs="Arial"/>
        </w:rPr>
      </w:pPr>
      <w:r w:rsidRPr="005B2427">
        <w:rPr>
          <w:rFonts w:ascii="Arial" w:hAnsi="Arial" w:cs="Arial"/>
          <w:b/>
          <w:bCs/>
        </w:rPr>
        <w:lastRenderedPageBreak/>
        <w:t>Emotional intelligence</w:t>
      </w:r>
      <w:r w:rsidRPr="005B2427">
        <w:rPr>
          <w:rFonts w:ascii="Arial" w:hAnsi="Arial" w:cs="Arial"/>
        </w:rPr>
        <w:t xml:space="preserve"> connects to performance and learning in hospitality education (</w:t>
      </w:r>
      <w:proofErr w:type="spellStart"/>
      <w:r w:rsidRPr="005B2427">
        <w:rPr>
          <w:rFonts w:ascii="Arial" w:hAnsi="Arial" w:cs="Arial"/>
        </w:rPr>
        <w:t>Völker</w:t>
      </w:r>
      <w:proofErr w:type="spellEnd"/>
      <w:r w:rsidRPr="005B2427">
        <w:rPr>
          <w:rFonts w:ascii="Arial" w:hAnsi="Arial" w:cs="Arial"/>
        </w:rPr>
        <w:t xml:space="preserve"> et al., 2023), which tracks with my observation that calm, specific coaching during inspections raised attentiveness and reduced small misses. A </w:t>
      </w:r>
      <w:r w:rsidRPr="005B2427">
        <w:rPr>
          <w:rFonts w:ascii="Arial" w:hAnsi="Arial" w:cs="Arial"/>
          <w:b/>
          <w:bCs/>
        </w:rPr>
        <w:t>safety-aware</w:t>
      </w:r>
      <w:r w:rsidRPr="005B2427">
        <w:rPr>
          <w:rFonts w:ascii="Arial" w:hAnsi="Arial" w:cs="Arial"/>
        </w:rPr>
        <w:t xml:space="preserve"> housekeeping culture correlates with better quality and fewer service incidents, which directly protects guest satisfaction (</w:t>
      </w:r>
      <w:proofErr w:type="spellStart"/>
      <w:r w:rsidRPr="005B2427">
        <w:rPr>
          <w:rFonts w:ascii="Arial" w:hAnsi="Arial" w:cs="Arial"/>
        </w:rPr>
        <w:t>Kuo</w:t>
      </w:r>
      <w:proofErr w:type="spellEnd"/>
      <w:r w:rsidRPr="005B2427">
        <w:rPr>
          <w:rFonts w:ascii="Arial" w:hAnsi="Arial" w:cs="Arial"/>
        </w:rPr>
        <w:t xml:space="preserve"> et al., 2020). Finally, studies on room-attendant productivity show that small process refinements and thoughtful work allocation raise output without degrading standards (</w:t>
      </w:r>
      <w:proofErr w:type="spellStart"/>
      <w:r w:rsidRPr="005B2427">
        <w:rPr>
          <w:rFonts w:ascii="Arial" w:hAnsi="Arial" w:cs="Arial"/>
        </w:rPr>
        <w:t>Tavitiyaman</w:t>
      </w:r>
      <w:proofErr w:type="spellEnd"/>
      <w:r w:rsidRPr="005B2427">
        <w:rPr>
          <w:rFonts w:ascii="Arial" w:hAnsi="Arial" w:cs="Arial"/>
        </w:rPr>
        <w:t xml:space="preserve"> et al., 2021).</w:t>
      </w:r>
    </w:p>
    <w:p w14:paraId="1F013F58" w14:textId="77777777" w:rsidR="005B2427" w:rsidRPr="005B2427" w:rsidRDefault="005B2427" w:rsidP="005B2427">
      <w:pPr>
        <w:spacing w:line="360" w:lineRule="auto"/>
        <w:jc w:val="both"/>
        <w:rPr>
          <w:rFonts w:ascii="Arial" w:hAnsi="Arial" w:cs="Arial"/>
          <w:b/>
          <w:bCs/>
        </w:rPr>
      </w:pPr>
      <w:r w:rsidRPr="005B2427">
        <w:rPr>
          <w:rFonts w:ascii="Arial" w:hAnsi="Arial" w:cs="Arial"/>
          <w:b/>
          <w:bCs/>
        </w:rPr>
        <w:t xml:space="preserve">Kolb 4 - Active experimentation </w:t>
      </w:r>
    </w:p>
    <w:p w14:paraId="0DE7C88C" w14:textId="77777777" w:rsidR="005B2427" w:rsidRPr="005B2427" w:rsidRDefault="005B2427" w:rsidP="005B2427">
      <w:pPr>
        <w:spacing w:line="360" w:lineRule="auto"/>
        <w:jc w:val="both"/>
        <w:rPr>
          <w:rFonts w:ascii="Arial" w:hAnsi="Arial" w:cs="Arial"/>
        </w:rPr>
      </w:pPr>
      <w:r w:rsidRPr="005B2427">
        <w:rPr>
          <w:rFonts w:ascii="Arial" w:hAnsi="Arial" w:cs="Arial"/>
        </w:rPr>
        <w:t>I will implement three changes that focus on management style expressed through routines.</w:t>
      </w:r>
    </w:p>
    <w:p w14:paraId="10055178" w14:textId="77777777" w:rsidR="005B2427" w:rsidRPr="005B2427" w:rsidRDefault="005B2427" w:rsidP="005B2427">
      <w:pPr>
        <w:numPr>
          <w:ilvl w:val="0"/>
          <w:numId w:val="4"/>
        </w:numPr>
        <w:spacing w:line="360" w:lineRule="auto"/>
        <w:jc w:val="both"/>
        <w:rPr>
          <w:rFonts w:ascii="Arial" w:hAnsi="Arial" w:cs="Arial"/>
        </w:rPr>
      </w:pPr>
      <w:r w:rsidRPr="005B2427">
        <w:rPr>
          <w:rFonts w:ascii="Arial" w:hAnsi="Arial" w:cs="Arial"/>
        </w:rPr>
        <w:t xml:space="preserve">Seven-minute start-of-shift briefing with a single risk. At 07:05, the responsible manager sets allocations, names one operational risk for the day (for example, late check-outs on a specific floor), and states one success metric (for example, “all departures inspected by 11:30”). This aligns with MOB’s emphasis on providing direction and managing with clarity, and it reduces later ambiguity by agreeing a shared focus in advance. Expected impact: fewer corridor clarifications, earlier room release, and fewer reception escalations (MOB Week 1). </w:t>
      </w:r>
    </w:p>
    <w:p w14:paraId="37131B52" w14:textId="77777777" w:rsidR="005B2427" w:rsidRPr="005B2427" w:rsidRDefault="005B2427" w:rsidP="005B2427">
      <w:pPr>
        <w:spacing w:line="360" w:lineRule="auto"/>
        <w:jc w:val="both"/>
        <w:rPr>
          <w:rFonts w:ascii="Arial" w:hAnsi="Arial" w:cs="Arial"/>
        </w:rPr>
      </w:pPr>
    </w:p>
    <w:p w14:paraId="730BF180" w14:textId="049F2734" w:rsidR="005B2427" w:rsidRDefault="005B2427" w:rsidP="005B2427">
      <w:pPr>
        <w:numPr>
          <w:ilvl w:val="0"/>
          <w:numId w:val="4"/>
        </w:numPr>
        <w:spacing w:line="360" w:lineRule="auto"/>
        <w:jc w:val="both"/>
        <w:rPr>
          <w:rFonts w:ascii="Arial" w:hAnsi="Arial" w:cs="Arial"/>
        </w:rPr>
      </w:pPr>
      <w:r w:rsidRPr="005B2427">
        <w:rPr>
          <w:rFonts w:ascii="Arial" w:hAnsi="Arial" w:cs="Arial"/>
          <w:b/>
          <w:bCs/>
        </w:rPr>
        <w:t xml:space="preserve">Two-state visual for inspections plus </w:t>
      </w:r>
      <w:proofErr w:type="gramStart"/>
      <w:r w:rsidRPr="005B2427">
        <w:rPr>
          <w:rFonts w:ascii="Arial" w:hAnsi="Arial" w:cs="Arial"/>
          <w:b/>
          <w:bCs/>
        </w:rPr>
        <w:t>a sixty-second feedback</w:t>
      </w:r>
      <w:proofErr w:type="gramEnd"/>
      <w:r w:rsidRPr="005B2427">
        <w:rPr>
          <w:rFonts w:ascii="Arial" w:hAnsi="Arial" w:cs="Arial"/>
          <w:b/>
          <w:bCs/>
        </w:rPr>
        <w:t xml:space="preserve"> close.</w:t>
      </w:r>
      <w:r w:rsidRPr="005B2427">
        <w:rPr>
          <w:rFonts w:ascii="Arial" w:hAnsi="Arial" w:cs="Arial"/>
        </w:rPr>
        <w:t xml:space="preserve"> Introduce a simple “inspection required / inspection completed” flag on the live list and pair a detail-focused colleague with a finisher for the heaviest corridor. Close with a sixty-second conversation to confirm what went well and one improvement for the next round. The approach draws on Belbin’s team-role complementarity and the MOB sessions on groups and teams. Expected impact: lower rework, clearer hand-offs, and a more accurate prediction of when rooms are ready for guests (quality control [QC] is visible and predictable) (MOB Week 8). </w:t>
      </w:r>
    </w:p>
    <w:p w14:paraId="68AF9AAE" w14:textId="77777777" w:rsidR="005B2427" w:rsidRPr="005B2427" w:rsidRDefault="005B2427" w:rsidP="005B2427">
      <w:pPr>
        <w:spacing w:line="360" w:lineRule="auto"/>
        <w:ind w:left="720"/>
        <w:jc w:val="both"/>
        <w:rPr>
          <w:rFonts w:ascii="Arial" w:hAnsi="Arial" w:cs="Arial"/>
        </w:rPr>
      </w:pPr>
    </w:p>
    <w:p w14:paraId="2C3CBE1A" w14:textId="77777777" w:rsidR="005B2427" w:rsidRPr="005B2427" w:rsidRDefault="005B2427" w:rsidP="005B2427">
      <w:pPr>
        <w:numPr>
          <w:ilvl w:val="0"/>
          <w:numId w:val="4"/>
        </w:numPr>
        <w:spacing w:line="360" w:lineRule="auto"/>
        <w:jc w:val="both"/>
        <w:rPr>
          <w:rFonts w:ascii="Arial" w:hAnsi="Arial" w:cs="Arial"/>
        </w:rPr>
      </w:pPr>
      <w:r w:rsidRPr="005B2427">
        <w:rPr>
          <w:rFonts w:ascii="Arial" w:hAnsi="Arial" w:cs="Arial"/>
          <w:b/>
          <w:bCs/>
        </w:rPr>
        <w:lastRenderedPageBreak/>
        <w:t>Peak-time protocol on one page.</w:t>
      </w:r>
      <w:r w:rsidRPr="005B2427">
        <w:rPr>
          <w:rFonts w:ascii="Arial" w:hAnsi="Arial" w:cs="Arial"/>
        </w:rPr>
        <w:t xml:space="preserve"> For departures above a set threshold or for early group arrivals, use a short protocol: temporary reallocation of two attendants to the bottleneck floor, the supervisor shadowing inspections there for thirty minutes, and maintenance on immediate radio response for any room fault affecting readiness. The change content in MOB underlines the value of visible steps that reduce uncertainty. Expected impact: faster recovery when the schedule bends, fewer last-minute calls to reception, and a steadier guest arrival experience (MOB Week 6). </w:t>
      </w:r>
    </w:p>
    <w:p w14:paraId="3155B600" w14:textId="77777777" w:rsidR="005B2427" w:rsidRPr="005B2427" w:rsidRDefault="005B2427" w:rsidP="005B2427">
      <w:pPr>
        <w:spacing w:line="360" w:lineRule="auto"/>
        <w:jc w:val="both"/>
        <w:rPr>
          <w:rFonts w:ascii="Arial" w:hAnsi="Arial" w:cs="Arial"/>
          <w:b/>
          <w:bCs/>
        </w:rPr>
      </w:pPr>
    </w:p>
    <w:p w14:paraId="4033ED93" w14:textId="77777777" w:rsidR="005B2427" w:rsidRPr="005B2427" w:rsidRDefault="005B2427" w:rsidP="005B2427">
      <w:pPr>
        <w:spacing w:line="360" w:lineRule="auto"/>
        <w:jc w:val="both"/>
        <w:rPr>
          <w:rFonts w:ascii="Arial" w:hAnsi="Arial" w:cs="Arial"/>
          <w:b/>
          <w:bCs/>
        </w:rPr>
      </w:pPr>
      <w:r w:rsidRPr="005B2427">
        <w:rPr>
          <w:rFonts w:ascii="Arial" w:hAnsi="Arial" w:cs="Arial"/>
          <w:b/>
          <w:bCs/>
        </w:rPr>
        <w:t>Short comparison with Level 4 (Premier Inn Doncaster)</w:t>
      </w:r>
    </w:p>
    <w:p w14:paraId="232DF67F" w14:textId="77777777" w:rsidR="005B2427" w:rsidRPr="005B2427" w:rsidRDefault="005B2427" w:rsidP="005B2427">
      <w:pPr>
        <w:spacing w:line="360" w:lineRule="auto"/>
        <w:jc w:val="both"/>
        <w:rPr>
          <w:rFonts w:ascii="Arial" w:hAnsi="Arial" w:cs="Arial"/>
        </w:rPr>
      </w:pPr>
      <w:r w:rsidRPr="005B2427">
        <w:rPr>
          <w:rFonts w:ascii="Arial" w:hAnsi="Arial" w:cs="Arial"/>
        </w:rPr>
        <w:t xml:space="preserve">At </w:t>
      </w:r>
      <w:r w:rsidRPr="005B2427">
        <w:rPr>
          <w:rFonts w:ascii="Arial" w:hAnsi="Arial" w:cs="Arial"/>
          <w:b/>
          <w:bCs/>
        </w:rPr>
        <w:t>Premier Inn Doncaster</w:t>
      </w:r>
      <w:r w:rsidRPr="005B2427">
        <w:rPr>
          <w:rFonts w:ascii="Arial" w:hAnsi="Arial" w:cs="Arial"/>
        </w:rPr>
        <w:t>, checklists and internal promotion expectations created a strong baseline for consistency, and my reflection there showed how time management and routine feedback supported stable quality. The Barnsley context shared that baseline but added the reality of cross-boundary coordination with a contractor. The same leadership principles applied, yet the department needed clearer signals and faster feedback because accountability travelled across two organisations. Some sites already apply these micro-routines well. Others have yet to adopt them, and the difference is noticeable in guest-ready timings.</w:t>
      </w:r>
    </w:p>
    <w:p w14:paraId="355634AA" w14:textId="77777777" w:rsidR="005B2427" w:rsidRPr="005B2427" w:rsidRDefault="005B2427" w:rsidP="005B2427">
      <w:pPr>
        <w:spacing w:line="360" w:lineRule="auto"/>
        <w:jc w:val="both"/>
        <w:rPr>
          <w:rFonts w:ascii="Arial" w:hAnsi="Arial" w:cs="Arial"/>
          <w:b/>
          <w:bCs/>
        </w:rPr>
      </w:pPr>
      <w:r w:rsidRPr="005B2427">
        <w:rPr>
          <w:rFonts w:ascii="Arial" w:hAnsi="Arial" w:cs="Arial"/>
          <w:b/>
          <w:bCs/>
        </w:rPr>
        <w:t>Conclusion</w:t>
      </w:r>
    </w:p>
    <w:p w14:paraId="5F6338EC" w14:textId="7D03DB1B" w:rsidR="005B2427" w:rsidRDefault="005B2427" w:rsidP="005B2427">
      <w:pPr>
        <w:spacing w:line="360" w:lineRule="auto"/>
        <w:jc w:val="both"/>
        <w:rPr>
          <w:rFonts w:ascii="Arial" w:hAnsi="Arial" w:cs="Arial"/>
        </w:rPr>
      </w:pPr>
      <w:r w:rsidRPr="005B2427">
        <w:rPr>
          <w:rFonts w:ascii="Arial" w:hAnsi="Arial" w:cs="Arial"/>
        </w:rPr>
        <w:t>The most important learning is practical. Management style is not abstract posture; it is expressed in briefings, allocations, two clear messages per shift, and the quiet minute that follows an inspection. Those choices altered how Housekeeping at Ibis Styles Barnsley delivered rooms, prevented small defects from touching guests, and stabilised release times. MOB theory gave me names and tools: leadership styles for tone and fairness, team-role complementarity for pairing strengths, structure for communication pathways, and change steps for simple, repeatable improvements. I will carry these habits forward, because they keep service in good order and they are teachable to the next person who takes the list.</w:t>
      </w:r>
    </w:p>
    <w:p w14:paraId="17F992B2" w14:textId="77777777" w:rsidR="005B2427" w:rsidRPr="005B2427" w:rsidRDefault="005B2427" w:rsidP="005B2427">
      <w:pPr>
        <w:spacing w:line="360" w:lineRule="auto"/>
        <w:jc w:val="both"/>
        <w:rPr>
          <w:rFonts w:ascii="Arial" w:hAnsi="Arial" w:cs="Arial"/>
        </w:rPr>
      </w:pPr>
    </w:p>
    <w:p w14:paraId="7C8BA9A5" w14:textId="77777777" w:rsidR="005B2427" w:rsidRPr="005B2427" w:rsidRDefault="005B2427" w:rsidP="005B2427">
      <w:pPr>
        <w:spacing w:line="360" w:lineRule="auto"/>
        <w:jc w:val="both"/>
        <w:rPr>
          <w:rFonts w:ascii="Arial" w:hAnsi="Arial" w:cs="Arial"/>
          <w:b/>
          <w:bCs/>
        </w:rPr>
      </w:pPr>
      <w:r w:rsidRPr="005B2427">
        <w:rPr>
          <w:rFonts w:ascii="Arial" w:hAnsi="Arial" w:cs="Arial"/>
          <w:b/>
          <w:bCs/>
        </w:rPr>
        <w:lastRenderedPageBreak/>
        <w:t>References</w:t>
      </w:r>
    </w:p>
    <w:p w14:paraId="14F81F12" w14:textId="77777777" w:rsidR="005B2427" w:rsidRPr="005B2427" w:rsidRDefault="005B2427" w:rsidP="005B2427">
      <w:pPr>
        <w:spacing w:line="360" w:lineRule="auto"/>
        <w:jc w:val="both"/>
        <w:rPr>
          <w:rFonts w:ascii="Arial" w:hAnsi="Arial" w:cs="Arial"/>
          <w:lang w:val="en-US"/>
        </w:rPr>
      </w:pPr>
      <w:r w:rsidRPr="005B2427">
        <w:rPr>
          <w:rFonts w:ascii="Arial" w:hAnsi="Arial" w:cs="Arial"/>
          <w:lang w:val="en-US"/>
        </w:rPr>
        <w:t xml:space="preserve">Andrade, M.S., Miller, D. and Westover, J.H. (2020) ‘Job satisfaction factors for housekeepers in the hotel industry’, </w:t>
      </w:r>
      <w:r w:rsidRPr="005B2427">
        <w:rPr>
          <w:rFonts w:ascii="Arial" w:hAnsi="Arial" w:cs="Arial"/>
          <w:i/>
          <w:iCs/>
          <w:lang w:val="en-US"/>
        </w:rPr>
        <w:t>International Hospitality Review</w:t>
      </w:r>
      <w:r w:rsidRPr="005B2427">
        <w:rPr>
          <w:rFonts w:ascii="Arial" w:hAnsi="Arial" w:cs="Arial"/>
          <w:lang w:val="en-US"/>
        </w:rPr>
        <w:t xml:space="preserve">, 35(1). Available at: </w:t>
      </w:r>
      <w:hyperlink r:id="rId5" w:tgtFrame="_new" w:history="1">
        <w:r w:rsidRPr="005B2427">
          <w:rPr>
            <w:rStyle w:val="Hyperlink"/>
            <w:rFonts w:ascii="Arial" w:hAnsi="Arial" w:cs="Arial"/>
            <w:lang w:val="en-US"/>
          </w:rPr>
          <w:t>https://doi.org/10.1108/IHR-06-2020-0018</w:t>
        </w:r>
      </w:hyperlink>
      <w:r w:rsidRPr="005B2427">
        <w:rPr>
          <w:rFonts w:ascii="Arial" w:hAnsi="Arial" w:cs="Arial"/>
          <w:lang w:val="en-US"/>
        </w:rPr>
        <w:t xml:space="preserve"> (Accessed: 12 October 2025)</w:t>
      </w:r>
    </w:p>
    <w:p w14:paraId="0DCCC065" w14:textId="77777777" w:rsidR="005B2427" w:rsidRPr="005B2427" w:rsidRDefault="005B2427" w:rsidP="005B2427">
      <w:pPr>
        <w:spacing w:line="360" w:lineRule="auto"/>
        <w:jc w:val="both"/>
        <w:rPr>
          <w:rFonts w:ascii="Arial" w:hAnsi="Arial" w:cs="Arial"/>
          <w:lang w:val="en-US"/>
        </w:rPr>
      </w:pPr>
      <w:r w:rsidRPr="005B2427">
        <w:rPr>
          <w:rFonts w:ascii="Arial" w:hAnsi="Arial" w:cs="Arial"/>
          <w:lang w:val="en-US"/>
        </w:rPr>
        <w:t xml:space="preserve">Belbin, R.M. (2010) </w:t>
      </w:r>
      <w:r w:rsidRPr="005B2427">
        <w:rPr>
          <w:rFonts w:ascii="Arial" w:hAnsi="Arial" w:cs="Arial"/>
          <w:i/>
          <w:iCs/>
          <w:lang w:val="en-US"/>
        </w:rPr>
        <w:t>Team roles at work</w:t>
      </w:r>
      <w:r w:rsidRPr="005B2427">
        <w:rPr>
          <w:rFonts w:ascii="Arial" w:hAnsi="Arial" w:cs="Arial"/>
          <w:lang w:val="en-US"/>
        </w:rPr>
        <w:t xml:space="preserve">. 2nd </w:t>
      </w:r>
      <w:proofErr w:type="spellStart"/>
      <w:r w:rsidRPr="005B2427">
        <w:rPr>
          <w:rFonts w:ascii="Arial" w:hAnsi="Arial" w:cs="Arial"/>
          <w:lang w:val="en-US"/>
        </w:rPr>
        <w:t>edn</w:t>
      </w:r>
      <w:proofErr w:type="spellEnd"/>
      <w:r w:rsidRPr="005B2427">
        <w:rPr>
          <w:rFonts w:ascii="Arial" w:hAnsi="Arial" w:cs="Arial"/>
          <w:lang w:val="en-US"/>
        </w:rPr>
        <w:t>. Oxford: Butterworth-Heinemann.</w:t>
      </w:r>
    </w:p>
    <w:p w14:paraId="02FDA7C8" w14:textId="77777777" w:rsidR="005B2427" w:rsidRPr="005B2427" w:rsidRDefault="005B2427" w:rsidP="005B2427">
      <w:pPr>
        <w:spacing w:line="360" w:lineRule="auto"/>
        <w:jc w:val="both"/>
        <w:rPr>
          <w:rFonts w:ascii="Arial" w:hAnsi="Arial" w:cs="Arial"/>
          <w:lang w:val="en-US"/>
        </w:rPr>
      </w:pPr>
      <w:r w:rsidRPr="005B2427">
        <w:rPr>
          <w:rFonts w:ascii="Arial" w:hAnsi="Arial" w:cs="Arial"/>
          <w:lang w:val="en-US"/>
        </w:rPr>
        <w:t xml:space="preserve">Blake, R.R. and Mouton, J.S. (1964) </w:t>
      </w:r>
      <w:r w:rsidRPr="005B2427">
        <w:rPr>
          <w:rFonts w:ascii="Arial" w:hAnsi="Arial" w:cs="Arial"/>
          <w:i/>
          <w:iCs/>
          <w:lang w:val="en-US"/>
        </w:rPr>
        <w:t>The managerial grid</w:t>
      </w:r>
      <w:r w:rsidRPr="005B2427">
        <w:rPr>
          <w:rFonts w:ascii="Arial" w:hAnsi="Arial" w:cs="Arial"/>
          <w:lang w:val="en-US"/>
        </w:rPr>
        <w:t>. Houston: Gulf Publishing.</w:t>
      </w:r>
    </w:p>
    <w:p w14:paraId="581A42E6" w14:textId="77777777" w:rsidR="005B2427" w:rsidRPr="005B2427" w:rsidRDefault="005B2427" w:rsidP="005B2427">
      <w:pPr>
        <w:spacing w:line="360" w:lineRule="auto"/>
        <w:jc w:val="both"/>
        <w:rPr>
          <w:rFonts w:ascii="Arial" w:hAnsi="Arial" w:cs="Arial"/>
          <w:lang w:val="en-US"/>
        </w:rPr>
      </w:pPr>
      <w:r w:rsidRPr="005B2427">
        <w:rPr>
          <w:rFonts w:ascii="Arial" w:hAnsi="Arial" w:cs="Arial"/>
          <w:lang w:val="en-US"/>
        </w:rPr>
        <w:t xml:space="preserve">Burns, P.M. (1997) ‘Hard-skills, soft-skills: undervaluing hospitality’s “service with a smile”’, </w:t>
      </w:r>
      <w:r w:rsidRPr="005B2427">
        <w:rPr>
          <w:rFonts w:ascii="Arial" w:hAnsi="Arial" w:cs="Arial"/>
          <w:i/>
          <w:iCs/>
          <w:lang w:val="en-US"/>
        </w:rPr>
        <w:t>Progress in Tourism and Hospitality Research</w:t>
      </w:r>
      <w:r w:rsidRPr="005B2427">
        <w:rPr>
          <w:rFonts w:ascii="Arial" w:hAnsi="Arial" w:cs="Arial"/>
          <w:lang w:val="en-US"/>
        </w:rPr>
        <w:t xml:space="preserve">, 3(3), pp.239–248. Available at: </w:t>
      </w:r>
      <w:hyperlink r:id="rId6" w:tgtFrame="_new" w:history="1">
        <w:r w:rsidRPr="005B2427">
          <w:rPr>
            <w:rStyle w:val="Hyperlink"/>
            <w:rFonts w:ascii="Arial" w:hAnsi="Arial" w:cs="Arial"/>
            <w:lang w:val="en-US"/>
          </w:rPr>
          <w:t>https://doi.org/10.1002/(SICI)1099-1603(199709)3:3%3C239::AID-PTH80%3E3.0.CO;2-2</w:t>
        </w:r>
      </w:hyperlink>
      <w:r w:rsidRPr="005B2427">
        <w:rPr>
          <w:rFonts w:ascii="Arial" w:hAnsi="Arial" w:cs="Arial"/>
          <w:lang w:val="en-US"/>
        </w:rPr>
        <w:t xml:space="preserve"> (Accessed: 18 October 2025)</w:t>
      </w:r>
    </w:p>
    <w:p w14:paraId="028567F3" w14:textId="77777777" w:rsidR="005B2427" w:rsidRPr="005B2427" w:rsidRDefault="005B2427" w:rsidP="005B2427">
      <w:pPr>
        <w:spacing w:line="360" w:lineRule="auto"/>
        <w:jc w:val="both"/>
        <w:rPr>
          <w:rFonts w:ascii="Arial" w:hAnsi="Arial" w:cs="Arial"/>
          <w:lang w:val="en-US"/>
        </w:rPr>
      </w:pPr>
      <w:r w:rsidRPr="005B2427">
        <w:rPr>
          <w:rFonts w:ascii="Arial" w:hAnsi="Arial" w:cs="Arial"/>
          <w:lang w:val="en-US"/>
        </w:rPr>
        <w:t xml:space="preserve">Chen, X., Wang, Y., </w:t>
      </w:r>
      <w:proofErr w:type="spellStart"/>
      <w:r w:rsidRPr="005B2427">
        <w:rPr>
          <w:rFonts w:ascii="Arial" w:hAnsi="Arial" w:cs="Arial"/>
          <w:lang w:val="en-US"/>
        </w:rPr>
        <w:t>Lyu</w:t>
      </w:r>
      <w:proofErr w:type="spellEnd"/>
      <w:r w:rsidRPr="005B2427">
        <w:rPr>
          <w:rFonts w:ascii="Arial" w:hAnsi="Arial" w:cs="Arial"/>
          <w:lang w:val="en-US"/>
        </w:rPr>
        <w:t xml:space="preserve">, X. and Zhang, J. (2022) ‘The impact of hotel customer engagement and service evaluation on customer </w:t>
      </w:r>
      <w:proofErr w:type="spellStart"/>
      <w:r w:rsidRPr="005B2427">
        <w:rPr>
          <w:rFonts w:ascii="Arial" w:hAnsi="Arial" w:cs="Arial"/>
          <w:lang w:val="en-US"/>
        </w:rPr>
        <w:t>behaviour</w:t>
      </w:r>
      <w:proofErr w:type="spellEnd"/>
      <w:r w:rsidRPr="005B2427">
        <w:rPr>
          <w:rFonts w:ascii="Arial" w:hAnsi="Arial" w:cs="Arial"/>
          <w:lang w:val="en-US"/>
        </w:rPr>
        <w:t xml:space="preserve"> intention: the mediating effect of brand trust’, </w:t>
      </w:r>
      <w:r w:rsidRPr="005B2427">
        <w:rPr>
          <w:rFonts w:ascii="Arial" w:hAnsi="Arial" w:cs="Arial"/>
          <w:i/>
          <w:iCs/>
          <w:lang w:val="en-US"/>
        </w:rPr>
        <w:t>Frontiers in Psychology</w:t>
      </w:r>
      <w:r w:rsidRPr="005B2427">
        <w:rPr>
          <w:rFonts w:ascii="Arial" w:hAnsi="Arial" w:cs="Arial"/>
          <w:lang w:val="en-US"/>
        </w:rPr>
        <w:t xml:space="preserve">, 13, Article 852336. Available at: </w:t>
      </w:r>
      <w:hyperlink r:id="rId7" w:tgtFrame="_new" w:history="1">
        <w:r w:rsidRPr="005B2427">
          <w:rPr>
            <w:rStyle w:val="Hyperlink"/>
            <w:rFonts w:ascii="Arial" w:hAnsi="Arial" w:cs="Arial"/>
            <w:lang w:val="en-US"/>
          </w:rPr>
          <w:t>https://doi.org/10.3389/fpsyg.2022.852336</w:t>
        </w:r>
      </w:hyperlink>
      <w:r w:rsidRPr="005B2427">
        <w:rPr>
          <w:rFonts w:ascii="Arial" w:hAnsi="Arial" w:cs="Arial"/>
          <w:lang w:val="en-US"/>
        </w:rPr>
        <w:t xml:space="preserve"> (Accessed: 22 October 2025)</w:t>
      </w:r>
    </w:p>
    <w:p w14:paraId="52F17918" w14:textId="77777777" w:rsidR="005B2427" w:rsidRPr="005B2427" w:rsidRDefault="005B2427" w:rsidP="005B2427">
      <w:pPr>
        <w:spacing w:line="360" w:lineRule="auto"/>
        <w:jc w:val="both"/>
        <w:rPr>
          <w:rFonts w:ascii="Arial" w:hAnsi="Arial" w:cs="Arial"/>
          <w:lang w:val="en-US"/>
        </w:rPr>
      </w:pPr>
      <w:r w:rsidRPr="005B2427">
        <w:rPr>
          <w:rFonts w:ascii="Arial" w:hAnsi="Arial" w:cs="Arial"/>
          <w:lang w:val="en-US"/>
        </w:rPr>
        <w:t xml:space="preserve">Drucker, P.D. (1990) ‘Managing </w:t>
      </w:r>
      <w:proofErr w:type="gramStart"/>
      <w:r w:rsidRPr="005B2427">
        <w:rPr>
          <w:rFonts w:ascii="Arial" w:hAnsi="Arial" w:cs="Arial"/>
          <w:lang w:val="en-US"/>
        </w:rPr>
        <w:t>For</w:t>
      </w:r>
      <w:proofErr w:type="gramEnd"/>
      <w:r w:rsidRPr="005B2427">
        <w:rPr>
          <w:rFonts w:ascii="Arial" w:hAnsi="Arial" w:cs="Arial"/>
          <w:lang w:val="en-US"/>
        </w:rPr>
        <w:t xml:space="preserve"> The Future: The 1990s and Beyond”, Tuman Talley Books/Dutton, </w:t>
      </w:r>
      <w:proofErr w:type="spellStart"/>
      <w:r w:rsidRPr="005B2427">
        <w:rPr>
          <w:rFonts w:ascii="Arial" w:hAnsi="Arial" w:cs="Arial"/>
          <w:lang w:val="en-US"/>
        </w:rPr>
        <w:t>NewYork</w:t>
      </w:r>
      <w:proofErr w:type="spellEnd"/>
      <w:r w:rsidRPr="005B2427">
        <w:rPr>
          <w:rFonts w:ascii="Arial" w:hAnsi="Arial" w:cs="Arial"/>
          <w:lang w:val="en-US"/>
        </w:rPr>
        <w:t xml:space="preserve">. </w:t>
      </w:r>
    </w:p>
    <w:p w14:paraId="14BF60D2" w14:textId="77777777" w:rsidR="005B2427" w:rsidRPr="005B2427" w:rsidRDefault="005B2427" w:rsidP="005B2427">
      <w:pPr>
        <w:spacing w:line="360" w:lineRule="auto"/>
        <w:jc w:val="both"/>
        <w:rPr>
          <w:rFonts w:ascii="Arial" w:hAnsi="Arial" w:cs="Arial"/>
          <w:lang w:val="en-US"/>
        </w:rPr>
      </w:pPr>
      <w:r w:rsidRPr="005B2427">
        <w:rPr>
          <w:rFonts w:ascii="Arial" w:hAnsi="Arial" w:cs="Arial"/>
          <w:lang w:val="en-US"/>
        </w:rPr>
        <w:t>Knight, K. E. (1977) ‘Matrix Organization: A Review’, Journal of Management Studies, 14(2), pp. 111–130.</w:t>
      </w:r>
    </w:p>
    <w:p w14:paraId="0CF20D44" w14:textId="77777777" w:rsidR="005B2427" w:rsidRPr="005B2427" w:rsidRDefault="005B2427" w:rsidP="005B2427">
      <w:pPr>
        <w:spacing w:line="360" w:lineRule="auto"/>
        <w:jc w:val="both"/>
        <w:rPr>
          <w:rFonts w:ascii="Arial" w:hAnsi="Arial" w:cs="Arial"/>
          <w:lang w:val="en-US"/>
        </w:rPr>
      </w:pPr>
      <w:r w:rsidRPr="005B2427">
        <w:rPr>
          <w:rFonts w:ascii="Arial" w:hAnsi="Arial" w:cs="Arial"/>
          <w:lang w:val="en-US"/>
        </w:rPr>
        <w:t xml:space="preserve">Kotter, J.P. and Cohen, D.S. (2002) </w:t>
      </w:r>
      <w:r w:rsidRPr="005B2427">
        <w:rPr>
          <w:rFonts w:ascii="Arial" w:hAnsi="Arial" w:cs="Arial"/>
          <w:i/>
          <w:iCs/>
          <w:lang w:val="en-US"/>
        </w:rPr>
        <w:t>The heart of change</w:t>
      </w:r>
      <w:r w:rsidRPr="005B2427">
        <w:rPr>
          <w:rFonts w:ascii="Arial" w:hAnsi="Arial" w:cs="Arial"/>
          <w:lang w:val="en-US"/>
        </w:rPr>
        <w:t>. Boston, MA: Harvard Business School Press.</w:t>
      </w:r>
    </w:p>
    <w:p w14:paraId="3CF3AD4A" w14:textId="77777777" w:rsidR="005B2427" w:rsidRPr="005B2427" w:rsidRDefault="005B2427" w:rsidP="005B2427">
      <w:pPr>
        <w:spacing w:line="360" w:lineRule="auto"/>
        <w:jc w:val="both"/>
        <w:rPr>
          <w:rFonts w:ascii="Arial" w:hAnsi="Arial" w:cs="Arial"/>
          <w:lang w:val="en-US"/>
        </w:rPr>
      </w:pPr>
      <w:proofErr w:type="spellStart"/>
      <w:r w:rsidRPr="005B2427">
        <w:rPr>
          <w:rFonts w:ascii="Arial" w:hAnsi="Arial" w:cs="Arial"/>
          <w:lang w:val="en-US"/>
        </w:rPr>
        <w:t>Kuo</w:t>
      </w:r>
      <w:proofErr w:type="spellEnd"/>
      <w:r w:rsidRPr="005B2427">
        <w:rPr>
          <w:rFonts w:ascii="Arial" w:hAnsi="Arial" w:cs="Arial"/>
          <w:lang w:val="en-US"/>
        </w:rPr>
        <w:t xml:space="preserve">, N.T., Cheng, Y.S., Chang, K.C. and Ying, W.H. (2020) ‘Establishing a measurement scale for safety culture in the hotel industry’, </w:t>
      </w:r>
      <w:r w:rsidRPr="005B2427">
        <w:rPr>
          <w:rFonts w:ascii="Arial" w:hAnsi="Arial" w:cs="Arial"/>
          <w:i/>
          <w:iCs/>
          <w:lang w:val="en-US"/>
        </w:rPr>
        <w:t>Journal of Hospitality and Tourism Management</w:t>
      </w:r>
      <w:r w:rsidRPr="005B2427">
        <w:rPr>
          <w:rFonts w:ascii="Arial" w:hAnsi="Arial" w:cs="Arial"/>
          <w:lang w:val="en-US"/>
        </w:rPr>
        <w:t xml:space="preserve">, 42, pp.12–28. Available at: </w:t>
      </w:r>
      <w:hyperlink r:id="rId8" w:tgtFrame="_new" w:history="1">
        <w:r w:rsidRPr="005B2427">
          <w:rPr>
            <w:rStyle w:val="Hyperlink"/>
            <w:rFonts w:ascii="Arial" w:hAnsi="Arial" w:cs="Arial"/>
            <w:lang w:val="en-US"/>
          </w:rPr>
          <w:t>https://doi.org/10.1016/j.jhtm.2019.11.007</w:t>
        </w:r>
      </w:hyperlink>
      <w:r w:rsidRPr="005B2427">
        <w:rPr>
          <w:rFonts w:ascii="Arial" w:hAnsi="Arial" w:cs="Arial"/>
          <w:lang w:val="en-US"/>
        </w:rPr>
        <w:t xml:space="preserve"> (Accessed: 26 October 2025)</w:t>
      </w:r>
    </w:p>
    <w:p w14:paraId="6B4BC393" w14:textId="77777777" w:rsidR="005B2427" w:rsidRPr="005B2427" w:rsidRDefault="005B2427" w:rsidP="005B2427">
      <w:pPr>
        <w:spacing w:line="360" w:lineRule="auto"/>
        <w:jc w:val="both"/>
        <w:rPr>
          <w:rFonts w:ascii="Arial" w:hAnsi="Arial" w:cs="Arial"/>
          <w:lang w:val="en-US"/>
        </w:rPr>
      </w:pPr>
      <w:r w:rsidRPr="005B2427">
        <w:rPr>
          <w:rFonts w:ascii="Arial" w:hAnsi="Arial" w:cs="Arial"/>
          <w:lang w:val="en-US"/>
        </w:rPr>
        <w:t xml:space="preserve">Lewin, K., Lippitt, R. and White, R.K. (1939) ‘Patterns of aggressive behavior in experimentally created “social climates”’, </w:t>
      </w:r>
      <w:r w:rsidRPr="005B2427">
        <w:rPr>
          <w:rFonts w:ascii="Arial" w:hAnsi="Arial" w:cs="Arial"/>
          <w:i/>
          <w:iCs/>
          <w:lang w:val="en-US"/>
        </w:rPr>
        <w:t>The Journal of Social Psychology</w:t>
      </w:r>
      <w:r w:rsidRPr="005B2427">
        <w:rPr>
          <w:rFonts w:ascii="Arial" w:hAnsi="Arial" w:cs="Arial"/>
          <w:lang w:val="en-US"/>
        </w:rPr>
        <w:t xml:space="preserve">, 10(2), </w:t>
      </w:r>
      <w:r w:rsidRPr="005B2427">
        <w:rPr>
          <w:rFonts w:ascii="Arial" w:hAnsi="Arial" w:cs="Arial"/>
          <w:lang w:val="en-US"/>
        </w:rPr>
        <w:lastRenderedPageBreak/>
        <w:t xml:space="preserve">pp.269–299. Available at: </w:t>
      </w:r>
      <w:hyperlink r:id="rId9" w:tgtFrame="_new" w:history="1">
        <w:r w:rsidRPr="005B2427">
          <w:rPr>
            <w:rStyle w:val="Hyperlink"/>
            <w:rFonts w:ascii="Arial" w:hAnsi="Arial" w:cs="Arial"/>
            <w:lang w:val="en-US"/>
          </w:rPr>
          <w:t>https://doi.org/10.1080/00224545.1939.9713366</w:t>
        </w:r>
      </w:hyperlink>
      <w:r w:rsidRPr="005B2427">
        <w:rPr>
          <w:rFonts w:ascii="Arial" w:hAnsi="Arial" w:cs="Arial"/>
          <w:lang w:val="en-US"/>
        </w:rPr>
        <w:t xml:space="preserve"> (Accessed: 28 October 2025)</w:t>
      </w:r>
    </w:p>
    <w:p w14:paraId="549ADA7C" w14:textId="77777777" w:rsidR="005B2427" w:rsidRPr="005B2427" w:rsidRDefault="005B2427" w:rsidP="005B2427">
      <w:pPr>
        <w:spacing w:line="360" w:lineRule="auto"/>
        <w:jc w:val="both"/>
        <w:rPr>
          <w:rFonts w:ascii="Arial" w:hAnsi="Arial" w:cs="Arial"/>
          <w:lang w:val="en-US"/>
        </w:rPr>
      </w:pPr>
      <w:r w:rsidRPr="005B2427">
        <w:rPr>
          <w:rFonts w:ascii="Arial" w:hAnsi="Arial" w:cs="Arial"/>
          <w:lang w:val="en-US"/>
        </w:rPr>
        <w:t xml:space="preserve">McGregor, D. (1971) </w:t>
      </w:r>
      <w:r w:rsidRPr="005B2427">
        <w:rPr>
          <w:rFonts w:ascii="Arial" w:hAnsi="Arial" w:cs="Arial"/>
          <w:i/>
          <w:iCs/>
          <w:lang w:val="en-US"/>
        </w:rPr>
        <w:t>The human side of enterprise</w:t>
      </w:r>
      <w:r w:rsidRPr="005B2427">
        <w:rPr>
          <w:rFonts w:ascii="Arial" w:hAnsi="Arial" w:cs="Arial"/>
          <w:lang w:val="en-US"/>
        </w:rPr>
        <w:t xml:space="preserve">. Taipei: </w:t>
      </w:r>
      <w:proofErr w:type="spellStart"/>
      <w:r w:rsidRPr="005B2427">
        <w:rPr>
          <w:rFonts w:ascii="Arial" w:hAnsi="Arial" w:cs="Arial"/>
          <w:lang w:val="en-US"/>
        </w:rPr>
        <w:t>Hsin</w:t>
      </w:r>
      <w:proofErr w:type="spellEnd"/>
      <w:r w:rsidRPr="005B2427">
        <w:rPr>
          <w:rFonts w:ascii="Arial" w:hAnsi="Arial" w:cs="Arial"/>
          <w:lang w:val="en-US"/>
        </w:rPr>
        <w:t xml:space="preserve"> Lu Book Company.</w:t>
      </w:r>
    </w:p>
    <w:p w14:paraId="53BC9918" w14:textId="77777777" w:rsidR="005B2427" w:rsidRPr="005B2427" w:rsidRDefault="005B2427" w:rsidP="005B2427">
      <w:pPr>
        <w:spacing w:line="360" w:lineRule="auto"/>
        <w:jc w:val="both"/>
        <w:rPr>
          <w:rFonts w:ascii="Arial" w:hAnsi="Arial" w:cs="Arial"/>
          <w:lang w:val="en-US"/>
        </w:rPr>
      </w:pPr>
      <w:proofErr w:type="spellStart"/>
      <w:r w:rsidRPr="005B2427">
        <w:rPr>
          <w:rFonts w:ascii="Arial" w:hAnsi="Arial" w:cs="Arial"/>
          <w:lang w:val="en-US"/>
        </w:rPr>
        <w:t>Mok</w:t>
      </w:r>
      <w:proofErr w:type="spellEnd"/>
      <w:r w:rsidRPr="005B2427">
        <w:rPr>
          <w:rFonts w:ascii="Arial" w:hAnsi="Arial" w:cs="Arial"/>
          <w:lang w:val="en-US"/>
        </w:rPr>
        <w:t xml:space="preserve">, C., Sparks, B. and </w:t>
      </w:r>
      <w:proofErr w:type="spellStart"/>
      <w:r w:rsidRPr="005B2427">
        <w:rPr>
          <w:rFonts w:ascii="Arial" w:hAnsi="Arial" w:cs="Arial"/>
          <w:lang w:val="en-US"/>
        </w:rPr>
        <w:t>Kadampully</w:t>
      </w:r>
      <w:proofErr w:type="spellEnd"/>
      <w:r w:rsidRPr="005B2427">
        <w:rPr>
          <w:rFonts w:ascii="Arial" w:hAnsi="Arial" w:cs="Arial"/>
          <w:lang w:val="en-US"/>
        </w:rPr>
        <w:t xml:space="preserve">, J. (2013) </w:t>
      </w:r>
      <w:r w:rsidRPr="005B2427">
        <w:rPr>
          <w:rFonts w:ascii="Arial" w:hAnsi="Arial" w:cs="Arial"/>
          <w:i/>
          <w:iCs/>
          <w:lang w:val="en-US"/>
        </w:rPr>
        <w:t>Service quality management in hospitality, tourism, and leisure</w:t>
      </w:r>
      <w:r w:rsidRPr="005B2427">
        <w:rPr>
          <w:rFonts w:ascii="Arial" w:hAnsi="Arial" w:cs="Arial"/>
          <w:lang w:val="en-US"/>
        </w:rPr>
        <w:t xml:space="preserve">. Routledge. Available at: </w:t>
      </w:r>
      <w:hyperlink r:id="rId10" w:tgtFrame="_new" w:history="1">
        <w:r w:rsidRPr="005B2427">
          <w:rPr>
            <w:rStyle w:val="Hyperlink"/>
            <w:rFonts w:ascii="Arial" w:hAnsi="Arial" w:cs="Arial"/>
            <w:lang w:val="en-US"/>
          </w:rPr>
          <w:t>https://doi.org/10.4324/9780203047965</w:t>
        </w:r>
      </w:hyperlink>
      <w:r w:rsidRPr="005B2427">
        <w:rPr>
          <w:rFonts w:ascii="Arial" w:hAnsi="Arial" w:cs="Arial"/>
          <w:lang w:val="en-US"/>
        </w:rPr>
        <w:t xml:space="preserve"> (Accessed: 31 October 2025)</w:t>
      </w:r>
    </w:p>
    <w:p w14:paraId="054A0397" w14:textId="77777777" w:rsidR="005B2427" w:rsidRPr="005B2427" w:rsidRDefault="005B2427" w:rsidP="005B2427">
      <w:pPr>
        <w:spacing w:line="360" w:lineRule="auto"/>
        <w:jc w:val="both"/>
        <w:rPr>
          <w:rFonts w:ascii="Arial" w:hAnsi="Arial" w:cs="Arial"/>
          <w:lang w:val="en-US"/>
        </w:rPr>
      </w:pPr>
      <w:proofErr w:type="spellStart"/>
      <w:r w:rsidRPr="005B2427">
        <w:rPr>
          <w:rFonts w:ascii="Arial" w:hAnsi="Arial" w:cs="Arial"/>
          <w:lang w:val="en-US"/>
        </w:rPr>
        <w:t>Tavitiyaman</w:t>
      </w:r>
      <w:proofErr w:type="spellEnd"/>
      <w:r w:rsidRPr="005B2427">
        <w:rPr>
          <w:rFonts w:ascii="Arial" w:hAnsi="Arial" w:cs="Arial"/>
          <w:lang w:val="en-US"/>
        </w:rPr>
        <w:t xml:space="preserve">, P., </w:t>
      </w:r>
      <w:proofErr w:type="spellStart"/>
      <w:r w:rsidRPr="005B2427">
        <w:rPr>
          <w:rFonts w:ascii="Arial" w:hAnsi="Arial" w:cs="Arial"/>
          <w:lang w:val="en-US"/>
        </w:rPr>
        <w:t>Tsui</w:t>
      </w:r>
      <w:proofErr w:type="spellEnd"/>
      <w:r w:rsidRPr="005B2427">
        <w:rPr>
          <w:rFonts w:ascii="Arial" w:hAnsi="Arial" w:cs="Arial"/>
          <w:lang w:val="en-US"/>
        </w:rPr>
        <w:t xml:space="preserve">, B., Chan, C.L.F. and </w:t>
      </w:r>
      <w:proofErr w:type="spellStart"/>
      <w:r w:rsidRPr="005B2427">
        <w:rPr>
          <w:rFonts w:ascii="Arial" w:hAnsi="Arial" w:cs="Arial"/>
          <w:lang w:val="en-US"/>
        </w:rPr>
        <w:t>Miu</w:t>
      </w:r>
      <w:proofErr w:type="spellEnd"/>
      <w:r w:rsidRPr="005B2427">
        <w:rPr>
          <w:rFonts w:ascii="Arial" w:hAnsi="Arial" w:cs="Arial"/>
          <w:lang w:val="en-US"/>
        </w:rPr>
        <w:t xml:space="preserve">, H.W. (2022) ‘Employee productivity of hotel room attendants: an input–output perspective’, </w:t>
      </w:r>
      <w:r w:rsidRPr="005B2427">
        <w:rPr>
          <w:rFonts w:ascii="Arial" w:hAnsi="Arial" w:cs="Arial"/>
          <w:i/>
          <w:iCs/>
          <w:lang w:val="en-US"/>
        </w:rPr>
        <w:t>International Journal of Hospitality &amp; Tourism Administration</w:t>
      </w:r>
      <w:r w:rsidRPr="005B2427">
        <w:rPr>
          <w:rFonts w:ascii="Arial" w:hAnsi="Arial" w:cs="Arial"/>
          <w:lang w:val="en-US"/>
        </w:rPr>
        <w:t xml:space="preserve">, 23(5), pp.959–986. Available at: </w:t>
      </w:r>
      <w:hyperlink r:id="rId11" w:tgtFrame="_new" w:history="1">
        <w:r w:rsidRPr="005B2427">
          <w:rPr>
            <w:rStyle w:val="Hyperlink"/>
            <w:rFonts w:ascii="Arial" w:hAnsi="Arial" w:cs="Arial"/>
            <w:lang w:val="en-US"/>
          </w:rPr>
          <w:t>https://doi.org/10.1080/15256480.2021.1881941</w:t>
        </w:r>
      </w:hyperlink>
      <w:r w:rsidRPr="005B2427">
        <w:rPr>
          <w:rFonts w:ascii="Arial" w:hAnsi="Arial" w:cs="Arial"/>
          <w:lang w:val="en-US"/>
        </w:rPr>
        <w:t xml:space="preserve"> (Accessed: 2 November 2025)</w:t>
      </w:r>
    </w:p>
    <w:p w14:paraId="0378717B" w14:textId="77777777" w:rsidR="005B2427" w:rsidRPr="005B2427" w:rsidRDefault="005B2427" w:rsidP="005B2427">
      <w:pPr>
        <w:spacing w:line="360" w:lineRule="auto"/>
        <w:jc w:val="both"/>
        <w:rPr>
          <w:rFonts w:ascii="Arial" w:hAnsi="Arial" w:cs="Arial"/>
          <w:lang w:val="en-US"/>
        </w:rPr>
      </w:pPr>
      <w:r w:rsidRPr="005B2427">
        <w:rPr>
          <w:rFonts w:ascii="Arial" w:hAnsi="Arial" w:cs="Arial"/>
          <w:lang w:val="en-US"/>
        </w:rPr>
        <w:t xml:space="preserve">University of Wales Trinity Saint David (2023) </w:t>
      </w:r>
      <w:r w:rsidRPr="005B2427">
        <w:rPr>
          <w:rFonts w:ascii="Arial" w:hAnsi="Arial" w:cs="Arial"/>
          <w:i/>
          <w:iCs/>
          <w:lang w:val="en-US"/>
        </w:rPr>
        <w:t>BMIH5004 – Groups and teams: Week 8 lecture slides</w:t>
      </w:r>
      <w:r w:rsidRPr="005B2427">
        <w:rPr>
          <w:rFonts w:ascii="Arial" w:hAnsi="Arial" w:cs="Arial"/>
          <w:lang w:val="en-US"/>
        </w:rPr>
        <w:t xml:space="preserve">. Management and </w:t>
      </w:r>
      <w:proofErr w:type="spellStart"/>
      <w:r w:rsidRPr="005B2427">
        <w:rPr>
          <w:rFonts w:ascii="Arial" w:hAnsi="Arial" w:cs="Arial"/>
          <w:lang w:val="en-US"/>
        </w:rPr>
        <w:t>Organisational</w:t>
      </w:r>
      <w:proofErr w:type="spellEnd"/>
      <w:r w:rsidRPr="005B2427">
        <w:rPr>
          <w:rFonts w:ascii="Arial" w:hAnsi="Arial" w:cs="Arial"/>
          <w:lang w:val="en-US"/>
        </w:rPr>
        <w:t xml:space="preserve"> </w:t>
      </w:r>
      <w:proofErr w:type="spellStart"/>
      <w:r w:rsidRPr="005B2427">
        <w:rPr>
          <w:rFonts w:ascii="Arial" w:hAnsi="Arial" w:cs="Arial"/>
          <w:lang w:val="en-US"/>
        </w:rPr>
        <w:t>Behaviour</w:t>
      </w:r>
      <w:proofErr w:type="spellEnd"/>
      <w:r w:rsidRPr="005B2427">
        <w:rPr>
          <w:rFonts w:ascii="Arial" w:hAnsi="Arial" w:cs="Arial"/>
          <w:lang w:val="en-US"/>
        </w:rPr>
        <w:t xml:space="preserve"> (Level 5). Unpublished internal teaching material, University of Wales Trinity Saint David, Wales.</w:t>
      </w:r>
    </w:p>
    <w:p w14:paraId="3EA622F2" w14:textId="77777777" w:rsidR="005B2427" w:rsidRPr="005B2427" w:rsidRDefault="005B2427" w:rsidP="005B2427">
      <w:pPr>
        <w:spacing w:line="360" w:lineRule="auto"/>
        <w:jc w:val="both"/>
        <w:rPr>
          <w:rFonts w:ascii="Arial" w:hAnsi="Arial" w:cs="Arial"/>
          <w:lang w:val="en-US"/>
        </w:rPr>
      </w:pPr>
      <w:r w:rsidRPr="005B2427">
        <w:rPr>
          <w:rFonts w:ascii="Arial" w:hAnsi="Arial" w:cs="Arial"/>
          <w:lang w:val="en-US"/>
        </w:rPr>
        <w:t xml:space="preserve">University of Wales Trinity Saint David (2023) </w:t>
      </w:r>
      <w:r w:rsidRPr="005B2427">
        <w:rPr>
          <w:rFonts w:ascii="Arial" w:hAnsi="Arial" w:cs="Arial"/>
          <w:i/>
          <w:lang w:val="en-US"/>
        </w:rPr>
        <w:t xml:space="preserve">BMIH5004 – Leadership styles, managerial </w:t>
      </w:r>
      <w:proofErr w:type="spellStart"/>
      <w:r w:rsidRPr="005B2427">
        <w:rPr>
          <w:rFonts w:ascii="Arial" w:hAnsi="Arial" w:cs="Arial"/>
          <w:i/>
          <w:lang w:val="en-US"/>
        </w:rPr>
        <w:t>behaviour</w:t>
      </w:r>
      <w:proofErr w:type="spellEnd"/>
      <w:r w:rsidRPr="005B2427">
        <w:rPr>
          <w:rFonts w:ascii="Arial" w:hAnsi="Arial" w:cs="Arial"/>
          <w:i/>
          <w:lang w:val="en-US"/>
        </w:rPr>
        <w:t xml:space="preserve"> and effectiveness: Week 3 lecture slides</w:t>
      </w:r>
      <w:r w:rsidRPr="005B2427">
        <w:rPr>
          <w:rFonts w:ascii="Arial" w:hAnsi="Arial" w:cs="Arial"/>
          <w:lang w:val="en-US"/>
        </w:rPr>
        <w:t xml:space="preserve">. Management and </w:t>
      </w:r>
      <w:proofErr w:type="spellStart"/>
      <w:r w:rsidRPr="005B2427">
        <w:rPr>
          <w:rFonts w:ascii="Arial" w:hAnsi="Arial" w:cs="Arial"/>
          <w:lang w:val="en-US"/>
        </w:rPr>
        <w:t>Organisational</w:t>
      </w:r>
      <w:proofErr w:type="spellEnd"/>
      <w:r w:rsidRPr="005B2427">
        <w:rPr>
          <w:rFonts w:ascii="Arial" w:hAnsi="Arial" w:cs="Arial"/>
          <w:lang w:val="en-US"/>
        </w:rPr>
        <w:t xml:space="preserve"> </w:t>
      </w:r>
      <w:proofErr w:type="spellStart"/>
      <w:r w:rsidRPr="005B2427">
        <w:rPr>
          <w:rFonts w:ascii="Arial" w:hAnsi="Arial" w:cs="Arial"/>
          <w:lang w:val="en-US"/>
        </w:rPr>
        <w:t>Behaviour</w:t>
      </w:r>
      <w:proofErr w:type="spellEnd"/>
      <w:r w:rsidRPr="005B2427">
        <w:rPr>
          <w:rFonts w:ascii="Arial" w:hAnsi="Arial" w:cs="Arial"/>
          <w:lang w:val="en-US"/>
        </w:rPr>
        <w:t xml:space="preserve"> (Level 5). Unpublished internal teaching material, University of Wales Trinity Saint David, Wales.</w:t>
      </w:r>
    </w:p>
    <w:p w14:paraId="06977EA6" w14:textId="77777777" w:rsidR="005B2427" w:rsidRPr="005B2427" w:rsidRDefault="005B2427" w:rsidP="005B2427">
      <w:pPr>
        <w:spacing w:line="360" w:lineRule="auto"/>
        <w:jc w:val="both"/>
        <w:rPr>
          <w:rFonts w:ascii="Arial" w:hAnsi="Arial" w:cs="Arial"/>
          <w:lang w:val="en-US"/>
        </w:rPr>
      </w:pPr>
      <w:r w:rsidRPr="005B2427">
        <w:rPr>
          <w:rFonts w:ascii="Arial" w:hAnsi="Arial" w:cs="Arial"/>
          <w:lang w:val="en-US"/>
        </w:rPr>
        <w:t xml:space="preserve">University of Wales Trinity Saint David (2023) </w:t>
      </w:r>
      <w:r w:rsidRPr="005B2427">
        <w:rPr>
          <w:rFonts w:ascii="Arial" w:hAnsi="Arial" w:cs="Arial"/>
          <w:i/>
          <w:iCs/>
          <w:lang w:val="en-US"/>
        </w:rPr>
        <w:t>BMIH5004 – Managing change: Week 6 lecture slides</w:t>
      </w:r>
      <w:r w:rsidRPr="005B2427">
        <w:rPr>
          <w:rFonts w:ascii="Arial" w:hAnsi="Arial" w:cs="Arial"/>
          <w:lang w:val="en-US"/>
        </w:rPr>
        <w:t xml:space="preserve">. Management and </w:t>
      </w:r>
      <w:proofErr w:type="spellStart"/>
      <w:r w:rsidRPr="005B2427">
        <w:rPr>
          <w:rFonts w:ascii="Arial" w:hAnsi="Arial" w:cs="Arial"/>
          <w:lang w:val="en-US"/>
        </w:rPr>
        <w:t>Organisational</w:t>
      </w:r>
      <w:proofErr w:type="spellEnd"/>
      <w:r w:rsidRPr="005B2427">
        <w:rPr>
          <w:rFonts w:ascii="Arial" w:hAnsi="Arial" w:cs="Arial"/>
          <w:lang w:val="en-US"/>
        </w:rPr>
        <w:t xml:space="preserve"> </w:t>
      </w:r>
      <w:proofErr w:type="spellStart"/>
      <w:r w:rsidRPr="005B2427">
        <w:rPr>
          <w:rFonts w:ascii="Arial" w:hAnsi="Arial" w:cs="Arial"/>
          <w:lang w:val="en-US"/>
        </w:rPr>
        <w:t>Behaviour</w:t>
      </w:r>
      <w:proofErr w:type="spellEnd"/>
      <w:r w:rsidRPr="005B2427">
        <w:rPr>
          <w:rFonts w:ascii="Arial" w:hAnsi="Arial" w:cs="Arial"/>
          <w:lang w:val="en-US"/>
        </w:rPr>
        <w:t xml:space="preserve"> (Level 5). Unpublished internal teaching material, University of Wales Trinity Saint David, Wales.</w:t>
      </w:r>
    </w:p>
    <w:p w14:paraId="7CE26CE2" w14:textId="77777777" w:rsidR="005B2427" w:rsidRPr="005B2427" w:rsidRDefault="005B2427" w:rsidP="005B2427">
      <w:pPr>
        <w:spacing w:line="360" w:lineRule="auto"/>
        <w:jc w:val="both"/>
        <w:rPr>
          <w:rFonts w:ascii="Arial" w:hAnsi="Arial" w:cs="Arial"/>
          <w:lang w:val="en-US"/>
        </w:rPr>
      </w:pPr>
      <w:r w:rsidRPr="005B2427">
        <w:rPr>
          <w:rFonts w:ascii="Arial" w:hAnsi="Arial" w:cs="Arial"/>
          <w:lang w:val="en-US"/>
        </w:rPr>
        <w:t xml:space="preserve">University of Wales Trinity Saint David (2023) </w:t>
      </w:r>
      <w:r w:rsidRPr="005B2427">
        <w:rPr>
          <w:rFonts w:ascii="Arial" w:hAnsi="Arial" w:cs="Arial"/>
          <w:i/>
          <w:iCs/>
          <w:lang w:val="en-US"/>
        </w:rPr>
        <w:t>BMIH5004 – Module introduction and overview: Week 1 lecture slides</w:t>
      </w:r>
      <w:r w:rsidRPr="005B2427">
        <w:rPr>
          <w:rFonts w:ascii="Arial" w:hAnsi="Arial" w:cs="Arial"/>
          <w:lang w:val="en-US"/>
        </w:rPr>
        <w:t xml:space="preserve">. Management and </w:t>
      </w:r>
      <w:proofErr w:type="spellStart"/>
      <w:r w:rsidRPr="005B2427">
        <w:rPr>
          <w:rFonts w:ascii="Arial" w:hAnsi="Arial" w:cs="Arial"/>
          <w:lang w:val="en-US"/>
        </w:rPr>
        <w:t>Organisational</w:t>
      </w:r>
      <w:proofErr w:type="spellEnd"/>
      <w:r w:rsidRPr="005B2427">
        <w:rPr>
          <w:rFonts w:ascii="Arial" w:hAnsi="Arial" w:cs="Arial"/>
          <w:lang w:val="en-US"/>
        </w:rPr>
        <w:t xml:space="preserve"> </w:t>
      </w:r>
      <w:proofErr w:type="spellStart"/>
      <w:r w:rsidRPr="005B2427">
        <w:rPr>
          <w:rFonts w:ascii="Arial" w:hAnsi="Arial" w:cs="Arial"/>
          <w:lang w:val="en-US"/>
        </w:rPr>
        <w:t>Behaviour</w:t>
      </w:r>
      <w:proofErr w:type="spellEnd"/>
      <w:r w:rsidRPr="005B2427">
        <w:rPr>
          <w:rFonts w:ascii="Arial" w:hAnsi="Arial" w:cs="Arial"/>
          <w:lang w:val="en-US"/>
        </w:rPr>
        <w:t xml:space="preserve"> (Level 5). Unpublished internal teaching material, University of Wales Trinity Saint David, Wales.</w:t>
      </w:r>
    </w:p>
    <w:p w14:paraId="15781E5A" w14:textId="77777777" w:rsidR="005B2427" w:rsidRPr="005B2427" w:rsidRDefault="005B2427" w:rsidP="005B2427">
      <w:pPr>
        <w:spacing w:line="360" w:lineRule="auto"/>
        <w:jc w:val="both"/>
        <w:rPr>
          <w:rFonts w:ascii="Arial" w:hAnsi="Arial" w:cs="Arial"/>
          <w:lang w:val="en-US"/>
        </w:rPr>
      </w:pPr>
      <w:r w:rsidRPr="005B2427">
        <w:rPr>
          <w:rFonts w:ascii="Arial" w:hAnsi="Arial" w:cs="Arial"/>
          <w:lang w:val="en-US"/>
        </w:rPr>
        <w:t xml:space="preserve">University of Wales Trinity Saint David (2023) </w:t>
      </w:r>
      <w:r w:rsidRPr="005B2427">
        <w:rPr>
          <w:rFonts w:ascii="Arial" w:hAnsi="Arial" w:cs="Arial"/>
          <w:i/>
          <w:iCs/>
          <w:lang w:val="en-US"/>
        </w:rPr>
        <w:t xml:space="preserve">BMIH5004 – </w:t>
      </w:r>
      <w:proofErr w:type="spellStart"/>
      <w:r w:rsidRPr="005B2427">
        <w:rPr>
          <w:rFonts w:ascii="Arial" w:hAnsi="Arial" w:cs="Arial"/>
          <w:i/>
          <w:iCs/>
          <w:lang w:val="en-US"/>
        </w:rPr>
        <w:t>Organisations</w:t>
      </w:r>
      <w:proofErr w:type="spellEnd"/>
      <w:r w:rsidRPr="005B2427">
        <w:rPr>
          <w:rFonts w:ascii="Arial" w:hAnsi="Arial" w:cs="Arial"/>
          <w:i/>
          <w:iCs/>
          <w:lang w:val="en-US"/>
        </w:rPr>
        <w:t xml:space="preserve"> and the role of the manager: leadership overview – Final Week 2 lecture slides</w:t>
      </w:r>
      <w:r w:rsidRPr="005B2427">
        <w:rPr>
          <w:rFonts w:ascii="Arial" w:hAnsi="Arial" w:cs="Arial"/>
          <w:lang w:val="en-US"/>
        </w:rPr>
        <w:t xml:space="preserve">. Management and </w:t>
      </w:r>
      <w:proofErr w:type="spellStart"/>
      <w:r w:rsidRPr="005B2427">
        <w:rPr>
          <w:rFonts w:ascii="Arial" w:hAnsi="Arial" w:cs="Arial"/>
          <w:lang w:val="en-US"/>
        </w:rPr>
        <w:t>Organisational</w:t>
      </w:r>
      <w:proofErr w:type="spellEnd"/>
      <w:r w:rsidRPr="005B2427">
        <w:rPr>
          <w:rFonts w:ascii="Arial" w:hAnsi="Arial" w:cs="Arial"/>
          <w:lang w:val="en-US"/>
        </w:rPr>
        <w:t xml:space="preserve"> </w:t>
      </w:r>
      <w:proofErr w:type="spellStart"/>
      <w:r w:rsidRPr="005B2427">
        <w:rPr>
          <w:rFonts w:ascii="Arial" w:hAnsi="Arial" w:cs="Arial"/>
          <w:lang w:val="en-US"/>
        </w:rPr>
        <w:t>Behaviour</w:t>
      </w:r>
      <w:proofErr w:type="spellEnd"/>
      <w:r w:rsidRPr="005B2427">
        <w:rPr>
          <w:rFonts w:ascii="Arial" w:hAnsi="Arial" w:cs="Arial"/>
          <w:lang w:val="en-US"/>
        </w:rPr>
        <w:t xml:space="preserve"> (Level 5). Unpublished internal teaching material, University of Wales Trinity Saint David, Wales.</w:t>
      </w:r>
    </w:p>
    <w:p w14:paraId="3C312D1A" w14:textId="77777777" w:rsidR="005B2427" w:rsidRPr="005B2427" w:rsidRDefault="005B2427" w:rsidP="005B2427">
      <w:pPr>
        <w:spacing w:line="360" w:lineRule="auto"/>
        <w:jc w:val="both"/>
        <w:rPr>
          <w:rFonts w:ascii="Arial" w:hAnsi="Arial" w:cs="Arial"/>
          <w:lang w:val="en-US"/>
        </w:rPr>
      </w:pPr>
      <w:r w:rsidRPr="005B2427">
        <w:rPr>
          <w:rFonts w:ascii="Arial" w:hAnsi="Arial" w:cs="Arial"/>
          <w:lang w:val="en-US"/>
        </w:rPr>
        <w:lastRenderedPageBreak/>
        <w:t xml:space="preserve">University of Wales Trinity Saint David (2023) </w:t>
      </w:r>
      <w:r w:rsidRPr="005B2427">
        <w:rPr>
          <w:rFonts w:ascii="Arial" w:hAnsi="Arial" w:cs="Arial"/>
          <w:i/>
          <w:lang w:val="en-US"/>
        </w:rPr>
        <w:t xml:space="preserve">BMIH5004 – </w:t>
      </w:r>
      <w:proofErr w:type="spellStart"/>
      <w:r w:rsidRPr="005B2427">
        <w:rPr>
          <w:rFonts w:ascii="Arial" w:hAnsi="Arial" w:cs="Arial"/>
          <w:i/>
          <w:lang w:val="en-US"/>
        </w:rPr>
        <w:t>Organisational</w:t>
      </w:r>
      <w:proofErr w:type="spellEnd"/>
      <w:r w:rsidRPr="005B2427">
        <w:rPr>
          <w:rFonts w:ascii="Arial" w:hAnsi="Arial" w:cs="Arial"/>
          <w:i/>
          <w:lang w:val="en-US"/>
        </w:rPr>
        <w:t xml:space="preserve"> structures and design: Week 4 lecture slides</w:t>
      </w:r>
      <w:r w:rsidRPr="005B2427">
        <w:rPr>
          <w:rFonts w:ascii="Arial" w:hAnsi="Arial" w:cs="Arial"/>
          <w:lang w:val="en-US"/>
        </w:rPr>
        <w:t xml:space="preserve">. Management and </w:t>
      </w:r>
      <w:proofErr w:type="spellStart"/>
      <w:r w:rsidRPr="005B2427">
        <w:rPr>
          <w:rFonts w:ascii="Arial" w:hAnsi="Arial" w:cs="Arial"/>
          <w:lang w:val="en-US"/>
        </w:rPr>
        <w:t>Organisational</w:t>
      </w:r>
      <w:proofErr w:type="spellEnd"/>
      <w:r w:rsidRPr="005B2427">
        <w:rPr>
          <w:rFonts w:ascii="Arial" w:hAnsi="Arial" w:cs="Arial"/>
          <w:lang w:val="en-US"/>
        </w:rPr>
        <w:t xml:space="preserve"> </w:t>
      </w:r>
      <w:proofErr w:type="spellStart"/>
      <w:r w:rsidRPr="005B2427">
        <w:rPr>
          <w:rFonts w:ascii="Arial" w:hAnsi="Arial" w:cs="Arial"/>
          <w:lang w:val="en-US"/>
        </w:rPr>
        <w:t>Behaviour</w:t>
      </w:r>
      <w:proofErr w:type="spellEnd"/>
      <w:r w:rsidRPr="005B2427">
        <w:rPr>
          <w:rFonts w:ascii="Arial" w:hAnsi="Arial" w:cs="Arial"/>
          <w:lang w:val="en-US"/>
        </w:rPr>
        <w:t xml:space="preserve"> (Level 5). Unpublished internal teaching material, University of Wales Trinity Saint David, Wales.</w:t>
      </w:r>
    </w:p>
    <w:p w14:paraId="459C0015" w14:textId="77777777" w:rsidR="005B2427" w:rsidRPr="005B2427" w:rsidRDefault="005B2427" w:rsidP="005B2427">
      <w:pPr>
        <w:spacing w:line="360" w:lineRule="auto"/>
        <w:jc w:val="both"/>
        <w:rPr>
          <w:rFonts w:ascii="Arial" w:hAnsi="Arial" w:cs="Arial"/>
          <w:lang w:val="en-US"/>
        </w:rPr>
      </w:pPr>
      <w:r w:rsidRPr="005B2427">
        <w:rPr>
          <w:rFonts w:ascii="Arial" w:hAnsi="Arial" w:cs="Arial"/>
          <w:lang w:val="en-US"/>
        </w:rPr>
        <w:t xml:space="preserve">University of Wales Trinity Saint David (2023) </w:t>
      </w:r>
      <w:r w:rsidRPr="005B2427">
        <w:rPr>
          <w:rFonts w:ascii="Arial" w:hAnsi="Arial" w:cs="Arial"/>
          <w:i/>
          <w:lang w:val="en-US"/>
        </w:rPr>
        <w:t xml:space="preserve">BMIH5004 – </w:t>
      </w:r>
      <w:proofErr w:type="spellStart"/>
      <w:r w:rsidRPr="005B2427">
        <w:rPr>
          <w:rFonts w:ascii="Arial" w:hAnsi="Arial" w:cs="Arial"/>
          <w:i/>
          <w:lang w:val="en-US"/>
        </w:rPr>
        <w:t>Organisational</w:t>
      </w:r>
      <w:proofErr w:type="spellEnd"/>
      <w:r w:rsidRPr="005B2427">
        <w:rPr>
          <w:rFonts w:ascii="Arial" w:hAnsi="Arial" w:cs="Arial"/>
          <w:i/>
          <w:lang w:val="en-US"/>
        </w:rPr>
        <w:t xml:space="preserve"> culture and strategic management: Final Week 5 lecture slides</w:t>
      </w:r>
      <w:r w:rsidRPr="005B2427">
        <w:rPr>
          <w:rFonts w:ascii="Arial" w:hAnsi="Arial" w:cs="Arial"/>
          <w:lang w:val="en-US"/>
        </w:rPr>
        <w:t xml:space="preserve">. Management and </w:t>
      </w:r>
      <w:proofErr w:type="spellStart"/>
      <w:r w:rsidRPr="005B2427">
        <w:rPr>
          <w:rFonts w:ascii="Arial" w:hAnsi="Arial" w:cs="Arial"/>
          <w:lang w:val="en-US"/>
        </w:rPr>
        <w:t>Organisational</w:t>
      </w:r>
      <w:proofErr w:type="spellEnd"/>
      <w:r w:rsidRPr="005B2427">
        <w:rPr>
          <w:rFonts w:ascii="Arial" w:hAnsi="Arial" w:cs="Arial"/>
          <w:lang w:val="en-US"/>
        </w:rPr>
        <w:t xml:space="preserve"> </w:t>
      </w:r>
      <w:proofErr w:type="spellStart"/>
      <w:r w:rsidRPr="005B2427">
        <w:rPr>
          <w:rFonts w:ascii="Arial" w:hAnsi="Arial" w:cs="Arial"/>
          <w:lang w:val="en-US"/>
        </w:rPr>
        <w:t>Behaviour</w:t>
      </w:r>
      <w:proofErr w:type="spellEnd"/>
      <w:r w:rsidRPr="005B2427">
        <w:rPr>
          <w:rFonts w:ascii="Arial" w:hAnsi="Arial" w:cs="Arial"/>
          <w:lang w:val="en-US"/>
        </w:rPr>
        <w:t xml:space="preserve"> (Level 5). Unpublished internal teaching material, University of Wales Trinity Saint David, Wales.</w:t>
      </w:r>
    </w:p>
    <w:p w14:paraId="0CBC03F8" w14:textId="77777777" w:rsidR="005B2427" w:rsidRPr="005B2427" w:rsidRDefault="005B2427" w:rsidP="005B2427">
      <w:pPr>
        <w:spacing w:line="360" w:lineRule="auto"/>
        <w:jc w:val="both"/>
        <w:rPr>
          <w:rFonts w:ascii="Arial" w:hAnsi="Arial" w:cs="Arial"/>
          <w:lang w:val="en-US"/>
        </w:rPr>
      </w:pPr>
      <w:proofErr w:type="spellStart"/>
      <w:r w:rsidRPr="005B2427">
        <w:rPr>
          <w:rFonts w:ascii="Arial" w:hAnsi="Arial" w:cs="Arial"/>
          <w:lang w:val="en-US"/>
        </w:rPr>
        <w:t>Völker</w:t>
      </w:r>
      <w:proofErr w:type="spellEnd"/>
      <w:r w:rsidRPr="005B2427">
        <w:rPr>
          <w:rFonts w:ascii="Arial" w:hAnsi="Arial" w:cs="Arial"/>
          <w:lang w:val="en-US"/>
        </w:rPr>
        <w:t xml:space="preserve">, J., </w:t>
      </w:r>
      <w:proofErr w:type="spellStart"/>
      <w:r w:rsidRPr="005B2427">
        <w:rPr>
          <w:rFonts w:ascii="Arial" w:hAnsi="Arial" w:cs="Arial"/>
          <w:lang w:val="en-US"/>
        </w:rPr>
        <w:t>Blal</w:t>
      </w:r>
      <w:proofErr w:type="spellEnd"/>
      <w:r w:rsidRPr="005B2427">
        <w:rPr>
          <w:rFonts w:ascii="Arial" w:hAnsi="Arial" w:cs="Arial"/>
          <w:lang w:val="en-US"/>
        </w:rPr>
        <w:t xml:space="preserve">, I. and </w:t>
      </w:r>
      <w:proofErr w:type="spellStart"/>
      <w:r w:rsidRPr="005B2427">
        <w:rPr>
          <w:rFonts w:ascii="Arial" w:hAnsi="Arial" w:cs="Arial"/>
          <w:lang w:val="en-US"/>
        </w:rPr>
        <w:t>Mortillaro</w:t>
      </w:r>
      <w:proofErr w:type="spellEnd"/>
      <w:r w:rsidRPr="005B2427">
        <w:rPr>
          <w:rFonts w:ascii="Arial" w:hAnsi="Arial" w:cs="Arial"/>
          <w:lang w:val="en-US"/>
        </w:rPr>
        <w:t xml:space="preserve">, M. (2023) ‘Emotional intelligence matters in hospitality education’, </w:t>
      </w:r>
      <w:r w:rsidRPr="005B2427">
        <w:rPr>
          <w:rFonts w:ascii="Arial" w:hAnsi="Arial" w:cs="Arial"/>
          <w:i/>
          <w:iCs/>
          <w:lang w:val="en-US"/>
        </w:rPr>
        <w:t>Frontiers in Psychology</w:t>
      </w:r>
      <w:r w:rsidRPr="005B2427">
        <w:rPr>
          <w:rFonts w:ascii="Arial" w:hAnsi="Arial" w:cs="Arial"/>
          <w:lang w:val="en-US"/>
        </w:rPr>
        <w:t xml:space="preserve">, 14. Available at: </w:t>
      </w:r>
      <w:hyperlink r:id="rId12" w:tgtFrame="_new" w:history="1">
        <w:r w:rsidRPr="005B2427">
          <w:rPr>
            <w:rStyle w:val="Hyperlink"/>
            <w:rFonts w:ascii="Arial" w:hAnsi="Arial" w:cs="Arial"/>
            <w:lang w:val="en-US"/>
          </w:rPr>
          <w:t>https://doi.org/10.3389/fpsyg.2023.1148863</w:t>
        </w:r>
      </w:hyperlink>
      <w:r w:rsidRPr="005B2427">
        <w:rPr>
          <w:rFonts w:ascii="Arial" w:hAnsi="Arial" w:cs="Arial"/>
          <w:lang w:val="en-US"/>
        </w:rPr>
        <w:t xml:space="preserve"> (Accessed: 4 November 2025)</w:t>
      </w:r>
    </w:p>
    <w:p w14:paraId="23F0E882" w14:textId="77777777" w:rsidR="005B2427" w:rsidRPr="005B2427" w:rsidRDefault="005B2427" w:rsidP="005B2427">
      <w:pPr>
        <w:spacing w:line="360" w:lineRule="auto"/>
        <w:jc w:val="both"/>
        <w:rPr>
          <w:rFonts w:ascii="Arial" w:hAnsi="Arial" w:cs="Arial"/>
          <w:lang w:val="en-US"/>
        </w:rPr>
      </w:pPr>
    </w:p>
    <w:p w14:paraId="6C148B88" w14:textId="77777777" w:rsidR="005B2427" w:rsidRPr="005B2427" w:rsidRDefault="005B2427" w:rsidP="005B2427">
      <w:pPr>
        <w:spacing w:line="360" w:lineRule="auto"/>
        <w:jc w:val="both"/>
        <w:rPr>
          <w:rFonts w:ascii="Arial" w:hAnsi="Arial" w:cs="Arial"/>
        </w:rPr>
      </w:pPr>
    </w:p>
    <w:p w14:paraId="6835BB19" w14:textId="43375122" w:rsidR="00916EEC" w:rsidRPr="005B2427" w:rsidRDefault="00916EEC" w:rsidP="00916EEC">
      <w:pPr>
        <w:spacing w:line="360" w:lineRule="auto"/>
        <w:rPr>
          <w:rFonts w:ascii="Arial" w:hAnsi="Arial" w:cs="Arial"/>
        </w:rPr>
      </w:pPr>
    </w:p>
    <w:p w14:paraId="3C306E67" w14:textId="29083239" w:rsidR="005B2427" w:rsidRPr="005B2427" w:rsidRDefault="005B2427" w:rsidP="00916EEC">
      <w:pPr>
        <w:spacing w:line="360" w:lineRule="auto"/>
        <w:rPr>
          <w:rFonts w:ascii="Arial" w:hAnsi="Arial" w:cs="Arial"/>
        </w:rPr>
      </w:pPr>
    </w:p>
    <w:p w14:paraId="3A7B6F27" w14:textId="2C63F8B8" w:rsidR="005B2427" w:rsidRPr="005B2427" w:rsidRDefault="005B2427" w:rsidP="00916EEC">
      <w:pPr>
        <w:spacing w:line="360" w:lineRule="auto"/>
        <w:rPr>
          <w:rFonts w:ascii="Arial" w:hAnsi="Arial" w:cs="Arial"/>
        </w:rPr>
      </w:pPr>
    </w:p>
    <w:p w14:paraId="1249849C" w14:textId="29711F61" w:rsidR="005B2427" w:rsidRPr="005B2427" w:rsidRDefault="005B2427" w:rsidP="00916EEC">
      <w:pPr>
        <w:spacing w:line="360" w:lineRule="auto"/>
        <w:rPr>
          <w:rFonts w:ascii="Arial" w:hAnsi="Arial" w:cs="Arial"/>
        </w:rPr>
      </w:pPr>
    </w:p>
    <w:p w14:paraId="73CD8362" w14:textId="2E363AD1" w:rsidR="005B2427" w:rsidRPr="005B2427" w:rsidRDefault="005B2427" w:rsidP="00916EEC">
      <w:pPr>
        <w:spacing w:line="360" w:lineRule="auto"/>
        <w:rPr>
          <w:rFonts w:ascii="Arial" w:hAnsi="Arial" w:cs="Arial"/>
        </w:rPr>
      </w:pPr>
    </w:p>
    <w:p w14:paraId="717B3346" w14:textId="1E6AEBFC" w:rsidR="005B2427" w:rsidRPr="005B2427" w:rsidRDefault="005B2427" w:rsidP="00916EEC">
      <w:pPr>
        <w:spacing w:line="360" w:lineRule="auto"/>
        <w:rPr>
          <w:rFonts w:ascii="Arial" w:hAnsi="Arial" w:cs="Arial"/>
        </w:rPr>
      </w:pPr>
    </w:p>
    <w:p w14:paraId="06EBD73A" w14:textId="20AC73C9" w:rsidR="005B2427" w:rsidRPr="005B2427" w:rsidRDefault="005B2427" w:rsidP="00916EEC">
      <w:pPr>
        <w:spacing w:line="360" w:lineRule="auto"/>
        <w:rPr>
          <w:rFonts w:ascii="Arial" w:hAnsi="Arial" w:cs="Arial"/>
        </w:rPr>
      </w:pPr>
    </w:p>
    <w:p w14:paraId="12E2A3D7" w14:textId="1BB41CF7" w:rsidR="005B2427" w:rsidRPr="005B2427" w:rsidRDefault="005B2427" w:rsidP="00916EEC">
      <w:pPr>
        <w:spacing w:line="360" w:lineRule="auto"/>
        <w:rPr>
          <w:rFonts w:ascii="Arial" w:hAnsi="Arial" w:cs="Arial"/>
        </w:rPr>
      </w:pPr>
    </w:p>
    <w:p w14:paraId="67C7E980" w14:textId="7B55AF0F" w:rsidR="005B2427" w:rsidRPr="005B2427" w:rsidRDefault="005B2427" w:rsidP="00916EEC">
      <w:pPr>
        <w:spacing w:line="360" w:lineRule="auto"/>
        <w:rPr>
          <w:rFonts w:ascii="Arial" w:hAnsi="Arial" w:cs="Arial"/>
        </w:rPr>
      </w:pPr>
    </w:p>
    <w:p w14:paraId="2129D14E" w14:textId="5C4F64BE" w:rsidR="005B2427" w:rsidRPr="005B2427" w:rsidRDefault="005B2427" w:rsidP="00916EEC">
      <w:pPr>
        <w:spacing w:line="360" w:lineRule="auto"/>
        <w:rPr>
          <w:rFonts w:ascii="Arial" w:hAnsi="Arial" w:cs="Arial"/>
        </w:rPr>
      </w:pPr>
    </w:p>
    <w:p w14:paraId="6CD8AAD5" w14:textId="4F1E971A" w:rsidR="005B2427" w:rsidRPr="005B2427" w:rsidRDefault="005B2427" w:rsidP="00916EEC">
      <w:pPr>
        <w:spacing w:line="360" w:lineRule="auto"/>
        <w:rPr>
          <w:rFonts w:ascii="Arial" w:hAnsi="Arial" w:cs="Arial"/>
        </w:rPr>
      </w:pPr>
    </w:p>
    <w:p w14:paraId="6397A5AC" w14:textId="4BBBA089" w:rsidR="005B2427" w:rsidRPr="005B2427" w:rsidRDefault="005B2427" w:rsidP="00916EEC">
      <w:pPr>
        <w:spacing w:line="360" w:lineRule="auto"/>
        <w:rPr>
          <w:rFonts w:ascii="Arial" w:hAnsi="Arial" w:cs="Arial"/>
        </w:rPr>
      </w:pPr>
    </w:p>
    <w:p w14:paraId="780A7491" w14:textId="4426E5D9" w:rsidR="005B2427" w:rsidRPr="005B2427" w:rsidRDefault="005B2427" w:rsidP="00916EEC">
      <w:pPr>
        <w:spacing w:line="360" w:lineRule="auto"/>
        <w:rPr>
          <w:rFonts w:ascii="Arial" w:hAnsi="Arial" w:cs="Arial"/>
        </w:rPr>
      </w:pPr>
    </w:p>
    <w:p w14:paraId="4D9325C0" w14:textId="77777777" w:rsidR="005B2427" w:rsidRPr="009B017D" w:rsidRDefault="005B2427" w:rsidP="005B2427">
      <w:pPr>
        <w:spacing w:line="360" w:lineRule="auto"/>
        <w:jc w:val="both"/>
        <w:rPr>
          <w:rFonts w:ascii="Arial" w:hAnsi="Arial" w:cs="Arial"/>
        </w:rPr>
      </w:pPr>
      <w:r w:rsidRPr="009B017D">
        <w:rPr>
          <w:rFonts w:ascii="Arial" w:hAnsi="Arial" w:cs="Arial"/>
        </w:rPr>
        <w:lastRenderedPageBreak/>
        <w:t>AI Declaration</w:t>
      </w:r>
    </w:p>
    <w:p w14:paraId="211C245F" w14:textId="77777777" w:rsidR="005B2427" w:rsidRPr="009B017D" w:rsidRDefault="005B2427" w:rsidP="005B2427">
      <w:pPr>
        <w:spacing w:line="360" w:lineRule="auto"/>
        <w:rPr>
          <w:rFonts w:ascii="Arial" w:hAnsi="Arial" w:cs="Arial"/>
        </w:rPr>
      </w:pPr>
    </w:p>
    <w:p w14:paraId="19634192" w14:textId="679D3419" w:rsidR="005B2427" w:rsidRPr="009B017D" w:rsidRDefault="005B2427" w:rsidP="005B2427">
      <w:pPr>
        <w:spacing w:line="360" w:lineRule="auto"/>
        <w:rPr>
          <w:rFonts w:ascii="Arial" w:hAnsi="Arial" w:cs="Arial"/>
        </w:rPr>
      </w:pPr>
      <w:r w:rsidRPr="009B017D">
        <w:rPr>
          <w:rFonts w:ascii="Arial" w:hAnsi="Arial" w:cs="Arial"/>
        </w:rPr>
        <w:t xml:space="preserve">I acknowledge the use of the </w:t>
      </w:r>
      <w:proofErr w:type="spellStart"/>
      <w:r w:rsidRPr="009B017D">
        <w:rPr>
          <w:rFonts w:ascii="Arial" w:hAnsi="Arial" w:cs="Arial"/>
        </w:rPr>
        <w:t>Copilot</w:t>
      </w:r>
      <w:proofErr w:type="spellEnd"/>
      <w:r w:rsidRPr="009B017D">
        <w:rPr>
          <w:rFonts w:ascii="Arial" w:hAnsi="Arial" w:cs="Arial"/>
        </w:rPr>
        <w:t xml:space="preserve"> App in my own text for grammatical and syntactical mistakes, including getting suggestions to rephrase my work in the document containing the assignment.</w:t>
      </w:r>
    </w:p>
    <w:p w14:paraId="0FD73C15" w14:textId="77777777" w:rsidR="005B2427" w:rsidRPr="009B017D" w:rsidRDefault="005B2427" w:rsidP="005B2427">
      <w:pPr>
        <w:spacing w:line="360" w:lineRule="auto"/>
        <w:rPr>
          <w:rFonts w:ascii="Arial" w:hAnsi="Arial" w:cs="Arial"/>
        </w:rPr>
      </w:pPr>
      <w:r w:rsidRPr="009B017D">
        <w:rPr>
          <w:rFonts w:ascii="Arial" w:hAnsi="Arial" w:cs="Arial"/>
        </w:rPr>
        <w:t xml:space="preserve">The </w:t>
      </w:r>
      <w:proofErr w:type="spellStart"/>
      <w:r w:rsidRPr="009B017D">
        <w:rPr>
          <w:rFonts w:ascii="Arial" w:hAnsi="Arial" w:cs="Arial"/>
        </w:rPr>
        <w:t>promt</w:t>
      </w:r>
      <w:proofErr w:type="spellEnd"/>
      <w:r w:rsidRPr="009B017D">
        <w:rPr>
          <w:rFonts w:ascii="Arial" w:hAnsi="Arial" w:cs="Arial"/>
        </w:rPr>
        <w:t xml:space="preserve"> was:</w:t>
      </w:r>
    </w:p>
    <w:p w14:paraId="4F28B464" w14:textId="14E47FC5" w:rsidR="005B2427" w:rsidRPr="009B017D" w:rsidRDefault="005B2427" w:rsidP="005B2427">
      <w:pPr>
        <w:spacing w:line="360" w:lineRule="auto"/>
        <w:rPr>
          <w:rFonts w:ascii="Arial" w:hAnsi="Arial" w:cs="Arial"/>
        </w:rPr>
      </w:pPr>
      <w:r w:rsidRPr="009B017D">
        <w:rPr>
          <w:rFonts w:ascii="Arial" w:hAnsi="Arial" w:cs="Arial"/>
        </w:rPr>
        <w:t>“Please correct the following text for grammatical and syntactical mistakes, including rephrasing the text if needed” for each section and text.</w:t>
      </w:r>
    </w:p>
    <w:p w14:paraId="234C8363" w14:textId="4959205E" w:rsidR="005B2427" w:rsidRPr="005B2427" w:rsidRDefault="005B2427" w:rsidP="00916EEC">
      <w:pPr>
        <w:spacing w:line="360" w:lineRule="auto"/>
        <w:rPr>
          <w:rFonts w:ascii="Arial" w:hAnsi="Arial" w:cs="Arial"/>
        </w:rPr>
      </w:pPr>
    </w:p>
    <w:p w14:paraId="7B3B80D9" w14:textId="34CB08B5" w:rsidR="005B2427" w:rsidRPr="005B2427" w:rsidRDefault="005B2427" w:rsidP="00916EEC">
      <w:pPr>
        <w:spacing w:line="360" w:lineRule="auto"/>
        <w:rPr>
          <w:rFonts w:ascii="Arial" w:hAnsi="Arial" w:cs="Arial"/>
        </w:rPr>
      </w:pPr>
    </w:p>
    <w:p w14:paraId="6C19D59A" w14:textId="36246A95" w:rsidR="005B2427" w:rsidRPr="005B2427" w:rsidRDefault="005B2427" w:rsidP="00916EEC">
      <w:pPr>
        <w:spacing w:line="360" w:lineRule="auto"/>
        <w:rPr>
          <w:rFonts w:ascii="Arial" w:hAnsi="Arial" w:cs="Arial"/>
        </w:rPr>
      </w:pPr>
    </w:p>
    <w:p w14:paraId="2E19B6DD" w14:textId="2B8902DF" w:rsidR="005B2427" w:rsidRPr="005B2427" w:rsidRDefault="005B2427" w:rsidP="00916EEC">
      <w:pPr>
        <w:spacing w:line="360" w:lineRule="auto"/>
        <w:rPr>
          <w:rFonts w:ascii="Arial" w:hAnsi="Arial" w:cs="Arial"/>
        </w:rPr>
      </w:pPr>
    </w:p>
    <w:p w14:paraId="423FDC89" w14:textId="26FC3E1A" w:rsidR="005B2427" w:rsidRPr="005B2427" w:rsidRDefault="005B2427" w:rsidP="00916EEC">
      <w:pPr>
        <w:spacing w:line="360" w:lineRule="auto"/>
        <w:rPr>
          <w:rFonts w:ascii="Arial" w:hAnsi="Arial" w:cs="Arial"/>
        </w:rPr>
      </w:pPr>
    </w:p>
    <w:p w14:paraId="35E7261D" w14:textId="7FAE08FD" w:rsidR="005B2427" w:rsidRPr="005B2427" w:rsidRDefault="005B2427" w:rsidP="00916EEC">
      <w:pPr>
        <w:spacing w:line="360" w:lineRule="auto"/>
        <w:rPr>
          <w:rFonts w:ascii="Arial" w:hAnsi="Arial" w:cs="Arial"/>
        </w:rPr>
      </w:pPr>
    </w:p>
    <w:p w14:paraId="529BC5AC" w14:textId="3CFB49C0" w:rsidR="005B2427" w:rsidRPr="005B2427" w:rsidRDefault="005B2427" w:rsidP="00916EEC">
      <w:pPr>
        <w:spacing w:line="360" w:lineRule="auto"/>
        <w:rPr>
          <w:rFonts w:ascii="Arial" w:hAnsi="Arial" w:cs="Arial"/>
        </w:rPr>
      </w:pPr>
    </w:p>
    <w:p w14:paraId="0F4924AB" w14:textId="04106667" w:rsidR="005B2427" w:rsidRPr="005B2427" w:rsidRDefault="005B2427" w:rsidP="00916EEC">
      <w:pPr>
        <w:spacing w:line="360" w:lineRule="auto"/>
        <w:rPr>
          <w:rFonts w:ascii="Arial" w:hAnsi="Arial" w:cs="Arial"/>
        </w:rPr>
      </w:pPr>
    </w:p>
    <w:p w14:paraId="04352C54" w14:textId="06F23AC2" w:rsidR="005B2427" w:rsidRPr="005B2427" w:rsidRDefault="005B2427" w:rsidP="00916EEC">
      <w:pPr>
        <w:spacing w:line="360" w:lineRule="auto"/>
        <w:rPr>
          <w:rFonts w:ascii="Arial" w:hAnsi="Arial" w:cs="Arial"/>
        </w:rPr>
      </w:pPr>
    </w:p>
    <w:p w14:paraId="6DA6851F" w14:textId="5C7D821E" w:rsidR="00916EEC" w:rsidRPr="005B2427" w:rsidRDefault="00916EEC" w:rsidP="00916EEC">
      <w:pPr>
        <w:spacing w:line="360" w:lineRule="auto"/>
        <w:rPr>
          <w:rFonts w:ascii="Arial" w:hAnsi="Arial" w:cs="Arial"/>
        </w:rPr>
      </w:pPr>
    </w:p>
    <w:sectPr w:rsidR="00916EEC" w:rsidRPr="005B242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Raleway">
    <w:altName w:val="Raleway"/>
    <w:charset w:val="00"/>
    <w:family w:val="auto"/>
    <w:pitch w:val="variable"/>
    <w:sig w:usb0="A00002FF" w:usb1="5000205B" w:usb2="00000000" w:usb3="00000000" w:csb0="00000197"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F1FC9"/>
    <w:multiLevelType w:val="multilevel"/>
    <w:tmpl w:val="504245AE"/>
    <w:lvl w:ilvl="0">
      <w:start w:val="1"/>
      <w:numFmt w:val="bullet"/>
      <w:lvlText w:val="‐"/>
      <w:lvlJc w:val="left"/>
      <w:pPr>
        <w:tabs>
          <w:tab w:val="num" w:pos="720"/>
        </w:tabs>
        <w:ind w:left="720" w:hanging="360"/>
      </w:pPr>
      <w:rPr>
        <w:rFonts w:ascii="Raleway" w:hAnsi="Raleway"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0C4E92"/>
    <w:multiLevelType w:val="multilevel"/>
    <w:tmpl w:val="0214F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EF4D41"/>
    <w:multiLevelType w:val="multilevel"/>
    <w:tmpl w:val="DB54CB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02D2C90"/>
    <w:multiLevelType w:val="multilevel"/>
    <w:tmpl w:val="7CE833F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1"/>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0B7"/>
    <w:rsid w:val="004A3ACB"/>
    <w:rsid w:val="005201E6"/>
    <w:rsid w:val="005B2427"/>
    <w:rsid w:val="00765CE2"/>
    <w:rsid w:val="007F70D4"/>
    <w:rsid w:val="00810B81"/>
    <w:rsid w:val="00916EEC"/>
    <w:rsid w:val="00917A01"/>
    <w:rsid w:val="009344D8"/>
    <w:rsid w:val="009A30B7"/>
    <w:rsid w:val="009F30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ABF4D1"/>
  <w15:chartTrackingRefBased/>
  <w15:docId w15:val="{B75D9DE9-EA4B-4BE5-8D62-4831B6842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01E6"/>
    <w:pPr>
      <w:spacing w:line="278" w:lineRule="auto"/>
    </w:pPr>
    <w:rPr>
      <w:kern w:val="2"/>
      <w:sz w:val="24"/>
      <w:szCs w:val="24"/>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201E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7024207">
      <w:bodyDiv w:val="1"/>
      <w:marLeft w:val="0"/>
      <w:marRight w:val="0"/>
      <w:marTop w:val="0"/>
      <w:marBottom w:val="0"/>
      <w:divBdr>
        <w:top w:val="none" w:sz="0" w:space="0" w:color="auto"/>
        <w:left w:val="none" w:sz="0" w:space="0" w:color="auto"/>
        <w:bottom w:val="none" w:sz="0" w:space="0" w:color="auto"/>
        <w:right w:val="none" w:sz="0" w:space="0" w:color="auto"/>
      </w:divBdr>
    </w:div>
    <w:div w:id="540287204">
      <w:bodyDiv w:val="1"/>
      <w:marLeft w:val="0"/>
      <w:marRight w:val="0"/>
      <w:marTop w:val="0"/>
      <w:marBottom w:val="0"/>
      <w:divBdr>
        <w:top w:val="none" w:sz="0" w:space="0" w:color="auto"/>
        <w:left w:val="none" w:sz="0" w:space="0" w:color="auto"/>
        <w:bottom w:val="none" w:sz="0" w:space="0" w:color="auto"/>
        <w:right w:val="none" w:sz="0" w:space="0" w:color="auto"/>
      </w:divBdr>
    </w:div>
    <w:div w:id="1451050981">
      <w:bodyDiv w:val="1"/>
      <w:marLeft w:val="0"/>
      <w:marRight w:val="0"/>
      <w:marTop w:val="0"/>
      <w:marBottom w:val="0"/>
      <w:divBdr>
        <w:top w:val="none" w:sz="0" w:space="0" w:color="auto"/>
        <w:left w:val="none" w:sz="0" w:space="0" w:color="auto"/>
        <w:bottom w:val="none" w:sz="0" w:space="0" w:color="auto"/>
        <w:right w:val="none" w:sz="0" w:space="0" w:color="auto"/>
      </w:divBdr>
    </w:div>
    <w:div w:id="1965042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jhtm.2019.11.007"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3389/fpsyg.2022.852336" TargetMode="External"/><Relationship Id="rId12" Type="http://schemas.openxmlformats.org/officeDocument/2006/relationships/hyperlink" Target="https://doi.org/10.3389/fpsyg.2023.114886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02/(SICI)1099-1603(199709)3:3%3C239::AID-PTH80%3E3.0.CO;2-2" TargetMode="External"/><Relationship Id="rId11" Type="http://schemas.openxmlformats.org/officeDocument/2006/relationships/hyperlink" Target="https://doi.org/10.1080/15256480.2021.1881941" TargetMode="External"/><Relationship Id="rId5" Type="http://schemas.openxmlformats.org/officeDocument/2006/relationships/hyperlink" Target="https://doi.org/10.1108/IHR-06-2020-0018" TargetMode="External"/><Relationship Id="rId10" Type="http://schemas.openxmlformats.org/officeDocument/2006/relationships/hyperlink" Target="https://doi.org/10.4324/9780203047965" TargetMode="External"/><Relationship Id="rId4" Type="http://schemas.openxmlformats.org/officeDocument/2006/relationships/webSettings" Target="webSettings.xml"/><Relationship Id="rId9" Type="http://schemas.openxmlformats.org/officeDocument/2006/relationships/hyperlink" Target="https://doi.org/10.1080/00224545.1939.9713366"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287</TotalTime>
  <Pages>10</Pages>
  <Words>2221</Words>
  <Characters>13684</Characters>
  <Application>Microsoft Office Word</Application>
  <DocSecurity>0</DocSecurity>
  <Lines>273</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9</cp:revision>
  <dcterms:created xsi:type="dcterms:W3CDTF">2025-06-16T20:43:00Z</dcterms:created>
  <dcterms:modified xsi:type="dcterms:W3CDTF">2025-11-07T23:53:00Z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456cb4c3-e3a7-4836-ad9f-0bb7b0df4a2e</vt:lpwstr>
  </property>
</Properties>
</file>