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1F70B" w14:textId="77777777" w:rsidR="007B3F86" w:rsidRPr="000C1BFC" w:rsidRDefault="007B3F86" w:rsidP="007B3F86">
      <w:pPr>
        <w:jc w:val="center"/>
        <w:rPr>
          <w:b/>
          <w:bCs/>
          <w:i/>
          <w:iCs/>
          <w:sz w:val="36"/>
          <w:szCs w:val="36"/>
        </w:rPr>
      </w:pPr>
      <w:r w:rsidRPr="000C1BFC">
        <w:rPr>
          <w:b/>
          <w:bCs/>
          <w:noProof/>
        </w:rPr>
        <w:drawing>
          <wp:anchor distT="0" distB="0" distL="114300" distR="114300" simplePos="0" relativeHeight="251658240" behindDoc="0" locked="0" layoutInCell="1" allowOverlap="1" wp14:anchorId="2F8EC56F" wp14:editId="26E1FBED">
            <wp:simplePos x="0" y="0"/>
            <wp:positionH relativeFrom="margin">
              <wp:posOffset>524510</wp:posOffset>
            </wp:positionH>
            <wp:positionV relativeFrom="paragraph">
              <wp:posOffset>368300</wp:posOffset>
            </wp:positionV>
            <wp:extent cx="4695824" cy="3314700"/>
            <wp:effectExtent l="0" t="0" r="0" b="0"/>
            <wp:wrapTopAndBottom/>
            <wp:docPr id="1273149501"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49501" name="Picture 1" descr="A close up of a logo&#10;&#10;AI-generated content may be incorrect."/>
                    <pic:cNvPicPr/>
                  </pic:nvPicPr>
                  <pic:blipFill rotWithShape="1">
                    <a:blip r:embed="rId11">
                      <a:extLst>
                        <a:ext uri="{28A0092B-C50C-407E-A947-70E740481C1C}">
                          <a14:useLocalDpi xmlns:a14="http://schemas.microsoft.com/office/drawing/2010/main" val="0"/>
                        </a:ext>
                      </a:extLst>
                    </a:blip>
                    <a:srcRect b="12342"/>
                    <a:stretch>
                      <a:fillRect/>
                    </a:stretch>
                  </pic:blipFill>
                  <pic:spPr bwMode="auto">
                    <a:xfrm>
                      <a:off x="0" y="0"/>
                      <a:ext cx="4695824" cy="3314700"/>
                    </a:xfrm>
                    <a:prstGeom prst="rect">
                      <a:avLst/>
                    </a:prstGeom>
                    <a:ln>
                      <a:noFill/>
                    </a:ln>
                    <a:extLst>
                      <a:ext uri="{53640926-AAD7-44D8-BBD7-CCE9431645EC}">
                        <a14:shadowObscured xmlns:a14="http://schemas.microsoft.com/office/drawing/2010/main"/>
                      </a:ext>
                    </a:extLst>
                  </pic:spPr>
                </pic:pic>
              </a:graphicData>
            </a:graphic>
          </wp:anchor>
        </w:drawing>
      </w:r>
    </w:p>
    <w:p w14:paraId="77EF3596" w14:textId="2B2BC763" w:rsidR="007B3F86" w:rsidRPr="000C1BFC" w:rsidRDefault="00031140" w:rsidP="007B3F86">
      <w:pPr>
        <w:jc w:val="center"/>
        <w:rPr>
          <w:b/>
          <w:bCs/>
          <w:i/>
          <w:iCs/>
          <w:sz w:val="48"/>
          <w:szCs w:val="48"/>
        </w:rPr>
      </w:pPr>
      <w:r w:rsidRPr="000C1BFC">
        <w:rPr>
          <w:b/>
          <w:sz w:val="48"/>
          <w:szCs w:val="48"/>
        </w:rPr>
        <w:t>Engineering Materials</w:t>
      </w:r>
    </w:p>
    <w:p w14:paraId="0B82C88E" w14:textId="5D2B8545" w:rsidR="007B3F86" w:rsidRPr="000C1BFC" w:rsidRDefault="00600F31" w:rsidP="007B3F86">
      <w:pPr>
        <w:jc w:val="center"/>
        <w:rPr>
          <w:b/>
          <w:bCs/>
          <w:i/>
          <w:iCs/>
          <w:sz w:val="36"/>
          <w:szCs w:val="36"/>
        </w:rPr>
      </w:pPr>
      <w:r w:rsidRPr="000C1BFC">
        <w:rPr>
          <w:b/>
          <w:sz w:val="32"/>
          <w:szCs w:val="32"/>
        </w:rPr>
        <w:t>Materials and Manufacturing</w:t>
      </w:r>
      <w:r w:rsidR="007B3F86" w:rsidRPr="000C1BFC">
        <w:rPr>
          <w:b/>
          <w:bCs/>
          <w:i/>
          <w:iCs/>
          <w:sz w:val="36"/>
          <w:szCs w:val="36"/>
        </w:rPr>
        <w:t>(</w:t>
      </w:r>
      <w:r w:rsidRPr="000C1BFC">
        <w:rPr>
          <w:b/>
          <w:bCs/>
          <w:i/>
          <w:iCs/>
          <w:sz w:val="36"/>
          <w:szCs w:val="36"/>
        </w:rPr>
        <w:t>ACHA4025</w:t>
      </w:r>
      <w:r w:rsidR="007B3F86" w:rsidRPr="000C1BFC">
        <w:rPr>
          <w:b/>
          <w:bCs/>
          <w:i/>
          <w:iCs/>
          <w:sz w:val="36"/>
          <w:szCs w:val="36"/>
        </w:rPr>
        <w:t>)</w:t>
      </w:r>
    </w:p>
    <w:p w14:paraId="3354A396" w14:textId="77777777" w:rsidR="007B3F86" w:rsidRPr="000C1BFC" w:rsidRDefault="007B3F86" w:rsidP="007B3F86">
      <w:pPr>
        <w:jc w:val="center"/>
        <w:rPr>
          <w:b/>
          <w:bCs/>
          <w:i/>
          <w:iCs/>
          <w:sz w:val="36"/>
          <w:szCs w:val="36"/>
        </w:rPr>
      </w:pPr>
    </w:p>
    <w:p w14:paraId="51148D94" w14:textId="77777777" w:rsidR="007B3F86" w:rsidRPr="000C1BFC" w:rsidRDefault="007B3F86" w:rsidP="007B3F86">
      <w:pPr>
        <w:jc w:val="center"/>
        <w:rPr>
          <w:b/>
          <w:bCs/>
          <w:i/>
          <w:iCs/>
          <w:sz w:val="36"/>
          <w:szCs w:val="36"/>
        </w:rPr>
      </w:pPr>
    </w:p>
    <w:p w14:paraId="1C8849AC" w14:textId="77777777" w:rsidR="007B3F86" w:rsidRPr="000C1BFC" w:rsidRDefault="007B3F86" w:rsidP="007B3F86">
      <w:pPr>
        <w:jc w:val="center"/>
        <w:rPr>
          <w:b/>
          <w:bCs/>
          <w:i/>
          <w:iCs/>
          <w:sz w:val="36"/>
          <w:szCs w:val="36"/>
        </w:rPr>
      </w:pPr>
    </w:p>
    <w:p w14:paraId="337F1C55" w14:textId="77777777" w:rsidR="007B3F86" w:rsidRPr="000C1BFC" w:rsidRDefault="007B3F86" w:rsidP="007B3F86">
      <w:pPr>
        <w:jc w:val="center"/>
        <w:rPr>
          <w:b/>
          <w:bCs/>
          <w:i/>
          <w:iCs/>
          <w:sz w:val="28"/>
          <w:szCs w:val="28"/>
        </w:rPr>
      </w:pPr>
    </w:p>
    <w:p w14:paraId="2E6EC258" w14:textId="77777777" w:rsidR="007B3F86" w:rsidRPr="000C1BFC" w:rsidRDefault="007B3F86" w:rsidP="007B3F86">
      <w:pPr>
        <w:jc w:val="center"/>
        <w:rPr>
          <w:b/>
          <w:bCs/>
          <w:i/>
          <w:iCs/>
          <w:sz w:val="28"/>
          <w:szCs w:val="28"/>
        </w:rPr>
      </w:pPr>
      <w:r w:rsidRPr="000C1BFC">
        <w:rPr>
          <w:b/>
          <w:bCs/>
          <w:i/>
          <w:iCs/>
          <w:sz w:val="28"/>
          <w:szCs w:val="28"/>
        </w:rPr>
        <w:t>Lewis Cummings</w:t>
      </w:r>
    </w:p>
    <w:p w14:paraId="6A227F29" w14:textId="77777777" w:rsidR="007B3F86" w:rsidRPr="000C1BFC" w:rsidRDefault="007B3F86" w:rsidP="007B3F86">
      <w:pPr>
        <w:jc w:val="center"/>
        <w:rPr>
          <w:b/>
          <w:bCs/>
          <w:i/>
          <w:iCs/>
          <w:sz w:val="28"/>
          <w:szCs w:val="28"/>
        </w:rPr>
      </w:pPr>
      <w:r w:rsidRPr="000C1BFC">
        <w:rPr>
          <w:b/>
          <w:bCs/>
          <w:i/>
          <w:iCs/>
          <w:sz w:val="28"/>
          <w:szCs w:val="28"/>
        </w:rPr>
        <w:t>2500612</w:t>
      </w:r>
    </w:p>
    <w:p w14:paraId="53A1382E" w14:textId="4227950F" w:rsidR="00E04E8D" w:rsidRPr="000C1BFC" w:rsidRDefault="00A258E8" w:rsidP="00A258E8">
      <w:pPr>
        <w:jc w:val="center"/>
        <w:rPr>
          <w:b/>
          <w:bCs/>
          <w:i/>
          <w:iCs/>
          <w:sz w:val="28"/>
          <w:szCs w:val="28"/>
        </w:rPr>
      </w:pPr>
      <w:r w:rsidRPr="000C1BFC">
        <w:rPr>
          <w:b/>
          <w:bCs/>
          <w:i/>
          <w:iCs/>
          <w:sz w:val="28"/>
          <w:szCs w:val="28"/>
        </w:rPr>
        <w:t>April 2026</w:t>
      </w:r>
      <w:r w:rsidR="00BE05A3" w:rsidRPr="000C1BFC">
        <w:rPr>
          <w:b/>
          <w:bCs/>
          <w:i/>
          <w:iCs/>
          <w:sz w:val="28"/>
          <w:szCs w:val="28"/>
        </w:rPr>
        <w:br w:type="page"/>
      </w:r>
    </w:p>
    <w:sdt>
      <w:sdtPr>
        <w:rPr>
          <w:rFonts w:ascii="Calibri" w:eastAsiaTheme="minorHAnsi" w:hAnsi="Calibri" w:cs="Calibri"/>
          <w:kern w:val="2"/>
          <w:sz w:val="22"/>
          <w:szCs w:val="40"/>
          <w:lang w:val="en-GB"/>
          <w14:ligatures w14:val="standardContextual"/>
        </w:rPr>
        <w:id w:val="-294292158"/>
        <w:docPartObj>
          <w:docPartGallery w:val="Table of Contents"/>
          <w:docPartUnique/>
        </w:docPartObj>
      </w:sdtPr>
      <w:sdtEndPr>
        <w:rPr>
          <w:b/>
          <w:bCs/>
          <w:noProof/>
        </w:rPr>
      </w:sdtEndPr>
      <w:sdtContent>
        <w:p w14:paraId="6AF51A12" w14:textId="77777777" w:rsidR="00E04E8D" w:rsidRPr="000C1BFC" w:rsidRDefault="00E04E8D">
          <w:pPr>
            <w:pStyle w:val="TOCHeading"/>
            <w:rPr>
              <w:rFonts w:ascii="Calibri" w:hAnsi="Calibri" w:cs="Calibri"/>
            </w:rPr>
          </w:pPr>
          <w:r w:rsidRPr="000C1BFC">
            <w:rPr>
              <w:rFonts w:ascii="Calibri" w:hAnsi="Calibri" w:cs="Calibri"/>
            </w:rPr>
            <w:t>Contents</w:t>
          </w:r>
        </w:p>
        <w:p w14:paraId="2CD44964" w14:textId="49F1EF57" w:rsidR="00ED40D9" w:rsidRPr="000C1BFC" w:rsidRDefault="00E04E8D">
          <w:pPr>
            <w:pStyle w:val="TOC1"/>
            <w:tabs>
              <w:tab w:val="left" w:pos="440"/>
              <w:tab w:val="right" w:leader="dot" w:pos="9016"/>
            </w:tabs>
            <w:rPr>
              <w:rFonts w:eastAsiaTheme="minorEastAsia"/>
              <w:noProof/>
              <w:color w:val="auto"/>
              <w:sz w:val="24"/>
              <w:szCs w:val="24"/>
              <w:lang w:eastAsia="en-GB"/>
            </w:rPr>
          </w:pPr>
          <w:r w:rsidRPr="000C1BFC">
            <w:fldChar w:fldCharType="begin"/>
          </w:r>
          <w:r w:rsidRPr="000C1BFC">
            <w:instrText xml:space="preserve"> TOC \o "1-3" \h \z \u </w:instrText>
          </w:r>
          <w:r w:rsidRPr="000C1BFC">
            <w:fldChar w:fldCharType="separate"/>
          </w:r>
          <w:hyperlink w:anchor="_Toc228126780" w:history="1">
            <w:r w:rsidR="00ED40D9" w:rsidRPr="000C1BFC">
              <w:rPr>
                <w:rStyle w:val="Hyperlink"/>
                <w:noProof/>
              </w:rPr>
              <w:t>1</w:t>
            </w:r>
            <w:r w:rsidR="00ED40D9" w:rsidRPr="000C1BFC">
              <w:rPr>
                <w:rFonts w:eastAsiaTheme="minorEastAsia"/>
                <w:noProof/>
                <w:color w:val="auto"/>
                <w:sz w:val="24"/>
                <w:szCs w:val="24"/>
                <w:lang w:eastAsia="en-GB"/>
              </w:rPr>
              <w:tab/>
            </w:r>
            <w:r w:rsidR="00ED40D9" w:rsidRPr="000C1BFC">
              <w:rPr>
                <w:rStyle w:val="Hyperlink"/>
                <w:noProof/>
              </w:rPr>
              <w:t>Introduction</w:t>
            </w:r>
            <w:r w:rsidR="00ED40D9" w:rsidRPr="000C1BFC">
              <w:rPr>
                <w:noProof/>
                <w:webHidden/>
              </w:rPr>
              <w:tab/>
            </w:r>
            <w:r w:rsidR="00ED40D9" w:rsidRPr="000C1BFC">
              <w:rPr>
                <w:noProof/>
                <w:webHidden/>
              </w:rPr>
              <w:fldChar w:fldCharType="begin"/>
            </w:r>
            <w:r w:rsidR="00ED40D9" w:rsidRPr="000C1BFC">
              <w:rPr>
                <w:noProof/>
                <w:webHidden/>
              </w:rPr>
              <w:instrText xml:space="preserve"> PAGEREF _Toc228126780 \h </w:instrText>
            </w:r>
            <w:r w:rsidR="00ED40D9" w:rsidRPr="000C1BFC">
              <w:rPr>
                <w:noProof/>
                <w:webHidden/>
              </w:rPr>
            </w:r>
            <w:r w:rsidR="00ED40D9" w:rsidRPr="000C1BFC">
              <w:rPr>
                <w:noProof/>
                <w:webHidden/>
              </w:rPr>
              <w:fldChar w:fldCharType="separate"/>
            </w:r>
            <w:r w:rsidR="00ED40D9" w:rsidRPr="000C1BFC">
              <w:rPr>
                <w:noProof/>
                <w:webHidden/>
              </w:rPr>
              <w:t>2</w:t>
            </w:r>
            <w:r w:rsidR="00ED40D9" w:rsidRPr="000C1BFC">
              <w:rPr>
                <w:noProof/>
                <w:webHidden/>
              </w:rPr>
              <w:fldChar w:fldCharType="end"/>
            </w:r>
          </w:hyperlink>
        </w:p>
        <w:p w14:paraId="67104955" w14:textId="4803CC12" w:rsidR="00ED40D9" w:rsidRPr="000C1BFC" w:rsidRDefault="00ED40D9">
          <w:pPr>
            <w:pStyle w:val="TOC1"/>
            <w:tabs>
              <w:tab w:val="left" w:pos="440"/>
              <w:tab w:val="right" w:leader="dot" w:pos="9016"/>
            </w:tabs>
            <w:rPr>
              <w:rFonts w:eastAsiaTheme="minorEastAsia"/>
              <w:noProof/>
              <w:color w:val="auto"/>
              <w:sz w:val="24"/>
              <w:szCs w:val="24"/>
              <w:lang w:eastAsia="en-GB"/>
            </w:rPr>
          </w:pPr>
          <w:hyperlink w:anchor="_Toc228126781" w:history="1">
            <w:r w:rsidRPr="000C1BFC">
              <w:rPr>
                <w:rStyle w:val="Hyperlink"/>
                <w:noProof/>
              </w:rPr>
              <w:t>2</w:t>
            </w:r>
            <w:r w:rsidRPr="000C1BFC">
              <w:rPr>
                <w:rFonts w:eastAsiaTheme="minorEastAsia"/>
                <w:noProof/>
                <w:color w:val="auto"/>
                <w:sz w:val="24"/>
                <w:szCs w:val="24"/>
                <w:lang w:eastAsia="en-GB"/>
              </w:rPr>
              <w:tab/>
            </w:r>
            <w:r w:rsidRPr="000C1BFC">
              <w:rPr>
                <w:rStyle w:val="Hyperlink"/>
                <w:noProof/>
              </w:rPr>
              <w:t>Literature Review</w:t>
            </w:r>
            <w:r w:rsidRPr="000C1BFC">
              <w:rPr>
                <w:noProof/>
                <w:webHidden/>
              </w:rPr>
              <w:tab/>
            </w:r>
            <w:r w:rsidRPr="000C1BFC">
              <w:rPr>
                <w:noProof/>
                <w:webHidden/>
              </w:rPr>
              <w:fldChar w:fldCharType="begin"/>
            </w:r>
            <w:r w:rsidRPr="000C1BFC">
              <w:rPr>
                <w:noProof/>
                <w:webHidden/>
              </w:rPr>
              <w:instrText xml:space="preserve"> PAGEREF _Toc228126781 \h </w:instrText>
            </w:r>
            <w:r w:rsidRPr="000C1BFC">
              <w:rPr>
                <w:noProof/>
                <w:webHidden/>
              </w:rPr>
            </w:r>
            <w:r w:rsidRPr="000C1BFC">
              <w:rPr>
                <w:noProof/>
                <w:webHidden/>
              </w:rPr>
              <w:fldChar w:fldCharType="separate"/>
            </w:r>
            <w:r w:rsidRPr="000C1BFC">
              <w:rPr>
                <w:noProof/>
                <w:webHidden/>
              </w:rPr>
              <w:t>3</w:t>
            </w:r>
            <w:r w:rsidRPr="000C1BFC">
              <w:rPr>
                <w:noProof/>
                <w:webHidden/>
              </w:rPr>
              <w:fldChar w:fldCharType="end"/>
            </w:r>
          </w:hyperlink>
        </w:p>
        <w:p w14:paraId="76DA3112" w14:textId="49E9F0E1" w:rsidR="00ED40D9" w:rsidRPr="000C1BFC" w:rsidRDefault="00ED40D9">
          <w:pPr>
            <w:pStyle w:val="TOC2"/>
            <w:tabs>
              <w:tab w:val="left" w:pos="960"/>
              <w:tab w:val="right" w:leader="dot" w:pos="9016"/>
            </w:tabs>
            <w:rPr>
              <w:rFonts w:eastAsiaTheme="minorEastAsia"/>
              <w:noProof/>
              <w:color w:val="auto"/>
              <w:sz w:val="24"/>
              <w:szCs w:val="24"/>
              <w:lang w:eastAsia="en-GB"/>
            </w:rPr>
          </w:pPr>
          <w:hyperlink w:anchor="_Toc228126782" w:history="1">
            <w:r w:rsidRPr="000C1BFC">
              <w:rPr>
                <w:rStyle w:val="Hyperlink"/>
                <w:noProof/>
              </w:rPr>
              <w:t>2.1</w:t>
            </w:r>
            <w:r w:rsidRPr="000C1BFC">
              <w:rPr>
                <w:rFonts w:eastAsiaTheme="minorEastAsia"/>
                <w:noProof/>
                <w:color w:val="auto"/>
                <w:sz w:val="24"/>
                <w:szCs w:val="24"/>
                <w:lang w:eastAsia="en-GB"/>
              </w:rPr>
              <w:tab/>
            </w:r>
            <w:r w:rsidRPr="000C1BFC">
              <w:rPr>
                <w:rStyle w:val="Hyperlink"/>
                <w:noProof/>
              </w:rPr>
              <w:t>2.1 Mechanical Properties for Drivetrain Applications</w:t>
            </w:r>
            <w:r w:rsidRPr="000C1BFC">
              <w:rPr>
                <w:noProof/>
                <w:webHidden/>
              </w:rPr>
              <w:tab/>
            </w:r>
            <w:r w:rsidRPr="000C1BFC">
              <w:rPr>
                <w:noProof/>
                <w:webHidden/>
              </w:rPr>
              <w:fldChar w:fldCharType="begin"/>
            </w:r>
            <w:r w:rsidRPr="000C1BFC">
              <w:rPr>
                <w:noProof/>
                <w:webHidden/>
              </w:rPr>
              <w:instrText xml:space="preserve"> PAGEREF _Toc228126782 \h </w:instrText>
            </w:r>
            <w:r w:rsidRPr="000C1BFC">
              <w:rPr>
                <w:noProof/>
                <w:webHidden/>
              </w:rPr>
            </w:r>
            <w:r w:rsidRPr="000C1BFC">
              <w:rPr>
                <w:noProof/>
                <w:webHidden/>
              </w:rPr>
              <w:fldChar w:fldCharType="separate"/>
            </w:r>
            <w:r w:rsidRPr="000C1BFC">
              <w:rPr>
                <w:noProof/>
                <w:webHidden/>
              </w:rPr>
              <w:t>3</w:t>
            </w:r>
            <w:r w:rsidRPr="000C1BFC">
              <w:rPr>
                <w:noProof/>
                <w:webHidden/>
              </w:rPr>
              <w:fldChar w:fldCharType="end"/>
            </w:r>
          </w:hyperlink>
        </w:p>
        <w:p w14:paraId="2B996EA9" w14:textId="31157799" w:rsidR="00ED40D9" w:rsidRPr="000C1BFC" w:rsidRDefault="00ED40D9">
          <w:pPr>
            <w:pStyle w:val="TOC2"/>
            <w:tabs>
              <w:tab w:val="left" w:pos="960"/>
              <w:tab w:val="right" w:leader="dot" w:pos="9016"/>
            </w:tabs>
            <w:rPr>
              <w:rFonts w:eastAsiaTheme="minorEastAsia"/>
              <w:noProof/>
              <w:color w:val="auto"/>
              <w:sz w:val="24"/>
              <w:szCs w:val="24"/>
              <w:lang w:eastAsia="en-GB"/>
            </w:rPr>
          </w:pPr>
          <w:hyperlink w:anchor="_Toc228126783" w:history="1">
            <w:r w:rsidRPr="000C1BFC">
              <w:rPr>
                <w:rStyle w:val="Hyperlink"/>
                <w:noProof/>
              </w:rPr>
              <w:t>2.2</w:t>
            </w:r>
            <w:r w:rsidRPr="000C1BFC">
              <w:rPr>
                <w:rFonts w:eastAsiaTheme="minorEastAsia"/>
                <w:noProof/>
                <w:color w:val="auto"/>
                <w:sz w:val="24"/>
                <w:szCs w:val="24"/>
                <w:lang w:eastAsia="en-GB"/>
              </w:rPr>
              <w:tab/>
            </w:r>
            <w:r w:rsidRPr="000C1BFC">
              <w:rPr>
                <w:rStyle w:val="Hyperlink"/>
                <w:noProof/>
              </w:rPr>
              <w:t>2.2 Fatigue and Fracture Mechanics</w:t>
            </w:r>
            <w:r w:rsidRPr="000C1BFC">
              <w:rPr>
                <w:noProof/>
                <w:webHidden/>
              </w:rPr>
              <w:tab/>
            </w:r>
            <w:r w:rsidRPr="000C1BFC">
              <w:rPr>
                <w:noProof/>
                <w:webHidden/>
              </w:rPr>
              <w:fldChar w:fldCharType="begin"/>
            </w:r>
            <w:r w:rsidRPr="000C1BFC">
              <w:rPr>
                <w:noProof/>
                <w:webHidden/>
              </w:rPr>
              <w:instrText xml:space="preserve"> PAGEREF _Toc228126783 \h </w:instrText>
            </w:r>
            <w:r w:rsidRPr="000C1BFC">
              <w:rPr>
                <w:noProof/>
                <w:webHidden/>
              </w:rPr>
            </w:r>
            <w:r w:rsidRPr="000C1BFC">
              <w:rPr>
                <w:noProof/>
                <w:webHidden/>
              </w:rPr>
              <w:fldChar w:fldCharType="separate"/>
            </w:r>
            <w:r w:rsidRPr="000C1BFC">
              <w:rPr>
                <w:noProof/>
                <w:webHidden/>
              </w:rPr>
              <w:t>3</w:t>
            </w:r>
            <w:r w:rsidRPr="000C1BFC">
              <w:rPr>
                <w:noProof/>
                <w:webHidden/>
              </w:rPr>
              <w:fldChar w:fldCharType="end"/>
            </w:r>
          </w:hyperlink>
        </w:p>
        <w:p w14:paraId="38370B42" w14:textId="6FC0D8E8" w:rsidR="00ED40D9" w:rsidRPr="000C1BFC" w:rsidRDefault="00ED40D9">
          <w:pPr>
            <w:pStyle w:val="TOC2"/>
            <w:tabs>
              <w:tab w:val="left" w:pos="960"/>
              <w:tab w:val="right" w:leader="dot" w:pos="9016"/>
            </w:tabs>
            <w:rPr>
              <w:rFonts w:eastAsiaTheme="minorEastAsia"/>
              <w:noProof/>
              <w:color w:val="auto"/>
              <w:sz w:val="24"/>
              <w:szCs w:val="24"/>
              <w:lang w:eastAsia="en-GB"/>
            </w:rPr>
          </w:pPr>
          <w:hyperlink w:anchor="_Toc228126784" w:history="1">
            <w:r w:rsidRPr="000C1BFC">
              <w:rPr>
                <w:rStyle w:val="Hyperlink"/>
                <w:noProof/>
              </w:rPr>
              <w:t>2.3</w:t>
            </w:r>
            <w:r w:rsidRPr="000C1BFC">
              <w:rPr>
                <w:rFonts w:eastAsiaTheme="minorEastAsia"/>
                <w:noProof/>
                <w:color w:val="auto"/>
                <w:sz w:val="24"/>
                <w:szCs w:val="24"/>
                <w:lang w:eastAsia="en-GB"/>
              </w:rPr>
              <w:tab/>
            </w:r>
            <w:r w:rsidRPr="000C1BFC">
              <w:rPr>
                <w:rStyle w:val="Hyperlink"/>
                <w:noProof/>
              </w:rPr>
              <w:t>2.3 Standardised Testing Methods</w:t>
            </w:r>
            <w:r w:rsidRPr="000C1BFC">
              <w:rPr>
                <w:noProof/>
                <w:webHidden/>
              </w:rPr>
              <w:tab/>
            </w:r>
            <w:r w:rsidRPr="000C1BFC">
              <w:rPr>
                <w:noProof/>
                <w:webHidden/>
              </w:rPr>
              <w:fldChar w:fldCharType="begin"/>
            </w:r>
            <w:r w:rsidRPr="000C1BFC">
              <w:rPr>
                <w:noProof/>
                <w:webHidden/>
              </w:rPr>
              <w:instrText xml:space="preserve"> PAGEREF _Toc228126784 \h </w:instrText>
            </w:r>
            <w:r w:rsidRPr="000C1BFC">
              <w:rPr>
                <w:noProof/>
                <w:webHidden/>
              </w:rPr>
            </w:r>
            <w:r w:rsidRPr="000C1BFC">
              <w:rPr>
                <w:noProof/>
                <w:webHidden/>
              </w:rPr>
              <w:fldChar w:fldCharType="separate"/>
            </w:r>
            <w:r w:rsidRPr="000C1BFC">
              <w:rPr>
                <w:noProof/>
                <w:webHidden/>
              </w:rPr>
              <w:t>3</w:t>
            </w:r>
            <w:r w:rsidRPr="000C1BFC">
              <w:rPr>
                <w:noProof/>
                <w:webHidden/>
              </w:rPr>
              <w:fldChar w:fldCharType="end"/>
            </w:r>
          </w:hyperlink>
        </w:p>
        <w:p w14:paraId="32B7AFDB" w14:textId="57EEF8BE" w:rsidR="00ED40D9" w:rsidRPr="000C1BFC" w:rsidRDefault="00ED40D9">
          <w:pPr>
            <w:pStyle w:val="TOC1"/>
            <w:tabs>
              <w:tab w:val="left" w:pos="440"/>
              <w:tab w:val="right" w:leader="dot" w:pos="9016"/>
            </w:tabs>
            <w:rPr>
              <w:rFonts w:eastAsiaTheme="minorEastAsia"/>
              <w:noProof/>
              <w:color w:val="auto"/>
              <w:sz w:val="24"/>
              <w:szCs w:val="24"/>
              <w:lang w:eastAsia="en-GB"/>
            </w:rPr>
          </w:pPr>
          <w:hyperlink w:anchor="_Toc228126785" w:history="1">
            <w:r w:rsidRPr="000C1BFC">
              <w:rPr>
                <w:rStyle w:val="Hyperlink"/>
                <w:noProof/>
              </w:rPr>
              <w:t>3</w:t>
            </w:r>
            <w:r w:rsidRPr="000C1BFC">
              <w:rPr>
                <w:rFonts w:eastAsiaTheme="minorEastAsia"/>
                <w:noProof/>
                <w:color w:val="auto"/>
                <w:sz w:val="24"/>
                <w:szCs w:val="24"/>
                <w:lang w:eastAsia="en-GB"/>
              </w:rPr>
              <w:tab/>
            </w:r>
            <w:r w:rsidRPr="000C1BFC">
              <w:rPr>
                <w:rStyle w:val="Hyperlink"/>
                <w:noProof/>
              </w:rPr>
              <w:t>Method</w:t>
            </w:r>
            <w:r w:rsidRPr="000C1BFC">
              <w:rPr>
                <w:noProof/>
                <w:webHidden/>
              </w:rPr>
              <w:tab/>
            </w:r>
            <w:r w:rsidRPr="000C1BFC">
              <w:rPr>
                <w:noProof/>
                <w:webHidden/>
              </w:rPr>
              <w:fldChar w:fldCharType="begin"/>
            </w:r>
            <w:r w:rsidRPr="000C1BFC">
              <w:rPr>
                <w:noProof/>
                <w:webHidden/>
              </w:rPr>
              <w:instrText xml:space="preserve"> PAGEREF _Toc228126785 \h </w:instrText>
            </w:r>
            <w:r w:rsidRPr="000C1BFC">
              <w:rPr>
                <w:noProof/>
                <w:webHidden/>
              </w:rPr>
            </w:r>
            <w:r w:rsidRPr="000C1BFC">
              <w:rPr>
                <w:noProof/>
                <w:webHidden/>
              </w:rPr>
              <w:fldChar w:fldCharType="separate"/>
            </w:r>
            <w:r w:rsidRPr="000C1BFC">
              <w:rPr>
                <w:noProof/>
                <w:webHidden/>
              </w:rPr>
              <w:t>4</w:t>
            </w:r>
            <w:r w:rsidRPr="000C1BFC">
              <w:rPr>
                <w:noProof/>
                <w:webHidden/>
              </w:rPr>
              <w:fldChar w:fldCharType="end"/>
            </w:r>
          </w:hyperlink>
        </w:p>
        <w:p w14:paraId="4BE225F8" w14:textId="1BB94A97" w:rsidR="00ED40D9" w:rsidRPr="000C1BFC" w:rsidRDefault="00ED40D9">
          <w:pPr>
            <w:pStyle w:val="TOC1"/>
            <w:tabs>
              <w:tab w:val="left" w:pos="440"/>
              <w:tab w:val="right" w:leader="dot" w:pos="9016"/>
            </w:tabs>
            <w:rPr>
              <w:rFonts w:eastAsiaTheme="minorEastAsia"/>
              <w:noProof/>
              <w:color w:val="auto"/>
              <w:sz w:val="24"/>
              <w:szCs w:val="24"/>
              <w:lang w:eastAsia="en-GB"/>
            </w:rPr>
          </w:pPr>
          <w:hyperlink w:anchor="_Toc228126786" w:history="1">
            <w:r w:rsidRPr="000C1BFC">
              <w:rPr>
                <w:rStyle w:val="Hyperlink"/>
                <w:noProof/>
              </w:rPr>
              <w:t>4</w:t>
            </w:r>
            <w:r w:rsidRPr="000C1BFC">
              <w:rPr>
                <w:rFonts w:eastAsiaTheme="minorEastAsia"/>
                <w:noProof/>
                <w:color w:val="auto"/>
                <w:sz w:val="24"/>
                <w:szCs w:val="24"/>
                <w:lang w:eastAsia="en-GB"/>
              </w:rPr>
              <w:tab/>
            </w:r>
            <w:r w:rsidRPr="000C1BFC">
              <w:rPr>
                <w:rStyle w:val="Hyperlink"/>
                <w:noProof/>
              </w:rPr>
              <w:t>Results</w:t>
            </w:r>
            <w:r w:rsidRPr="000C1BFC">
              <w:rPr>
                <w:noProof/>
                <w:webHidden/>
              </w:rPr>
              <w:tab/>
            </w:r>
            <w:r w:rsidRPr="000C1BFC">
              <w:rPr>
                <w:noProof/>
                <w:webHidden/>
              </w:rPr>
              <w:fldChar w:fldCharType="begin"/>
            </w:r>
            <w:r w:rsidRPr="000C1BFC">
              <w:rPr>
                <w:noProof/>
                <w:webHidden/>
              </w:rPr>
              <w:instrText xml:space="preserve"> PAGEREF _Toc228126786 \h </w:instrText>
            </w:r>
            <w:r w:rsidRPr="000C1BFC">
              <w:rPr>
                <w:noProof/>
                <w:webHidden/>
              </w:rPr>
            </w:r>
            <w:r w:rsidRPr="000C1BFC">
              <w:rPr>
                <w:noProof/>
                <w:webHidden/>
              </w:rPr>
              <w:fldChar w:fldCharType="separate"/>
            </w:r>
            <w:r w:rsidRPr="000C1BFC">
              <w:rPr>
                <w:noProof/>
                <w:webHidden/>
              </w:rPr>
              <w:t>5</w:t>
            </w:r>
            <w:r w:rsidRPr="000C1BFC">
              <w:rPr>
                <w:noProof/>
                <w:webHidden/>
              </w:rPr>
              <w:fldChar w:fldCharType="end"/>
            </w:r>
          </w:hyperlink>
        </w:p>
        <w:p w14:paraId="3DD78AE3" w14:textId="7ABDD579" w:rsidR="00ED40D9" w:rsidRPr="000C1BFC" w:rsidRDefault="00ED40D9">
          <w:pPr>
            <w:pStyle w:val="TOC1"/>
            <w:tabs>
              <w:tab w:val="left" w:pos="440"/>
              <w:tab w:val="right" w:leader="dot" w:pos="9016"/>
            </w:tabs>
            <w:rPr>
              <w:rFonts w:eastAsiaTheme="minorEastAsia"/>
              <w:noProof/>
              <w:color w:val="auto"/>
              <w:sz w:val="24"/>
              <w:szCs w:val="24"/>
              <w:lang w:eastAsia="en-GB"/>
            </w:rPr>
          </w:pPr>
          <w:hyperlink w:anchor="_Toc228126787" w:history="1">
            <w:r w:rsidRPr="000C1BFC">
              <w:rPr>
                <w:rStyle w:val="Hyperlink"/>
                <w:noProof/>
              </w:rPr>
              <w:t>5</w:t>
            </w:r>
            <w:r w:rsidRPr="000C1BFC">
              <w:rPr>
                <w:rFonts w:eastAsiaTheme="minorEastAsia"/>
                <w:noProof/>
                <w:color w:val="auto"/>
                <w:sz w:val="24"/>
                <w:szCs w:val="24"/>
                <w:lang w:eastAsia="en-GB"/>
              </w:rPr>
              <w:tab/>
            </w:r>
            <w:r w:rsidRPr="000C1BFC">
              <w:rPr>
                <w:rStyle w:val="Hyperlink"/>
                <w:noProof/>
              </w:rPr>
              <w:t>Analysis</w:t>
            </w:r>
            <w:r w:rsidRPr="000C1BFC">
              <w:rPr>
                <w:noProof/>
                <w:webHidden/>
              </w:rPr>
              <w:tab/>
            </w:r>
            <w:r w:rsidRPr="000C1BFC">
              <w:rPr>
                <w:noProof/>
                <w:webHidden/>
              </w:rPr>
              <w:fldChar w:fldCharType="begin"/>
            </w:r>
            <w:r w:rsidRPr="000C1BFC">
              <w:rPr>
                <w:noProof/>
                <w:webHidden/>
              </w:rPr>
              <w:instrText xml:space="preserve"> PAGEREF _Toc228126787 \h </w:instrText>
            </w:r>
            <w:r w:rsidRPr="000C1BFC">
              <w:rPr>
                <w:noProof/>
                <w:webHidden/>
              </w:rPr>
            </w:r>
            <w:r w:rsidRPr="000C1BFC">
              <w:rPr>
                <w:noProof/>
                <w:webHidden/>
              </w:rPr>
              <w:fldChar w:fldCharType="separate"/>
            </w:r>
            <w:r w:rsidRPr="000C1BFC">
              <w:rPr>
                <w:noProof/>
                <w:webHidden/>
              </w:rPr>
              <w:t>6</w:t>
            </w:r>
            <w:r w:rsidRPr="000C1BFC">
              <w:rPr>
                <w:noProof/>
                <w:webHidden/>
              </w:rPr>
              <w:fldChar w:fldCharType="end"/>
            </w:r>
          </w:hyperlink>
        </w:p>
        <w:p w14:paraId="10F8009B" w14:textId="01491546" w:rsidR="00ED40D9" w:rsidRPr="000C1BFC" w:rsidRDefault="00ED40D9">
          <w:pPr>
            <w:pStyle w:val="TOC2"/>
            <w:tabs>
              <w:tab w:val="left" w:pos="960"/>
              <w:tab w:val="right" w:leader="dot" w:pos="9016"/>
            </w:tabs>
            <w:rPr>
              <w:rFonts w:eastAsiaTheme="minorEastAsia"/>
              <w:noProof/>
              <w:color w:val="auto"/>
              <w:sz w:val="24"/>
              <w:szCs w:val="24"/>
              <w:lang w:eastAsia="en-GB"/>
            </w:rPr>
          </w:pPr>
          <w:hyperlink w:anchor="_Toc228126788" w:history="1">
            <w:r w:rsidRPr="000C1BFC">
              <w:rPr>
                <w:rStyle w:val="Hyperlink"/>
                <w:noProof/>
              </w:rPr>
              <w:t>5.1</w:t>
            </w:r>
            <w:r w:rsidRPr="000C1BFC">
              <w:rPr>
                <w:rFonts w:eastAsiaTheme="minorEastAsia"/>
                <w:noProof/>
                <w:color w:val="auto"/>
                <w:sz w:val="24"/>
                <w:szCs w:val="24"/>
                <w:lang w:eastAsia="en-GB"/>
              </w:rPr>
              <w:tab/>
            </w:r>
            <w:r w:rsidRPr="000C1BFC">
              <w:rPr>
                <w:rStyle w:val="Hyperlink"/>
                <w:noProof/>
              </w:rPr>
              <w:t>Young’s Modulus</w:t>
            </w:r>
            <w:r w:rsidRPr="000C1BFC">
              <w:rPr>
                <w:noProof/>
                <w:webHidden/>
              </w:rPr>
              <w:tab/>
            </w:r>
            <w:r w:rsidRPr="000C1BFC">
              <w:rPr>
                <w:noProof/>
                <w:webHidden/>
              </w:rPr>
              <w:fldChar w:fldCharType="begin"/>
            </w:r>
            <w:r w:rsidRPr="000C1BFC">
              <w:rPr>
                <w:noProof/>
                <w:webHidden/>
              </w:rPr>
              <w:instrText xml:space="preserve"> PAGEREF _Toc228126788 \h </w:instrText>
            </w:r>
            <w:r w:rsidRPr="000C1BFC">
              <w:rPr>
                <w:noProof/>
                <w:webHidden/>
              </w:rPr>
            </w:r>
            <w:r w:rsidRPr="000C1BFC">
              <w:rPr>
                <w:noProof/>
                <w:webHidden/>
              </w:rPr>
              <w:fldChar w:fldCharType="separate"/>
            </w:r>
            <w:r w:rsidRPr="000C1BFC">
              <w:rPr>
                <w:noProof/>
                <w:webHidden/>
              </w:rPr>
              <w:t>6</w:t>
            </w:r>
            <w:r w:rsidRPr="000C1BFC">
              <w:rPr>
                <w:noProof/>
                <w:webHidden/>
              </w:rPr>
              <w:fldChar w:fldCharType="end"/>
            </w:r>
          </w:hyperlink>
        </w:p>
        <w:p w14:paraId="153C017E" w14:textId="056DA528" w:rsidR="00ED40D9" w:rsidRPr="000C1BFC" w:rsidRDefault="00ED40D9">
          <w:pPr>
            <w:pStyle w:val="TOC2"/>
            <w:tabs>
              <w:tab w:val="left" w:pos="960"/>
              <w:tab w:val="right" w:leader="dot" w:pos="9016"/>
            </w:tabs>
            <w:rPr>
              <w:rFonts w:eastAsiaTheme="minorEastAsia"/>
              <w:noProof/>
              <w:color w:val="auto"/>
              <w:sz w:val="24"/>
              <w:szCs w:val="24"/>
              <w:lang w:eastAsia="en-GB"/>
            </w:rPr>
          </w:pPr>
          <w:hyperlink w:anchor="_Toc228126789" w:history="1">
            <w:r w:rsidRPr="000C1BFC">
              <w:rPr>
                <w:rStyle w:val="Hyperlink"/>
                <w:noProof/>
              </w:rPr>
              <w:t>5.2</w:t>
            </w:r>
            <w:r w:rsidRPr="000C1BFC">
              <w:rPr>
                <w:rFonts w:eastAsiaTheme="minorEastAsia"/>
                <w:noProof/>
                <w:color w:val="auto"/>
                <w:sz w:val="24"/>
                <w:szCs w:val="24"/>
                <w:lang w:eastAsia="en-GB"/>
              </w:rPr>
              <w:tab/>
            </w:r>
            <w:r w:rsidRPr="000C1BFC">
              <w:rPr>
                <w:rStyle w:val="Hyperlink"/>
                <w:noProof/>
              </w:rPr>
              <w:t>Yield Strength</w:t>
            </w:r>
            <w:r w:rsidRPr="000C1BFC">
              <w:rPr>
                <w:noProof/>
                <w:webHidden/>
              </w:rPr>
              <w:tab/>
            </w:r>
            <w:r w:rsidRPr="000C1BFC">
              <w:rPr>
                <w:noProof/>
                <w:webHidden/>
              </w:rPr>
              <w:fldChar w:fldCharType="begin"/>
            </w:r>
            <w:r w:rsidRPr="000C1BFC">
              <w:rPr>
                <w:noProof/>
                <w:webHidden/>
              </w:rPr>
              <w:instrText xml:space="preserve"> PAGEREF _Toc228126789 \h </w:instrText>
            </w:r>
            <w:r w:rsidRPr="000C1BFC">
              <w:rPr>
                <w:noProof/>
                <w:webHidden/>
              </w:rPr>
            </w:r>
            <w:r w:rsidRPr="000C1BFC">
              <w:rPr>
                <w:noProof/>
                <w:webHidden/>
              </w:rPr>
              <w:fldChar w:fldCharType="separate"/>
            </w:r>
            <w:r w:rsidRPr="000C1BFC">
              <w:rPr>
                <w:noProof/>
                <w:webHidden/>
              </w:rPr>
              <w:t>6</w:t>
            </w:r>
            <w:r w:rsidRPr="000C1BFC">
              <w:rPr>
                <w:noProof/>
                <w:webHidden/>
              </w:rPr>
              <w:fldChar w:fldCharType="end"/>
            </w:r>
          </w:hyperlink>
        </w:p>
        <w:p w14:paraId="3A1207AE" w14:textId="08D7CDA4" w:rsidR="00ED40D9" w:rsidRPr="000C1BFC" w:rsidRDefault="00ED40D9">
          <w:pPr>
            <w:pStyle w:val="TOC3"/>
            <w:tabs>
              <w:tab w:val="left" w:pos="1200"/>
              <w:tab w:val="right" w:leader="dot" w:pos="9016"/>
            </w:tabs>
            <w:rPr>
              <w:rFonts w:eastAsiaTheme="minorEastAsia"/>
              <w:noProof/>
              <w:color w:val="auto"/>
              <w:sz w:val="24"/>
              <w:szCs w:val="24"/>
              <w:lang w:eastAsia="en-GB"/>
            </w:rPr>
          </w:pPr>
          <w:hyperlink w:anchor="_Toc228126790" w:history="1">
            <w:r w:rsidRPr="000C1BFC">
              <w:rPr>
                <w:rStyle w:val="Hyperlink"/>
                <w:noProof/>
              </w:rPr>
              <w:t>5.2.1</w:t>
            </w:r>
            <w:r w:rsidRPr="000C1BFC">
              <w:rPr>
                <w:rFonts w:eastAsiaTheme="minorEastAsia"/>
                <w:noProof/>
                <w:color w:val="auto"/>
                <w:sz w:val="24"/>
                <w:szCs w:val="24"/>
                <w:lang w:eastAsia="en-GB"/>
              </w:rPr>
              <w:tab/>
            </w:r>
            <w:r w:rsidRPr="000C1BFC">
              <w:rPr>
                <w:rStyle w:val="Hyperlink"/>
                <w:noProof/>
              </w:rPr>
              <w:t>Yield Strength/Force on Graph</w:t>
            </w:r>
            <w:r w:rsidRPr="000C1BFC">
              <w:rPr>
                <w:noProof/>
                <w:webHidden/>
              </w:rPr>
              <w:tab/>
            </w:r>
            <w:r w:rsidRPr="000C1BFC">
              <w:rPr>
                <w:noProof/>
                <w:webHidden/>
              </w:rPr>
              <w:fldChar w:fldCharType="begin"/>
            </w:r>
            <w:r w:rsidRPr="000C1BFC">
              <w:rPr>
                <w:noProof/>
                <w:webHidden/>
              </w:rPr>
              <w:instrText xml:space="preserve"> PAGEREF _Toc228126790 \h </w:instrText>
            </w:r>
            <w:r w:rsidRPr="000C1BFC">
              <w:rPr>
                <w:noProof/>
                <w:webHidden/>
              </w:rPr>
            </w:r>
            <w:r w:rsidRPr="000C1BFC">
              <w:rPr>
                <w:noProof/>
                <w:webHidden/>
              </w:rPr>
              <w:fldChar w:fldCharType="separate"/>
            </w:r>
            <w:r w:rsidRPr="000C1BFC">
              <w:rPr>
                <w:noProof/>
                <w:webHidden/>
              </w:rPr>
              <w:t>6</w:t>
            </w:r>
            <w:r w:rsidRPr="000C1BFC">
              <w:rPr>
                <w:noProof/>
                <w:webHidden/>
              </w:rPr>
              <w:fldChar w:fldCharType="end"/>
            </w:r>
          </w:hyperlink>
        </w:p>
        <w:p w14:paraId="60BD6DEF" w14:textId="3A0BC6CE" w:rsidR="00ED40D9" w:rsidRPr="000C1BFC" w:rsidRDefault="00ED40D9">
          <w:pPr>
            <w:pStyle w:val="TOC2"/>
            <w:tabs>
              <w:tab w:val="left" w:pos="960"/>
              <w:tab w:val="right" w:leader="dot" w:pos="9016"/>
            </w:tabs>
            <w:rPr>
              <w:rFonts w:eastAsiaTheme="minorEastAsia"/>
              <w:noProof/>
              <w:color w:val="auto"/>
              <w:sz w:val="24"/>
              <w:szCs w:val="24"/>
              <w:lang w:eastAsia="en-GB"/>
            </w:rPr>
          </w:pPr>
          <w:hyperlink w:anchor="_Toc228126791" w:history="1">
            <w:r w:rsidRPr="000C1BFC">
              <w:rPr>
                <w:rStyle w:val="Hyperlink"/>
                <w:noProof/>
              </w:rPr>
              <w:t>5.3</w:t>
            </w:r>
            <w:r w:rsidRPr="000C1BFC">
              <w:rPr>
                <w:rFonts w:eastAsiaTheme="minorEastAsia"/>
                <w:noProof/>
                <w:color w:val="auto"/>
                <w:sz w:val="24"/>
                <w:szCs w:val="24"/>
                <w:lang w:eastAsia="en-GB"/>
              </w:rPr>
              <w:tab/>
            </w:r>
            <w:r w:rsidRPr="000C1BFC">
              <w:rPr>
                <w:rStyle w:val="Hyperlink"/>
                <w:noProof/>
              </w:rPr>
              <w:t>Ultimate Tensile Strength</w:t>
            </w:r>
            <w:r w:rsidRPr="000C1BFC">
              <w:rPr>
                <w:noProof/>
                <w:webHidden/>
              </w:rPr>
              <w:tab/>
            </w:r>
            <w:r w:rsidRPr="000C1BFC">
              <w:rPr>
                <w:noProof/>
                <w:webHidden/>
              </w:rPr>
              <w:fldChar w:fldCharType="begin"/>
            </w:r>
            <w:r w:rsidRPr="000C1BFC">
              <w:rPr>
                <w:noProof/>
                <w:webHidden/>
              </w:rPr>
              <w:instrText xml:space="preserve"> PAGEREF _Toc228126791 \h </w:instrText>
            </w:r>
            <w:r w:rsidRPr="000C1BFC">
              <w:rPr>
                <w:noProof/>
                <w:webHidden/>
              </w:rPr>
            </w:r>
            <w:r w:rsidRPr="000C1BFC">
              <w:rPr>
                <w:noProof/>
                <w:webHidden/>
              </w:rPr>
              <w:fldChar w:fldCharType="separate"/>
            </w:r>
            <w:r w:rsidRPr="000C1BFC">
              <w:rPr>
                <w:noProof/>
                <w:webHidden/>
              </w:rPr>
              <w:t>7</w:t>
            </w:r>
            <w:r w:rsidRPr="000C1BFC">
              <w:rPr>
                <w:noProof/>
                <w:webHidden/>
              </w:rPr>
              <w:fldChar w:fldCharType="end"/>
            </w:r>
          </w:hyperlink>
        </w:p>
        <w:p w14:paraId="5E2F4DDA" w14:textId="767D043D" w:rsidR="00ED40D9" w:rsidRPr="000C1BFC" w:rsidRDefault="00ED40D9">
          <w:pPr>
            <w:pStyle w:val="TOC1"/>
            <w:tabs>
              <w:tab w:val="left" w:pos="440"/>
              <w:tab w:val="right" w:leader="dot" w:pos="9016"/>
            </w:tabs>
            <w:rPr>
              <w:rFonts w:eastAsiaTheme="minorEastAsia"/>
              <w:noProof/>
              <w:color w:val="auto"/>
              <w:sz w:val="24"/>
              <w:szCs w:val="24"/>
              <w:lang w:eastAsia="en-GB"/>
            </w:rPr>
          </w:pPr>
          <w:hyperlink w:anchor="_Toc228126792" w:history="1">
            <w:r w:rsidRPr="000C1BFC">
              <w:rPr>
                <w:rStyle w:val="Hyperlink"/>
                <w:noProof/>
              </w:rPr>
              <w:t>6</w:t>
            </w:r>
            <w:r w:rsidRPr="000C1BFC">
              <w:rPr>
                <w:rFonts w:eastAsiaTheme="minorEastAsia"/>
                <w:noProof/>
                <w:color w:val="auto"/>
                <w:sz w:val="24"/>
                <w:szCs w:val="24"/>
                <w:lang w:eastAsia="en-GB"/>
              </w:rPr>
              <w:tab/>
            </w:r>
            <w:r w:rsidRPr="000C1BFC">
              <w:rPr>
                <w:rStyle w:val="Hyperlink"/>
                <w:noProof/>
              </w:rPr>
              <w:t>Conclusion</w:t>
            </w:r>
            <w:r w:rsidRPr="000C1BFC">
              <w:rPr>
                <w:noProof/>
                <w:webHidden/>
              </w:rPr>
              <w:tab/>
            </w:r>
            <w:r w:rsidRPr="000C1BFC">
              <w:rPr>
                <w:noProof/>
                <w:webHidden/>
              </w:rPr>
              <w:fldChar w:fldCharType="begin"/>
            </w:r>
            <w:r w:rsidRPr="000C1BFC">
              <w:rPr>
                <w:noProof/>
                <w:webHidden/>
              </w:rPr>
              <w:instrText xml:space="preserve"> PAGEREF _Toc228126792 \h </w:instrText>
            </w:r>
            <w:r w:rsidRPr="000C1BFC">
              <w:rPr>
                <w:noProof/>
                <w:webHidden/>
              </w:rPr>
            </w:r>
            <w:r w:rsidRPr="000C1BFC">
              <w:rPr>
                <w:noProof/>
                <w:webHidden/>
              </w:rPr>
              <w:fldChar w:fldCharType="separate"/>
            </w:r>
            <w:r w:rsidRPr="000C1BFC">
              <w:rPr>
                <w:noProof/>
                <w:webHidden/>
              </w:rPr>
              <w:t>8</w:t>
            </w:r>
            <w:r w:rsidRPr="000C1BFC">
              <w:rPr>
                <w:noProof/>
                <w:webHidden/>
              </w:rPr>
              <w:fldChar w:fldCharType="end"/>
            </w:r>
          </w:hyperlink>
        </w:p>
        <w:p w14:paraId="57CA90D7" w14:textId="0C4671C7" w:rsidR="00ED40D9" w:rsidRPr="000C1BFC" w:rsidRDefault="00ED40D9">
          <w:pPr>
            <w:pStyle w:val="TOC2"/>
            <w:tabs>
              <w:tab w:val="left" w:pos="960"/>
              <w:tab w:val="right" w:leader="dot" w:pos="9016"/>
            </w:tabs>
            <w:rPr>
              <w:rFonts w:eastAsiaTheme="minorEastAsia"/>
              <w:noProof/>
              <w:color w:val="auto"/>
              <w:sz w:val="24"/>
              <w:szCs w:val="24"/>
              <w:lang w:eastAsia="en-GB"/>
            </w:rPr>
          </w:pPr>
          <w:hyperlink w:anchor="_Toc228126793" w:history="1">
            <w:r w:rsidRPr="000C1BFC">
              <w:rPr>
                <w:rStyle w:val="Hyperlink"/>
                <w:noProof/>
              </w:rPr>
              <w:t>6.1</w:t>
            </w:r>
            <w:r w:rsidRPr="000C1BFC">
              <w:rPr>
                <w:rFonts w:eastAsiaTheme="minorEastAsia"/>
                <w:noProof/>
                <w:color w:val="auto"/>
                <w:sz w:val="24"/>
                <w:szCs w:val="24"/>
                <w:lang w:eastAsia="en-GB"/>
              </w:rPr>
              <w:tab/>
            </w:r>
            <w:r w:rsidRPr="000C1BFC">
              <w:rPr>
                <w:rStyle w:val="Hyperlink"/>
                <w:noProof/>
              </w:rPr>
              <w:t>Cause of Failure and Recommendations</w:t>
            </w:r>
            <w:r w:rsidRPr="000C1BFC">
              <w:rPr>
                <w:noProof/>
                <w:webHidden/>
              </w:rPr>
              <w:tab/>
            </w:r>
            <w:r w:rsidRPr="000C1BFC">
              <w:rPr>
                <w:noProof/>
                <w:webHidden/>
              </w:rPr>
              <w:fldChar w:fldCharType="begin"/>
            </w:r>
            <w:r w:rsidRPr="000C1BFC">
              <w:rPr>
                <w:noProof/>
                <w:webHidden/>
              </w:rPr>
              <w:instrText xml:space="preserve"> PAGEREF _Toc228126793 \h </w:instrText>
            </w:r>
            <w:r w:rsidRPr="000C1BFC">
              <w:rPr>
                <w:noProof/>
                <w:webHidden/>
              </w:rPr>
            </w:r>
            <w:r w:rsidRPr="000C1BFC">
              <w:rPr>
                <w:noProof/>
                <w:webHidden/>
              </w:rPr>
              <w:fldChar w:fldCharType="separate"/>
            </w:r>
            <w:r w:rsidRPr="000C1BFC">
              <w:rPr>
                <w:noProof/>
                <w:webHidden/>
              </w:rPr>
              <w:t>8</w:t>
            </w:r>
            <w:r w:rsidRPr="000C1BFC">
              <w:rPr>
                <w:noProof/>
                <w:webHidden/>
              </w:rPr>
              <w:fldChar w:fldCharType="end"/>
            </w:r>
          </w:hyperlink>
        </w:p>
        <w:p w14:paraId="1123707C" w14:textId="3B811379" w:rsidR="00ED40D9" w:rsidRPr="000C1BFC" w:rsidRDefault="00ED40D9">
          <w:pPr>
            <w:pStyle w:val="TOC2"/>
            <w:tabs>
              <w:tab w:val="left" w:pos="960"/>
              <w:tab w:val="right" w:leader="dot" w:pos="9016"/>
            </w:tabs>
            <w:rPr>
              <w:rFonts w:eastAsiaTheme="minorEastAsia"/>
              <w:noProof/>
              <w:color w:val="auto"/>
              <w:sz w:val="24"/>
              <w:szCs w:val="24"/>
              <w:lang w:eastAsia="en-GB"/>
            </w:rPr>
          </w:pPr>
          <w:hyperlink w:anchor="_Toc228126794" w:history="1">
            <w:r w:rsidRPr="000C1BFC">
              <w:rPr>
                <w:rStyle w:val="Hyperlink"/>
                <w:noProof/>
              </w:rPr>
              <w:t>6.2</w:t>
            </w:r>
            <w:r w:rsidRPr="000C1BFC">
              <w:rPr>
                <w:rFonts w:eastAsiaTheme="minorEastAsia"/>
                <w:noProof/>
                <w:color w:val="auto"/>
                <w:sz w:val="24"/>
                <w:szCs w:val="24"/>
                <w:lang w:eastAsia="en-GB"/>
              </w:rPr>
              <w:tab/>
            </w:r>
            <w:r w:rsidRPr="000C1BFC">
              <w:rPr>
                <w:rStyle w:val="Hyperlink"/>
                <w:noProof/>
              </w:rPr>
              <w:t>Synthesis of Findings</w:t>
            </w:r>
            <w:r w:rsidRPr="000C1BFC">
              <w:rPr>
                <w:noProof/>
                <w:webHidden/>
              </w:rPr>
              <w:tab/>
            </w:r>
            <w:r w:rsidRPr="000C1BFC">
              <w:rPr>
                <w:noProof/>
                <w:webHidden/>
              </w:rPr>
              <w:fldChar w:fldCharType="begin"/>
            </w:r>
            <w:r w:rsidRPr="000C1BFC">
              <w:rPr>
                <w:noProof/>
                <w:webHidden/>
              </w:rPr>
              <w:instrText xml:space="preserve"> PAGEREF _Toc228126794 \h </w:instrText>
            </w:r>
            <w:r w:rsidRPr="000C1BFC">
              <w:rPr>
                <w:noProof/>
                <w:webHidden/>
              </w:rPr>
            </w:r>
            <w:r w:rsidRPr="000C1BFC">
              <w:rPr>
                <w:noProof/>
                <w:webHidden/>
              </w:rPr>
              <w:fldChar w:fldCharType="separate"/>
            </w:r>
            <w:r w:rsidRPr="000C1BFC">
              <w:rPr>
                <w:noProof/>
                <w:webHidden/>
              </w:rPr>
              <w:t>8</w:t>
            </w:r>
            <w:r w:rsidRPr="000C1BFC">
              <w:rPr>
                <w:noProof/>
                <w:webHidden/>
              </w:rPr>
              <w:fldChar w:fldCharType="end"/>
            </w:r>
          </w:hyperlink>
        </w:p>
        <w:p w14:paraId="57F60AD1" w14:textId="179EF980" w:rsidR="00E04E8D" w:rsidRPr="000C1BFC" w:rsidRDefault="00E04E8D">
          <w:r w:rsidRPr="000C1BFC">
            <w:rPr>
              <w:b/>
              <w:bCs/>
              <w:noProof/>
            </w:rPr>
            <w:fldChar w:fldCharType="end"/>
          </w:r>
        </w:p>
      </w:sdtContent>
    </w:sdt>
    <w:p w14:paraId="1509CB85" w14:textId="77777777" w:rsidR="00BE05A3" w:rsidRPr="000C1BFC" w:rsidRDefault="00BE05A3" w:rsidP="00BE05A3">
      <w:pPr>
        <w:jc w:val="center"/>
        <w:rPr>
          <w:b/>
          <w:bCs/>
          <w:i/>
          <w:iCs/>
          <w:sz w:val="28"/>
          <w:szCs w:val="28"/>
        </w:rPr>
      </w:pPr>
    </w:p>
    <w:p w14:paraId="33D16DC1" w14:textId="77777777" w:rsidR="00272E13" w:rsidRPr="000C1BFC" w:rsidRDefault="00272E13" w:rsidP="00BE05A3">
      <w:pPr>
        <w:jc w:val="center"/>
        <w:rPr>
          <w:b/>
          <w:bCs/>
          <w:i/>
          <w:iCs/>
          <w:sz w:val="28"/>
          <w:szCs w:val="28"/>
        </w:rPr>
      </w:pPr>
      <w:r w:rsidRPr="000C1BFC">
        <w:rPr>
          <w:b/>
          <w:bCs/>
          <w:i/>
          <w:iCs/>
          <w:sz w:val="28"/>
          <w:szCs w:val="28"/>
        </w:rPr>
        <w:fldChar w:fldCharType="begin"/>
      </w:r>
      <w:r w:rsidRPr="000C1BFC">
        <w:rPr>
          <w:b/>
          <w:bCs/>
          <w:i/>
          <w:iCs/>
          <w:sz w:val="28"/>
          <w:szCs w:val="28"/>
        </w:rPr>
        <w:instrText xml:space="preserve"> TOC \h \z \c "Table" </w:instrText>
      </w:r>
      <w:r w:rsidRPr="000C1BFC">
        <w:rPr>
          <w:b/>
          <w:bCs/>
          <w:i/>
          <w:iCs/>
          <w:sz w:val="28"/>
          <w:szCs w:val="28"/>
        </w:rPr>
        <w:fldChar w:fldCharType="separate"/>
      </w:r>
      <w:r w:rsidRPr="000C1BFC">
        <w:rPr>
          <w:i/>
          <w:iCs/>
          <w:noProof/>
          <w:sz w:val="28"/>
          <w:szCs w:val="28"/>
          <w:lang w:val="en-US"/>
        </w:rPr>
        <w:t>No table of figures entries found.</w:t>
      </w:r>
      <w:r w:rsidRPr="000C1BFC">
        <w:rPr>
          <w:b/>
          <w:bCs/>
          <w:i/>
          <w:iCs/>
          <w:sz w:val="28"/>
          <w:szCs w:val="28"/>
        </w:rPr>
        <w:fldChar w:fldCharType="end"/>
      </w:r>
    </w:p>
    <w:p w14:paraId="046C670C" w14:textId="77777777" w:rsidR="00BE05A3" w:rsidRPr="000C1BFC" w:rsidRDefault="00BE05A3">
      <w:pPr>
        <w:rPr>
          <w:b/>
          <w:bCs/>
          <w:i/>
          <w:iCs/>
          <w:sz w:val="28"/>
          <w:szCs w:val="28"/>
        </w:rPr>
      </w:pPr>
      <w:r w:rsidRPr="000C1BFC">
        <w:rPr>
          <w:b/>
          <w:bCs/>
          <w:i/>
          <w:iCs/>
          <w:sz w:val="28"/>
          <w:szCs w:val="28"/>
        </w:rPr>
        <w:br w:type="page"/>
      </w:r>
    </w:p>
    <w:p w14:paraId="4DB9FA58" w14:textId="77777777" w:rsidR="00E04E8D" w:rsidRPr="000C1BFC" w:rsidRDefault="00E04E8D" w:rsidP="00E04E8D">
      <w:pPr>
        <w:tabs>
          <w:tab w:val="left" w:pos="1370"/>
        </w:tabs>
        <w:rPr>
          <w:b/>
          <w:bCs/>
          <w:i/>
          <w:iCs/>
          <w:sz w:val="28"/>
          <w:szCs w:val="28"/>
        </w:rPr>
      </w:pPr>
      <w:r w:rsidRPr="000C1BFC">
        <w:rPr>
          <w:b/>
          <w:bCs/>
          <w:i/>
          <w:iCs/>
          <w:sz w:val="28"/>
          <w:szCs w:val="28"/>
        </w:rPr>
        <w:lastRenderedPageBreak/>
        <w:tab/>
      </w:r>
    </w:p>
    <w:p w14:paraId="38930907" w14:textId="2DDE4B05" w:rsidR="0020385C" w:rsidRPr="000C1BFC" w:rsidRDefault="0020385C" w:rsidP="0020385C">
      <w:pPr>
        <w:pStyle w:val="Heading1"/>
        <w:rPr>
          <w:rFonts w:ascii="Calibri" w:hAnsi="Calibri" w:cs="Calibri"/>
        </w:rPr>
      </w:pPr>
      <w:bookmarkStart w:id="0" w:name="_Toc228126780"/>
      <w:r w:rsidRPr="000C1BFC">
        <w:rPr>
          <w:rFonts w:ascii="Calibri" w:hAnsi="Calibri" w:cs="Calibri"/>
        </w:rPr>
        <w:t>Introd</w:t>
      </w:r>
      <w:r w:rsidR="00CC75CD" w:rsidRPr="000C1BFC">
        <w:rPr>
          <w:rFonts w:ascii="Calibri" w:hAnsi="Calibri" w:cs="Calibri"/>
        </w:rPr>
        <w:t>uction</w:t>
      </w:r>
      <w:bookmarkEnd w:id="0"/>
      <w:r w:rsidR="00CC75CD" w:rsidRPr="000C1BFC">
        <w:rPr>
          <w:rFonts w:ascii="Calibri" w:hAnsi="Calibri" w:cs="Calibri"/>
        </w:rPr>
        <w:t xml:space="preserve"> </w:t>
      </w:r>
    </w:p>
    <w:p w14:paraId="152F5C27" w14:textId="1E535681" w:rsidR="00343B33" w:rsidRPr="000C1BFC" w:rsidRDefault="00CC75CD" w:rsidP="00CC75CD">
      <w:r w:rsidRPr="000C1BFC">
        <w:t>This investigation looks at the serious failure of two aluminium alloy drive shafts during the fourth and fifth stages of the Dakar Rally. Both parts broke completely under racing conditions, which led to the immediate halt and withdrawal of the vehicles. Although the drive shafts were made according to previous design standards, the racing team recently changed material suppliers and suspects a major flaw in the current alloy. Initial data show that the maximum stress the part experienced during operation was 90 MPa. To explore this issue, a tensile test was conducted on a material sample to determine the yield strength, ultimate tensile strength, and Young’s modulus. By examining these mechanical results and analysing the fracture surface, this report aims to determine the cause of the failure and suggest ways to mitigate similar risks in future races.</w:t>
      </w:r>
    </w:p>
    <w:p w14:paraId="7E2A5F36" w14:textId="77777777" w:rsidR="00343B33" w:rsidRPr="000C1BFC" w:rsidRDefault="00343B33">
      <w:r w:rsidRPr="000C1BFC">
        <w:br w:type="page"/>
      </w:r>
    </w:p>
    <w:p w14:paraId="6ADC3E6A" w14:textId="2EF46A14" w:rsidR="00162717" w:rsidRPr="000C1BFC" w:rsidRDefault="001F758F" w:rsidP="001F758F">
      <w:pPr>
        <w:pStyle w:val="Heading1"/>
        <w:rPr>
          <w:rFonts w:ascii="Calibri" w:hAnsi="Calibri" w:cs="Calibri"/>
        </w:rPr>
      </w:pPr>
      <w:bookmarkStart w:id="1" w:name="_Toc228126781"/>
      <w:r w:rsidRPr="000C1BFC">
        <w:rPr>
          <w:rFonts w:ascii="Calibri" w:hAnsi="Calibri" w:cs="Calibri"/>
        </w:rPr>
        <w:lastRenderedPageBreak/>
        <w:t>Literature Review</w:t>
      </w:r>
      <w:bookmarkEnd w:id="1"/>
      <w:r w:rsidRPr="000C1BFC">
        <w:rPr>
          <w:rFonts w:ascii="Calibri" w:hAnsi="Calibri" w:cs="Calibri"/>
        </w:rPr>
        <w:t xml:space="preserve"> </w:t>
      </w:r>
    </w:p>
    <w:p w14:paraId="458689FD" w14:textId="77777777" w:rsidR="0077395C" w:rsidRPr="000C1BFC" w:rsidRDefault="0077395C" w:rsidP="006E45DD">
      <w:pPr>
        <w:pStyle w:val="Heading2"/>
        <w:rPr>
          <w:rFonts w:ascii="Calibri" w:hAnsi="Calibri" w:cs="Calibri"/>
        </w:rPr>
      </w:pPr>
      <w:bookmarkStart w:id="2" w:name="_Toc228126782"/>
      <w:r w:rsidRPr="000C1BFC">
        <w:rPr>
          <w:rFonts w:ascii="Calibri" w:hAnsi="Calibri" w:cs="Calibri"/>
        </w:rPr>
        <w:t>2.1 Mechanical Properties for Drivetrain Applications</w:t>
      </w:r>
      <w:bookmarkEnd w:id="2"/>
    </w:p>
    <w:p w14:paraId="349683C2" w14:textId="6A177EC6" w:rsidR="0077395C" w:rsidRPr="000C1BFC" w:rsidRDefault="0077395C" w:rsidP="0077395C">
      <w:r w:rsidRPr="000C1BFC">
        <w:t>When choosing materials for drive shafts in off-road racing, it is important to balance high torque transmission with the ability to handle unexpected impact loads. The main property to consider is Yield Strength</w:t>
      </w:r>
      <w:r w:rsidR="00B256A9" w:rsidRPr="000C1BFC">
        <w:t>.</w:t>
      </w:r>
      <w:r w:rsidRPr="000C1BFC">
        <w:t xml:space="preserve"> This defines the limit of elastic </w:t>
      </w:r>
      <w:r w:rsidR="00E552A1" w:rsidRPr="000C1BFC">
        <w:t>behaviour</w:t>
      </w:r>
      <w:r w:rsidRPr="000C1BFC">
        <w:t>. If this value is exceeded, it causes permanent deformation, which can lead to misalignment or immediate failur</w:t>
      </w:r>
      <w:r w:rsidR="00CF25A7" w:rsidRPr="000C1BFC">
        <w:t>e (</w:t>
      </w:r>
      <w:proofErr w:type="spellStart"/>
      <w:r w:rsidR="00CF25A7" w:rsidRPr="000C1BFC">
        <w:t>Budynas</w:t>
      </w:r>
      <w:proofErr w:type="spellEnd"/>
      <w:r w:rsidR="00CF25A7" w:rsidRPr="000C1BFC">
        <w:t xml:space="preserve"> and Nisbett, 2020</w:t>
      </w:r>
      <w:r w:rsidR="00781529" w:rsidRPr="000C1BFC">
        <w:t>).</w:t>
      </w:r>
      <w:r w:rsidRPr="000C1BFC">
        <w:t xml:space="preserve"> For high-performance needs, </w:t>
      </w:r>
      <w:r w:rsidR="00E552A1" w:rsidRPr="000C1BFC">
        <w:t>aluminium</w:t>
      </w:r>
      <w:r w:rsidRPr="000C1BFC">
        <w:t xml:space="preserve"> alloys from the 7000-series (Al-Zn) are often chosen because they have better strength-to-weight ratios than traditional steels.</w:t>
      </w:r>
      <w:r w:rsidR="000B02A8" w:rsidRPr="000C1BFC">
        <w:t xml:space="preserve"> </w:t>
      </w:r>
      <w:r w:rsidR="0094043F" w:rsidRPr="000C1BFC">
        <w:t>(</w:t>
      </w:r>
      <w:proofErr w:type="spellStart"/>
      <w:r w:rsidR="0094043F" w:rsidRPr="000C1BFC">
        <w:t>MatWeb</w:t>
      </w:r>
      <w:proofErr w:type="spellEnd"/>
      <w:r w:rsidR="0094043F" w:rsidRPr="000C1BFC">
        <w:t xml:space="preserve">, 2023) </w:t>
      </w:r>
      <w:r w:rsidRPr="000C1BFC">
        <w:t xml:space="preserve">Additionally, Young’s Modulus </w:t>
      </w:r>
      <w:r w:rsidR="00985261" w:rsidRPr="000C1BFC">
        <w:t>E</w:t>
      </w:r>
      <w:r w:rsidRPr="000C1BFC">
        <w:t xml:space="preserve"> is important for measuring the stiffness of the shaft. A material with an unsuitable modulus can lead to too much torsional deflection. This would affect the vehicle's power delivery and may cause resonance problems within the drivetrain. </w:t>
      </w:r>
    </w:p>
    <w:p w14:paraId="558ACB44" w14:textId="77777777" w:rsidR="0077395C" w:rsidRPr="000C1BFC" w:rsidRDefault="0077395C" w:rsidP="006E45DD">
      <w:pPr>
        <w:pStyle w:val="Heading2"/>
        <w:rPr>
          <w:rFonts w:ascii="Calibri" w:hAnsi="Calibri" w:cs="Calibri"/>
        </w:rPr>
      </w:pPr>
      <w:bookmarkStart w:id="3" w:name="_Toc228126783"/>
      <w:r w:rsidRPr="000C1BFC">
        <w:rPr>
          <w:rFonts w:ascii="Calibri" w:hAnsi="Calibri" w:cs="Calibri"/>
        </w:rPr>
        <w:t>2.2 Fatigue and Fracture Mechanics</w:t>
      </w:r>
      <w:bookmarkEnd w:id="3"/>
    </w:p>
    <w:p w14:paraId="50A306B1" w14:textId="72A3C3B2" w:rsidR="0077395C" w:rsidRPr="000C1BFC" w:rsidRDefault="0077395C" w:rsidP="0077395C">
      <w:r w:rsidRPr="000C1BFC">
        <w:t xml:space="preserve">The Dakar Rally features cyclic loading over thousands of </w:t>
      </w:r>
      <w:r w:rsidR="00E552A1" w:rsidRPr="000C1BFC">
        <w:t>kilometres</w:t>
      </w:r>
      <w:r w:rsidRPr="000C1BFC">
        <w:t xml:space="preserve">, making Fatigue Strength a key factor. Fatigue failure tends to </w:t>
      </w:r>
      <w:r w:rsidR="00E552A1" w:rsidRPr="000C1BFC">
        <w:t>occur at stress levels well below</w:t>
      </w:r>
      <w:r w:rsidRPr="000C1BFC">
        <w:t xml:space="preserve"> the material's static tensile strength. </w:t>
      </w:r>
      <w:r w:rsidR="0060501D" w:rsidRPr="000C1BFC">
        <w:t xml:space="preserve">(Callister, 2000). </w:t>
      </w:r>
      <w:r w:rsidRPr="000C1BFC">
        <w:t>Studies show that surface finish and production methods</w:t>
      </w:r>
      <w:r w:rsidR="00E552A1" w:rsidRPr="000C1BFC">
        <w:t>, such as machining or extrusion, can create stress points that serve as crack initiation sites</w:t>
      </w:r>
      <w:r w:rsidRPr="000C1BFC">
        <w:t xml:space="preserve">. The Fracture Toughness of the alloy is crucial for resisting crack growth once a flaw appears. In high-vibration settings, materials with low toughness can experience serious “brittle-like” fractures, even if they have high static strength. </w:t>
      </w:r>
      <w:r w:rsidR="002D7AC4" w:rsidRPr="000C1BFC">
        <w:t>(Milliken and Milliken, 1995)</w:t>
      </w:r>
    </w:p>
    <w:p w14:paraId="74CBDB3B" w14:textId="11C4D371" w:rsidR="0077395C" w:rsidRPr="000C1BFC" w:rsidRDefault="0077395C" w:rsidP="006E45DD">
      <w:pPr>
        <w:pStyle w:val="Heading2"/>
        <w:rPr>
          <w:rFonts w:ascii="Calibri" w:hAnsi="Calibri" w:cs="Calibri"/>
        </w:rPr>
      </w:pPr>
      <w:bookmarkStart w:id="4" w:name="_Toc228126784"/>
      <w:r w:rsidRPr="000C1BFC">
        <w:rPr>
          <w:rFonts w:ascii="Calibri" w:hAnsi="Calibri" w:cs="Calibri"/>
        </w:rPr>
        <w:t xml:space="preserve">2.3 </w:t>
      </w:r>
      <w:r w:rsidR="00E552A1" w:rsidRPr="000C1BFC">
        <w:rPr>
          <w:rFonts w:ascii="Calibri" w:hAnsi="Calibri" w:cs="Calibri"/>
        </w:rPr>
        <w:t>Standardised</w:t>
      </w:r>
      <w:r w:rsidRPr="000C1BFC">
        <w:rPr>
          <w:rFonts w:ascii="Calibri" w:hAnsi="Calibri" w:cs="Calibri"/>
        </w:rPr>
        <w:t xml:space="preserve"> Testing Methods</w:t>
      </w:r>
      <w:bookmarkEnd w:id="4"/>
    </w:p>
    <w:p w14:paraId="1D41EB42" w14:textId="0DBAC49E" w:rsidR="006C64CC" w:rsidRPr="000C1BFC" w:rsidRDefault="0077395C" w:rsidP="006C64CC">
      <w:r w:rsidRPr="000C1BFC">
        <w:t xml:space="preserve">To confirm these properties, the Tensile Test is the industry standard. This involves applying controlled axial tension to a specimen until it fails. Engineers can then create a Stress-Strain curve from this. This method enables them to precisely calculate the Ultimate Tensile Strength (UTS), which is the </w:t>
      </w:r>
      <w:r w:rsidR="00481A0B" w:rsidRPr="000C1BFC">
        <w:t>maximum stress the material can withstand, and the Ductility, measured as the percentage elongation before fracture</w:t>
      </w:r>
      <w:r w:rsidRPr="000C1BFC">
        <w:t xml:space="preserve">. For automotive parts, testing should meet </w:t>
      </w:r>
      <w:r w:rsidR="00481A0B" w:rsidRPr="000C1BFC">
        <w:t>recognised</w:t>
      </w:r>
      <w:r w:rsidRPr="000C1BFC">
        <w:t xml:space="preserve"> standards, </w:t>
      </w:r>
      <w:r w:rsidR="00481A0B" w:rsidRPr="000C1BFC">
        <w:t>such as ASTM E8/E8M, to ensure the data aligns with manufacturer specifications and supplier-provided documents</w:t>
      </w:r>
      <w:r w:rsidRPr="000C1BFC">
        <w:t>.</w:t>
      </w:r>
      <w:r w:rsidR="006C64CC" w:rsidRPr="000C1BFC">
        <w:t xml:space="preserve"> (American Society For Testing And Materials. Committee E-28 On Mechanical Testing and </w:t>
      </w:r>
      <w:r w:rsidR="000B02A8" w:rsidRPr="000C1BFC">
        <w:t>ASTM</w:t>
      </w:r>
      <w:r w:rsidR="006C64CC" w:rsidRPr="000C1BFC">
        <w:t xml:space="preserve"> Subcommittee 28.04 On Uniaxial Testing, 2016)</w:t>
      </w:r>
    </w:p>
    <w:p w14:paraId="2F041A10" w14:textId="04EAF2B6" w:rsidR="001F758F" w:rsidRPr="000C1BFC" w:rsidRDefault="001F758F" w:rsidP="0077395C"/>
    <w:p w14:paraId="20C5348D" w14:textId="77777777" w:rsidR="00481A0B" w:rsidRPr="000C1BFC" w:rsidRDefault="00481A0B" w:rsidP="0077395C"/>
    <w:p w14:paraId="72C5EAA4" w14:textId="77777777" w:rsidR="00BE05A3" w:rsidRPr="000C1BFC" w:rsidRDefault="00BE05A3" w:rsidP="00E04E8D">
      <w:pPr>
        <w:tabs>
          <w:tab w:val="left" w:pos="1370"/>
        </w:tabs>
        <w:rPr>
          <w:b/>
          <w:bCs/>
          <w:i/>
          <w:iCs/>
          <w:sz w:val="28"/>
          <w:szCs w:val="28"/>
        </w:rPr>
      </w:pPr>
    </w:p>
    <w:p w14:paraId="2DC78C44" w14:textId="77777777" w:rsidR="007B3F86" w:rsidRPr="000C1BFC" w:rsidRDefault="007B3F86" w:rsidP="007B3F86">
      <w:pPr>
        <w:rPr>
          <w:b/>
          <w:bCs/>
          <w:i/>
          <w:iCs/>
          <w:sz w:val="28"/>
          <w:szCs w:val="28"/>
        </w:rPr>
      </w:pPr>
    </w:p>
    <w:p w14:paraId="5B5CDBC0" w14:textId="77777777" w:rsidR="00BE05A3" w:rsidRPr="000C1BFC" w:rsidRDefault="00BE05A3" w:rsidP="00BE05A3"/>
    <w:p w14:paraId="54C6DA8B" w14:textId="77777777" w:rsidR="00D16DDC" w:rsidRPr="000C1BFC" w:rsidRDefault="00D16DDC" w:rsidP="00D16DDC">
      <w:pPr>
        <w:pStyle w:val="Heading1"/>
        <w:rPr>
          <w:rFonts w:ascii="Calibri" w:hAnsi="Calibri" w:cs="Calibri"/>
        </w:rPr>
      </w:pPr>
      <w:bookmarkStart w:id="5" w:name="_Toc228126785"/>
      <w:r w:rsidRPr="000C1BFC">
        <w:rPr>
          <w:rFonts w:ascii="Calibri" w:hAnsi="Calibri" w:cs="Calibri"/>
        </w:rPr>
        <w:t>Method</w:t>
      </w:r>
      <w:bookmarkEnd w:id="5"/>
    </w:p>
    <w:p w14:paraId="6DF4305D" w14:textId="50397DBA" w:rsidR="00D16DDC" w:rsidRPr="000C1BFC" w:rsidRDefault="001A0F19" w:rsidP="001A0F19">
      <w:r w:rsidRPr="000C1BFC">
        <w:t xml:space="preserve">The experimental investigation used a universal tensile testing kit to assess the mechanical integrity of the aluminium alloy. The process began by securing a standardised test specimen, with an initial gauge length of 31 </w:t>
      </w:r>
      <w:r w:rsidR="008B1703" w:rsidRPr="000C1BFC">
        <w:t xml:space="preserve">mm </w:t>
      </w:r>
      <w:r w:rsidRPr="000C1BFC">
        <w:t xml:space="preserve">and a cross-sectional area of 2 square </w:t>
      </w:r>
      <w:r w:rsidR="008B1703" w:rsidRPr="000C1BFC">
        <w:t>mm</w:t>
      </w:r>
      <w:r w:rsidRPr="000C1BFC">
        <w:t>, between the fixed upper grip and the movable lower crosshead of the apparatus. To ensure accurate data, a dial indicator was set up to measure the crosshead's vertical movement, and the force gauge was zeroed to remove any initial weight. The specimen underwent quasi-static axial loading by turning the load nut at a controlled rate.</w:t>
      </w:r>
      <w:r w:rsidR="00AB1238" w:rsidRPr="000C1BFC">
        <w:t xml:space="preserve"> The me</w:t>
      </w:r>
      <w:r w:rsidRPr="000C1BFC">
        <w:t xml:space="preserve">asurements </w:t>
      </w:r>
      <w:r w:rsidR="00076CE9" w:rsidRPr="000C1BFC">
        <w:t>of tensile force (in Newtons) and corresponding extension (in mm) were recorded</w:t>
      </w:r>
      <w:r w:rsidR="005C295D" w:rsidRPr="000C1BFC">
        <w:t xml:space="preserve"> </w:t>
      </w:r>
      <w:r w:rsidRPr="000C1BFC">
        <w:t xml:space="preserve">at </w:t>
      </w:r>
      <w:r w:rsidR="00B256A9" w:rsidRPr="000C1BFC">
        <w:t xml:space="preserve">0.20 </w:t>
      </w:r>
      <w:r w:rsidR="008B1703" w:rsidRPr="000C1BFC">
        <w:t>mm</w:t>
      </w:r>
      <w:r w:rsidR="00B256A9" w:rsidRPr="000C1BFC">
        <w:t xml:space="preserve"> increments</w:t>
      </w:r>
      <w:r w:rsidRPr="000C1BFC">
        <w:t xml:space="preserve">. This incremental process continued through the elastic region, beyond the limit of proportionality, and into the plastic region until ultimate failure. After the physical test, </w:t>
      </w:r>
      <w:r w:rsidR="001A6391" w:rsidRPr="000C1BFC">
        <w:t>the raw data was converted to</w:t>
      </w:r>
      <w:r w:rsidRPr="000C1BFC">
        <w:t xml:space="preserve"> basic engineering units. engineering stress</w:t>
      </w:r>
      <w:r w:rsidR="00076CE9" w:rsidRPr="000C1BFC">
        <w:t xml:space="preserve"> was </w:t>
      </w:r>
      <w:r w:rsidR="00593F41" w:rsidRPr="000C1BFC">
        <w:t>then obtained</w:t>
      </w:r>
      <w:r w:rsidRPr="000C1BFC">
        <w:t xml:space="preserve"> by dividing the </w:t>
      </w:r>
      <w:r w:rsidR="00593F41" w:rsidRPr="000C1BFC">
        <w:t xml:space="preserve">applied force by the original cross-sectional area, and engineering strain was calculated </w:t>
      </w:r>
      <w:r w:rsidRPr="000C1BFC">
        <w:t xml:space="preserve">by dividing the extension by the original gauge length. </w:t>
      </w:r>
      <w:r w:rsidR="00593F41" w:rsidRPr="000C1BFC">
        <w:t xml:space="preserve">These processed values are used </w:t>
      </w:r>
      <w:r w:rsidRPr="000C1BFC">
        <w:t>to create a stress-strain diagram. This diagram provided a visual basis for finding Young’s Modulus from the slope of the linear elastic region and identifying the Ultimate Tensile Strength at the top of the curve.</w:t>
      </w:r>
      <w:r w:rsidR="00D16DDC" w:rsidRPr="000C1BFC">
        <w:br w:type="page"/>
      </w:r>
    </w:p>
    <w:p w14:paraId="7C4F6C36" w14:textId="59535BC3" w:rsidR="00BA6487" w:rsidRPr="000C1BFC" w:rsidRDefault="00BA6487" w:rsidP="006E45DD">
      <w:pPr>
        <w:pStyle w:val="Heading1"/>
        <w:numPr>
          <w:ilvl w:val="0"/>
          <w:numId w:val="2"/>
        </w:numPr>
        <w:rPr>
          <w:rFonts w:ascii="Calibri" w:hAnsi="Calibri" w:cs="Calibri"/>
        </w:rPr>
      </w:pPr>
      <w:bookmarkStart w:id="6" w:name="_Toc228126786"/>
      <w:r w:rsidRPr="000C1BFC">
        <w:rPr>
          <w:rFonts w:ascii="Calibri" w:hAnsi="Calibri" w:cs="Calibri"/>
        </w:rPr>
        <w:lastRenderedPageBreak/>
        <w:t>Results</w:t>
      </w:r>
      <w:bookmarkEnd w:id="6"/>
    </w:p>
    <w:tbl>
      <w:tblPr>
        <w:tblW w:w="8531" w:type="dxa"/>
        <w:tblLook w:val="04A0" w:firstRow="1" w:lastRow="0" w:firstColumn="1" w:lastColumn="0" w:noHBand="0" w:noVBand="1"/>
      </w:tblPr>
      <w:tblGrid>
        <w:gridCol w:w="2215"/>
        <w:gridCol w:w="1689"/>
        <w:gridCol w:w="871"/>
        <w:gridCol w:w="1380"/>
        <w:gridCol w:w="1108"/>
        <w:gridCol w:w="1268"/>
      </w:tblGrid>
      <w:tr w:rsidR="00BA6487" w:rsidRPr="000C1BFC" w14:paraId="15868694" w14:textId="77777777" w:rsidTr="00FF7A08">
        <w:trPr>
          <w:trHeight w:val="289"/>
        </w:trPr>
        <w:tc>
          <w:tcPr>
            <w:tcW w:w="2215" w:type="dxa"/>
            <w:tcBorders>
              <w:top w:val="single" w:sz="8" w:space="0" w:color="auto"/>
              <w:left w:val="single" w:sz="8" w:space="0" w:color="auto"/>
              <w:bottom w:val="single" w:sz="4" w:space="0" w:color="auto"/>
              <w:right w:val="single" w:sz="4" w:space="0" w:color="auto"/>
            </w:tcBorders>
            <w:noWrap/>
            <w:vAlign w:val="bottom"/>
            <w:hideMark/>
          </w:tcPr>
          <w:p w14:paraId="7D4E4D55" w14:textId="77777777" w:rsidR="00BA6487" w:rsidRPr="000C1BFC" w:rsidRDefault="00BA6487" w:rsidP="00BA6487">
            <w:pPr>
              <w:spacing w:after="0" w:line="240" w:lineRule="auto"/>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Load Nut Movement (mm)</w:t>
            </w:r>
          </w:p>
        </w:tc>
        <w:tc>
          <w:tcPr>
            <w:tcW w:w="1689" w:type="dxa"/>
            <w:tcBorders>
              <w:top w:val="single" w:sz="8" w:space="0" w:color="auto"/>
              <w:left w:val="nil"/>
              <w:bottom w:val="single" w:sz="4" w:space="0" w:color="auto"/>
              <w:right w:val="single" w:sz="4" w:space="0" w:color="auto"/>
            </w:tcBorders>
            <w:noWrap/>
            <w:vAlign w:val="bottom"/>
            <w:hideMark/>
          </w:tcPr>
          <w:p w14:paraId="3FF9BBC7" w14:textId="77777777" w:rsidR="00BA6487" w:rsidRPr="000C1BFC" w:rsidRDefault="00BA6487" w:rsidP="00BA6487">
            <w:pPr>
              <w:spacing w:after="0" w:line="240" w:lineRule="auto"/>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Dial Indicator (mm)</w:t>
            </w:r>
          </w:p>
        </w:tc>
        <w:tc>
          <w:tcPr>
            <w:tcW w:w="871" w:type="dxa"/>
            <w:tcBorders>
              <w:top w:val="single" w:sz="8" w:space="0" w:color="auto"/>
              <w:left w:val="nil"/>
              <w:bottom w:val="single" w:sz="4" w:space="0" w:color="auto"/>
              <w:right w:val="single" w:sz="4" w:space="0" w:color="auto"/>
            </w:tcBorders>
            <w:noWrap/>
            <w:vAlign w:val="bottom"/>
            <w:hideMark/>
          </w:tcPr>
          <w:p w14:paraId="6AA58B8B" w14:textId="77777777" w:rsidR="00BA6487" w:rsidRPr="000C1BFC" w:rsidRDefault="00BA6487" w:rsidP="00BA6487">
            <w:pPr>
              <w:spacing w:after="0" w:line="240" w:lineRule="auto"/>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Force (N)</w:t>
            </w:r>
          </w:p>
        </w:tc>
        <w:tc>
          <w:tcPr>
            <w:tcW w:w="1380" w:type="dxa"/>
            <w:tcBorders>
              <w:top w:val="single" w:sz="8" w:space="0" w:color="auto"/>
              <w:left w:val="nil"/>
              <w:bottom w:val="single" w:sz="4" w:space="0" w:color="auto"/>
              <w:right w:val="single" w:sz="4" w:space="0" w:color="auto"/>
            </w:tcBorders>
            <w:noWrap/>
            <w:vAlign w:val="bottom"/>
            <w:hideMark/>
          </w:tcPr>
          <w:p w14:paraId="6BE753EC" w14:textId="77777777" w:rsidR="00BA6487" w:rsidRPr="000C1BFC" w:rsidRDefault="00BA6487" w:rsidP="00BA6487">
            <w:pPr>
              <w:spacing w:after="0" w:line="240" w:lineRule="auto"/>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Extension (mm)</w:t>
            </w:r>
          </w:p>
        </w:tc>
        <w:tc>
          <w:tcPr>
            <w:tcW w:w="1108" w:type="dxa"/>
            <w:tcBorders>
              <w:top w:val="single" w:sz="8" w:space="0" w:color="auto"/>
              <w:left w:val="nil"/>
              <w:bottom w:val="single" w:sz="4" w:space="0" w:color="auto"/>
              <w:right w:val="single" w:sz="4" w:space="0" w:color="auto"/>
            </w:tcBorders>
            <w:noWrap/>
            <w:vAlign w:val="bottom"/>
            <w:hideMark/>
          </w:tcPr>
          <w:p w14:paraId="248B6B50" w14:textId="77777777" w:rsidR="00BA6487" w:rsidRPr="000C1BFC" w:rsidRDefault="00BA6487" w:rsidP="00BA6487">
            <w:pPr>
              <w:spacing w:after="0" w:line="240" w:lineRule="auto"/>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Stress (Pa)</w:t>
            </w:r>
          </w:p>
        </w:tc>
        <w:tc>
          <w:tcPr>
            <w:tcW w:w="1268" w:type="dxa"/>
            <w:tcBorders>
              <w:top w:val="single" w:sz="8" w:space="0" w:color="auto"/>
              <w:left w:val="nil"/>
              <w:bottom w:val="single" w:sz="4" w:space="0" w:color="auto"/>
              <w:right w:val="single" w:sz="8" w:space="0" w:color="auto"/>
            </w:tcBorders>
            <w:noWrap/>
            <w:vAlign w:val="bottom"/>
            <w:hideMark/>
          </w:tcPr>
          <w:p w14:paraId="13A0A92B" w14:textId="77777777" w:rsidR="00BA6487" w:rsidRPr="000C1BFC" w:rsidRDefault="00BA6487" w:rsidP="00BA6487">
            <w:pPr>
              <w:spacing w:after="0" w:line="240" w:lineRule="auto"/>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Strain</w:t>
            </w:r>
          </w:p>
        </w:tc>
      </w:tr>
      <w:tr w:rsidR="00FF7A08" w:rsidRPr="000C1BFC" w14:paraId="68367912" w14:textId="77777777" w:rsidTr="00FF7A08">
        <w:trPr>
          <w:trHeight w:val="263"/>
        </w:trPr>
        <w:tc>
          <w:tcPr>
            <w:tcW w:w="2215" w:type="dxa"/>
            <w:tcBorders>
              <w:top w:val="nil"/>
              <w:left w:val="single" w:sz="8" w:space="0" w:color="auto"/>
              <w:bottom w:val="single" w:sz="4" w:space="0" w:color="auto"/>
              <w:right w:val="single" w:sz="4" w:space="0" w:color="auto"/>
            </w:tcBorders>
            <w:noWrap/>
            <w:vAlign w:val="bottom"/>
            <w:hideMark/>
          </w:tcPr>
          <w:p w14:paraId="64E598D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w:t>
            </w:r>
          </w:p>
        </w:tc>
        <w:tc>
          <w:tcPr>
            <w:tcW w:w="1689" w:type="dxa"/>
            <w:tcBorders>
              <w:top w:val="nil"/>
              <w:left w:val="nil"/>
              <w:bottom w:val="single" w:sz="4" w:space="0" w:color="auto"/>
              <w:right w:val="single" w:sz="4" w:space="0" w:color="auto"/>
            </w:tcBorders>
            <w:noWrap/>
            <w:vAlign w:val="bottom"/>
            <w:hideMark/>
          </w:tcPr>
          <w:p w14:paraId="5724FEA4"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w:t>
            </w:r>
          </w:p>
        </w:tc>
        <w:tc>
          <w:tcPr>
            <w:tcW w:w="871" w:type="dxa"/>
            <w:tcBorders>
              <w:top w:val="nil"/>
              <w:left w:val="nil"/>
              <w:bottom w:val="single" w:sz="4" w:space="0" w:color="auto"/>
              <w:right w:val="single" w:sz="4" w:space="0" w:color="auto"/>
            </w:tcBorders>
            <w:noWrap/>
            <w:vAlign w:val="bottom"/>
            <w:hideMark/>
          </w:tcPr>
          <w:p w14:paraId="4149BC8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w:t>
            </w:r>
          </w:p>
        </w:tc>
        <w:tc>
          <w:tcPr>
            <w:tcW w:w="1380" w:type="dxa"/>
            <w:tcBorders>
              <w:top w:val="nil"/>
              <w:left w:val="nil"/>
              <w:bottom w:val="single" w:sz="4" w:space="0" w:color="auto"/>
              <w:right w:val="single" w:sz="4" w:space="0" w:color="auto"/>
            </w:tcBorders>
            <w:noWrap/>
            <w:vAlign w:val="bottom"/>
            <w:hideMark/>
          </w:tcPr>
          <w:p w14:paraId="44D391C4"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w:t>
            </w:r>
          </w:p>
        </w:tc>
        <w:tc>
          <w:tcPr>
            <w:tcW w:w="1108" w:type="dxa"/>
            <w:tcBorders>
              <w:top w:val="nil"/>
              <w:left w:val="nil"/>
              <w:bottom w:val="single" w:sz="4" w:space="0" w:color="auto"/>
              <w:right w:val="single" w:sz="4" w:space="0" w:color="auto"/>
            </w:tcBorders>
            <w:noWrap/>
            <w:vAlign w:val="bottom"/>
            <w:hideMark/>
          </w:tcPr>
          <w:p w14:paraId="038BE18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w:t>
            </w:r>
          </w:p>
        </w:tc>
        <w:tc>
          <w:tcPr>
            <w:tcW w:w="1268" w:type="dxa"/>
            <w:tcBorders>
              <w:top w:val="nil"/>
              <w:left w:val="nil"/>
              <w:bottom w:val="single" w:sz="4" w:space="0" w:color="auto"/>
              <w:right w:val="single" w:sz="8" w:space="0" w:color="auto"/>
            </w:tcBorders>
            <w:noWrap/>
            <w:vAlign w:val="bottom"/>
            <w:hideMark/>
          </w:tcPr>
          <w:p w14:paraId="28588D6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w:t>
            </w:r>
          </w:p>
        </w:tc>
      </w:tr>
      <w:tr w:rsidR="00FF7A08" w:rsidRPr="000C1BFC" w14:paraId="70394385"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0CCF85A7"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0.20</w:t>
            </w:r>
          </w:p>
        </w:tc>
        <w:tc>
          <w:tcPr>
            <w:tcW w:w="1689" w:type="dxa"/>
            <w:tcBorders>
              <w:top w:val="nil"/>
              <w:left w:val="nil"/>
              <w:bottom w:val="single" w:sz="4" w:space="0" w:color="auto"/>
              <w:right w:val="single" w:sz="4" w:space="0" w:color="auto"/>
            </w:tcBorders>
            <w:noWrap/>
            <w:vAlign w:val="bottom"/>
            <w:hideMark/>
          </w:tcPr>
          <w:p w14:paraId="1047108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0.10</w:t>
            </w:r>
          </w:p>
        </w:tc>
        <w:tc>
          <w:tcPr>
            <w:tcW w:w="871" w:type="dxa"/>
            <w:tcBorders>
              <w:top w:val="nil"/>
              <w:left w:val="nil"/>
              <w:bottom w:val="single" w:sz="4" w:space="0" w:color="auto"/>
              <w:right w:val="single" w:sz="4" w:space="0" w:color="auto"/>
            </w:tcBorders>
            <w:noWrap/>
            <w:vAlign w:val="bottom"/>
            <w:hideMark/>
          </w:tcPr>
          <w:p w14:paraId="115252C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10</w:t>
            </w:r>
          </w:p>
        </w:tc>
        <w:tc>
          <w:tcPr>
            <w:tcW w:w="1380" w:type="dxa"/>
            <w:tcBorders>
              <w:top w:val="nil"/>
              <w:left w:val="nil"/>
              <w:bottom w:val="single" w:sz="4" w:space="0" w:color="auto"/>
              <w:right w:val="single" w:sz="4" w:space="0" w:color="auto"/>
            </w:tcBorders>
            <w:noWrap/>
            <w:vAlign w:val="bottom"/>
            <w:hideMark/>
          </w:tcPr>
          <w:p w14:paraId="1E3F660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0.10</w:t>
            </w:r>
          </w:p>
        </w:tc>
        <w:tc>
          <w:tcPr>
            <w:tcW w:w="1108" w:type="dxa"/>
            <w:tcBorders>
              <w:top w:val="nil"/>
              <w:left w:val="nil"/>
              <w:bottom w:val="single" w:sz="4" w:space="0" w:color="auto"/>
              <w:right w:val="single" w:sz="4" w:space="0" w:color="auto"/>
            </w:tcBorders>
            <w:noWrap/>
            <w:vAlign w:val="bottom"/>
            <w:hideMark/>
          </w:tcPr>
          <w:p w14:paraId="013AE9E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5.00E-06</w:t>
            </w:r>
          </w:p>
        </w:tc>
        <w:tc>
          <w:tcPr>
            <w:tcW w:w="1268" w:type="dxa"/>
            <w:tcBorders>
              <w:top w:val="nil"/>
              <w:left w:val="nil"/>
              <w:bottom w:val="single" w:sz="4" w:space="0" w:color="auto"/>
              <w:right w:val="single" w:sz="8" w:space="0" w:color="auto"/>
            </w:tcBorders>
            <w:noWrap/>
            <w:vAlign w:val="bottom"/>
            <w:hideMark/>
          </w:tcPr>
          <w:p w14:paraId="4C2CDD79"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0.003226</w:t>
            </w:r>
          </w:p>
        </w:tc>
      </w:tr>
      <w:tr w:rsidR="00FF7A08" w:rsidRPr="000C1BFC" w14:paraId="7106A7E4" w14:textId="77777777" w:rsidTr="00FF7A08">
        <w:trPr>
          <w:trHeight w:val="263"/>
        </w:trPr>
        <w:tc>
          <w:tcPr>
            <w:tcW w:w="2215" w:type="dxa"/>
            <w:tcBorders>
              <w:top w:val="nil"/>
              <w:left w:val="single" w:sz="8" w:space="0" w:color="auto"/>
              <w:bottom w:val="single" w:sz="4" w:space="0" w:color="auto"/>
              <w:right w:val="single" w:sz="4" w:space="0" w:color="auto"/>
            </w:tcBorders>
            <w:noWrap/>
            <w:vAlign w:val="bottom"/>
            <w:hideMark/>
          </w:tcPr>
          <w:p w14:paraId="5FE0457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0.40</w:t>
            </w:r>
          </w:p>
        </w:tc>
        <w:tc>
          <w:tcPr>
            <w:tcW w:w="1689" w:type="dxa"/>
            <w:tcBorders>
              <w:top w:val="nil"/>
              <w:left w:val="nil"/>
              <w:bottom w:val="single" w:sz="4" w:space="0" w:color="auto"/>
              <w:right w:val="single" w:sz="4" w:space="0" w:color="auto"/>
            </w:tcBorders>
            <w:noWrap/>
            <w:vAlign w:val="bottom"/>
            <w:hideMark/>
          </w:tcPr>
          <w:p w14:paraId="39D4F14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0.26</w:t>
            </w:r>
          </w:p>
        </w:tc>
        <w:tc>
          <w:tcPr>
            <w:tcW w:w="871" w:type="dxa"/>
            <w:tcBorders>
              <w:top w:val="nil"/>
              <w:left w:val="nil"/>
              <w:bottom w:val="single" w:sz="4" w:space="0" w:color="auto"/>
              <w:right w:val="single" w:sz="4" w:space="0" w:color="auto"/>
            </w:tcBorders>
            <w:noWrap/>
            <w:vAlign w:val="bottom"/>
            <w:hideMark/>
          </w:tcPr>
          <w:p w14:paraId="3938A927"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26</w:t>
            </w:r>
          </w:p>
        </w:tc>
        <w:tc>
          <w:tcPr>
            <w:tcW w:w="1380" w:type="dxa"/>
            <w:tcBorders>
              <w:top w:val="nil"/>
              <w:left w:val="nil"/>
              <w:bottom w:val="single" w:sz="4" w:space="0" w:color="auto"/>
              <w:right w:val="single" w:sz="4" w:space="0" w:color="auto"/>
            </w:tcBorders>
            <w:noWrap/>
            <w:vAlign w:val="bottom"/>
            <w:hideMark/>
          </w:tcPr>
          <w:p w14:paraId="4DBE02C7"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0.14</w:t>
            </w:r>
          </w:p>
        </w:tc>
        <w:tc>
          <w:tcPr>
            <w:tcW w:w="1108" w:type="dxa"/>
            <w:tcBorders>
              <w:top w:val="nil"/>
              <w:left w:val="nil"/>
              <w:bottom w:val="single" w:sz="4" w:space="0" w:color="auto"/>
              <w:right w:val="single" w:sz="4" w:space="0" w:color="auto"/>
            </w:tcBorders>
            <w:noWrap/>
            <w:vAlign w:val="bottom"/>
            <w:hideMark/>
          </w:tcPr>
          <w:p w14:paraId="0D7D5C5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1.30E-05</w:t>
            </w:r>
          </w:p>
        </w:tc>
        <w:tc>
          <w:tcPr>
            <w:tcW w:w="1268" w:type="dxa"/>
            <w:tcBorders>
              <w:top w:val="nil"/>
              <w:left w:val="nil"/>
              <w:bottom w:val="single" w:sz="4" w:space="0" w:color="auto"/>
              <w:right w:val="single" w:sz="8" w:space="0" w:color="auto"/>
            </w:tcBorders>
            <w:noWrap/>
            <w:vAlign w:val="bottom"/>
            <w:hideMark/>
          </w:tcPr>
          <w:p w14:paraId="1D4B68F8"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0.004516</w:t>
            </w:r>
          </w:p>
        </w:tc>
      </w:tr>
      <w:tr w:rsidR="00FF7A08" w:rsidRPr="000C1BFC" w14:paraId="25294DAB"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2763BFB4"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0.60</w:t>
            </w:r>
          </w:p>
        </w:tc>
        <w:tc>
          <w:tcPr>
            <w:tcW w:w="1689" w:type="dxa"/>
            <w:tcBorders>
              <w:top w:val="nil"/>
              <w:left w:val="nil"/>
              <w:bottom w:val="single" w:sz="4" w:space="0" w:color="auto"/>
              <w:right w:val="single" w:sz="4" w:space="0" w:color="auto"/>
            </w:tcBorders>
            <w:noWrap/>
            <w:vAlign w:val="bottom"/>
            <w:hideMark/>
          </w:tcPr>
          <w:p w14:paraId="38BE293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0.43</w:t>
            </w:r>
          </w:p>
        </w:tc>
        <w:tc>
          <w:tcPr>
            <w:tcW w:w="871" w:type="dxa"/>
            <w:tcBorders>
              <w:top w:val="nil"/>
              <w:left w:val="nil"/>
              <w:bottom w:val="single" w:sz="4" w:space="0" w:color="auto"/>
              <w:right w:val="single" w:sz="4" w:space="0" w:color="auto"/>
            </w:tcBorders>
            <w:noWrap/>
            <w:vAlign w:val="bottom"/>
            <w:hideMark/>
          </w:tcPr>
          <w:p w14:paraId="723F1D9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43</w:t>
            </w:r>
          </w:p>
        </w:tc>
        <w:tc>
          <w:tcPr>
            <w:tcW w:w="1380" w:type="dxa"/>
            <w:tcBorders>
              <w:top w:val="nil"/>
              <w:left w:val="nil"/>
              <w:bottom w:val="single" w:sz="4" w:space="0" w:color="auto"/>
              <w:right w:val="single" w:sz="4" w:space="0" w:color="auto"/>
            </w:tcBorders>
            <w:noWrap/>
            <w:vAlign w:val="bottom"/>
            <w:hideMark/>
          </w:tcPr>
          <w:p w14:paraId="7A5FB738"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0.17</w:t>
            </w:r>
          </w:p>
        </w:tc>
        <w:tc>
          <w:tcPr>
            <w:tcW w:w="1108" w:type="dxa"/>
            <w:tcBorders>
              <w:top w:val="nil"/>
              <w:left w:val="nil"/>
              <w:bottom w:val="single" w:sz="4" w:space="0" w:color="auto"/>
              <w:right w:val="single" w:sz="4" w:space="0" w:color="auto"/>
            </w:tcBorders>
            <w:noWrap/>
            <w:vAlign w:val="bottom"/>
            <w:hideMark/>
          </w:tcPr>
          <w:p w14:paraId="4504DF8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2.15E-05</w:t>
            </w:r>
          </w:p>
        </w:tc>
        <w:tc>
          <w:tcPr>
            <w:tcW w:w="1268" w:type="dxa"/>
            <w:tcBorders>
              <w:top w:val="nil"/>
              <w:left w:val="nil"/>
              <w:bottom w:val="single" w:sz="4" w:space="0" w:color="auto"/>
              <w:right w:val="single" w:sz="8" w:space="0" w:color="auto"/>
            </w:tcBorders>
            <w:noWrap/>
            <w:vAlign w:val="bottom"/>
            <w:hideMark/>
          </w:tcPr>
          <w:p w14:paraId="6700CF9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0.005484</w:t>
            </w:r>
          </w:p>
        </w:tc>
      </w:tr>
      <w:tr w:rsidR="00FF7A08" w:rsidRPr="000C1BFC" w14:paraId="4E9B81D5"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3C95633A"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0.80</w:t>
            </w:r>
          </w:p>
        </w:tc>
        <w:tc>
          <w:tcPr>
            <w:tcW w:w="1689" w:type="dxa"/>
            <w:tcBorders>
              <w:top w:val="nil"/>
              <w:left w:val="nil"/>
              <w:bottom w:val="single" w:sz="4" w:space="0" w:color="auto"/>
              <w:right w:val="single" w:sz="4" w:space="0" w:color="auto"/>
            </w:tcBorders>
            <w:noWrap/>
            <w:vAlign w:val="bottom"/>
            <w:hideMark/>
          </w:tcPr>
          <w:p w14:paraId="4A0C743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0.65</w:t>
            </w:r>
          </w:p>
        </w:tc>
        <w:tc>
          <w:tcPr>
            <w:tcW w:w="871" w:type="dxa"/>
            <w:tcBorders>
              <w:top w:val="nil"/>
              <w:left w:val="nil"/>
              <w:bottom w:val="single" w:sz="4" w:space="0" w:color="auto"/>
              <w:right w:val="single" w:sz="4" w:space="0" w:color="auto"/>
            </w:tcBorders>
            <w:noWrap/>
            <w:vAlign w:val="bottom"/>
            <w:hideMark/>
          </w:tcPr>
          <w:p w14:paraId="5AD290F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65</w:t>
            </w:r>
          </w:p>
        </w:tc>
        <w:tc>
          <w:tcPr>
            <w:tcW w:w="1380" w:type="dxa"/>
            <w:tcBorders>
              <w:top w:val="nil"/>
              <w:left w:val="nil"/>
              <w:bottom w:val="single" w:sz="4" w:space="0" w:color="auto"/>
              <w:right w:val="single" w:sz="4" w:space="0" w:color="auto"/>
            </w:tcBorders>
            <w:noWrap/>
            <w:vAlign w:val="bottom"/>
            <w:hideMark/>
          </w:tcPr>
          <w:p w14:paraId="5B10DFD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0.15</w:t>
            </w:r>
          </w:p>
        </w:tc>
        <w:tc>
          <w:tcPr>
            <w:tcW w:w="1108" w:type="dxa"/>
            <w:tcBorders>
              <w:top w:val="nil"/>
              <w:left w:val="nil"/>
              <w:bottom w:val="single" w:sz="4" w:space="0" w:color="auto"/>
              <w:right w:val="single" w:sz="4" w:space="0" w:color="auto"/>
            </w:tcBorders>
            <w:noWrap/>
            <w:vAlign w:val="bottom"/>
            <w:hideMark/>
          </w:tcPr>
          <w:p w14:paraId="3167780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3.25E-05</w:t>
            </w:r>
          </w:p>
        </w:tc>
        <w:tc>
          <w:tcPr>
            <w:tcW w:w="1268" w:type="dxa"/>
            <w:tcBorders>
              <w:top w:val="nil"/>
              <w:left w:val="nil"/>
              <w:bottom w:val="single" w:sz="4" w:space="0" w:color="auto"/>
              <w:right w:val="single" w:sz="8" w:space="0" w:color="auto"/>
            </w:tcBorders>
            <w:noWrap/>
            <w:vAlign w:val="bottom"/>
            <w:hideMark/>
          </w:tcPr>
          <w:p w14:paraId="69752864"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0.004839</w:t>
            </w:r>
          </w:p>
        </w:tc>
      </w:tr>
      <w:tr w:rsidR="00FF7A08" w:rsidRPr="000C1BFC" w14:paraId="4863B355"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3ED0ABB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1.00</w:t>
            </w:r>
          </w:p>
        </w:tc>
        <w:tc>
          <w:tcPr>
            <w:tcW w:w="1689" w:type="dxa"/>
            <w:tcBorders>
              <w:top w:val="nil"/>
              <w:left w:val="nil"/>
              <w:bottom w:val="single" w:sz="4" w:space="0" w:color="auto"/>
              <w:right w:val="single" w:sz="4" w:space="0" w:color="auto"/>
            </w:tcBorders>
            <w:noWrap/>
            <w:vAlign w:val="bottom"/>
            <w:hideMark/>
          </w:tcPr>
          <w:p w14:paraId="66591F97"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0.81</w:t>
            </w:r>
          </w:p>
        </w:tc>
        <w:tc>
          <w:tcPr>
            <w:tcW w:w="871" w:type="dxa"/>
            <w:tcBorders>
              <w:top w:val="nil"/>
              <w:left w:val="nil"/>
              <w:bottom w:val="single" w:sz="4" w:space="0" w:color="auto"/>
              <w:right w:val="single" w:sz="4" w:space="0" w:color="auto"/>
            </w:tcBorders>
            <w:noWrap/>
            <w:vAlign w:val="bottom"/>
            <w:hideMark/>
          </w:tcPr>
          <w:p w14:paraId="041DCAF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81</w:t>
            </w:r>
          </w:p>
        </w:tc>
        <w:tc>
          <w:tcPr>
            <w:tcW w:w="1380" w:type="dxa"/>
            <w:tcBorders>
              <w:top w:val="nil"/>
              <w:left w:val="nil"/>
              <w:bottom w:val="single" w:sz="4" w:space="0" w:color="auto"/>
              <w:right w:val="single" w:sz="4" w:space="0" w:color="auto"/>
            </w:tcBorders>
            <w:noWrap/>
            <w:vAlign w:val="bottom"/>
            <w:hideMark/>
          </w:tcPr>
          <w:p w14:paraId="05FFF07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0.19</w:t>
            </w:r>
          </w:p>
        </w:tc>
        <w:tc>
          <w:tcPr>
            <w:tcW w:w="1108" w:type="dxa"/>
            <w:tcBorders>
              <w:top w:val="nil"/>
              <w:left w:val="nil"/>
              <w:bottom w:val="single" w:sz="4" w:space="0" w:color="auto"/>
              <w:right w:val="single" w:sz="4" w:space="0" w:color="auto"/>
            </w:tcBorders>
            <w:noWrap/>
            <w:vAlign w:val="bottom"/>
            <w:hideMark/>
          </w:tcPr>
          <w:p w14:paraId="46B81E47"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4.05E-05</w:t>
            </w:r>
          </w:p>
        </w:tc>
        <w:tc>
          <w:tcPr>
            <w:tcW w:w="1268" w:type="dxa"/>
            <w:tcBorders>
              <w:top w:val="nil"/>
              <w:left w:val="nil"/>
              <w:bottom w:val="single" w:sz="4" w:space="0" w:color="auto"/>
              <w:right w:val="single" w:sz="8" w:space="0" w:color="auto"/>
            </w:tcBorders>
            <w:noWrap/>
            <w:vAlign w:val="bottom"/>
            <w:hideMark/>
          </w:tcPr>
          <w:p w14:paraId="206E73F8"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0.006129</w:t>
            </w:r>
          </w:p>
        </w:tc>
      </w:tr>
      <w:tr w:rsidR="00FF7A08" w:rsidRPr="000C1BFC" w14:paraId="77F8AD1A"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33E38D3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1.20</w:t>
            </w:r>
          </w:p>
        </w:tc>
        <w:tc>
          <w:tcPr>
            <w:tcW w:w="1689" w:type="dxa"/>
            <w:tcBorders>
              <w:top w:val="nil"/>
              <w:left w:val="nil"/>
              <w:bottom w:val="single" w:sz="4" w:space="0" w:color="auto"/>
              <w:right w:val="single" w:sz="4" w:space="0" w:color="auto"/>
            </w:tcBorders>
            <w:noWrap/>
            <w:vAlign w:val="bottom"/>
            <w:hideMark/>
          </w:tcPr>
          <w:p w14:paraId="3BAE09F8"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1.02</w:t>
            </w:r>
          </w:p>
        </w:tc>
        <w:tc>
          <w:tcPr>
            <w:tcW w:w="871" w:type="dxa"/>
            <w:tcBorders>
              <w:top w:val="nil"/>
              <w:left w:val="nil"/>
              <w:bottom w:val="single" w:sz="4" w:space="0" w:color="auto"/>
              <w:right w:val="single" w:sz="4" w:space="0" w:color="auto"/>
            </w:tcBorders>
            <w:noWrap/>
            <w:vAlign w:val="bottom"/>
            <w:hideMark/>
          </w:tcPr>
          <w:p w14:paraId="1EC13A6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102</w:t>
            </w:r>
          </w:p>
        </w:tc>
        <w:tc>
          <w:tcPr>
            <w:tcW w:w="1380" w:type="dxa"/>
            <w:tcBorders>
              <w:top w:val="nil"/>
              <w:left w:val="nil"/>
              <w:bottom w:val="single" w:sz="4" w:space="0" w:color="auto"/>
              <w:right w:val="single" w:sz="4" w:space="0" w:color="auto"/>
            </w:tcBorders>
            <w:noWrap/>
            <w:vAlign w:val="bottom"/>
            <w:hideMark/>
          </w:tcPr>
          <w:p w14:paraId="75EA239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0.18</w:t>
            </w:r>
          </w:p>
        </w:tc>
        <w:tc>
          <w:tcPr>
            <w:tcW w:w="1108" w:type="dxa"/>
            <w:tcBorders>
              <w:top w:val="nil"/>
              <w:left w:val="nil"/>
              <w:bottom w:val="single" w:sz="4" w:space="0" w:color="auto"/>
              <w:right w:val="single" w:sz="4" w:space="0" w:color="auto"/>
            </w:tcBorders>
            <w:noWrap/>
            <w:vAlign w:val="bottom"/>
            <w:hideMark/>
          </w:tcPr>
          <w:p w14:paraId="326404B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5.10E-05</w:t>
            </w:r>
          </w:p>
        </w:tc>
        <w:tc>
          <w:tcPr>
            <w:tcW w:w="1268" w:type="dxa"/>
            <w:tcBorders>
              <w:top w:val="nil"/>
              <w:left w:val="nil"/>
              <w:bottom w:val="single" w:sz="4" w:space="0" w:color="auto"/>
              <w:right w:val="single" w:sz="8" w:space="0" w:color="auto"/>
            </w:tcBorders>
            <w:noWrap/>
            <w:vAlign w:val="bottom"/>
            <w:hideMark/>
          </w:tcPr>
          <w:p w14:paraId="4216990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0.005806</w:t>
            </w:r>
          </w:p>
        </w:tc>
      </w:tr>
      <w:tr w:rsidR="00FF7A08" w:rsidRPr="000C1BFC" w14:paraId="264E340D"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1A15B44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1.40</w:t>
            </w:r>
          </w:p>
        </w:tc>
        <w:tc>
          <w:tcPr>
            <w:tcW w:w="1689" w:type="dxa"/>
            <w:tcBorders>
              <w:top w:val="nil"/>
              <w:left w:val="nil"/>
              <w:bottom w:val="single" w:sz="4" w:space="0" w:color="auto"/>
              <w:right w:val="single" w:sz="4" w:space="0" w:color="auto"/>
            </w:tcBorders>
            <w:noWrap/>
            <w:vAlign w:val="bottom"/>
            <w:hideMark/>
          </w:tcPr>
          <w:p w14:paraId="4DB309E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1.22</w:t>
            </w:r>
          </w:p>
        </w:tc>
        <w:tc>
          <w:tcPr>
            <w:tcW w:w="871" w:type="dxa"/>
            <w:tcBorders>
              <w:top w:val="nil"/>
              <w:left w:val="nil"/>
              <w:bottom w:val="single" w:sz="4" w:space="0" w:color="auto"/>
              <w:right w:val="single" w:sz="4" w:space="0" w:color="auto"/>
            </w:tcBorders>
            <w:noWrap/>
            <w:vAlign w:val="bottom"/>
            <w:hideMark/>
          </w:tcPr>
          <w:p w14:paraId="688F962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122</w:t>
            </w:r>
          </w:p>
        </w:tc>
        <w:tc>
          <w:tcPr>
            <w:tcW w:w="1380" w:type="dxa"/>
            <w:tcBorders>
              <w:top w:val="nil"/>
              <w:left w:val="nil"/>
              <w:bottom w:val="single" w:sz="4" w:space="0" w:color="auto"/>
              <w:right w:val="single" w:sz="4" w:space="0" w:color="auto"/>
            </w:tcBorders>
            <w:noWrap/>
            <w:vAlign w:val="bottom"/>
            <w:hideMark/>
          </w:tcPr>
          <w:p w14:paraId="6780D2C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0.18</w:t>
            </w:r>
          </w:p>
        </w:tc>
        <w:tc>
          <w:tcPr>
            <w:tcW w:w="1108" w:type="dxa"/>
            <w:tcBorders>
              <w:top w:val="nil"/>
              <w:left w:val="nil"/>
              <w:bottom w:val="single" w:sz="4" w:space="0" w:color="auto"/>
              <w:right w:val="single" w:sz="4" w:space="0" w:color="auto"/>
            </w:tcBorders>
            <w:noWrap/>
            <w:vAlign w:val="bottom"/>
            <w:hideMark/>
          </w:tcPr>
          <w:p w14:paraId="5421F58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6.10E-05</w:t>
            </w:r>
          </w:p>
        </w:tc>
        <w:tc>
          <w:tcPr>
            <w:tcW w:w="1268" w:type="dxa"/>
            <w:tcBorders>
              <w:top w:val="nil"/>
              <w:left w:val="nil"/>
              <w:bottom w:val="single" w:sz="4" w:space="0" w:color="auto"/>
              <w:right w:val="single" w:sz="8" w:space="0" w:color="auto"/>
            </w:tcBorders>
            <w:noWrap/>
            <w:vAlign w:val="bottom"/>
            <w:hideMark/>
          </w:tcPr>
          <w:p w14:paraId="35D422F7"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0.005806</w:t>
            </w:r>
          </w:p>
        </w:tc>
      </w:tr>
      <w:tr w:rsidR="00FF7A08" w:rsidRPr="000C1BFC" w14:paraId="04A00B00"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212F93C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1.60</w:t>
            </w:r>
          </w:p>
        </w:tc>
        <w:tc>
          <w:tcPr>
            <w:tcW w:w="1689" w:type="dxa"/>
            <w:tcBorders>
              <w:top w:val="nil"/>
              <w:left w:val="nil"/>
              <w:bottom w:val="single" w:sz="4" w:space="0" w:color="auto"/>
              <w:right w:val="single" w:sz="4" w:space="0" w:color="auto"/>
            </w:tcBorders>
            <w:noWrap/>
            <w:vAlign w:val="bottom"/>
            <w:hideMark/>
          </w:tcPr>
          <w:p w14:paraId="394587A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1.38</w:t>
            </w:r>
          </w:p>
        </w:tc>
        <w:tc>
          <w:tcPr>
            <w:tcW w:w="871" w:type="dxa"/>
            <w:tcBorders>
              <w:top w:val="nil"/>
              <w:left w:val="nil"/>
              <w:bottom w:val="single" w:sz="4" w:space="0" w:color="auto"/>
              <w:right w:val="single" w:sz="4" w:space="0" w:color="auto"/>
            </w:tcBorders>
            <w:noWrap/>
            <w:vAlign w:val="bottom"/>
            <w:hideMark/>
          </w:tcPr>
          <w:p w14:paraId="3B71A7E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138</w:t>
            </w:r>
          </w:p>
        </w:tc>
        <w:tc>
          <w:tcPr>
            <w:tcW w:w="1380" w:type="dxa"/>
            <w:tcBorders>
              <w:top w:val="nil"/>
              <w:left w:val="nil"/>
              <w:bottom w:val="single" w:sz="4" w:space="0" w:color="auto"/>
              <w:right w:val="single" w:sz="4" w:space="0" w:color="auto"/>
            </w:tcBorders>
            <w:noWrap/>
            <w:vAlign w:val="bottom"/>
            <w:hideMark/>
          </w:tcPr>
          <w:p w14:paraId="1243E08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0.22</w:t>
            </w:r>
          </w:p>
        </w:tc>
        <w:tc>
          <w:tcPr>
            <w:tcW w:w="1108" w:type="dxa"/>
            <w:tcBorders>
              <w:top w:val="nil"/>
              <w:left w:val="nil"/>
              <w:bottom w:val="single" w:sz="4" w:space="0" w:color="auto"/>
              <w:right w:val="single" w:sz="4" w:space="0" w:color="auto"/>
            </w:tcBorders>
            <w:noWrap/>
            <w:vAlign w:val="bottom"/>
            <w:hideMark/>
          </w:tcPr>
          <w:p w14:paraId="510A569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6.90E-05</w:t>
            </w:r>
          </w:p>
        </w:tc>
        <w:tc>
          <w:tcPr>
            <w:tcW w:w="1268" w:type="dxa"/>
            <w:tcBorders>
              <w:top w:val="nil"/>
              <w:left w:val="nil"/>
              <w:bottom w:val="single" w:sz="4" w:space="0" w:color="auto"/>
              <w:right w:val="single" w:sz="8" w:space="0" w:color="auto"/>
            </w:tcBorders>
            <w:noWrap/>
            <w:vAlign w:val="bottom"/>
            <w:hideMark/>
          </w:tcPr>
          <w:p w14:paraId="14A7CE3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0.007097</w:t>
            </w:r>
          </w:p>
        </w:tc>
      </w:tr>
      <w:tr w:rsidR="00FF7A08" w:rsidRPr="000C1BFC" w14:paraId="32B0C8DB"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0AD2B6C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1.80</w:t>
            </w:r>
          </w:p>
        </w:tc>
        <w:tc>
          <w:tcPr>
            <w:tcW w:w="1689" w:type="dxa"/>
            <w:tcBorders>
              <w:top w:val="nil"/>
              <w:left w:val="nil"/>
              <w:bottom w:val="single" w:sz="4" w:space="0" w:color="auto"/>
              <w:right w:val="single" w:sz="4" w:space="0" w:color="auto"/>
            </w:tcBorders>
            <w:noWrap/>
            <w:vAlign w:val="bottom"/>
            <w:hideMark/>
          </w:tcPr>
          <w:p w14:paraId="50B99C9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1.52</w:t>
            </w:r>
          </w:p>
        </w:tc>
        <w:tc>
          <w:tcPr>
            <w:tcW w:w="871" w:type="dxa"/>
            <w:tcBorders>
              <w:top w:val="nil"/>
              <w:left w:val="nil"/>
              <w:bottom w:val="single" w:sz="4" w:space="0" w:color="auto"/>
              <w:right w:val="single" w:sz="4" w:space="0" w:color="auto"/>
            </w:tcBorders>
            <w:noWrap/>
            <w:vAlign w:val="bottom"/>
            <w:hideMark/>
          </w:tcPr>
          <w:p w14:paraId="7BBA546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152</w:t>
            </w:r>
          </w:p>
        </w:tc>
        <w:tc>
          <w:tcPr>
            <w:tcW w:w="1380" w:type="dxa"/>
            <w:tcBorders>
              <w:top w:val="nil"/>
              <w:left w:val="nil"/>
              <w:bottom w:val="single" w:sz="4" w:space="0" w:color="auto"/>
              <w:right w:val="single" w:sz="4" w:space="0" w:color="auto"/>
            </w:tcBorders>
            <w:noWrap/>
            <w:vAlign w:val="bottom"/>
            <w:hideMark/>
          </w:tcPr>
          <w:p w14:paraId="3645E38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0.28</w:t>
            </w:r>
          </w:p>
        </w:tc>
        <w:tc>
          <w:tcPr>
            <w:tcW w:w="1108" w:type="dxa"/>
            <w:tcBorders>
              <w:top w:val="nil"/>
              <w:left w:val="nil"/>
              <w:bottom w:val="single" w:sz="4" w:space="0" w:color="auto"/>
              <w:right w:val="single" w:sz="4" w:space="0" w:color="auto"/>
            </w:tcBorders>
            <w:noWrap/>
            <w:vAlign w:val="bottom"/>
            <w:hideMark/>
          </w:tcPr>
          <w:p w14:paraId="32370E69"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7.60E-05</w:t>
            </w:r>
          </w:p>
        </w:tc>
        <w:tc>
          <w:tcPr>
            <w:tcW w:w="1268" w:type="dxa"/>
            <w:tcBorders>
              <w:top w:val="nil"/>
              <w:left w:val="nil"/>
              <w:bottom w:val="single" w:sz="4" w:space="0" w:color="auto"/>
              <w:right w:val="single" w:sz="8" w:space="0" w:color="auto"/>
            </w:tcBorders>
            <w:noWrap/>
            <w:vAlign w:val="bottom"/>
            <w:hideMark/>
          </w:tcPr>
          <w:p w14:paraId="05308D7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0.009032</w:t>
            </w:r>
          </w:p>
        </w:tc>
      </w:tr>
      <w:tr w:rsidR="00FF7A08" w:rsidRPr="000C1BFC" w14:paraId="55AE3631"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4316483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2.00</w:t>
            </w:r>
          </w:p>
        </w:tc>
        <w:tc>
          <w:tcPr>
            <w:tcW w:w="1689" w:type="dxa"/>
            <w:tcBorders>
              <w:top w:val="nil"/>
              <w:left w:val="nil"/>
              <w:bottom w:val="single" w:sz="4" w:space="0" w:color="auto"/>
              <w:right w:val="single" w:sz="4" w:space="0" w:color="auto"/>
            </w:tcBorders>
            <w:noWrap/>
            <w:vAlign w:val="bottom"/>
            <w:hideMark/>
          </w:tcPr>
          <w:p w14:paraId="48DDF4F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1.67</w:t>
            </w:r>
          </w:p>
        </w:tc>
        <w:tc>
          <w:tcPr>
            <w:tcW w:w="871" w:type="dxa"/>
            <w:tcBorders>
              <w:top w:val="nil"/>
              <w:left w:val="nil"/>
              <w:bottom w:val="single" w:sz="4" w:space="0" w:color="auto"/>
              <w:right w:val="single" w:sz="4" w:space="0" w:color="auto"/>
            </w:tcBorders>
            <w:noWrap/>
            <w:vAlign w:val="bottom"/>
            <w:hideMark/>
          </w:tcPr>
          <w:p w14:paraId="060CB44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167</w:t>
            </w:r>
          </w:p>
        </w:tc>
        <w:tc>
          <w:tcPr>
            <w:tcW w:w="1380" w:type="dxa"/>
            <w:tcBorders>
              <w:top w:val="nil"/>
              <w:left w:val="nil"/>
              <w:bottom w:val="single" w:sz="4" w:space="0" w:color="auto"/>
              <w:right w:val="single" w:sz="4" w:space="0" w:color="auto"/>
            </w:tcBorders>
            <w:noWrap/>
            <w:vAlign w:val="bottom"/>
            <w:hideMark/>
          </w:tcPr>
          <w:p w14:paraId="306BDE6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0.33</w:t>
            </w:r>
          </w:p>
        </w:tc>
        <w:tc>
          <w:tcPr>
            <w:tcW w:w="1108" w:type="dxa"/>
            <w:tcBorders>
              <w:top w:val="nil"/>
              <w:left w:val="nil"/>
              <w:bottom w:val="single" w:sz="4" w:space="0" w:color="auto"/>
              <w:right w:val="single" w:sz="4" w:space="0" w:color="auto"/>
            </w:tcBorders>
            <w:noWrap/>
            <w:vAlign w:val="bottom"/>
            <w:hideMark/>
          </w:tcPr>
          <w:p w14:paraId="353F14F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8.35E-05</w:t>
            </w:r>
          </w:p>
        </w:tc>
        <w:tc>
          <w:tcPr>
            <w:tcW w:w="1268" w:type="dxa"/>
            <w:tcBorders>
              <w:top w:val="nil"/>
              <w:left w:val="nil"/>
              <w:bottom w:val="single" w:sz="4" w:space="0" w:color="auto"/>
              <w:right w:val="single" w:sz="8" w:space="0" w:color="auto"/>
            </w:tcBorders>
            <w:noWrap/>
            <w:vAlign w:val="bottom"/>
            <w:hideMark/>
          </w:tcPr>
          <w:p w14:paraId="5015216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0.010645</w:t>
            </w:r>
          </w:p>
        </w:tc>
      </w:tr>
      <w:tr w:rsidR="00FF7A08" w:rsidRPr="000C1BFC" w14:paraId="07A9A309"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1761D93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2.20</w:t>
            </w:r>
          </w:p>
        </w:tc>
        <w:tc>
          <w:tcPr>
            <w:tcW w:w="1689" w:type="dxa"/>
            <w:tcBorders>
              <w:top w:val="nil"/>
              <w:left w:val="nil"/>
              <w:bottom w:val="single" w:sz="4" w:space="0" w:color="auto"/>
              <w:right w:val="single" w:sz="4" w:space="0" w:color="auto"/>
            </w:tcBorders>
            <w:noWrap/>
            <w:vAlign w:val="bottom"/>
            <w:hideMark/>
          </w:tcPr>
          <w:p w14:paraId="1FD787B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1.84</w:t>
            </w:r>
          </w:p>
        </w:tc>
        <w:tc>
          <w:tcPr>
            <w:tcW w:w="871" w:type="dxa"/>
            <w:tcBorders>
              <w:top w:val="nil"/>
              <w:left w:val="nil"/>
              <w:bottom w:val="single" w:sz="4" w:space="0" w:color="auto"/>
              <w:right w:val="single" w:sz="4" w:space="0" w:color="auto"/>
            </w:tcBorders>
            <w:noWrap/>
            <w:vAlign w:val="bottom"/>
            <w:hideMark/>
          </w:tcPr>
          <w:p w14:paraId="2A7D9AA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184</w:t>
            </w:r>
          </w:p>
        </w:tc>
        <w:tc>
          <w:tcPr>
            <w:tcW w:w="1380" w:type="dxa"/>
            <w:tcBorders>
              <w:top w:val="nil"/>
              <w:left w:val="nil"/>
              <w:bottom w:val="single" w:sz="4" w:space="0" w:color="auto"/>
              <w:right w:val="single" w:sz="4" w:space="0" w:color="auto"/>
            </w:tcBorders>
            <w:noWrap/>
            <w:vAlign w:val="bottom"/>
            <w:hideMark/>
          </w:tcPr>
          <w:p w14:paraId="2FA283C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0.36</w:t>
            </w:r>
          </w:p>
        </w:tc>
        <w:tc>
          <w:tcPr>
            <w:tcW w:w="1108" w:type="dxa"/>
            <w:tcBorders>
              <w:top w:val="nil"/>
              <w:left w:val="nil"/>
              <w:bottom w:val="single" w:sz="4" w:space="0" w:color="auto"/>
              <w:right w:val="single" w:sz="4" w:space="0" w:color="auto"/>
            </w:tcBorders>
            <w:noWrap/>
            <w:vAlign w:val="bottom"/>
            <w:hideMark/>
          </w:tcPr>
          <w:p w14:paraId="08A57ED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9.20E-05</w:t>
            </w:r>
          </w:p>
        </w:tc>
        <w:tc>
          <w:tcPr>
            <w:tcW w:w="1268" w:type="dxa"/>
            <w:tcBorders>
              <w:top w:val="nil"/>
              <w:left w:val="nil"/>
              <w:bottom w:val="single" w:sz="4" w:space="0" w:color="auto"/>
              <w:right w:val="single" w:sz="8" w:space="0" w:color="auto"/>
            </w:tcBorders>
            <w:noWrap/>
            <w:vAlign w:val="bottom"/>
            <w:hideMark/>
          </w:tcPr>
          <w:p w14:paraId="4FFF13D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0.011613</w:t>
            </w:r>
          </w:p>
        </w:tc>
      </w:tr>
      <w:tr w:rsidR="00FF7A08" w:rsidRPr="000C1BFC" w14:paraId="6F9E9EB3"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11E0480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2.40</w:t>
            </w:r>
          </w:p>
        </w:tc>
        <w:tc>
          <w:tcPr>
            <w:tcW w:w="1689" w:type="dxa"/>
            <w:tcBorders>
              <w:top w:val="nil"/>
              <w:left w:val="nil"/>
              <w:bottom w:val="single" w:sz="4" w:space="0" w:color="auto"/>
              <w:right w:val="single" w:sz="4" w:space="0" w:color="auto"/>
            </w:tcBorders>
            <w:noWrap/>
            <w:vAlign w:val="bottom"/>
            <w:hideMark/>
          </w:tcPr>
          <w:p w14:paraId="6437A0A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2.03</w:t>
            </w:r>
          </w:p>
        </w:tc>
        <w:tc>
          <w:tcPr>
            <w:tcW w:w="871" w:type="dxa"/>
            <w:tcBorders>
              <w:top w:val="nil"/>
              <w:left w:val="nil"/>
              <w:bottom w:val="single" w:sz="4" w:space="0" w:color="auto"/>
              <w:right w:val="single" w:sz="4" w:space="0" w:color="auto"/>
            </w:tcBorders>
            <w:noWrap/>
            <w:vAlign w:val="bottom"/>
            <w:hideMark/>
          </w:tcPr>
          <w:p w14:paraId="451C549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203</w:t>
            </w:r>
          </w:p>
        </w:tc>
        <w:tc>
          <w:tcPr>
            <w:tcW w:w="1380" w:type="dxa"/>
            <w:tcBorders>
              <w:top w:val="nil"/>
              <w:left w:val="nil"/>
              <w:bottom w:val="single" w:sz="4" w:space="0" w:color="auto"/>
              <w:right w:val="single" w:sz="4" w:space="0" w:color="auto"/>
            </w:tcBorders>
            <w:noWrap/>
            <w:vAlign w:val="bottom"/>
            <w:hideMark/>
          </w:tcPr>
          <w:p w14:paraId="6AE6A1E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0.37</w:t>
            </w:r>
          </w:p>
        </w:tc>
        <w:tc>
          <w:tcPr>
            <w:tcW w:w="1108" w:type="dxa"/>
            <w:tcBorders>
              <w:top w:val="nil"/>
              <w:left w:val="nil"/>
              <w:bottom w:val="single" w:sz="4" w:space="0" w:color="auto"/>
              <w:right w:val="single" w:sz="4" w:space="0" w:color="auto"/>
            </w:tcBorders>
            <w:noWrap/>
            <w:vAlign w:val="bottom"/>
            <w:hideMark/>
          </w:tcPr>
          <w:p w14:paraId="2CDD6AAA"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1.02E-04</w:t>
            </w:r>
          </w:p>
        </w:tc>
        <w:tc>
          <w:tcPr>
            <w:tcW w:w="1268" w:type="dxa"/>
            <w:tcBorders>
              <w:top w:val="nil"/>
              <w:left w:val="nil"/>
              <w:bottom w:val="single" w:sz="4" w:space="0" w:color="auto"/>
              <w:right w:val="single" w:sz="8" w:space="0" w:color="auto"/>
            </w:tcBorders>
            <w:noWrap/>
            <w:vAlign w:val="bottom"/>
            <w:hideMark/>
          </w:tcPr>
          <w:p w14:paraId="4551D67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0.011935</w:t>
            </w:r>
          </w:p>
        </w:tc>
      </w:tr>
      <w:tr w:rsidR="00FF7A08" w:rsidRPr="000C1BFC" w14:paraId="7D8264DF"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333B2DB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2.60</w:t>
            </w:r>
          </w:p>
        </w:tc>
        <w:tc>
          <w:tcPr>
            <w:tcW w:w="1689" w:type="dxa"/>
            <w:tcBorders>
              <w:top w:val="nil"/>
              <w:left w:val="nil"/>
              <w:bottom w:val="single" w:sz="4" w:space="0" w:color="auto"/>
              <w:right w:val="single" w:sz="4" w:space="0" w:color="auto"/>
            </w:tcBorders>
            <w:noWrap/>
            <w:vAlign w:val="bottom"/>
            <w:hideMark/>
          </w:tcPr>
          <w:p w14:paraId="0054B21A"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2.21</w:t>
            </w:r>
          </w:p>
        </w:tc>
        <w:tc>
          <w:tcPr>
            <w:tcW w:w="871" w:type="dxa"/>
            <w:tcBorders>
              <w:top w:val="nil"/>
              <w:left w:val="nil"/>
              <w:bottom w:val="single" w:sz="4" w:space="0" w:color="auto"/>
              <w:right w:val="single" w:sz="4" w:space="0" w:color="auto"/>
            </w:tcBorders>
            <w:noWrap/>
            <w:vAlign w:val="bottom"/>
            <w:hideMark/>
          </w:tcPr>
          <w:p w14:paraId="4C4137E8"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221</w:t>
            </w:r>
          </w:p>
        </w:tc>
        <w:tc>
          <w:tcPr>
            <w:tcW w:w="1380" w:type="dxa"/>
            <w:tcBorders>
              <w:top w:val="nil"/>
              <w:left w:val="nil"/>
              <w:bottom w:val="single" w:sz="4" w:space="0" w:color="auto"/>
              <w:right w:val="single" w:sz="4" w:space="0" w:color="auto"/>
            </w:tcBorders>
            <w:noWrap/>
            <w:vAlign w:val="bottom"/>
            <w:hideMark/>
          </w:tcPr>
          <w:p w14:paraId="7D0A9C6A"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0.39</w:t>
            </w:r>
          </w:p>
        </w:tc>
        <w:tc>
          <w:tcPr>
            <w:tcW w:w="1108" w:type="dxa"/>
            <w:tcBorders>
              <w:top w:val="nil"/>
              <w:left w:val="nil"/>
              <w:bottom w:val="single" w:sz="4" w:space="0" w:color="auto"/>
              <w:right w:val="single" w:sz="4" w:space="0" w:color="auto"/>
            </w:tcBorders>
            <w:noWrap/>
            <w:vAlign w:val="bottom"/>
            <w:hideMark/>
          </w:tcPr>
          <w:p w14:paraId="1B1F94A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1.11E-04</w:t>
            </w:r>
          </w:p>
        </w:tc>
        <w:tc>
          <w:tcPr>
            <w:tcW w:w="1268" w:type="dxa"/>
            <w:tcBorders>
              <w:top w:val="nil"/>
              <w:left w:val="nil"/>
              <w:bottom w:val="single" w:sz="4" w:space="0" w:color="auto"/>
              <w:right w:val="single" w:sz="8" w:space="0" w:color="auto"/>
            </w:tcBorders>
            <w:noWrap/>
            <w:vAlign w:val="bottom"/>
            <w:hideMark/>
          </w:tcPr>
          <w:p w14:paraId="2595C3B9"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0.012581</w:t>
            </w:r>
          </w:p>
        </w:tc>
      </w:tr>
      <w:tr w:rsidR="00FF7A08" w:rsidRPr="000C1BFC" w14:paraId="63893BAD"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0E64C8F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2.80</w:t>
            </w:r>
          </w:p>
        </w:tc>
        <w:tc>
          <w:tcPr>
            <w:tcW w:w="1689" w:type="dxa"/>
            <w:tcBorders>
              <w:top w:val="nil"/>
              <w:left w:val="nil"/>
              <w:bottom w:val="single" w:sz="4" w:space="0" w:color="auto"/>
              <w:right w:val="single" w:sz="4" w:space="0" w:color="auto"/>
            </w:tcBorders>
            <w:noWrap/>
            <w:vAlign w:val="bottom"/>
            <w:hideMark/>
          </w:tcPr>
          <w:p w14:paraId="4B7E21EA"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2.44</w:t>
            </w:r>
          </w:p>
        </w:tc>
        <w:tc>
          <w:tcPr>
            <w:tcW w:w="871" w:type="dxa"/>
            <w:tcBorders>
              <w:top w:val="nil"/>
              <w:left w:val="nil"/>
              <w:bottom w:val="single" w:sz="4" w:space="0" w:color="auto"/>
              <w:right w:val="single" w:sz="4" w:space="0" w:color="auto"/>
            </w:tcBorders>
            <w:noWrap/>
            <w:vAlign w:val="bottom"/>
            <w:hideMark/>
          </w:tcPr>
          <w:p w14:paraId="40E7EFB7"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244</w:t>
            </w:r>
          </w:p>
        </w:tc>
        <w:tc>
          <w:tcPr>
            <w:tcW w:w="1380" w:type="dxa"/>
            <w:tcBorders>
              <w:top w:val="nil"/>
              <w:left w:val="nil"/>
              <w:bottom w:val="single" w:sz="4" w:space="0" w:color="auto"/>
              <w:right w:val="single" w:sz="4" w:space="0" w:color="auto"/>
            </w:tcBorders>
            <w:noWrap/>
            <w:vAlign w:val="bottom"/>
            <w:hideMark/>
          </w:tcPr>
          <w:p w14:paraId="1CE413E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0.36</w:t>
            </w:r>
          </w:p>
        </w:tc>
        <w:tc>
          <w:tcPr>
            <w:tcW w:w="1108" w:type="dxa"/>
            <w:tcBorders>
              <w:top w:val="nil"/>
              <w:left w:val="nil"/>
              <w:bottom w:val="single" w:sz="4" w:space="0" w:color="auto"/>
              <w:right w:val="single" w:sz="4" w:space="0" w:color="auto"/>
            </w:tcBorders>
            <w:noWrap/>
            <w:vAlign w:val="bottom"/>
            <w:hideMark/>
          </w:tcPr>
          <w:p w14:paraId="74DD39C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1.22E-04</w:t>
            </w:r>
          </w:p>
        </w:tc>
        <w:tc>
          <w:tcPr>
            <w:tcW w:w="1268" w:type="dxa"/>
            <w:tcBorders>
              <w:top w:val="nil"/>
              <w:left w:val="nil"/>
              <w:bottom w:val="single" w:sz="4" w:space="0" w:color="auto"/>
              <w:right w:val="single" w:sz="8" w:space="0" w:color="auto"/>
            </w:tcBorders>
            <w:noWrap/>
            <w:vAlign w:val="bottom"/>
            <w:hideMark/>
          </w:tcPr>
          <w:p w14:paraId="65FE302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0.011613</w:t>
            </w:r>
          </w:p>
        </w:tc>
      </w:tr>
      <w:tr w:rsidR="00FF7A08" w:rsidRPr="000C1BFC" w14:paraId="258927F4"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22C345F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3.00</w:t>
            </w:r>
          </w:p>
        </w:tc>
        <w:tc>
          <w:tcPr>
            <w:tcW w:w="1689" w:type="dxa"/>
            <w:tcBorders>
              <w:top w:val="nil"/>
              <w:left w:val="nil"/>
              <w:bottom w:val="single" w:sz="4" w:space="0" w:color="auto"/>
              <w:right w:val="single" w:sz="4" w:space="0" w:color="auto"/>
            </w:tcBorders>
            <w:noWrap/>
            <w:vAlign w:val="bottom"/>
            <w:hideMark/>
          </w:tcPr>
          <w:p w14:paraId="385F368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2.61</w:t>
            </w:r>
          </w:p>
        </w:tc>
        <w:tc>
          <w:tcPr>
            <w:tcW w:w="871" w:type="dxa"/>
            <w:tcBorders>
              <w:top w:val="nil"/>
              <w:left w:val="nil"/>
              <w:bottom w:val="single" w:sz="4" w:space="0" w:color="auto"/>
              <w:right w:val="single" w:sz="4" w:space="0" w:color="auto"/>
            </w:tcBorders>
            <w:noWrap/>
            <w:vAlign w:val="bottom"/>
            <w:hideMark/>
          </w:tcPr>
          <w:p w14:paraId="37BC665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261</w:t>
            </w:r>
          </w:p>
        </w:tc>
        <w:tc>
          <w:tcPr>
            <w:tcW w:w="1380" w:type="dxa"/>
            <w:tcBorders>
              <w:top w:val="nil"/>
              <w:left w:val="nil"/>
              <w:bottom w:val="single" w:sz="4" w:space="0" w:color="auto"/>
              <w:right w:val="single" w:sz="4" w:space="0" w:color="auto"/>
            </w:tcBorders>
            <w:noWrap/>
            <w:vAlign w:val="bottom"/>
            <w:hideMark/>
          </w:tcPr>
          <w:p w14:paraId="51AEC40A"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0.39</w:t>
            </w:r>
          </w:p>
        </w:tc>
        <w:tc>
          <w:tcPr>
            <w:tcW w:w="1108" w:type="dxa"/>
            <w:tcBorders>
              <w:top w:val="nil"/>
              <w:left w:val="nil"/>
              <w:bottom w:val="single" w:sz="4" w:space="0" w:color="auto"/>
              <w:right w:val="single" w:sz="4" w:space="0" w:color="auto"/>
            </w:tcBorders>
            <w:noWrap/>
            <w:vAlign w:val="bottom"/>
            <w:hideMark/>
          </w:tcPr>
          <w:p w14:paraId="38A3827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1.31E-04</w:t>
            </w:r>
          </w:p>
        </w:tc>
        <w:tc>
          <w:tcPr>
            <w:tcW w:w="1268" w:type="dxa"/>
            <w:tcBorders>
              <w:top w:val="nil"/>
              <w:left w:val="nil"/>
              <w:bottom w:val="single" w:sz="4" w:space="0" w:color="auto"/>
              <w:right w:val="single" w:sz="8" w:space="0" w:color="auto"/>
            </w:tcBorders>
            <w:noWrap/>
            <w:vAlign w:val="bottom"/>
            <w:hideMark/>
          </w:tcPr>
          <w:p w14:paraId="73D09FA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0.012581</w:t>
            </w:r>
          </w:p>
        </w:tc>
      </w:tr>
      <w:tr w:rsidR="00FF7A08" w:rsidRPr="000C1BFC" w14:paraId="70E0572E"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19CE794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3.20</w:t>
            </w:r>
          </w:p>
        </w:tc>
        <w:tc>
          <w:tcPr>
            <w:tcW w:w="1689" w:type="dxa"/>
            <w:tcBorders>
              <w:top w:val="nil"/>
              <w:left w:val="nil"/>
              <w:bottom w:val="single" w:sz="4" w:space="0" w:color="auto"/>
              <w:right w:val="single" w:sz="4" w:space="0" w:color="auto"/>
            </w:tcBorders>
            <w:noWrap/>
            <w:vAlign w:val="bottom"/>
            <w:hideMark/>
          </w:tcPr>
          <w:p w14:paraId="211091F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2.74</w:t>
            </w:r>
          </w:p>
        </w:tc>
        <w:tc>
          <w:tcPr>
            <w:tcW w:w="871" w:type="dxa"/>
            <w:tcBorders>
              <w:top w:val="nil"/>
              <w:left w:val="nil"/>
              <w:bottom w:val="single" w:sz="4" w:space="0" w:color="auto"/>
              <w:right w:val="single" w:sz="4" w:space="0" w:color="auto"/>
            </w:tcBorders>
            <w:noWrap/>
            <w:vAlign w:val="bottom"/>
            <w:hideMark/>
          </w:tcPr>
          <w:p w14:paraId="13BD329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274</w:t>
            </w:r>
          </w:p>
        </w:tc>
        <w:tc>
          <w:tcPr>
            <w:tcW w:w="1380" w:type="dxa"/>
            <w:tcBorders>
              <w:top w:val="nil"/>
              <w:left w:val="nil"/>
              <w:bottom w:val="single" w:sz="4" w:space="0" w:color="auto"/>
              <w:right w:val="single" w:sz="4" w:space="0" w:color="auto"/>
            </w:tcBorders>
            <w:noWrap/>
            <w:vAlign w:val="bottom"/>
            <w:hideMark/>
          </w:tcPr>
          <w:p w14:paraId="5C4972C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0.46</w:t>
            </w:r>
          </w:p>
        </w:tc>
        <w:tc>
          <w:tcPr>
            <w:tcW w:w="1108" w:type="dxa"/>
            <w:tcBorders>
              <w:top w:val="nil"/>
              <w:left w:val="nil"/>
              <w:bottom w:val="single" w:sz="4" w:space="0" w:color="auto"/>
              <w:right w:val="single" w:sz="4" w:space="0" w:color="auto"/>
            </w:tcBorders>
            <w:noWrap/>
            <w:vAlign w:val="bottom"/>
            <w:hideMark/>
          </w:tcPr>
          <w:p w14:paraId="08C4826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1.37E-04</w:t>
            </w:r>
          </w:p>
        </w:tc>
        <w:tc>
          <w:tcPr>
            <w:tcW w:w="1268" w:type="dxa"/>
            <w:tcBorders>
              <w:top w:val="nil"/>
              <w:left w:val="nil"/>
              <w:bottom w:val="single" w:sz="4" w:space="0" w:color="auto"/>
              <w:right w:val="single" w:sz="8" w:space="0" w:color="auto"/>
            </w:tcBorders>
            <w:noWrap/>
            <w:vAlign w:val="bottom"/>
            <w:hideMark/>
          </w:tcPr>
          <w:p w14:paraId="75CA670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0.014839</w:t>
            </w:r>
          </w:p>
        </w:tc>
      </w:tr>
      <w:tr w:rsidR="00FF7A08" w:rsidRPr="000C1BFC" w14:paraId="24CC3CD5"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697D6A7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3.40</w:t>
            </w:r>
          </w:p>
        </w:tc>
        <w:tc>
          <w:tcPr>
            <w:tcW w:w="1689" w:type="dxa"/>
            <w:tcBorders>
              <w:top w:val="nil"/>
              <w:left w:val="nil"/>
              <w:bottom w:val="single" w:sz="4" w:space="0" w:color="auto"/>
              <w:right w:val="single" w:sz="4" w:space="0" w:color="auto"/>
            </w:tcBorders>
            <w:noWrap/>
            <w:vAlign w:val="bottom"/>
            <w:hideMark/>
          </w:tcPr>
          <w:p w14:paraId="0B6AEAB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2.88</w:t>
            </w:r>
          </w:p>
        </w:tc>
        <w:tc>
          <w:tcPr>
            <w:tcW w:w="871" w:type="dxa"/>
            <w:tcBorders>
              <w:top w:val="nil"/>
              <w:left w:val="nil"/>
              <w:bottom w:val="single" w:sz="4" w:space="0" w:color="auto"/>
              <w:right w:val="single" w:sz="4" w:space="0" w:color="auto"/>
            </w:tcBorders>
            <w:noWrap/>
            <w:vAlign w:val="bottom"/>
            <w:hideMark/>
          </w:tcPr>
          <w:p w14:paraId="1FBC50B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288</w:t>
            </w:r>
          </w:p>
        </w:tc>
        <w:tc>
          <w:tcPr>
            <w:tcW w:w="1380" w:type="dxa"/>
            <w:tcBorders>
              <w:top w:val="nil"/>
              <w:left w:val="nil"/>
              <w:bottom w:val="single" w:sz="4" w:space="0" w:color="auto"/>
              <w:right w:val="single" w:sz="4" w:space="0" w:color="auto"/>
            </w:tcBorders>
            <w:noWrap/>
            <w:vAlign w:val="bottom"/>
            <w:hideMark/>
          </w:tcPr>
          <w:p w14:paraId="16725B1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0.52</w:t>
            </w:r>
          </w:p>
        </w:tc>
        <w:tc>
          <w:tcPr>
            <w:tcW w:w="1108" w:type="dxa"/>
            <w:tcBorders>
              <w:top w:val="nil"/>
              <w:left w:val="nil"/>
              <w:bottom w:val="single" w:sz="4" w:space="0" w:color="auto"/>
              <w:right w:val="single" w:sz="4" w:space="0" w:color="auto"/>
            </w:tcBorders>
            <w:noWrap/>
            <w:vAlign w:val="bottom"/>
            <w:hideMark/>
          </w:tcPr>
          <w:p w14:paraId="3C1C9768"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1.44E-04</w:t>
            </w:r>
          </w:p>
        </w:tc>
        <w:tc>
          <w:tcPr>
            <w:tcW w:w="1268" w:type="dxa"/>
            <w:tcBorders>
              <w:top w:val="nil"/>
              <w:left w:val="nil"/>
              <w:bottom w:val="single" w:sz="4" w:space="0" w:color="auto"/>
              <w:right w:val="single" w:sz="8" w:space="0" w:color="auto"/>
            </w:tcBorders>
            <w:noWrap/>
            <w:vAlign w:val="bottom"/>
            <w:hideMark/>
          </w:tcPr>
          <w:p w14:paraId="2FE950C4"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0.016774</w:t>
            </w:r>
          </w:p>
        </w:tc>
      </w:tr>
      <w:tr w:rsidR="00FF7A08" w:rsidRPr="000C1BFC" w14:paraId="66C175D7"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4A4671B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3.60</w:t>
            </w:r>
          </w:p>
        </w:tc>
        <w:tc>
          <w:tcPr>
            <w:tcW w:w="1689" w:type="dxa"/>
            <w:tcBorders>
              <w:top w:val="nil"/>
              <w:left w:val="nil"/>
              <w:bottom w:val="single" w:sz="4" w:space="0" w:color="auto"/>
              <w:right w:val="single" w:sz="4" w:space="0" w:color="auto"/>
            </w:tcBorders>
            <w:noWrap/>
            <w:vAlign w:val="bottom"/>
            <w:hideMark/>
          </w:tcPr>
          <w:p w14:paraId="0B86995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3.00</w:t>
            </w:r>
          </w:p>
        </w:tc>
        <w:tc>
          <w:tcPr>
            <w:tcW w:w="871" w:type="dxa"/>
            <w:tcBorders>
              <w:top w:val="nil"/>
              <w:left w:val="nil"/>
              <w:bottom w:val="single" w:sz="4" w:space="0" w:color="auto"/>
              <w:right w:val="single" w:sz="4" w:space="0" w:color="auto"/>
            </w:tcBorders>
            <w:noWrap/>
            <w:vAlign w:val="bottom"/>
            <w:hideMark/>
          </w:tcPr>
          <w:p w14:paraId="45B52FC4"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300</w:t>
            </w:r>
          </w:p>
        </w:tc>
        <w:tc>
          <w:tcPr>
            <w:tcW w:w="1380" w:type="dxa"/>
            <w:tcBorders>
              <w:top w:val="nil"/>
              <w:left w:val="nil"/>
              <w:bottom w:val="single" w:sz="4" w:space="0" w:color="auto"/>
              <w:right w:val="single" w:sz="4" w:space="0" w:color="auto"/>
            </w:tcBorders>
            <w:noWrap/>
            <w:vAlign w:val="bottom"/>
            <w:hideMark/>
          </w:tcPr>
          <w:p w14:paraId="52F63C88"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0.60</w:t>
            </w:r>
          </w:p>
        </w:tc>
        <w:tc>
          <w:tcPr>
            <w:tcW w:w="1108" w:type="dxa"/>
            <w:tcBorders>
              <w:top w:val="nil"/>
              <w:left w:val="nil"/>
              <w:bottom w:val="single" w:sz="4" w:space="0" w:color="auto"/>
              <w:right w:val="single" w:sz="4" w:space="0" w:color="auto"/>
            </w:tcBorders>
            <w:noWrap/>
            <w:vAlign w:val="bottom"/>
            <w:hideMark/>
          </w:tcPr>
          <w:p w14:paraId="4B7D0E7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1.50E-04</w:t>
            </w:r>
          </w:p>
        </w:tc>
        <w:tc>
          <w:tcPr>
            <w:tcW w:w="1268" w:type="dxa"/>
            <w:tcBorders>
              <w:top w:val="nil"/>
              <w:left w:val="nil"/>
              <w:bottom w:val="single" w:sz="4" w:space="0" w:color="auto"/>
              <w:right w:val="single" w:sz="8" w:space="0" w:color="auto"/>
            </w:tcBorders>
            <w:noWrap/>
            <w:vAlign w:val="bottom"/>
            <w:hideMark/>
          </w:tcPr>
          <w:p w14:paraId="179FC125"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0.019355</w:t>
            </w:r>
          </w:p>
        </w:tc>
      </w:tr>
      <w:tr w:rsidR="00FF7A08" w:rsidRPr="000C1BFC" w14:paraId="05729490"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26D2AB4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3.80</w:t>
            </w:r>
          </w:p>
        </w:tc>
        <w:tc>
          <w:tcPr>
            <w:tcW w:w="1689" w:type="dxa"/>
            <w:tcBorders>
              <w:top w:val="nil"/>
              <w:left w:val="nil"/>
              <w:bottom w:val="single" w:sz="4" w:space="0" w:color="auto"/>
              <w:right w:val="single" w:sz="4" w:space="0" w:color="auto"/>
            </w:tcBorders>
            <w:noWrap/>
            <w:vAlign w:val="bottom"/>
            <w:hideMark/>
          </w:tcPr>
          <w:p w14:paraId="7B02558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3.08</w:t>
            </w:r>
          </w:p>
        </w:tc>
        <w:tc>
          <w:tcPr>
            <w:tcW w:w="871" w:type="dxa"/>
            <w:tcBorders>
              <w:top w:val="nil"/>
              <w:left w:val="nil"/>
              <w:bottom w:val="single" w:sz="4" w:space="0" w:color="auto"/>
              <w:right w:val="single" w:sz="4" w:space="0" w:color="auto"/>
            </w:tcBorders>
            <w:noWrap/>
            <w:vAlign w:val="bottom"/>
            <w:hideMark/>
          </w:tcPr>
          <w:p w14:paraId="23990559"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308</w:t>
            </w:r>
          </w:p>
        </w:tc>
        <w:tc>
          <w:tcPr>
            <w:tcW w:w="1380" w:type="dxa"/>
            <w:tcBorders>
              <w:top w:val="nil"/>
              <w:left w:val="nil"/>
              <w:bottom w:val="single" w:sz="4" w:space="0" w:color="auto"/>
              <w:right w:val="single" w:sz="4" w:space="0" w:color="auto"/>
            </w:tcBorders>
            <w:noWrap/>
            <w:vAlign w:val="bottom"/>
            <w:hideMark/>
          </w:tcPr>
          <w:p w14:paraId="406EFC6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0.72</w:t>
            </w:r>
          </w:p>
        </w:tc>
        <w:tc>
          <w:tcPr>
            <w:tcW w:w="1108" w:type="dxa"/>
            <w:tcBorders>
              <w:top w:val="nil"/>
              <w:left w:val="nil"/>
              <w:bottom w:val="single" w:sz="4" w:space="0" w:color="auto"/>
              <w:right w:val="single" w:sz="4" w:space="0" w:color="auto"/>
            </w:tcBorders>
            <w:noWrap/>
            <w:vAlign w:val="bottom"/>
            <w:hideMark/>
          </w:tcPr>
          <w:p w14:paraId="7CD4CEE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1.54E-04</w:t>
            </w:r>
          </w:p>
        </w:tc>
        <w:tc>
          <w:tcPr>
            <w:tcW w:w="1268" w:type="dxa"/>
            <w:tcBorders>
              <w:top w:val="nil"/>
              <w:left w:val="nil"/>
              <w:bottom w:val="single" w:sz="4" w:space="0" w:color="auto"/>
              <w:right w:val="single" w:sz="8" w:space="0" w:color="auto"/>
            </w:tcBorders>
            <w:noWrap/>
            <w:vAlign w:val="bottom"/>
            <w:hideMark/>
          </w:tcPr>
          <w:p w14:paraId="0B137B6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0.023226</w:t>
            </w:r>
          </w:p>
        </w:tc>
      </w:tr>
      <w:tr w:rsidR="00FF7A08" w:rsidRPr="000C1BFC" w14:paraId="4CA0F66A"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17B9FFE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4.00</w:t>
            </w:r>
          </w:p>
        </w:tc>
        <w:tc>
          <w:tcPr>
            <w:tcW w:w="1689" w:type="dxa"/>
            <w:tcBorders>
              <w:top w:val="nil"/>
              <w:left w:val="nil"/>
              <w:bottom w:val="single" w:sz="4" w:space="0" w:color="auto"/>
              <w:right w:val="single" w:sz="4" w:space="0" w:color="auto"/>
            </w:tcBorders>
            <w:noWrap/>
            <w:vAlign w:val="bottom"/>
            <w:hideMark/>
          </w:tcPr>
          <w:p w14:paraId="559A0A9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3.17</w:t>
            </w:r>
          </w:p>
        </w:tc>
        <w:tc>
          <w:tcPr>
            <w:tcW w:w="871" w:type="dxa"/>
            <w:tcBorders>
              <w:top w:val="nil"/>
              <w:left w:val="nil"/>
              <w:bottom w:val="single" w:sz="4" w:space="0" w:color="auto"/>
              <w:right w:val="single" w:sz="4" w:space="0" w:color="auto"/>
            </w:tcBorders>
            <w:noWrap/>
            <w:vAlign w:val="bottom"/>
            <w:hideMark/>
          </w:tcPr>
          <w:p w14:paraId="11962BD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317</w:t>
            </w:r>
          </w:p>
        </w:tc>
        <w:tc>
          <w:tcPr>
            <w:tcW w:w="1380" w:type="dxa"/>
            <w:tcBorders>
              <w:top w:val="nil"/>
              <w:left w:val="nil"/>
              <w:bottom w:val="single" w:sz="4" w:space="0" w:color="auto"/>
              <w:right w:val="single" w:sz="4" w:space="0" w:color="auto"/>
            </w:tcBorders>
            <w:noWrap/>
            <w:vAlign w:val="bottom"/>
            <w:hideMark/>
          </w:tcPr>
          <w:p w14:paraId="491D764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0.83</w:t>
            </w:r>
          </w:p>
        </w:tc>
        <w:tc>
          <w:tcPr>
            <w:tcW w:w="1108" w:type="dxa"/>
            <w:tcBorders>
              <w:top w:val="nil"/>
              <w:left w:val="nil"/>
              <w:bottom w:val="single" w:sz="4" w:space="0" w:color="auto"/>
              <w:right w:val="single" w:sz="4" w:space="0" w:color="auto"/>
            </w:tcBorders>
            <w:noWrap/>
            <w:vAlign w:val="bottom"/>
            <w:hideMark/>
          </w:tcPr>
          <w:p w14:paraId="0A5070F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1.59E-04</w:t>
            </w:r>
          </w:p>
        </w:tc>
        <w:tc>
          <w:tcPr>
            <w:tcW w:w="1268" w:type="dxa"/>
            <w:tcBorders>
              <w:top w:val="nil"/>
              <w:left w:val="nil"/>
              <w:bottom w:val="single" w:sz="4" w:space="0" w:color="auto"/>
              <w:right w:val="single" w:sz="8" w:space="0" w:color="auto"/>
            </w:tcBorders>
            <w:noWrap/>
            <w:vAlign w:val="bottom"/>
            <w:hideMark/>
          </w:tcPr>
          <w:p w14:paraId="4B09A8E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0.026774</w:t>
            </w:r>
          </w:p>
        </w:tc>
      </w:tr>
      <w:tr w:rsidR="00FF7A08" w:rsidRPr="000C1BFC" w14:paraId="795F5E45"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561A1434"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4.20</w:t>
            </w:r>
          </w:p>
        </w:tc>
        <w:tc>
          <w:tcPr>
            <w:tcW w:w="1689" w:type="dxa"/>
            <w:tcBorders>
              <w:top w:val="nil"/>
              <w:left w:val="nil"/>
              <w:bottom w:val="single" w:sz="4" w:space="0" w:color="auto"/>
              <w:right w:val="single" w:sz="4" w:space="0" w:color="auto"/>
            </w:tcBorders>
            <w:noWrap/>
            <w:vAlign w:val="bottom"/>
            <w:hideMark/>
          </w:tcPr>
          <w:p w14:paraId="4185E49C"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3.24</w:t>
            </w:r>
          </w:p>
        </w:tc>
        <w:tc>
          <w:tcPr>
            <w:tcW w:w="871" w:type="dxa"/>
            <w:tcBorders>
              <w:top w:val="nil"/>
              <w:left w:val="nil"/>
              <w:bottom w:val="single" w:sz="4" w:space="0" w:color="auto"/>
              <w:right w:val="single" w:sz="4" w:space="0" w:color="auto"/>
            </w:tcBorders>
            <w:noWrap/>
            <w:vAlign w:val="bottom"/>
            <w:hideMark/>
          </w:tcPr>
          <w:p w14:paraId="48A006B8"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324</w:t>
            </w:r>
          </w:p>
        </w:tc>
        <w:tc>
          <w:tcPr>
            <w:tcW w:w="1380" w:type="dxa"/>
            <w:tcBorders>
              <w:top w:val="nil"/>
              <w:left w:val="nil"/>
              <w:bottom w:val="single" w:sz="4" w:space="0" w:color="auto"/>
              <w:right w:val="single" w:sz="4" w:space="0" w:color="auto"/>
            </w:tcBorders>
            <w:noWrap/>
            <w:vAlign w:val="bottom"/>
            <w:hideMark/>
          </w:tcPr>
          <w:p w14:paraId="3E2E96B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0.96</w:t>
            </w:r>
          </w:p>
        </w:tc>
        <w:tc>
          <w:tcPr>
            <w:tcW w:w="1108" w:type="dxa"/>
            <w:tcBorders>
              <w:top w:val="nil"/>
              <w:left w:val="nil"/>
              <w:bottom w:val="single" w:sz="4" w:space="0" w:color="auto"/>
              <w:right w:val="single" w:sz="4" w:space="0" w:color="auto"/>
            </w:tcBorders>
            <w:noWrap/>
            <w:vAlign w:val="bottom"/>
            <w:hideMark/>
          </w:tcPr>
          <w:p w14:paraId="1C58A41A"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1.62E-04</w:t>
            </w:r>
          </w:p>
        </w:tc>
        <w:tc>
          <w:tcPr>
            <w:tcW w:w="1268" w:type="dxa"/>
            <w:tcBorders>
              <w:top w:val="nil"/>
              <w:left w:val="nil"/>
              <w:bottom w:val="single" w:sz="4" w:space="0" w:color="auto"/>
              <w:right w:val="single" w:sz="8" w:space="0" w:color="auto"/>
            </w:tcBorders>
            <w:noWrap/>
            <w:vAlign w:val="bottom"/>
            <w:hideMark/>
          </w:tcPr>
          <w:p w14:paraId="0F9C471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0.030968</w:t>
            </w:r>
          </w:p>
        </w:tc>
      </w:tr>
      <w:tr w:rsidR="00FF7A08" w:rsidRPr="000C1BFC" w14:paraId="6CEE5BFD"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5AB06A0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4.40</w:t>
            </w:r>
          </w:p>
        </w:tc>
        <w:tc>
          <w:tcPr>
            <w:tcW w:w="1689" w:type="dxa"/>
            <w:tcBorders>
              <w:top w:val="nil"/>
              <w:left w:val="nil"/>
              <w:bottom w:val="single" w:sz="4" w:space="0" w:color="auto"/>
              <w:right w:val="single" w:sz="4" w:space="0" w:color="auto"/>
            </w:tcBorders>
            <w:noWrap/>
            <w:vAlign w:val="bottom"/>
            <w:hideMark/>
          </w:tcPr>
          <w:p w14:paraId="3CDFD32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3.36</w:t>
            </w:r>
          </w:p>
        </w:tc>
        <w:tc>
          <w:tcPr>
            <w:tcW w:w="871" w:type="dxa"/>
            <w:tcBorders>
              <w:top w:val="nil"/>
              <w:left w:val="nil"/>
              <w:bottom w:val="single" w:sz="4" w:space="0" w:color="auto"/>
              <w:right w:val="single" w:sz="4" w:space="0" w:color="auto"/>
            </w:tcBorders>
            <w:noWrap/>
            <w:vAlign w:val="bottom"/>
            <w:hideMark/>
          </w:tcPr>
          <w:p w14:paraId="71B34AE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336</w:t>
            </w:r>
          </w:p>
        </w:tc>
        <w:tc>
          <w:tcPr>
            <w:tcW w:w="1380" w:type="dxa"/>
            <w:tcBorders>
              <w:top w:val="nil"/>
              <w:left w:val="nil"/>
              <w:bottom w:val="single" w:sz="4" w:space="0" w:color="auto"/>
              <w:right w:val="single" w:sz="4" w:space="0" w:color="auto"/>
            </w:tcBorders>
            <w:noWrap/>
            <w:vAlign w:val="bottom"/>
            <w:hideMark/>
          </w:tcPr>
          <w:p w14:paraId="064CE59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1.04</w:t>
            </w:r>
          </w:p>
        </w:tc>
        <w:tc>
          <w:tcPr>
            <w:tcW w:w="1108" w:type="dxa"/>
            <w:tcBorders>
              <w:top w:val="nil"/>
              <w:left w:val="nil"/>
              <w:bottom w:val="single" w:sz="4" w:space="0" w:color="auto"/>
              <w:right w:val="single" w:sz="4" w:space="0" w:color="auto"/>
            </w:tcBorders>
            <w:noWrap/>
            <w:vAlign w:val="bottom"/>
            <w:hideMark/>
          </w:tcPr>
          <w:p w14:paraId="4F11C1AE"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1.68E-04</w:t>
            </w:r>
          </w:p>
        </w:tc>
        <w:tc>
          <w:tcPr>
            <w:tcW w:w="1268" w:type="dxa"/>
            <w:tcBorders>
              <w:top w:val="nil"/>
              <w:left w:val="nil"/>
              <w:bottom w:val="single" w:sz="4" w:space="0" w:color="auto"/>
              <w:right w:val="single" w:sz="8" w:space="0" w:color="auto"/>
            </w:tcBorders>
            <w:noWrap/>
            <w:vAlign w:val="bottom"/>
            <w:hideMark/>
          </w:tcPr>
          <w:p w14:paraId="773FFD89"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0.033548</w:t>
            </w:r>
          </w:p>
        </w:tc>
      </w:tr>
      <w:tr w:rsidR="00FF7A08" w:rsidRPr="000C1BFC" w14:paraId="6CCAC9D4"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0F4BF66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4.60</w:t>
            </w:r>
          </w:p>
        </w:tc>
        <w:tc>
          <w:tcPr>
            <w:tcW w:w="1689" w:type="dxa"/>
            <w:tcBorders>
              <w:top w:val="nil"/>
              <w:left w:val="nil"/>
              <w:bottom w:val="single" w:sz="4" w:space="0" w:color="auto"/>
              <w:right w:val="single" w:sz="4" w:space="0" w:color="auto"/>
            </w:tcBorders>
            <w:noWrap/>
            <w:vAlign w:val="bottom"/>
            <w:hideMark/>
          </w:tcPr>
          <w:p w14:paraId="703923E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3.40</w:t>
            </w:r>
          </w:p>
        </w:tc>
        <w:tc>
          <w:tcPr>
            <w:tcW w:w="871" w:type="dxa"/>
            <w:tcBorders>
              <w:top w:val="nil"/>
              <w:left w:val="nil"/>
              <w:bottom w:val="single" w:sz="4" w:space="0" w:color="auto"/>
              <w:right w:val="single" w:sz="4" w:space="0" w:color="auto"/>
            </w:tcBorders>
            <w:noWrap/>
            <w:vAlign w:val="bottom"/>
            <w:hideMark/>
          </w:tcPr>
          <w:p w14:paraId="5B24897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340</w:t>
            </w:r>
          </w:p>
        </w:tc>
        <w:tc>
          <w:tcPr>
            <w:tcW w:w="1380" w:type="dxa"/>
            <w:tcBorders>
              <w:top w:val="nil"/>
              <w:left w:val="nil"/>
              <w:bottom w:val="single" w:sz="4" w:space="0" w:color="auto"/>
              <w:right w:val="single" w:sz="4" w:space="0" w:color="auto"/>
            </w:tcBorders>
            <w:noWrap/>
            <w:vAlign w:val="bottom"/>
            <w:hideMark/>
          </w:tcPr>
          <w:p w14:paraId="23B9E3E9"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1.20</w:t>
            </w:r>
          </w:p>
        </w:tc>
        <w:tc>
          <w:tcPr>
            <w:tcW w:w="1108" w:type="dxa"/>
            <w:tcBorders>
              <w:top w:val="nil"/>
              <w:left w:val="nil"/>
              <w:bottom w:val="single" w:sz="4" w:space="0" w:color="auto"/>
              <w:right w:val="single" w:sz="4" w:space="0" w:color="auto"/>
            </w:tcBorders>
            <w:noWrap/>
            <w:vAlign w:val="bottom"/>
            <w:hideMark/>
          </w:tcPr>
          <w:p w14:paraId="2D692109"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1.70E-04</w:t>
            </w:r>
          </w:p>
        </w:tc>
        <w:tc>
          <w:tcPr>
            <w:tcW w:w="1268" w:type="dxa"/>
            <w:tcBorders>
              <w:top w:val="nil"/>
              <w:left w:val="nil"/>
              <w:bottom w:val="single" w:sz="4" w:space="0" w:color="auto"/>
              <w:right w:val="single" w:sz="8" w:space="0" w:color="auto"/>
            </w:tcBorders>
            <w:noWrap/>
            <w:vAlign w:val="bottom"/>
            <w:hideMark/>
          </w:tcPr>
          <w:p w14:paraId="3525235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0.03871</w:t>
            </w:r>
          </w:p>
        </w:tc>
      </w:tr>
      <w:tr w:rsidR="00FF7A08" w:rsidRPr="000C1BFC" w14:paraId="73774F4E"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3AADAD7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4.80</w:t>
            </w:r>
          </w:p>
        </w:tc>
        <w:tc>
          <w:tcPr>
            <w:tcW w:w="1689" w:type="dxa"/>
            <w:tcBorders>
              <w:top w:val="nil"/>
              <w:left w:val="nil"/>
              <w:bottom w:val="single" w:sz="4" w:space="0" w:color="auto"/>
              <w:right w:val="single" w:sz="4" w:space="0" w:color="auto"/>
            </w:tcBorders>
            <w:noWrap/>
            <w:vAlign w:val="bottom"/>
            <w:hideMark/>
          </w:tcPr>
          <w:p w14:paraId="33E3C9C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3.45</w:t>
            </w:r>
          </w:p>
        </w:tc>
        <w:tc>
          <w:tcPr>
            <w:tcW w:w="871" w:type="dxa"/>
            <w:tcBorders>
              <w:top w:val="nil"/>
              <w:left w:val="nil"/>
              <w:bottom w:val="single" w:sz="4" w:space="0" w:color="auto"/>
              <w:right w:val="single" w:sz="4" w:space="0" w:color="auto"/>
            </w:tcBorders>
            <w:noWrap/>
            <w:vAlign w:val="bottom"/>
            <w:hideMark/>
          </w:tcPr>
          <w:p w14:paraId="44BFB4B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345</w:t>
            </w:r>
          </w:p>
        </w:tc>
        <w:tc>
          <w:tcPr>
            <w:tcW w:w="1380" w:type="dxa"/>
            <w:tcBorders>
              <w:top w:val="nil"/>
              <w:left w:val="nil"/>
              <w:bottom w:val="single" w:sz="4" w:space="0" w:color="auto"/>
              <w:right w:val="single" w:sz="4" w:space="0" w:color="auto"/>
            </w:tcBorders>
            <w:noWrap/>
            <w:vAlign w:val="bottom"/>
            <w:hideMark/>
          </w:tcPr>
          <w:p w14:paraId="09840ABA"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1.35</w:t>
            </w:r>
          </w:p>
        </w:tc>
        <w:tc>
          <w:tcPr>
            <w:tcW w:w="1108" w:type="dxa"/>
            <w:tcBorders>
              <w:top w:val="nil"/>
              <w:left w:val="nil"/>
              <w:bottom w:val="single" w:sz="4" w:space="0" w:color="auto"/>
              <w:right w:val="single" w:sz="4" w:space="0" w:color="auto"/>
            </w:tcBorders>
            <w:noWrap/>
            <w:vAlign w:val="bottom"/>
            <w:hideMark/>
          </w:tcPr>
          <w:p w14:paraId="299C30ED"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1.73E-04</w:t>
            </w:r>
          </w:p>
        </w:tc>
        <w:tc>
          <w:tcPr>
            <w:tcW w:w="1268" w:type="dxa"/>
            <w:tcBorders>
              <w:top w:val="nil"/>
              <w:left w:val="nil"/>
              <w:bottom w:val="single" w:sz="4" w:space="0" w:color="auto"/>
              <w:right w:val="single" w:sz="8" w:space="0" w:color="auto"/>
            </w:tcBorders>
            <w:noWrap/>
            <w:vAlign w:val="bottom"/>
            <w:hideMark/>
          </w:tcPr>
          <w:p w14:paraId="680DC624"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0.043548</w:t>
            </w:r>
          </w:p>
        </w:tc>
      </w:tr>
      <w:tr w:rsidR="00FF7A08" w:rsidRPr="000C1BFC" w14:paraId="0F94B04C" w14:textId="77777777" w:rsidTr="00FF7A08">
        <w:trPr>
          <w:trHeight w:val="254"/>
        </w:trPr>
        <w:tc>
          <w:tcPr>
            <w:tcW w:w="2215" w:type="dxa"/>
            <w:tcBorders>
              <w:top w:val="nil"/>
              <w:left w:val="single" w:sz="8" w:space="0" w:color="auto"/>
              <w:bottom w:val="single" w:sz="4" w:space="0" w:color="auto"/>
              <w:right w:val="single" w:sz="4" w:space="0" w:color="auto"/>
            </w:tcBorders>
            <w:noWrap/>
            <w:vAlign w:val="bottom"/>
            <w:hideMark/>
          </w:tcPr>
          <w:p w14:paraId="432A69A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5.00</w:t>
            </w:r>
          </w:p>
        </w:tc>
        <w:tc>
          <w:tcPr>
            <w:tcW w:w="1689" w:type="dxa"/>
            <w:tcBorders>
              <w:top w:val="nil"/>
              <w:left w:val="nil"/>
              <w:bottom w:val="single" w:sz="4" w:space="0" w:color="auto"/>
              <w:right w:val="single" w:sz="4" w:space="0" w:color="auto"/>
            </w:tcBorders>
            <w:noWrap/>
            <w:vAlign w:val="bottom"/>
            <w:hideMark/>
          </w:tcPr>
          <w:p w14:paraId="4D252C4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3.51</w:t>
            </w:r>
          </w:p>
        </w:tc>
        <w:tc>
          <w:tcPr>
            <w:tcW w:w="871" w:type="dxa"/>
            <w:tcBorders>
              <w:top w:val="nil"/>
              <w:left w:val="nil"/>
              <w:bottom w:val="single" w:sz="4" w:space="0" w:color="auto"/>
              <w:right w:val="single" w:sz="4" w:space="0" w:color="auto"/>
            </w:tcBorders>
            <w:noWrap/>
            <w:vAlign w:val="bottom"/>
            <w:hideMark/>
          </w:tcPr>
          <w:p w14:paraId="2620612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351</w:t>
            </w:r>
          </w:p>
        </w:tc>
        <w:tc>
          <w:tcPr>
            <w:tcW w:w="1380" w:type="dxa"/>
            <w:tcBorders>
              <w:top w:val="nil"/>
              <w:left w:val="nil"/>
              <w:bottom w:val="single" w:sz="4" w:space="0" w:color="auto"/>
              <w:right w:val="single" w:sz="4" w:space="0" w:color="auto"/>
            </w:tcBorders>
            <w:noWrap/>
            <w:vAlign w:val="bottom"/>
            <w:hideMark/>
          </w:tcPr>
          <w:p w14:paraId="433B17D0"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1.49</w:t>
            </w:r>
          </w:p>
        </w:tc>
        <w:tc>
          <w:tcPr>
            <w:tcW w:w="1108" w:type="dxa"/>
            <w:tcBorders>
              <w:top w:val="nil"/>
              <w:left w:val="nil"/>
              <w:bottom w:val="single" w:sz="4" w:space="0" w:color="auto"/>
              <w:right w:val="single" w:sz="4" w:space="0" w:color="auto"/>
            </w:tcBorders>
            <w:noWrap/>
            <w:vAlign w:val="bottom"/>
            <w:hideMark/>
          </w:tcPr>
          <w:p w14:paraId="4D0D64D2"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1.76E-04</w:t>
            </w:r>
          </w:p>
        </w:tc>
        <w:tc>
          <w:tcPr>
            <w:tcW w:w="1268" w:type="dxa"/>
            <w:tcBorders>
              <w:top w:val="nil"/>
              <w:left w:val="nil"/>
              <w:bottom w:val="single" w:sz="4" w:space="0" w:color="auto"/>
              <w:right w:val="single" w:sz="8" w:space="0" w:color="auto"/>
            </w:tcBorders>
            <w:noWrap/>
            <w:vAlign w:val="bottom"/>
            <w:hideMark/>
          </w:tcPr>
          <w:p w14:paraId="15E1B97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0.048065</w:t>
            </w:r>
          </w:p>
        </w:tc>
      </w:tr>
      <w:tr w:rsidR="00FF7A08" w:rsidRPr="000C1BFC" w14:paraId="6338AF04" w14:textId="77777777" w:rsidTr="00FF7A08">
        <w:trPr>
          <w:trHeight w:val="263"/>
        </w:trPr>
        <w:tc>
          <w:tcPr>
            <w:tcW w:w="2215" w:type="dxa"/>
            <w:tcBorders>
              <w:top w:val="nil"/>
              <w:left w:val="single" w:sz="8" w:space="0" w:color="auto"/>
              <w:bottom w:val="single" w:sz="8" w:space="0" w:color="auto"/>
              <w:right w:val="single" w:sz="4" w:space="0" w:color="auto"/>
            </w:tcBorders>
            <w:noWrap/>
            <w:vAlign w:val="bottom"/>
            <w:hideMark/>
          </w:tcPr>
          <w:p w14:paraId="563C1193"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6.00</w:t>
            </w:r>
          </w:p>
        </w:tc>
        <w:tc>
          <w:tcPr>
            <w:tcW w:w="1689" w:type="dxa"/>
            <w:tcBorders>
              <w:top w:val="nil"/>
              <w:left w:val="nil"/>
              <w:bottom w:val="single" w:sz="8" w:space="0" w:color="auto"/>
              <w:right w:val="single" w:sz="4" w:space="0" w:color="auto"/>
            </w:tcBorders>
            <w:noWrap/>
            <w:vAlign w:val="bottom"/>
            <w:hideMark/>
          </w:tcPr>
          <w:p w14:paraId="597B168F"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3.56</w:t>
            </w:r>
          </w:p>
        </w:tc>
        <w:tc>
          <w:tcPr>
            <w:tcW w:w="871" w:type="dxa"/>
            <w:tcBorders>
              <w:top w:val="nil"/>
              <w:left w:val="nil"/>
              <w:bottom w:val="single" w:sz="8" w:space="0" w:color="auto"/>
              <w:right w:val="single" w:sz="4" w:space="0" w:color="auto"/>
            </w:tcBorders>
            <w:noWrap/>
            <w:vAlign w:val="bottom"/>
            <w:hideMark/>
          </w:tcPr>
          <w:p w14:paraId="621D43D7"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356</w:t>
            </w:r>
          </w:p>
        </w:tc>
        <w:tc>
          <w:tcPr>
            <w:tcW w:w="1380" w:type="dxa"/>
            <w:tcBorders>
              <w:top w:val="nil"/>
              <w:left w:val="nil"/>
              <w:bottom w:val="single" w:sz="8" w:space="0" w:color="auto"/>
              <w:right w:val="single" w:sz="4" w:space="0" w:color="auto"/>
            </w:tcBorders>
            <w:noWrap/>
            <w:vAlign w:val="bottom"/>
            <w:hideMark/>
          </w:tcPr>
          <w:p w14:paraId="17C06B6B"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2.44</w:t>
            </w:r>
          </w:p>
        </w:tc>
        <w:tc>
          <w:tcPr>
            <w:tcW w:w="1108" w:type="dxa"/>
            <w:tcBorders>
              <w:top w:val="nil"/>
              <w:left w:val="nil"/>
              <w:bottom w:val="single" w:sz="8" w:space="0" w:color="auto"/>
              <w:right w:val="single" w:sz="4" w:space="0" w:color="auto"/>
            </w:tcBorders>
            <w:noWrap/>
            <w:vAlign w:val="bottom"/>
            <w:hideMark/>
          </w:tcPr>
          <w:p w14:paraId="4BE5B951"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1.78E-04</w:t>
            </w:r>
          </w:p>
        </w:tc>
        <w:tc>
          <w:tcPr>
            <w:tcW w:w="1268" w:type="dxa"/>
            <w:tcBorders>
              <w:top w:val="nil"/>
              <w:left w:val="nil"/>
              <w:bottom w:val="single" w:sz="8" w:space="0" w:color="auto"/>
              <w:right w:val="single" w:sz="8" w:space="0" w:color="auto"/>
            </w:tcBorders>
            <w:noWrap/>
            <w:vAlign w:val="bottom"/>
            <w:hideMark/>
          </w:tcPr>
          <w:p w14:paraId="47034346" w14:textId="77777777" w:rsidR="00BA6487" w:rsidRPr="000C1BFC" w:rsidRDefault="00BA6487" w:rsidP="00BA6487">
            <w:pPr>
              <w:spacing w:after="0" w:line="240" w:lineRule="auto"/>
              <w:jc w:val="right"/>
              <w:rPr>
                <w:rFonts w:eastAsia="Times New Roman"/>
                <w:color w:val="000000"/>
                <w:kern w:val="0"/>
                <w:szCs w:val="22"/>
                <w:lang w:eastAsia="en-GB"/>
                <w14:ligatures w14:val="none"/>
              </w:rPr>
            </w:pPr>
            <w:r w:rsidRPr="000C1BFC">
              <w:rPr>
                <w:rFonts w:eastAsia="Times New Roman"/>
                <w:color w:val="000000"/>
                <w:kern w:val="0"/>
                <w:szCs w:val="22"/>
                <w:lang w:eastAsia="en-GB"/>
                <w14:ligatures w14:val="none"/>
              </w:rPr>
              <w:t>0.07871</w:t>
            </w:r>
          </w:p>
        </w:tc>
      </w:tr>
    </w:tbl>
    <w:p w14:paraId="146746CB" w14:textId="5D67E7F1" w:rsidR="007B3F86" w:rsidRPr="000C1BFC" w:rsidRDefault="00FF7A08" w:rsidP="00FF7A08">
      <w:r w:rsidRPr="000C1BFC">
        <w:rPr>
          <w:noProof/>
        </w:rPr>
        <w:drawing>
          <wp:anchor distT="0" distB="0" distL="114300" distR="114300" simplePos="0" relativeHeight="251660288" behindDoc="1" locked="0" layoutInCell="1" allowOverlap="1" wp14:anchorId="2B101970" wp14:editId="071D56F6">
            <wp:simplePos x="0" y="0"/>
            <wp:positionH relativeFrom="margin">
              <wp:align>left</wp:align>
            </wp:positionH>
            <wp:positionV relativeFrom="paragraph">
              <wp:posOffset>440690</wp:posOffset>
            </wp:positionV>
            <wp:extent cx="5511800" cy="2933700"/>
            <wp:effectExtent l="0" t="0" r="12700" b="0"/>
            <wp:wrapTight wrapText="bothSides">
              <wp:wrapPolygon edited="0">
                <wp:start x="0" y="0"/>
                <wp:lineTo x="0" y="21460"/>
                <wp:lineTo x="21575" y="21460"/>
                <wp:lineTo x="21575" y="0"/>
                <wp:lineTo x="0" y="0"/>
              </wp:wrapPolygon>
            </wp:wrapTight>
            <wp:docPr id="1481069517" name="Chart 1">
              <a:extLst xmlns:a="http://schemas.openxmlformats.org/drawingml/2006/main">
                <a:ext uri="{FF2B5EF4-FFF2-40B4-BE49-F238E27FC236}">
                  <a16:creationId xmlns:a16="http://schemas.microsoft.com/office/drawing/2014/main" id="{BA83E36F-2868-2D88-04FD-B370D4DB2C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704D4F" w:rsidRPr="000C1BFC">
        <w:t xml:space="preserve">Table </w:t>
      </w:r>
      <w:r w:rsidR="00872978" w:rsidRPr="000C1BFC">
        <w:t xml:space="preserve">4.1 – Data Table </w:t>
      </w:r>
      <w:r w:rsidR="007B3F86" w:rsidRPr="000C1BFC">
        <w:br w:type="page"/>
      </w:r>
    </w:p>
    <w:p w14:paraId="59139EC1" w14:textId="77777777" w:rsidR="007B3F86" w:rsidRPr="000C1BFC" w:rsidRDefault="007B3F86" w:rsidP="007B3F86">
      <w:pPr>
        <w:jc w:val="center"/>
        <w:rPr>
          <w:b/>
          <w:bCs/>
          <w:i/>
          <w:iCs/>
          <w:sz w:val="28"/>
          <w:szCs w:val="28"/>
        </w:rPr>
      </w:pPr>
    </w:p>
    <w:p w14:paraId="60BE371D" w14:textId="5EF8AB8A" w:rsidR="007B3F86" w:rsidRPr="000C1BFC" w:rsidRDefault="00ED40FE" w:rsidP="003510E3">
      <w:pPr>
        <w:pStyle w:val="Heading1"/>
        <w:rPr>
          <w:rFonts w:ascii="Calibri" w:hAnsi="Calibri" w:cs="Calibri"/>
        </w:rPr>
      </w:pPr>
      <w:bookmarkStart w:id="7" w:name="_Toc228126787"/>
      <w:r w:rsidRPr="000C1BFC">
        <w:rPr>
          <w:rFonts w:ascii="Calibri" w:hAnsi="Calibri" w:cs="Calibri"/>
        </w:rPr>
        <w:t>Analysis</w:t>
      </w:r>
      <w:bookmarkEnd w:id="7"/>
      <w:r w:rsidRPr="000C1BFC">
        <w:rPr>
          <w:rFonts w:ascii="Calibri" w:hAnsi="Calibri" w:cs="Calibri"/>
        </w:rPr>
        <w:t xml:space="preserve"> </w:t>
      </w:r>
    </w:p>
    <w:p w14:paraId="7E77344A" w14:textId="1BCC740E" w:rsidR="00ED40FE" w:rsidRPr="000C1BFC" w:rsidRDefault="00ED40FE" w:rsidP="00ED40FE">
      <w:pPr>
        <w:pStyle w:val="Heading2"/>
        <w:rPr>
          <w:rFonts w:ascii="Calibri" w:hAnsi="Calibri" w:cs="Calibri"/>
        </w:rPr>
      </w:pPr>
      <w:bookmarkStart w:id="8" w:name="_Toc228126788"/>
      <w:r w:rsidRPr="000C1BFC">
        <w:rPr>
          <w:rFonts w:ascii="Calibri" w:hAnsi="Calibri" w:cs="Calibri"/>
        </w:rPr>
        <w:t>Young’s Modulus</w:t>
      </w:r>
      <w:bookmarkEnd w:id="8"/>
      <w:r w:rsidRPr="000C1BFC">
        <w:rPr>
          <w:rFonts w:ascii="Calibri" w:hAnsi="Calibri" w:cs="Calibri"/>
        </w:rPr>
        <w:t xml:space="preserve">  </w:t>
      </w:r>
    </w:p>
    <w:p w14:paraId="305CC84C" w14:textId="090421BE" w:rsidR="00ED40FE" w:rsidRPr="000C1BFC" w:rsidRDefault="00ED40FE" w:rsidP="00ED40FE">
      <w:r w:rsidRPr="000C1BFC">
        <w:t>The stiffness of the material, known as Young’s Modulus, was determined by examining the linear elastic region of the stress-strain curve. This involved calculating the slope of the initial straight-line part of the graph.</w:t>
      </w:r>
      <w:r w:rsidR="00F177C5" w:rsidRPr="000C1BFC">
        <w:t xml:space="preserve"> T</w:t>
      </w:r>
      <w:r w:rsidRPr="000C1BFC">
        <w:t>his</w:t>
      </w:r>
      <w:r w:rsidR="00F177C5" w:rsidRPr="000C1BFC">
        <w:t xml:space="preserve"> is done</w:t>
      </w:r>
      <w:r w:rsidRPr="000C1BFC">
        <w:t xml:space="preserve"> by dividing the change in stress </w:t>
      </w:r>
      <w:r w:rsidR="00F177C5" w:rsidRPr="000C1BFC">
        <w:t xml:space="preserve">by the </w:t>
      </w:r>
      <w:r w:rsidRPr="000C1BFC">
        <w:t>change in strain. This value indicates the material's basic resistance to elastic deformation and shows whether the correct alloy grade was supplied.</w:t>
      </w:r>
    </w:p>
    <w:p w14:paraId="1F692CCB" w14:textId="6CE6DBDB" w:rsidR="00ED40FE" w:rsidRPr="000C1BFC" w:rsidRDefault="00B06298" w:rsidP="00ED40FE">
      <w:pPr>
        <w:rPr>
          <w:rFonts w:eastAsiaTheme="minorEastAsia"/>
        </w:rPr>
      </w:pPr>
      <w:r w:rsidRPr="000C1BFC">
        <w:rPr>
          <w:rFonts w:eastAsiaTheme="minorEastAsia"/>
        </w:rPr>
        <w:t xml:space="preserve">                                                                                               </w:t>
      </w:r>
      <m:oMath>
        <m:r>
          <w:rPr>
            <w:rFonts w:ascii="Cambria Math" w:eastAsiaTheme="minorEastAsia" w:hAnsi="Cambria Math"/>
          </w:rPr>
          <m:t>Youngs Modulus=</m:t>
        </m:r>
        <m:f>
          <m:fPr>
            <m:ctrlPr>
              <w:rPr>
                <w:rFonts w:ascii="Cambria Math" w:hAnsi="Cambria Math"/>
                <w:i/>
              </w:rPr>
            </m:ctrlPr>
          </m:fPr>
          <m:num>
            <m:r>
              <w:rPr>
                <w:rFonts w:ascii="Cambria Math" w:hAnsi="Cambria Math"/>
              </w:rPr>
              <m:t>Change In Stress</m:t>
            </m:r>
          </m:num>
          <m:den>
            <m:r>
              <w:rPr>
                <w:rFonts w:ascii="Cambria Math" w:hAnsi="Cambria Math"/>
              </w:rPr>
              <m:t>Change In Strain</m:t>
            </m:r>
          </m:den>
        </m:f>
      </m:oMath>
    </w:p>
    <w:p w14:paraId="3F0987B1" w14:textId="35269A0B" w:rsidR="00B06298" w:rsidRPr="000C1BFC" w:rsidRDefault="0003327F" w:rsidP="0003327F">
      <w:pPr>
        <w:pStyle w:val="Heading2"/>
        <w:rPr>
          <w:rFonts w:ascii="Calibri" w:hAnsi="Calibri" w:cs="Calibri"/>
        </w:rPr>
      </w:pPr>
      <w:bookmarkStart w:id="9" w:name="_Toc228126789"/>
      <w:r w:rsidRPr="000C1BFC">
        <w:rPr>
          <w:rFonts w:ascii="Calibri" w:hAnsi="Calibri" w:cs="Calibri"/>
        </w:rPr>
        <w:t>Yield Strength</w:t>
      </w:r>
      <w:bookmarkEnd w:id="9"/>
      <w:r w:rsidRPr="000C1BFC">
        <w:rPr>
          <w:rFonts w:ascii="Calibri" w:hAnsi="Calibri" w:cs="Calibri"/>
        </w:rPr>
        <w:t xml:space="preserve"> </w:t>
      </w:r>
    </w:p>
    <w:p w14:paraId="462CCD64" w14:textId="4082413A" w:rsidR="0003327F" w:rsidRPr="000C1BFC" w:rsidRDefault="00B44535" w:rsidP="0003327F">
      <w:r w:rsidRPr="000C1BFC">
        <w:t xml:space="preserve">The yield strength was determined by identifying the exact point at which the material </w:t>
      </w:r>
      <w:r w:rsidR="003768CC" w:rsidRPr="000C1BFC">
        <w:t>ceases to behave elastically</w:t>
      </w:r>
      <w:r w:rsidR="00363837" w:rsidRPr="000C1BFC">
        <w:t xml:space="preserve"> and begins to deform permanently</w:t>
      </w:r>
      <w:r w:rsidRPr="000C1BFC">
        <w:t xml:space="preserve">. To calculate this from the lab data, the force at </w:t>
      </w:r>
      <w:r w:rsidR="003768CC" w:rsidRPr="000C1BFC">
        <w:t xml:space="preserve">the "tipping point," which was 260 N, was divided by the sample's </w:t>
      </w:r>
      <w:r w:rsidR="008279E9" w:rsidRPr="000C1BFC">
        <w:t>2 mm^2 area</w:t>
      </w:r>
      <w:r w:rsidRPr="000C1BFC">
        <w:t xml:space="preserve">. This calculation results in a yield strength of </w:t>
      </w:r>
      <w:r w:rsidR="00B256A9" w:rsidRPr="000C1BFC">
        <w:t xml:space="preserve"> 130  MPa</w:t>
      </w:r>
      <w:r w:rsidRPr="000C1BFC">
        <w:t>. This value is critical because it represents the maximum load the drive shaft can handle before it deforms</w:t>
      </w:r>
      <w:r w:rsidR="00B256A9" w:rsidRPr="000C1BFC">
        <w:t>, affecting</w:t>
      </w:r>
      <w:r w:rsidRPr="000C1BFC">
        <w:t xml:space="preserve"> the vehicle's alignment</w:t>
      </w:r>
      <w:r w:rsidR="00B256A9" w:rsidRPr="000C1BFC">
        <w:t>. T</w:t>
      </w:r>
      <w:r w:rsidRPr="000C1BFC">
        <w:t xml:space="preserve">he equation used is the yield force divided by the original cross-sectional area. Even though this result is higher than the </w:t>
      </w:r>
      <w:r w:rsidR="00B256A9" w:rsidRPr="000C1BFC">
        <w:t>90 MPa typically seen in</w:t>
      </w:r>
      <w:r w:rsidRPr="000C1BFC">
        <w:t xml:space="preserve"> racing, the small difference between the two explains why the parts snapped when the car hit bumps or experienced heavy vibrations on the rally track.</w:t>
      </w:r>
    </w:p>
    <w:p w14:paraId="38860C73" w14:textId="59174612" w:rsidR="00363837" w:rsidRPr="000C1BFC" w:rsidRDefault="005F296D" w:rsidP="0003327F">
      <w:pPr>
        <w:rPr>
          <w:rFonts w:eastAsiaTheme="minorEastAsia"/>
        </w:rPr>
      </w:pPr>
      <m:oMathPara>
        <m:oMath>
          <m:r>
            <w:rPr>
              <w:rFonts w:ascii="Cambria Math" w:hAnsi="Cambria Math"/>
            </w:rPr>
            <m:t>Yeild Strength=</m:t>
          </m:r>
          <m:f>
            <m:fPr>
              <m:ctrlPr>
                <w:rPr>
                  <w:rFonts w:ascii="Cambria Math" w:hAnsi="Cambria Math"/>
                  <w:i/>
                </w:rPr>
              </m:ctrlPr>
            </m:fPr>
            <m:num>
              <m:r>
                <w:rPr>
                  <w:rFonts w:ascii="Cambria Math" w:hAnsi="Cambria Math"/>
                </w:rPr>
                <m:t>Yeild Force</m:t>
              </m:r>
            </m:num>
            <m:den>
              <m:r>
                <w:rPr>
                  <w:rFonts w:ascii="Cambria Math" w:hAnsi="Cambria Math"/>
                </w:rPr>
                <m:t>Cross Sectional Area</m:t>
              </m:r>
            </m:den>
          </m:f>
        </m:oMath>
      </m:oMathPara>
    </w:p>
    <w:p w14:paraId="738E1D61" w14:textId="0BE44E21" w:rsidR="003768CC" w:rsidRPr="000C1BFC" w:rsidRDefault="003768CC" w:rsidP="003768CC">
      <w:pPr>
        <w:pStyle w:val="Heading3"/>
        <w:rPr>
          <w:rFonts w:cs="Calibri"/>
        </w:rPr>
      </w:pPr>
      <w:bookmarkStart w:id="10" w:name="_Toc228126790"/>
      <w:r w:rsidRPr="000C1BFC">
        <w:rPr>
          <w:rFonts w:cs="Calibri"/>
        </w:rPr>
        <w:t>Yield Strength/Force on Graph</w:t>
      </w:r>
      <w:bookmarkEnd w:id="10"/>
    </w:p>
    <w:p w14:paraId="2793F183" w14:textId="6CE8126D" w:rsidR="001821E6" w:rsidRPr="000C1BFC" w:rsidRDefault="001821E6" w:rsidP="001821E6">
      <w:r w:rsidRPr="000C1BFC">
        <w:t xml:space="preserve">The yield point is found on the stress-strain graph </w:t>
      </w:r>
      <w:r w:rsidR="0040501F" w:rsidRPr="000C1BFC">
        <w:t>where the initial straight, diagonal line begins</w:t>
      </w:r>
      <w:r w:rsidRPr="000C1BFC">
        <w:t xml:space="preserve"> to curve to the right. This happens at a stress level of </w:t>
      </w:r>
      <w:r w:rsidR="0040501F" w:rsidRPr="000C1BFC">
        <w:t xml:space="preserve">130 </w:t>
      </w:r>
      <w:r w:rsidR="005F296D" w:rsidRPr="000C1BFC">
        <w:t xml:space="preserve"> MPa</w:t>
      </w:r>
      <w:r w:rsidRPr="000C1BFC">
        <w:t xml:space="preserve">. This value indicates </w:t>
      </w:r>
      <w:r w:rsidR="0040501F" w:rsidRPr="000C1BFC">
        <w:t>the point at which the material transitions</w:t>
      </w:r>
      <w:r w:rsidRPr="000C1BFC">
        <w:t xml:space="preserve"> from elastic stretching to permanent plastic deformation. This point is important because it </w:t>
      </w:r>
      <w:r w:rsidR="0040501F" w:rsidRPr="000C1BFC">
        <w:t>indicates the maximum stress the aluminium can withstand before it deforms</w:t>
      </w:r>
      <w:r w:rsidRPr="000C1BFC">
        <w:t xml:space="preserve"> and loses its structural integrity. This marks the limit of </w:t>
      </w:r>
      <w:r w:rsidR="0040501F" w:rsidRPr="000C1BFC">
        <w:t>the drive shaft's functional failure</w:t>
      </w:r>
      <w:r w:rsidRPr="000C1BFC">
        <w:t>.</w:t>
      </w:r>
    </w:p>
    <w:p w14:paraId="358D514D" w14:textId="18B975DE" w:rsidR="0039434E" w:rsidRPr="000C1BFC" w:rsidRDefault="003768CC" w:rsidP="001821E6">
      <w:r w:rsidRPr="000C1BFC">
        <w:rPr>
          <w:noProof/>
        </w:rPr>
        <w:lastRenderedPageBreak/>
        <w:drawing>
          <wp:inline distT="0" distB="0" distL="0" distR="0" wp14:anchorId="6FFA3193" wp14:editId="616C8DF6">
            <wp:extent cx="3975100" cy="2317109"/>
            <wp:effectExtent l="0" t="0" r="6350" b="7620"/>
            <wp:docPr id="1159564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564013" name=""/>
                    <pic:cNvPicPr/>
                  </pic:nvPicPr>
                  <pic:blipFill rotWithShape="1">
                    <a:blip r:embed="rId13"/>
                    <a:srcRect l="2219" t="2680" r="5071" b="5898"/>
                    <a:stretch>
                      <a:fillRect/>
                    </a:stretch>
                  </pic:blipFill>
                  <pic:spPr bwMode="auto">
                    <a:xfrm>
                      <a:off x="0" y="0"/>
                      <a:ext cx="4006285" cy="2335287"/>
                    </a:xfrm>
                    <a:prstGeom prst="rect">
                      <a:avLst/>
                    </a:prstGeom>
                    <a:ln>
                      <a:noFill/>
                    </a:ln>
                    <a:extLst>
                      <a:ext uri="{53640926-AAD7-44D8-BBD7-CCE9431645EC}">
                        <a14:shadowObscured xmlns:a14="http://schemas.microsoft.com/office/drawing/2010/main"/>
                      </a:ext>
                    </a:extLst>
                  </pic:spPr>
                </pic:pic>
              </a:graphicData>
            </a:graphic>
          </wp:inline>
        </w:drawing>
      </w:r>
    </w:p>
    <w:p w14:paraId="120DA0D8" w14:textId="26CFD12D" w:rsidR="00B97713" w:rsidRPr="000C1BFC" w:rsidRDefault="00B97713" w:rsidP="001821E6">
      <w:r w:rsidRPr="000C1BFC">
        <w:t xml:space="preserve">Figure 5.1 Graph Showing Yield Point </w:t>
      </w:r>
    </w:p>
    <w:p w14:paraId="61D1C95A" w14:textId="345B00F0" w:rsidR="0039434E" w:rsidRPr="000C1BFC" w:rsidRDefault="0039434E" w:rsidP="0039434E">
      <w:pPr>
        <w:pStyle w:val="Heading2"/>
        <w:rPr>
          <w:rFonts w:ascii="Calibri" w:hAnsi="Calibri" w:cs="Calibri"/>
        </w:rPr>
      </w:pPr>
      <w:bookmarkStart w:id="11" w:name="_Toc228126791"/>
      <w:r w:rsidRPr="000C1BFC">
        <w:rPr>
          <w:rFonts w:ascii="Calibri" w:hAnsi="Calibri" w:cs="Calibri"/>
        </w:rPr>
        <w:t>Ultimate Tensile Strength</w:t>
      </w:r>
      <w:bookmarkEnd w:id="11"/>
      <w:r w:rsidRPr="000C1BFC">
        <w:rPr>
          <w:rFonts w:ascii="Calibri" w:hAnsi="Calibri" w:cs="Calibri"/>
        </w:rPr>
        <w:t xml:space="preserve"> </w:t>
      </w:r>
    </w:p>
    <w:p w14:paraId="47A46328" w14:textId="65893B34" w:rsidR="00BA5CA8" w:rsidRPr="000C1BFC" w:rsidRDefault="00617CEB" w:rsidP="00617CEB">
      <w:r w:rsidRPr="000C1BFC">
        <w:t>The ultimate tensile strength is the maximum stress a material can withstand before necking occurs. It is calculated by dividing the maximum force recorded during the test</w:t>
      </w:r>
      <w:r w:rsidR="00E151A8" w:rsidRPr="000C1BFC">
        <w:t xml:space="preserve"> </w:t>
      </w:r>
      <w:r w:rsidR="000B02A8" w:rsidRPr="000C1BFC">
        <w:t>(355N) by the original cross-sectional area of 2 mm</w:t>
      </w:r>
      <w:r w:rsidR="00B97713" w:rsidRPr="000C1BFC">
        <w:t xml:space="preserve"> ^2</w:t>
      </w:r>
      <w:r w:rsidR="0098522A" w:rsidRPr="000C1BFC">
        <w:t xml:space="preserve">. </w:t>
      </w:r>
      <w:r w:rsidRPr="000C1BFC">
        <w:t xml:space="preserve">This results in an ultimate tensile strength of </w:t>
      </w:r>
      <w:r w:rsidR="00BA5CA8" w:rsidRPr="000C1BFC">
        <w:t xml:space="preserve"> 177.5 M</w:t>
      </w:r>
      <w:r w:rsidR="00327AA5" w:rsidRPr="000C1BFC">
        <w:t>Pa</w:t>
      </w:r>
      <w:r w:rsidRPr="000C1BFC">
        <w:t>. On the stress-strain graph, this value appears a</w:t>
      </w:r>
      <w:r w:rsidR="00265342" w:rsidRPr="000C1BFC">
        <w:t>t</w:t>
      </w:r>
      <w:r w:rsidRPr="000C1BFC">
        <w:t xml:space="preserve"> the </w:t>
      </w:r>
      <w:r w:rsidR="00265342" w:rsidRPr="000C1BFC">
        <w:t>curve's peak</w:t>
      </w:r>
      <w:r w:rsidRPr="000C1BFC">
        <w:t xml:space="preserve">. </w:t>
      </w:r>
      <w:r w:rsidR="00265342" w:rsidRPr="000C1BFC">
        <w:t>T</w:t>
      </w:r>
      <w:r w:rsidRPr="000C1BFC">
        <w:t>his isn't where the line ends. After reaching this peak, the material becomes unstable, and the force needed to stretch actually decreases. Therefore, the line slopes downward from this peak to the fracture point, where the specimen breaks. For the racing team, this result is important because it shows that the material is much weaker than the high-grade aluminium needed for the rally environment.</w:t>
      </w:r>
    </w:p>
    <w:p w14:paraId="4512DE32" w14:textId="38446864" w:rsidR="00FE6C4C" w:rsidRPr="000C1BFC" w:rsidRDefault="00BA5CA8" w:rsidP="00617CEB">
      <w:pPr>
        <w:rPr>
          <w:rFonts w:eastAsiaTheme="minorEastAsia"/>
        </w:rPr>
      </w:pPr>
      <m:oMathPara>
        <m:oMath>
          <m:r>
            <w:rPr>
              <w:rFonts w:ascii="Cambria Math" w:hAnsi="Cambria Math"/>
            </w:rPr>
            <m:t>Tensile Strength=</m:t>
          </m:r>
          <m:f>
            <m:fPr>
              <m:ctrlPr>
                <w:rPr>
                  <w:rFonts w:ascii="Cambria Math" w:hAnsi="Cambria Math"/>
                  <w:i/>
                </w:rPr>
              </m:ctrlPr>
            </m:fPr>
            <m:num>
              <m:r>
                <w:rPr>
                  <w:rFonts w:ascii="Cambria Math" w:hAnsi="Cambria Math"/>
                </w:rPr>
                <m:t>Max Force</m:t>
              </m:r>
            </m:num>
            <m:den>
              <m:r>
                <w:rPr>
                  <w:rFonts w:ascii="Cambria Math" w:hAnsi="Cambria Math"/>
                </w:rPr>
                <m:t>Cross Sectional Area</m:t>
              </m:r>
            </m:den>
          </m:f>
        </m:oMath>
      </m:oMathPara>
    </w:p>
    <w:p w14:paraId="5A2C9C33" w14:textId="37A55710" w:rsidR="004B5B09" w:rsidRPr="000C1BFC" w:rsidRDefault="004B5B09">
      <w:pPr>
        <w:rPr>
          <w:rFonts w:eastAsiaTheme="minorEastAsia"/>
        </w:rPr>
      </w:pPr>
      <w:r w:rsidRPr="000C1BFC">
        <w:rPr>
          <w:rFonts w:eastAsiaTheme="minorEastAsia"/>
        </w:rPr>
        <w:br w:type="page"/>
      </w:r>
    </w:p>
    <w:p w14:paraId="5D09DDB9" w14:textId="77777777" w:rsidR="00BA5CA8" w:rsidRPr="000C1BFC" w:rsidRDefault="00BA5CA8" w:rsidP="00617CEB">
      <w:pPr>
        <w:rPr>
          <w:rFonts w:eastAsiaTheme="minorEastAsia"/>
        </w:rPr>
      </w:pPr>
    </w:p>
    <w:p w14:paraId="657E6A98" w14:textId="6159E08D" w:rsidR="003D0407" w:rsidRPr="000C1BFC" w:rsidRDefault="003D0407" w:rsidP="003D0407">
      <w:pPr>
        <w:pStyle w:val="Heading1"/>
        <w:rPr>
          <w:rFonts w:ascii="Calibri" w:hAnsi="Calibri" w:cs="Calibri"/>
        </w:rPr>
      </w:pPr>
      <w:bookmarkStart w:id="12" w:name="_Toc228126792"/>
      <w:r w:rsidRPr="000C1BFC">
        <w:rPr>
          <w:rFonts w:ascii="Calibri" w:hAnsi="Calibri" w:cs="Calibri"/>
        </w:rPr>
        <w:t>Conclusion</w:t>
      </w:r>
      <w:bookmarkEnd w:id="12"/>
      <w:r w:rsidRPr="000C1BFC">
        <w:rPr>
          <w:rFonts w:ascii="Calibri" w:hAnsi="Calibri" w:cs="Calibri"/>
        </w:rPr>
        <w:t xml:space="preserve">  </w:t>
      </w:r>
    </w:p>
    <w:p w14:paraId="6F9FD528" w14:textId="6955805C" w:rsidR="007B3F86" w:rsidRPr="000C1BFC" w:rsidRDefault="003D0407" w:rsidP="003D0407">
      <w:r w:rsidRPr="000C1BFC">
        <w:t xml:space="preserve">The forensic analysis of the failed drive shafts, along with tensile testing of the provided samples, confirms that the primary cause of failure was an error in material specifications. The investigation provided clear evidence that the alloy used in the "new" batch of components had mechanical properties far weaker than those required for high-performance off-road racing. The data indicates that the material could not handle the repeated loads and intense vibrations typical of the Dakar Rally. </w:t>
      </w:r>
      <w:r w:rsidR="0084674F" w:rsidRPr="000C1BFC">
        <w:t xml:space="preserve"> “The choice of materials plays a crucial role in the overall build quality of these vehicles, directly impacting their speed, efficiency, and handling” </w:t>
      </w:r>
      <w:r w:rsidR="004B5B09" w:rsidRPr="000C1BFC">
        <w:t>(Lawton, 2025)</w:t>
      </w:r>
    </w:p>
    <w:p w14:paraId="1F70F0AC" w14:textId="6B345A43" w:rsidR="00374E02" w:rsidRPr="000C1BFC" w:rsidRDefault="008A0FAD" w:rsidP="00374E02">
      <w:pPr>
        <w:pStyle w:val="Heading2"/>
        <w:rPr>
          <w:rFonts w:ascii="Calibri" w:hAnsi="Calibri" w:cs="Calibri"/>
        </w:rPr>
      </w:pPr>
      <w:bookmarkStart w:id="13" w:name="_Toc228126793"/>
      <w:r w:rsidRPr="000C1BFC">
        <w:rPr>
          <w:rFonts w:ascii="Calibri" w:hAnsi="Calibri" w:cs="Calibri"/>
        </w:rPr>
        <w:t>Cause of Failure and Recommendations</w:t>
      </w:r>
      <w:bookmarkEnd w:id="13"/>
    </w:p>
    <w:p w14:paraId="2BF75D4B" w14:textId="315EACC7" w:rsidR="00A10537" w:rsidRPr="000C1BFC" w:rsidRDefault="00374E02" w:rsidP="003D0407">
      <w:r w:rsidRPr="000C1BFC">
        <w:t>The investigation found a Yield Strength of 130 M</w:t>
      </w:r>
      <w:r w:rsidR="00815746" w:rsidRPr="000C1BFC">
        <w:t>Pa</w:t>
      </w:r>
      <w:r w:rsidRPr="000C1BFC">
        <w:t xml:space="preserve">, which is not enough for the Dakar environment. Although this value is technically above the static operational load of 90 </w:t>
      </w:r>
      <w:r w:rsidR="00815746" w:rsidRPr="000C1BFC">
        <w:t>MPa</w:t>
      </w:r>
      <w:r w:rsidRPr="000C1BFC">
        <w:t>, the Safety Factor is dangerously low, at about 1.4. In a rally, shock loads from jumps and uneven terrain can easily double or triple the nominal stress, quickly exceeding this limit</w:t>
      </w:r>
      <w:r w:rsidR="00052EA2" w:rsidRPr="000C1BFC">
        <w:t xml:space="preserve">. “ The standard Yield Strength of 7075-T6 aluminium is approximately 503MPa”. </w:t>
      </w:r>
      <w:r w:rsidRPr="000C1BFC">
        <w:t xml:space="preserve">Furthermore, the Ultimate Tensile Strength of 177.5 </w:t>
      </w:r>
      <w:r w:rsidR="00815746" w:rsidRPr="000C1BFC">
        <w:t xml:space="preserve">MPa </w:t>
      </w:r>
      <w:r w:rsidRPr="000C1BFC">
        <w:t>and a Young’s Modulus of 15.4</w:t>
      </w:r>
      <w:r w:rsidR="00815746" w:rsidRPr="000C1BFC">
        <w:t xml:space="preserve"> </w:t>
      </w:r>
      <w:proofErr w:type="spellStart"/>
      <w:r w:rsidR="00815746" w:rsidRPr="000C1BFC">
        <w:t>GPa</w:t>
      </w:r>
      <w:proofErr w:type="spellEnd"/>
      <w:r w:rsidR="00815746" w:rsidRPr="000C1BFC">
        <w:t xml:space="preserve"> </w:t>
      </w:r>
      <w:r w:rsidRPr="000C1BFC">
        <w:t>suggest that the material was likely low-grade cast aluminium instead of the specified wrought aerospace alloy. The lack of stiffness (Young's Modulus) is especially important; it allowed for excessive twisting, which contributed to the initiation of fatigue cracks.</w:t>
      </w:r>
      <w:r w:rsidR="005F457C" w:rsidRPr="000C1BFC">
        <w:t xml:space="preserve"> The Young’s Modulus, or stiffness, was calculated at 15.4 </w:t>
      </w:r>
      <w:proofErr w:type="spellStart"/>
      <w:r w:rsidR="005F457C" w:rsidRPr="000C1BFC">
        <w:t>G</w:t>
      </w:r>
      <w:r w:rsidR="00815746" w:rsidRPr="000C1BFC">
        <w:t>Pa</w:t>
      </w:r>
      <w:proofErr w:type="spellEnd"/>
      <w:r w:rsidR="005F457C" w:rsidRPr="000C1BFC">
        <w:t xml:space="preserve">. This is a significant concern, as structural aluminium should have a stiffness of about 70 </w:t>
      </w:r>
      <w:proofErr w:type="spellStart"/>
      <w:r w:rsidR="005F457C" w:rsidRPr="000C1BFC">
        <w:t>GPa</w:t>
      </w:r>
      <w:proofErr w:type="spellEnd"/>
      <w:r w:rsidR="005F457C" w:rsidRPr="000C1BFC">
        <w:t xml:space="preserve"> (Engineering </w:t>
      </w:r>
      <w:proofErr w:type="spellStart"/>
      <w:r w:rsidR="005F457C" w:rsidRPr="000C1BFC">
        <w:t>ToolBox</w:t>
      </w:r>
      <w:proofErr w:type="spellEnd"/>
      <w:r w:rsidR="005F457C" w:rsidRPr="000C1BFC">
        <w:t>, 20</w:t>
      </w:r>
      <w:r w:rsidR="00994A7E" w:rsidRPr="000C1BFC">
        <w:t>03</w:t>
      </w:r>
      <w:r w:rsidR="005F457C" w:rsidRPr="000C1BFC">
        <w:t xml:space="preserve">). Being nearly five times less stiff than the industry standard indicates that the material was defective or the wrong grade entirely. This lack of rigidity caused the drive shaft to flex and vibrate excessively, resulting in the rapid fatigue failure observed in the race. </w:t>
      </w:r>
    </w:p>
    <w:p w14:paraId="120DD42A" w14:textId="09FA1E10" w:rsidR="003C1A62" w:rsidRPr="000C1BFC" w:rsidRDefault="00631A51" w:rsidP="003C1A62">
      <w:pPr>
        <w:pStyle w:val="Heading2"/>
        <w:rPr>
          <w:rFonts w:ascii="Calibri" w:hAnsi="Calibri" w:cs="Calibri"/>
        </w:rPr>
      </w:pPr>
      <w:bookmarkStart w:id="14" w:name="_Toc228126794"/>
      <w:r w:rsidRPr="000C1BFC">
        <w:rPr>
          <w:rFonts w:ascii="Calibri" w:hAnsi="Calibri" w:cs="Calibri"/>
        </w:rPr>
        <w:t>Synthesis of Findings</w:t>
      </w:r>
      <w:bookmarkEnd w:id="14"/>
    </w:p>
    <w:p w14:paraId="6FE5EAA8" w14:textId="75C172A5" w:rsidR="009C3F88" w:rsidRPr="000C1BFC" w:rsidRDefault="00815746" w:rsidP="005116C2">
      <w:r w:rsidRPr="000C1BFC">
        <w:t>A design flaw in the drive shaft geometry did not cause the failure</w:t>
      </w:r>
      <w:r w:rsidR="00853C50" w:rsidRPr="000C1BFC">
        <w:t>. Instead, it was due to a material change by the supplier. The new material did not have the needed tensile strength and fatigue resistance. As a result, it reached its endurance limit within the first few stages of the rally. The fracture surfaces, along with the low ductility found in the lab, indicate a brittle fracture</w:t>
      </w:r>
      <w:r w:rsidR="00CC367E" w:rsidRPr="000C1BFC">
        <w:t>. After rapid fatigue crack growth, low-grade aluminium</w:t>
      </w:r>
      <w:r w:rsidR="00A51ECC" w:rsidRPr="000C1BFC">
        <w:t xml:space="preserve"> is highly susceptible to fatigue failure, where repeated racing vibrations cause microscopic cracks to grow and snap the metal unexpectedly. Because </w:t>
      </w:r>
      <w:r w:rsidR="00CC367E" w:rsidRPr="000C1BFC">
        <w:t>aluminium</w:t>
      </w:r>
      <w:r w:rsidR="00A51ECC" w:rsidRPr="000C1BFC">
        <w:t xml:space="preserve"> has no fixed endurance limit, even small loads eventually cause catastrophic failure in substandard alloys.</w:t>
      </w:r>
      <w:r w:rsidR="00CC367E" w:rsidRPr="000C1BFC">
        <w:t xml:space="preserve"> (Farmer et al., 2022).</w:t>
      </w:r>
      <w:r w:rsidR="00853C50" w:rsidRPr="000C1BFC">
        <w:t xml:space="preserve"> To reduce future risks, the team should switch back to </w:t>
      </w:r>
      <w:r w:rsidR="00853C50" w:rsidRPr="000C1BFC">
        <w:lastRenderedPageBreak/>
        <w:t>verified</w:t>
      </w:r>
      <w:r w:rsidR="00265342" w:rsidRPr="000C1BFC">
        <w:t xml:space="preserve"> 7</w:t>
      </w:r>
      <w:r w:rsidR="00746949" w:rsidRPr="000C1BFC">
        <w:t>075-T6</w:t>
      </w:r>
      <w:r w:rsidR="00853C50" w:rsidRPr="000C1BFC">
        <w:t xml:space="preserve"> wrought </w:t>
      </w:r>
      <w:r w:rsidR="00602B72" w:rsidRPr="000C1BFC">
        <w:t>aluminium</w:t>
      </w:r>
      <w:r w:rsidR="00853C50" w:rsidRPr="000C1BFC">
        <w:t xml:space="preserve">. This material provides the necessary fracture toughness for endurance. Additionally, adding a "Batch Verification" step that uses Hardness Testing would offer a non-destructive way to check the material grade before installation. Lastly, it is advisable to apply Shot Peening to the drive shaft surfaces. This process will create compressive residual stresses and help prevent </w:t>
      </w:r>
      <w:r w:rsidR="00602B72" w:rsidRPr="000C1BFC">
        <w:t>crack formation</w:t>
      </w:r>
      <w:r w:rsidR="00853C50" w:rsidRPr="000C1BFC">
        <w:t>.</w:t>
      </w:r>
      <w:r w:rsidR="002C6100" w:rsidRPr="000C1BFC">
        <w:t xml:space="preserve"> Shot peening strengthens a material's surface by using controlled impacts to create residual compressive stress. This protective layer counteracts tensile forces, effectively stopping fatigue cracks from starting where the material is most vulnerable. (</w:t>
      </w:r>
      <w:proofErr w:type="spellStart"/>
      <w:r w:rsidR="005116C2" w:rsidRPr="000C1BFC">
        <w:t>lesjofors</w:t>
      </w:r>
      <w:proofErr w:type="spellEnd"/>
      <w:r w:rsidR="005116C2" w:rsidRPr="000C1BFC">
        <w:t>, 2025)</w:t>
      </w:r>
    </w:p>
    <w:p w14:paraId="19582199" w14:textId="77777777" w:rsidR="009C3F88" w:rsidRPr="000C1BFC" w:rsidRDefault="009C3F88">
      <w:r w:rsidRPr="000C1BFC">
        <w:br w:type="page"/>
      </w:r>
    </w:p>
    <w:p w14:paraId="57ACDB0B" w14:textId="77777777" w:rsidR="000C1BFC" w:rsidRPr="000C1BFC" w:rsidRDefault="000C1BFC" w:rsidP="000C1BFC">
      <w:pPr>
        <w:pStyle w:val="Heading1"/>
        <w:spacing w:before="0" w:after="240"/>
        <w:rPr>
          <w:rFonts w:ascii="Calibri" w:hAnsi="Calibri" w:cs="Calibri"/>
          <w:color w:val="auto"/>
          <w:sz w:val="36"/>
          <w:szCs w:val="36"/>
        </w:rPr>
      </w:pPr>
      <w:r w:rsidRPr="000C1BFC">
        <w:rPr>
          <w:rFonts w:ascii="Calibri" w:hAnsi="Calibri" w:cs="Calibri"/>
          <w:sz w:val="36"/>
          <w:szCs w:val="36"/>
        </w:rPr>
        <w:lastRenderedPageBreak/>
        <w:t>Reference list</w:t>
      </w:r>
    </w:p>
    <w:p w14:paraId="1D5C10C9" w14:textId="77777777" w:rsidR="000C1BFC" w:rsidRPr="000C1BFC" w:rsidRDefault="000C1BFC" w:rsidP="000C1BFC">
      <w:pPr>
        <w:pStyle w:val="NormalWeb"/>
        <w:spacing w:before="0" w:beforeAutospacing="0" w:after="240" w:afterAutospacing="0" w:line="360" w:lineRule="auto"/>
        <w:rPr>
          <w:rFonts w:ascii="Calibri" w:hAnsi="Calibri" w:cs="Calibri"/>
        </w:rPr>
      </w:pPr>
      <w:r w:rsidRPr="000C1BFC">
        <w:rPr>
          <w:rFonts w:ascii="Calibri" w:hAnsi="Calibri" w:cs="Calibri"/>
        </w:rPr>
        <w:t xml:space="preserve">American Society For Testing And Materials. Committee E-28 On Mechanical Testing and </w:t>
      </w:r>
      <w:proofErr w:type="spellStart"/>
      <w:r w:rsidRPr="000C1BFC">
        <w:rPr>
          <w:rFonts w:ascii="Calibri" w:hAnsi="Calibri" w:cs="Calibri"/>
        </w:rPr>
        <w:t>Astm</w:t>
      </w:r>
      <w:proofErr w:type="spellEnd"/>
      <w:r w:rsidRPr="000C1BFC">
        <w:rPr>
          <w:rFonts w:ascii="Calibri" w:hAnsi="Calibri" w:cs="Calibri"/>
        </w:rPr>
        <w:t xml:space="preserve"> Subcommittee 28.04 On Uniaxial Testing (2016). </w:t>
      </w:r>
      <w:r w:rsidRPr="000C1BFC">
        <w:rPr>
          <w:rFonts w:ascii="Calibri" w:hAnsi="Calibri" w:cs="Calibri"/>
          <w:i/>
          <w:iCs/>
        </w:rPr>
        <w:t>Standard test methods for tension testing of metallic materials.</w:t>
      </w:r>
      <w:r w:rsidRPr="000C1BFC">
        <w:rPr>
          <w:rFonts w:ascii="Calibri" w:hAnsi="Calibri" w:cs="Calibri"/>
        </w:rPr>
        <w:t xml:space="preserve"> West Conshohocken, Pa: </w:t>
      </w:r>
      <w:proofErr w:type="spellStart"/>
      <w:r w:rsidRPr="000C1BFC">
        <w:rPr>
          <w:rFonts w:ascii="Calibri" w:hAnsi="Calibri" w:cs="Calibri"/>
        </w:rPr>
        <w:t>Astm</w:t>
      </w:r>
      <w:proofErr w:type="spellEnd"/>
      <w:r w:rsidRPr="000C1BFC">
        <w:rPr>
          <w:rFonts w:ascii="Calibri" w:hAnsi="Calibri" w:cs="Calibri"/>
        </w:rPr>
        <w:t xml:space="preserve"> International.</w:t>
      </w:r>
    </w:p>
    <w:p w14:paraId="6FFCB60D" w14:textId="77777777" w:rsidR="000C1BFC" w:rsidRPr="000C1BFC" w:rsidRDefault="000C1BFC" w:rsidP="000C1BFC">
      <w:pPr>
        <w:pStyle w:val="NormalWeb"/>
        <w:spacing w:before="0" w:beforeAutospacing="0" w:after="240" w:afterAutospacing="0" w:line="360" w:lineRule="auto"/>
        <w:rPr>
          <w:rFonts w:ascii="Calibri" w:hAnsi="Calibri" w:cs="Calibri"/>
        </w:rPr>
      </w:pPr>
      <w:proofErr w:type="spellStart"/>
      <w:r w:rsidRPr="000C1BFC">
        <w:rPr>
          <w:rFonts w:ascii="Calibri" w:hAnsi="Calibri" w:cs="Calibri"/>
        </w:rPr>
        <w:t>Budynas</w:t>
      </w:r>
      <w:proofErr w:type="spellEnd"/>
      <w:r w:rsidRPr="000C1BFC">
        <w:rPr>
          <w:rFonts w:ascii="Calibri" w:hAnsi="Calibri" w:cs="Calibri"/>
        </w:rPr>
        <w:t xml:space="preserve">, R.G., J Keith Nisbett and Joseph Edward Shigley (2020). </w:t>
      </w:r>
      <w:r w:rsidRPr="000C1BFC">
        <w:rPr>
          <w:rFonts w:ascii="Calibri" w:hAnsi="Calibri" w:cs="Calibri"/>
          <w:i/>
          <w:iCs/>
        </w:rPr>
        <w:t>Shigley’s mechanical engineering design</w:t>
      </w:r>
      <w:r w:rsidRPr="000C1BFC">
        <w:rPr>
          <w:rFonts w:ascii="Calibri" w:hAnsi="Calibri" w:cs="Calibri"/>
        </w:rPr>
        <w:t xml:space="preserve">. 11th ed. New York, Ny: </w:t>
      </w:r>
      <w:proofErr w:type="spellStart"/>
      <w:r w:rsidRPr="000C1BFC">
        <w:rPr>
          <w:rFonts w:ascii="Calibri" w:hAnsi="Calibri" w:cs="Calibri"/>
        </w:rPr>
        <w:t>Mcgraw-Hill</w:t>
      </w:r>
      <w:proofErr w:type="spellEnd"/>
      <w:r w:rsidRPr="000C1BFC">
        <w:rPr>
          <w:rFonts w:ascii="Calibri" w:hAnsi="Calibri" w:cs="Calibri"/>
        </w:rPr>
        <w:t xml:space="preserve"> Education.</w:t>
      </w:r>
    </w:p>
    <w:p w14:paraId="4CE0F20E" w14:textId="77777777" w:rsidR="000C1BFC" w:rsidRPr="000C1BFC" w:rsidRDefault="000C1BFC" w:rsidP="000C1BFC">
      <w:pPr>
        <w:pStyle w:val="NormalWeb"/>
        <w:spacing w:before="0" w:beforeAutospacing="0" w:after="240" w:afterAutospacing="0" w:line="360" w:lineRule="auto"/>
        <w:rPr>
          <w:rFonts w:ascii="Calibri" w:hAnsi="Calibri" w:cs="Calibri"/>
        </w:rPr>
      </w:pPr>
      <w:r w:rsidRPr="000C1BFC">
        <w:rPr>
          <w:rFonts w:ascii="Calibri" w:hAnsi="Calibri" w:cs="Calibri"/>
        </w:rPr>
        <w:t xml:space="preserve">Callister, W.D. (2000). </w:t>
      </w:r>
      <w:r w:rsidRPr="000C1BFC">
        <w:rPr>
          <w:rFonts w:ascii="Calibri" w:hAnsi="Calibri" w:cs="Calibri"/>
          <w:i/>
          <w:iCs/>
        </w:rPr>
        <w:t xml:space="preserve">Fundamentals of materials science and engineering : an interactive </w:t>
      </w:r>
      <w:proofErr w:type="spellStart"/>
      <w:r w:rsidRPr="000C1BFC">
        <w:rPr>
          <w:rFonts w:ascii="Calibri" w:hAnsi="Calibri" w:cs="Calibri"/>
          <w:i/>
          <w:iCs/>
        </w:rPr>
        <w:t>etext</w:t>
      </w:r>
      <w:proofErr w:type="spellEnd"/>
      <w:r w:rsidRPr="000C1BFC">
        <w:rPr>
          <w:rFonts w:ascii="Calibri" w:hAnsi="Calibri" w:cs="Calibri"/>
        </w:rPr>
        <w:t>. New York: Wiley.</w:t>
      </w:r>
    </w:p>
    <w:p w14:paraId="6CB2DB20" w14:textId="77777777" w:rsidR="000C1BFC" w:rsidRPr="000C1BFC" w:rsidRDefault="000C1BFC" w:rsidP="000C1BFC">
      <w:pPr>
        <w:pStyle w:val="NormalWeb"/>
        <w:spacing w:before="0" w:beforeAutospacing="0" w:after="240" w:afterAutospacing="0" w:line="360" w:lineRule="auto"/>
        <w:rPr>
          <w:rFonts w:ascii="Calibri" w:hAnsi="Calibri" w:cs="Calibri"/>
        </w:rPr>
      </w:pPr>
      <w:r w:rsidRPr="000C1BFC">
        <w:rPr>
          <w:rFonts w:ascii="Calibri" w:hAnsi="Calibri" w:cs="Calibri"/>
        </w:rPr>
        <w:t xml:space="preserve">Farmer, S., Philen, M., Fu, Y. and Artis, P. (2022). </w:t>
      </w:r>
      <w:proofErr w:type="spellStart"/>
      <w:r w:rsidRPr="000C1BFC">
        <w:rPr>
          <w:rFonts w:ascii="Calibri" w:hAnsi="Calibri" w:cs="Calibri"/>
          <w:i/>
          <w:iCs/>
        </w:rPr>
        <w:t>Aluminum</w:t>
      </w:r>
      <w:proofErr w:type="spellEnd"/>
      <w:r w:rsidRPr="000C1BFC">
        <w:rPr>
          <w:rFonts w:ascii="Calibri" w:hAnsi="Calibri" w:cs="Calibri"/>
          <w:i/>
          <w:iCs/>
        </w:rPr>
        <w:t xml:space="preserve"> Fatigue: A literature review covering its influence on engineering from design to end of service</w:t>
      </w:r>
      <w:r w:rsidRPr="000C1BFC">
        <w:rPr>
          <w:rFonts w:ascii="Calibri" w:hAnsi="Calibri" w:cs="Calibri"/>
        </w:rPr>
        <w:t>. [online] Available at: https://vtechworks.lib.vt.edu/server/api/core/bitstreams/6a081ef7-dd34-4b1d-91d7-0dc1f5924fda/content [Accessed 21 Apr. 2026].</w:t>
      </w:r>
    </w:p>
    <w:p w14:paraId="248D44E0" w14:textId="77777777" w:rsidR="000C1BFC" w:rsidRPr="000C1BFC" w:rsidRDefault="000C1BFC" w:rsidP="000C1BFC">
      <w:pPr>
        <w:pStyle w:val="NormalWeb"/>
        <w:spacing w:before="0" w:beforeAutospacing="0" w:after="240" w:afterAutospacing="0" w:line="360" w:lineRule="auto"/>
        <w:rPr>
          <w:rFonts w:ascii="Calibri" w:hAnsi="Calibri" w:cs="Calibri"/>
        </w:rPr>
      </w:pPr>
      <w:r w:rsidRPr="000C1BFC">
        <w:rPr>
          <w:rFonts w:ascii="Calibri" w:hAnsi="Calibri" w:cs="Calibri"/>
        </w:rPr>
        <w:t xml:space="preserve">Haijiang Lai (2024). </w:t>
      </w:r>
      <w:proofErr w:type="spellStart"/>
      <w:r w:rsidRPr="000C1BFC">
        <w:rPr>
          <w:rFonts w:ascii="Calibri" w:hAnsi="Calibri" w:cs="Calibri"/>
          <w:i/>
          <w:iCs/>
        </w:rPr>
        <w:t>Aluminum</w:t>
      </w:r>
      <w:proofErr w:type="spellEnd"/>
      <w:r w:rsidRPr="000C1BFC">
        <w:rPr>
          <w:rFonts w:ascii="Calibri" w:hAnsi="Calibri" w:cs="Calibri"/>
          <w:i/>
          <w:iCs/>
        </w:rPr>
        <w:t xml:space="preserve"> Yield Stress &amp; Strength Explained | </w:t>
      </w:r>
      <w:proofErr w:type="spellStart"/>
      <w:r w:rsidRPr="000C1BFC">
        <w:rPr>
          <w:rFonts w:ascii="Calibri" w:hAnsi="Calibri" w:cs="Calibri"/>
          <w:i/>
          <w:iCs/>
        </w:rPr>
        <w:t>Yongzhu</w:t>
      </w:r>
      <w:proofErr w:type="spellEnd"/>
      <w:r w:rsidRPr="000C1BFC">
        <w:rPr>
          <w:rFonts w:ascii="Calibri" w:hAnsi="Calibri" w:cs="Calibri"/>
          <w:i/>
          <w:iCs/>
        </w:rPr>
        <w:t xml:space="preserve"> Casting</w:t>
      </w:r>
      <w:r w:rsidRPr="000C1BFC">
        <w:rPr>
          <w:rFonts w:ascii="Calibri" w:hAnsi="Calibri" w:cs="Calibri"/>
        </w:rPr>
        <w:t xml:space="preserve">. [online] Zhejiang </w:t>
      </w:r>
      <w:proofErr w:type="spellStart"/>
      <w:r w:rsidRPr="000C1BFC">
        <w:rPr>
          <w:rFonts w:ascii="Calibri" w:hAnsi="Calibri" w:cs="Calibri"/>
        </w:rPr>
        <w:t>Yongzhu</w:t>
      </w:r>
      <w:proofErr w:type="spellEnd"/>
      <w:r w:rsidRPr="000C1BFC">
        <w:rPr>
          <w:rFonts w:ascii="Calibri" w:hAnsi="Calibri" w:cs="Calibri"/>
        </w:rPr>
        <w:t xml:space="preserve"> Casting Technology Co., Ltd. Available at: https://casting-yz.com/understanding-aluminum-yield-stress-and-strength/ [Accessed 23 Apr. 2026].</w:t>
      </w:r>
    </w:p>
    <w:p w14:paraId="5A980EBA" w14:textId="77777777" w:rsidR="000C1BFC" w:rsidRPr="000C1BFC" w:rsidRDefault="000C1BFC" w:rsidP="000C1BFC">
      <w:pPr>
        <w:pStyle w:val="NormalWeb"/>
        <w:spacing w:before="0" w:beforeAutospacing="0" w:after="240" w:afterAutospacing="0" w:line="360" w:lineRule="auto"/>
        <w:rPr>
          <w:rFonts w:ascii="Calibri" w:hAnsi="Calibri" w:cs="Calibri"/>
        </w:rPr>
      </w:pPr>
      <w:r w:rsidRPr="000C1BFC">
        <w:rPr>
          <w:rFonts w:ascii="Calibri" w:hAnsi="Calibri" w:cs="Calibri"/>
        </w:rPr>
        <w:t xml:space="preserve">Lawton, G. (2025). </w:t>
      </w:r>
      <w:r w:rsidRPr="000C1BFC">
        <w:rPr>
          <w:rFonts w:ascii="Calibri" w:hAnsi="Calibri" w:cs="Calibri"/>
          <w:i/>
          <w:iCs/>
        </w:rPr>
        <w:t>Key Materials in Modern Race Car Construction</w:t>
      </w:r>
      <w:r w:rsidRPr="000C1BFC">
        <w:rPr>
          <w:rFonts w:ascii="Calibri" w:hAnsi="Calibri" w:cs="Calibri"/>
        </w:rPr>
        <w:t>. [online] Neil Garner Motorsport. Available at: https://www.neilgarner-motorsport.com/materials-used-in-modern-race-car-construction/ [Accessed 21 Apr. 2026].</w:t>
      </w:r>
    </w:p>
    <w:p w14:paraId="1679EF1B" w14:textId="77777777" w:rsidR="000C1BFC" w:rsidRPr="000C1BFC" w:rsidRDefault="000C1BFC" w:rsidP="000C1BFC">
      <w:pPr>
        <w:pStyle w:val="NormalWeb"/>
        <w:spacing w:before="0" w:beforeAutospacing="0" w:after="240" w:afterAutospacing="0" w:line="360" w:lineRule="auto"/>
        <w:rPr>
          <w:rFonts w:ascii="Calibri" w:hAnsi="Calibri" w:cs="Calibri"/>
        </w:rPr>
      </w:pPr>
      <w:proofErr w:type="spellStart"/>
      <w:r w:rsidRPr="000C1BFC">
        <w:rPr>
          <w:rFonts w:ascii="Calibri" w:hAnsi="Calibri" w:cs="Calibri"/>
        </w:rPr>
        <w:t>lesjofors</w:t>
      </w:r>
      <w:proofErr w:type="spellEnd"/>
      <w:r w:rsidRPr="000C1BFC">
        <w:rPr>
          <w:rFonts w:ascii="Calibri" w:hAnsi="Calibri" w:cs="Calibri"/>
        </w:rPr>
        <w:t xml:space="preserve"> (2025). </w:t>
      </w:r>
      <w:r w:rsidRPr="000C1BFC">
        <w:rPr>
          <w:rFonts w:ascii="Calibri" w:hAnsi="Calibri" w:cs="Calibri"/>
          <w:i/>
          <w:iCs/>
        </w:rPr>
        <w:t xml:space="preserve">The surprising impact of shot peening </w:t>
      </w:r>
      <w:r w:rsidRPr="000C1BFC">
        <w:rPr>
          <w:rFonts w:ascii="Calibri" w:hAnsi="Calibri" w:cs="Calibri"/>
        </w:rPr>
        <w:t>. [online] Lesjofors.com. Available at: https://www.lesjofors.com/en/technology/insights/shot-peening-fatigue-improvement/ [Accessed 24 Apr. 2026].</w:t>
      </w:r>
    </w:p>
    <w:p w14:paraId="5ED6AA1C" w14:textId="77777777" w:rsidR="000C1BFC" w:rsidRPr="000C1BFC" w:rsidRDefault="000C1BFC" w:rsidP="000C1BFC">
      <w:pPr>
        <w:pStyle w:val="NormalWeb"/>
        <w:spacing w:before="0" w:beforeAutospacing="0" w:after="240" w:afterAutospacing="0" w:line="360" w:lineRule="auto"/>
        <w:rPr>
          <w:rFonts w:ascii="Calibri" w:hAnsi="Calibri" w:cs="Calibri"/>
        </w:rPr>
      </w:pPr>
      <w:proofErr w:type="spellStart"/>
      <w:r w:rsidRPr="000C1BFC">
        <w:rPr>
          <w:rFonts w:ascii="Calibri" w:hAnsi="Calibri" w:cs="Calibri"/>
        </w:rPr>
        <w:t>MatWeb</w:t>
      </w:r>
      <w:proofErr w:type="spellEnd"/>
      <w:r w:rsidRPr="000C1BFC">
        <w:rPr>
          <w:rFonts w:ascii="Calibri" w:hAnsi="Calibri" w:cs="Calibri"/>
        </w:rPr>
        <w:t xml:space="preserve"> (2023). </w:t>
      </w:r>
      <w:r w:rsidRPr="000C1BFC">
        <w:rPr>
          <w:rFonts w:ascii="Calibri" w:hAnsi="Calibri" w:cs="Calibri"/>
          <w:i/>
          <w:iCs/>
        </w:rPr>
        <w:t xml:space="preserve">Online Materials Information Resource - </w:t>
      </w:r>
      <w:proofErr w:type="spellStart"/>
      <w:r w:rsidRPr="000C1BFC">
        <w:rPr>
          <w:rFonts w:ascii="Calibri" w:hAnsi="Calibri" w:cs="Calibri"/>
          <w:i/>
          <w:iCs/>
        </w:rPr>
        <w:t>MatWeb</w:t>
      </w:r>
      <w:proofErr w:type="spellEnd"/>
      <w:r w:rsidRPr="000C1BFC">
        <w:rPr>
          <w:rFonts w:ascii="Calibri" w:hAnsi="Calibri" w:cs="Calibri"/>
        </w:rPr>
        <w:t>. [online] www.matweb.com. Available at: https://www.matweb.com/ [Accessed 25 Apr. 2026].</w:t>
      </w:r>
    </w:p>
    <w:p w14:paraId="6C48E310" w14:textId="77777777" w:rsidR="000C1BFC" w:rsidRPr="000C1BFC" w:rsidRDefault="000C1BFC" w:rsidP="000C1BFC">
      <w:pPr>
        <w:pStyle w:val="NormalWeb"/>
        <w:spacing w:before="0" w:beforeAutospacing="0" w:after="240" w:afterAutospacing="0" w:line="360" w:lineRule="auto"/>
        <w:rPr>
          <w:rFonts w:ascii="Calibri" w:hAnsi="Calibri" w:cs="Calibri"/>
        </w:rPr>
      </w:pPr>
      <w:r w:rsidRPr="000C1BFC">
        <w:rPr>
          <w:rFonts w:ascii="Calibri" w:hAnsi="Calibri" w:cs="Calibri"/>
        </w:rPr>
        <w:t xml:space="preserve">Milliken, W.F. and Milliken, D.L. (1995). </w:t>
      </w:r>
      <w:r w:rsidRPr="000C1BFC">
        <w:rPr>
          <w:rFonts w:ascii="Calibri" w:hAnsi="Calibri" w:cs="Calibri"/>
          <w:i/>
          <w:iCs/>
        </w:rPr>
        <w:t>Race car vehicle dynamics</w:t>
      </w:r>
      <w:r w:rsidRPr="000C1BFC">
        <w:rPr>
          <w:rFonts w:ascii="Calibri" w:hAnsi="Calibri" w:cs="Calibri"/>
        </w:rPr>
        <w:t>. Warrendale, Pa, U.S.A.: Sae International.</w:t>
      </w:r>
    </w:p>
    <w:p w14:paraId="433BD66C" w14:textId="77777777" w:rsidR="000C1BFC" w:rsidRPr="000C1BFC" w:rsidRDefault="000C1BFC" w:rsidP="000C1BFC">
      <w:pPr>
        <w:pStyle w:val="NormalWeb"/>
        <w:spacing w:before="0" w:beforeAutospacing="0" w:after="240" w:afterAutospacing="0" w:line="360" w:lineRule="auto"/>
        <w:rPr>
          <w:rFonts w:ascii="Calibri" w:hAnsi="Calibri" w:cs="Calibri"/>
        </w:rPr>
      </w:pPr>
      <w:r w:rsidRPr="000C1BFC">
        <w:rPr>
          <w:rFonts w:ascii="Calibri" w:hAnsi="Calibri" w:cs="Calibri"/>
        </w:rPr>
        <w:lastRenderedPageBreak/>
        <w:t xml:space="preserve">The Engineering Toolbox (2003). </w:t>
      </w:r>
      <w:r w:rsidRPr="000C1BFC">
        <w:rPr>
          <w:rFonts w:ascii="Calibri" w:hAnsi="Calibri" w:cs="Calibri"/>
          <w:i/>
          <w:iCs/>
        </w:rPr>
        <w:t>Young’s Modulus - Tensile and Yield Strength for common Materials</w:t>
      </w:r>
      <w:r w:rsidRPr="000C1BFC">
        <w:rPr>
          <w:rFonts w:ascii="Calibri" w:hAnsi="Calibri" w:cs="Calibri"/>
        </w:rPr>
        <w:t>. [online] Engineeringtoolbox.com. Available at: https://www.engineeringtoolbox.com/young-modulus-d_417.html [Accessed 22 Apr. 2026].</w:t>
      </w:r>
    </w:p>
    <w:p w14:paraId="43AD9888" w14:textId="77777777" w:rsidR="005116C2" w:rsidRPr="000C1BFC" w:rsidRDefault="005116C2" w:rsidP="005116C2"/>
    <w:p w14:paraId="13834479" w14:textId="62681036" w:rsidR="00F219C5" w:rsidRPr="000C1BFC" w:rsidRDefault="00F219C5" w:rsidP="00F219C5"/>
    <w:p w14:paraId="61C165BA" w14:textId="77777777" w:rsidR="007B3F86" w:rsidRPr="000C1BFC" w:rsidRDefault="007B3F86" w:rsidP="007B3F86">
      <w:pPr>
        <w:jc w:val="center"/>
        <w:rPr>
          <w:b/>
          <w:bCs/>
          <w:sz w:val="28"/>
          <w:szCs w:val="28"/>
        </w:rPr>
      </w:pPr>
    </w:p>
    <w:p w14:paraId="536876B2" w14:textId="77777777" w:rsidR="007B3F86" w:rsidRPr="000C1BFC" w:rsidRDefault="007B3F86" w:rsidP="00E04E8D">
      <w:pPr>
        <w:pStyle w:val="Heading2"/>
        <w:numPr>
          <w:ilvl w:val="0"/>
          <w:numId w:val="0"/>
        </w:numPr>
        <w:ind w:left="576"/>
        <w:rPr>
          <w:rFonts w:ascii="Calibri" w:hAnsi="Calibri" w:cs="Calibri"/>
        </w:rPr>
      </w:pPr>
      <w:r w:rsidRPr="000C1BFC">
        <w:rPr>
          <w:rFonts w:ascii="Calibri" w:hAnsi="Calibri" w:cs="Calibri"/>
        </w:rPr>
        <w:t xml:space="preserve"> </w:t>
      </w:r>
    </w:p>
    <w:sectPr w:rsidR="007B3F86" w:rsidRPr="000C1BFC" w:rsidSect="00BE05A3">
      <w:footerReference w:type="default" r:id="rId14"/>
      <w:pgSz w:w="11906" w:h="16838"/>
      <w:pgMar w:top="1135"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59A5A" w14:textId="77777777" w:rsidR="00847096" w:rsidRDefault="00847096" w:rsidP="00BE05A3">
      <w:pPr>
        <w:spacing w:after="0" w:line="240" w:lineRule="auto"/>
      </w:pPr>
      <w:r>
        <w:separator/>
      </w:r>
    </w:p>
  </w:endnote>
  <w:endnote w:type="continuationSeparator" w:id="0">
    <w:p w14:paraId="7C9E19DD" w14:textId="77777777" w:rsidR="00847096" w:rsidRDefault="00847096" w:rsidP="00BE0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3264571"/>
      <w:docPartObj>
        <w:docPartGallery w:val="Page Numbers (Bottom of Page)"/>
        <w:docPartUnique/>
      </w:docPartObj>
    </w:sdtPr>
    <w:sdtEndPr>
      <w:rPr>
        <w:noProof/>
      </w:rPr>
    </w:sdtEndPr>
    <w:sdtContent>
      <w:p w14:paraId="09B59FEA" w14:textId="77777777" w:rsidR="00BE05A3" w:rsidRDefault="00BE05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C48790" w14:textId="77777777" w:rsidR="00BE05A3" w:rsidRDefault="00BE0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28DBB" w14:textId="77777777" w:rsidR="00847096" w:rsidRDefault="00847096" w:rsidP="00BE05A3">
      <w:pPr>
        <w:spacing w:after="0" w:line="240" w:lineRule="auto"/>
      </w:pPr>
      <w:r>
        <w:separator/>
      </w:r>
    </w:p>
  </w:footnote>
  <w:footnote w:type="continuationSeparator" w:id="0">
    <w:p w14:paraId="4E82071E" w14:textId="77777777" w:rsidR="00847096" w:rsidRDefault="00847096" w:rsidP="00BE0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C44E5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11875016">
    <w:abstractNumId w:val="0"/>
  </w:num>
  <w:num w:numId="2" w16cid:durableId="603272169">
    <w:abstractNumId w:val="0"/>
    <w:lvlOverride w:ilvl="0">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A28"/>
    <w:rsid w:val="00031140"/>
    <w:rsid w:val="0003327F"/>
    <w:rsid w:val="00052EA2"/>
    <w:rsid w:val="0005406D"/>
    <w:rsid w:val="00076CE9"/>
    <w:rsid w:val="000B02A8"/>
    <w:rsid w:val="000C1BFC"/>
    <w:rsid w:val="000E7994"/>
    <w:rsid w:val="00162717"/>
    <w:rsid w:val="001821E6"/>
    <w:rsid w:val="001A0F19"/>
    <w:rsid w:val="001A6391"/>
    <w:rsid w:val="001F758F"/>
    <w:rsid w:val="0020385C"/>
    <w:rsid w:val="0022632C"/>
    <w:rsid w:val="00257FCC"/>
    <w:rsid w:val="00265342"/>
    <w:rsid w:val="00272E13"/>
    <w:rsid w:val="002C6100"/>
    <w:rsid w:val="002D7AC4"/>
    <w:rsid w:val="00327AA5"/>
    <w:rsid w:val="00343B33"/>
    <w:rsid w:val="003510E3"/>
    <w:rsid w:val="00363837"/>
    <w:rsid w:val="00371FE9"/>
    <w:rsid w:val="00374E02"/>
    <w:rsid w:val="003768CC"/>
    <w:rsid w:val="0039434E"/>
    <w:rsid w:val="003C1A62"/>
    <w:rsid w:val="003D0407"/>
    <w:rsid w:val="0040501F"/>
    <w:rsid w:val="00420782"/>
    <w:rsid w:val="00481A0B"/>
    <w:rsid w:val="004B5B09"/>
    <w:rsid w:val="005116C2"/>
    <w:rsid w:val="0053695A"/>
    <w:rsid w:val="0055455F"/>
    <w:rsid w:val="00593F41"/>
    <w:rsid w:val="005C295D"/>
    <w:rsid w:val="005F296D"/>
    <w:rsid w:val="005F457C"/>
    <w:rsid w:val="00600F31"/>
    <w:rsid w:val="00602B72"/>
    <w:rsid w:val="0060501D"/>
    <w:rsid w:val="00617CEB"/>
    <w:rsid w:val="00631A51"/>
    <w:rsid w:val="006668BC"/>
    <w:rsid w:val="006C64CC"/>
    <w:rsid w:val="006D7019"/>
    <w:rsid w:val="006E45DD"/>
    <w:rsid w:val="00704D4F"/>
    <w:rsid w:val="00746949"/>
    <w:rsid w:val="0077395C"/>
    <w:rsid w:val="00781529"/>
    <w:rsid w:val="00795A28"/>
    <w:rsid w:val="007B3F86"/>
    <w:rsid w:val="00815746"/>
    <w:rsid w:val="008279E9"/>
    <w:rsid w:val="0084674F"/>
    <w:rsid w:val="00847096"/>
    <w:rsid w:val="00853C50"/>
    <w:rsid w:val="00872978"/>
    <w:rsid w:val="008A0FAD"/>
    <w:rsid w:val="008B1703"/>
    <w:rsid w:val="0094043F"/>
    <w:rsid w:val="0098522A"/>
    <w:rsid w:val="00985261"/>
    <w:rsid w:val="00994A7E"/>
    <w:rsid w:val="009C3F88"/>
    <w:rsid w:val="00A10537"/>
    <w:rsid w:val="00A258E8"/>
    <w:rsid w:val="00A51ECC"/>
    <w:rsid w:val="00AB1238"/>
    <w:rsid w:val="00B06298"/>
    <w:rsid w:val="00B256A9"/>
    <w:rsid w:val="00B44535"/>
    <w:rsid w:val="00B838B0"/>
    <w:rsid w:val="00B97713"/>
    <w:rsid w:val="00BA5CA8"/>
    <w:rsid w:val="00BA6487"/>
    <w:rsid w:val="00BE05A3"/>
    <w:rsid w:val="00C636C1"/>
    <w:rsid w:val="00C80410"/>
    <w:rsid w:val="00C949AA"/>
    <w:rsid w:val="00CC367E"/>
    <w:rsid w:val="00CC75CD"/>
    <w:rsid w:val="00CE18D1"/>
    <w:rsid w:val="00CF25A7"/>
    <w:rsid w:val="00D0737C"/>
    <w:rsid w:val="00D16DDC"/>
    <w:rsid w:val="00E04E8D"/>
    <w:rsid w:val="00E151A8"/>
    <w:rsid w:val="00E552A1"/>
    <w:rsid w:val="00ED40D9"/>
    <w:rsid w:val="00ED40FE"/>
    <w:rsid w:val="00F177C5"/>
    <w:rsid w:val="00F219C5"/>
    <w:rsid w:val="00FE6C4C"/>
    <w:rsid w:val="00FF7A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AA64C"/>
  <w15:chartTrackingRefBased/>
  <w15:docId w15:val="{0769D9EA-9E43-44C8-9AA8-A3DA3E764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color w:val="0F4761" w:themeColor="accent1" w:themeShade="BF"/>
        <w:kern w:val="2"/>
        <w:sz w:val="22"/>
        <w:szCs w:val="40"/>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5CD"/>
    <w:rPr>
      <w:color w:val="000000" w:themeColor="text1"/>
    </w:rPr>
  </w:style>
  <w:style w:type="paragraph" w:styleId="Heading1">
    <w:name w:val="heading 1"/>
    <w:basedOn w:val="Normal"/>
    <w:next w:val="Normal"/>
    <w:link w:val="Heading1Char"/>
    <w:uiPriority w:val="9"/>
    <w:qFormat/>
    <w:rsid w:val="007B3F86"/>
    <w:pPr>
      <w:keepNext/>
      <w:keepLines/>
      <w:numPr>
        <w:numId w:val="1"/>
      </w:numPr>
      <w:spacing w:before="360" w:after="80"/>
      <w:outlineLvl w:val="0"/>
    </w:pPr>
    <w:rPr>
      <w:rFonts w:asciiTheme="majorHAnsi" w:eastAsiaTheme="majorEastAsia" w:hAnsiTheme="majorHAnsi" w:cstheme="majorBidi"/>
      <w:sz w:val="40"/>
    </w:rPr>
  </w:style>
  <w:style w:type="paragraph" w:styleId="Heading2">
    <w:name w:val="heading 2"/>
    <w:basedOn w:val="Normal"/>
    <w:next w:val="Normal"/>
    <w:link w:val="Heading2Char"/>
    <w:uiPriority w:val="9"/>
    <w:unhideWhenUsed/>
    <w:qFormat/>
    <w:rsid w:val="006E45DD"/>
    <w:pPr>
      <w:keepNext/>
      <w:keepLines/>
      <w:numPr>
        <w:ilvl w:val="1"/>
        <w:numId w:val="1"/>
      </w:numPr>
      <w:spacing w:before="160" w:after="80"/>
      <w:outlineLvl w:val="1"/>
    </w:pPr>
    <w:rPr>
      <w:rFonts w:asciiTheme="majorHAnsi" w:eastAsiaTheme="majorEastAsia" w:hAnsiTheme="majorHAnsi" w:cstheme="majorBidi"/>
      <w:b/>
      <w:szCs w:val="32"/>
    </w:rPr>
  </w:style>
  <w:style w:type="paragraph" w:styleId="Heading3">
    <w:name w:val="heading 3"/>
    <w:basedOn w:val="Normal"/>
    <w:next w:val="Normal"/>
    <w:link w:val="Heading3Char"/>
    <w:uiPriority w:val="9"/>
    <w:unhideWhenUsed/>
    <w:qFormat/>
    <w:rsid w:val="001821E6"/>
    <w:pPr>
      <w:keepNext/>
      <w:keepLines/>
      <w:numPr>
        <w:ilvl w:val="2"/>
        <w:numId w:val="1"/>
      </w:numPr>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7B3F86"/>
    <w:pPr>
      <w:keepNext/>
      <w:keepLines/>
      <w:numPr>
        <w:ilvl w:val="3"/>
        <w:numId w:val="1"/>
      </w:numPr>
      <w:spacing w:before="80" w:after="40"/>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7B3F86"/>
    <w:pPr>
      <w:keepNext/>
      <w:keepLines/>
      <w:numPr>
        <w:ilvl w:val="4"/>
        <w:numId w:val="1"/>
      </w:numPr>
      <w:spacing w:before="80" w:after="40"/>
      <w:outlineLvl w:val="4"/>
    </w:pPr>
    <w:rPr>
      <w:rFonts w:eastAsiaTheme="majorEastAsia" w:cstheme="majorBidi"/>
    </w:rPr>
  </w:style>
  <w:style w:type="paragraph" w:styleId="Heading6">
    <w:name w:val="heading 6"/>
    <w:basedOn w:val="Normal"/>
    <w:next w:val="Normal"/>
    <w:link w:val="Heading6Char"/>
    <w:uiPriority w:val="9"/>
    <w:semiHidden/>
    <w:unhideWhenUsed/>
    <w:qFormat/>
    <w:rsid w:val="007B3F86"/>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F86"/>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F86"/>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F86"/>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F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45DD"/>
    <w:rPr>
      <w:rFonts w:asciiTheme="majorHAnsi" w:eastAsiaTheme="majorEastAsia" w:hAnsiTheme="majorHAnsi" w:cstheme="majorBidi"/>
      <w:b/>
      <w:color w:val="000000" w:themeColor="text1"/>
      <w:szCs w:val="32"/>
    </w:rPr>
  </w:style>
  <w:style w:type="character" w:customStyle="1" w:styleId="Heading3Char">
    <w:name w:val="Heading 3 Char"/>
    <w:basedOn w:val="DefaultParagraphFont"/>
    <w:link w:val="Heading3"/>
    <w:uiPriority w:val="9"/>
    <w:rsid w:val="001821E6"/>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7B3F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3F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3F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F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F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F86"/>
    <w:rPr>
      <w:rFonts w:eastAsiaTheme="majorEastAsia" w:cstheme="majorBidi"/>
      <w:color w:val="272727" w:themeColor="text1" w:themeTint="D8"/>
    </w:rPr>
  </w:style>
  <w:style w:type="paragraph" w:styleId="Title">
    <w:name w:val="Title"/>
    <w:basedOn w:val="Normal"/>
    <w:next w:val="Normal"/>
    <w:link w:val="TitleChar"/>
    <w:uiPriority w:val="10"/>
    <w:qFormat/>
    <w:rsid w:val="007B3F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F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3F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F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F86"/>
    <w:pPr>
      <w:spacing w:before="160"/>
      <w:jc w:val="center"/>
    </w:pPr>
    <w:rPr>
      <w:i/>
      <w:iCs/>
      <w:color w:val="404040" w:themeColor="text1" w:themeTint="BF"/>
    </w:rPr>
  </w:style>
  <w:style w:type="character" w:customStyle="1" w:styleId="QuoteChar">
    <w:name w:val="Quote Char"/>
    <w:basedOn w:val="DefaultParagraphFont"/>
    <w:link w:val="Quote"/>
    <w:uiPriority w:val="29"/>
    <w:rsid w:val="007B3F86"/>
    <w:rPr>
      <w:i/>
      <w:iCs/>
      <w:color w:val="404040" w:themeColor="text1" w:themeTint="BF"/>
    </w:rPr>
  </w:style>
  <w:style w:type="paragraph" w:styleId="ListParagraph">
    <w:name w:val="List Paragraph"/>
    <w:basedOn w:val="Normal"/>
    <w:uiPriority w:val="34"/>
    <w:qFormat/>
    <w:rsid w:val="007B3F86"/>
    <w:pPr>
      <w:ind w:left="720"/>
      <w:contextualSpacing/>
    </w:pPr>
  </w:style>
  <w:style w:type="character" w:styleId="IntenseEmphasis">
    <w:name w:val="Intense Emphasis"/>
    <w:basedOn w:val="DefaultParagraphFont"/>
    <w:uiPriority w:val="21"/>
    <w:qFormat/>
    <w:rsid w:val="007B3F86"/>
    <w:rPr>
      <w:i/>
      <w:iCs/>
      <w:color w:val="0F4761" w:themeColor="accent1" w:themeShade="BF"/>
    </w:rPr>
  </w:style>
  <w:style w:type="paragraph" w:styleId="IntenseQuote">
    <w:name w:val="Intense Quote"/>
    <w:basedOn w:val="Normal"/>
    <w:next w:val="Normal"/>
    <w:link w:val="IntenseQuoteChar"/>
    <w:uiPriority w:val="30"/>
    <w:qFormat/>
    <w:rsid w:val="007B3F86"/>
    <w:pPr>
      <w:pBdr>
        <w:top w:val="single" w:sz="4" w:space="10" w:color="0F4761" w:themeColor="accent1" w:themeShade="BF"/>
        <w:bottom w:val="single" w:sz="4" w:space="10" w:color="0F4761" w:themeColor="accent1" w:themeShade="BF"/>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7B3F86"/>
    <w:rPr>
      <w:i/>
      <w:iCs/>
      <w:color w:val="0F4761" w:themeColor="accent1" w:themeShade="BF"/>
    </w:rPr>
  </w:style>
  <w:style w:type="character" w:styleId="IntenseReference">
    <w:name w:val="Intense Reference"/>
    <w:basedOn w:val="DefaultParagraphFont"/>
    <w:uiPriority w:val="32"/>
    <w:qFormat/>
    <w:rsid w:val="007B3F86"/>
    <w:rPr>
      <w:b/>
      <w:bCs/>
      <w:smallCaps/>
      <w:color w:val="0F4761" w:themeColor="accent1" w:themeShade="BF"/>
      <w:spacing w:val="5"/>
    </w:rPr>
  </w:style>
  <w:style w:type="paragraph" w:styleId="NoSpacing">
    <w:name w:val="No Spacing"/>
    <w:uiPriority w:val="1"/>
    <w:qFormat/>
    <w:rsid w:val="007B3F86"/>
    <w:pPr>
      <w:spacing w:after="0" w:line="240" w:lineRule="auto"/>
    </w:pPr>
  </w:style>
  <w:style w:type="paragraph" w:styleId="Header">
    <w:name w:val="header"/>
    <w:basedOn w:val="Normal"/>
    <w:link w:val="HeaderChar"/>
    <w:uiPriority w:val="99"/>
    <w:unhideWhenUsed/>
    <w:rsid w:val="00BE0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5A3"/>
  </w:style>
  <w:style w:type="paragraph" w:styleId="Footer">
    <w:name w:val="footer"/>
    <w:basedOn w:val="Normal"/>
    <w:link w:val="FooterChar"/>
    <w:uiPriority w:val="99"/>
    <w:unhideWhenUsed/>
    <w:rsid w:val="00BE0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5A3"/>
  </w:style>
  <w:style w:type="paragraph" w:styleId="TOCHeading">
    <w:name w:val="TOC Heading"/>
    <w:basedOn w:val="Heading1"/>
    <w:next w:val="Normal"/>
    <w:uiPriority w:val="39"/>
    <w:unhideWhenUsed/>
    <w:qFormat/>
    <w:rsid w:val="00E04E8D"/>
    <w:pPr>
      <w:numPr>
        <w:numId w:val="0"/>
      </w:num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04E8D"/>
    <w:pPr>
      <w:spacing w:after="100"/>
      <w:ind w:left="220"/>
    </w:pPr>
  </w:style>
  <w:style w:type="character" w:styleId="Hyperlink">
    <w:name w:val="Hyperlink"/>
    <w:basedOn w:val="DefaultParagraphFont"/>
    <w:uiPriority w:val="99"/>
    <w:unhideWhenUsed/>
    <w:rsid w:val="00E04E8D"/>
    <w:rPr>
      <w:color w:val="467886" w:themeColor="hyperlink"/>
      <w:u w:val="single"/>
    </w:rPr>
  </w:style>
  <w:style w:type="table" w:styleId="TableGrid">
    <w:name w:val="Table Grid"/>
    <w:basedOn w:val="TableNormal"/>
    <w:uiPriority w:val="39"/>
    <w:rsid w:val="00E0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72E1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72E13"/>
    <w:pPr>
      <w:spacing w:after="0"/>
    </w:pPr>
  </w:style>
  <w:style w:type="paragraph" w:styleId="TOC1">
    <w:name w:val="toc 1"/>
    <w:basedOn w:val="Normal"/>
    <w:next w:val="Normal"/>
    <w:autoRedefine/>
    <w:uiPriority w:val="39"/>
    <w:unhideWhenUsed/>
    <w:rsid w:val="006E45DD"/>
    <w:pPr>
      <w:spacing w:after="100"/>
    </w:pPr>
  </w:style>
  <w:style w:type="character" w:styleId="PlaceholderText">
    <w:name w:val="Placeholder Text"/>
    <w:basedOn w:val="DefaultParagraphFont"/>
    <w:uiPriority w:val="99"/>
    <w:semiHidden/>
    <w:rsid w:val="00ED40FE"/>
    <w:rPr>
      <w:color w:val="666666"/>
    </w:rPr>
  </w:style>
  <w:style w:type="paragraph" w:styleId="TOC3">
    <w:name w:val="toc 3"/>
    <w:basedOn w:val="Normal"/>
    <w:next w:val="Normal"/>
    <w:autoRedefine/>
    <w:uiPriority w:val="39"/>
    <w:unhideWhenUsed/>
    <w:rsid w:val="0039434E"/>
    <w:pPr>
      <w:spacing w:after="100"/>
      <w:ind w:left="440"/>
    </w:pPr>
  </w:style>
  <w:style w:type="character" w:styleId="UnresolvedMention">
    <w:name w:val="Unresolved Mention"/>
    <w:basedOn w:val="DefaultParagraphFont"/>
    <w:uiPriority w:val="99"/>
    <w:semiHidden/>
    <w:unhideWhenUsed/>
    <w:rsid w:val="00371FE9"/>
    <w:rPr>
      <w:color w:val="605E5C"/>
      <w:shd w:val="clear" w:color="auto" w:fill="E1DFDD"/>
    </w:rPr>
  </w:style>
  <w:style w:type="paragraph" w:styleId="NormalWeb">
    <w:name w:val="Normal (Web)"/>
    <w:basedOn w:val="Normal"/>
    <w:uiPriority w:val="99"/>
    <w:semiHidden/>
    <w:unhideWhenUsed/>
    <w:rsid w:val="000C1BFC"/>
    <w:pPr>
      <w:spacing w:before="100" w:beforeAutospacing="1" w:after="100" w:afterAutospacing="1" w:line="240" w:lineRule="auto"/>
    </w:pPr>
    <w:rPr>
      <w:rFonts w:ascii="Times New Roman" w:eastAsia="Times New Roman" w:hAnsi="Times New Roman" w:cs="Times New Roman"/>
      <w:color w:val="auto"/>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wis\AppData\Roaming\Microsoft\Templates\UWTSD%20Technical%20Report%20Template%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Youngs</a:t>
            </a:r>
            <a:r>
              <a:rPr lang="en-US" baseline="0"/>
              <a:t> Modulus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407431043705947"/>
          <c:y val="0.1383189655172414"/>
          <c:w val="0.83136073127926946"/>
          <c:h val="0.74048160467010593"/>
        </c:manualLayout>
      </c:layout>
      <c:scatterChart>
        <c:scatterStyle val="lineMarker"/>
        <c:varyColors val="0"/>
        <c:ser>
          <c:idx val="0"/>
          <c:order val="0"/>
          <c:tx>
            <c:v>Stress/strain</c:v>
          </c:tx>
          <c:spPr>
            <a:ln w="19050" cap="rnd">
              <a:solidFill>
                <a:schemeClr val="accent1"/>
              </a:solidFill>
              <a:round/>
            </a:ln>
            <a:effectLst/>
          </c:spPr>
          <c:marker>
            <c:symbol val="none"/>
          </c:marker>
          <c:xVal>
            <c:numRef>
              <c:f>Sheet1!$G$2:$G$28</c:f>
              <c:numCache>
                <c:formatCode>General</c:formatCode>
                <c:ptCount val="27"/>
                <c:pt idx="0" formatCode="0.00">
                  <c:v>0</c:v>
                </c:pt>
                <c:pt idx="1">
                  <c:v>3.2258064516129032E-3</c:v>
                </c:pt>
                <c:pt idx="2">
                  <c:v>4.5161290322580649E-3</c:v>
                </c:pt>
                <c:pt idx="3">
                  <c:v>5.4838709677419353E-3</c:v>
                </c:pt>
                <c:pt idx="4">
                  <c:v>4.8387096774193559E-3</c:v>
                </c:pt>
                <c:pt idx="5">
                  <c:v>6.1290322580645146E-3</c:v>
                </c:pt>
                <c:pt idx="6">
                  <c:v>5.8064516129032236E-3</c:v>
                </c:pt>
                <c:pt idx="7">
                  <c:v>5.8064516129032236E-3</c:v>
                </c:pt>
                <c:pt idx="8">
                  <c:v>7.0967741935483936E-3</c:v>
                </c:pt>
                <c:pt idx="9">
                  <c:v>9.0322580645161299E-3</c:v>
                </c:pt>
                <c:pt idx="10">
                  <c:v>1.0645161290322582E-2</c:v>
                </c:pt>
                <c:pt idx="11">
                  <c:v>1.1612903225806454E-2</c:v>
                </c:pt>
                <c:pt idx="12">
                  <c:v>1.1935483870967746E-2</c:v>
                </c:pt>
                <c:pt idx="13">
                  <c:v>1.2580645161290326E-2</c:v>
                </c:pt>
                <c:pt idx="14">
                  <c:v>1.1612903225806447E-2</c:v>
                </c:pt>
                <c:pt idx="15">
                  <c:v>1.2580645161290326E-2</c:v>
                </c:pt>
                <c:pt idx="16">
                  <c:v>1.4838709677419354E-2</c:v>
                </c:pt>
                <c:pt idx="17">
                  <c:v>1.6774193548387096E-2</c:v>
                </c:pt>
                <c:pt idx="18">
                  <c:v>1.9354838709677424E-2</c:v>
                </c:pt>
                <c:pt idx="19">
                  <c:v>2.3225806451612895E-2</c:v>
                </c:pt>
                <c:pt idx="20">
                  <c:v>2.6774193548387098E-2</c:v>
                </c:pt>
                <c:pt idx="21">
                  <c:v>3.0967741935483871E-2</c:v>
                </c:pt>
                <c:pt idx="22">
                  <c:v>3.3548387096774206E-2</c:v>
                </c:pt>
                <c:pt idx="23">
                  <c:v>3.8709677419354833E-2</c:v>
                </c:pt>
                <c:pt idx="24">
                  <c:v>4.354838709677418E-2</c:v>
                </c:pt>
                <c:pt idx="25">
                  <c:v>4.8064516129032266E-2</c:v>
                </c:pt>
                <c:pt idx="26">
                  <c:v>7.8709677419354834E-2</c:v>
                </c:pt>
              </c:numCache>
            </c:numRef>
          </c:xVal>
          <c:yVal>
            <c:numRef>
              <c:f>Sheet1!$F$2:$F$28</c:f>
              <c:numCache>
                <c:formatCode>0.00E+00</c:formatCode>
                <c:ptCount val="27"/>
                <c:pt idx="0" formatCode="0.00">
                  <c:v>0</c:v>
                </c:pt>
                <c:pt idx="1">
                  <c:v>5.0000000000000004E-6</c:v>
                </c:pt>
                <c:pt idx="2">
                  <c:v>1.2999999999999999E-5</c:v>
                </c:pt>
                <c:pt idx="3">
                  <c:v>2.1500000000000001E-5</c:v>
                </c:pt>
                <c:pt idx="4">
                  <c:v>3.2499999999999997E-5</c:v>
                </c:pt>
                <c:pt idx="5">
                  <c:v>4.0500000000000002E-5</c:v>
                </c:pt>
                <c:pt idx="6">
                  <c:v>5.1E-5</c:v>
                </c:pt>
                <c:pt idx="7">
                  <c:v>6.0999999999999999E-5</c:v>
                </c:pt>
                <c:pt idx="8">
                  <c:v>6.8999999999999997E-5</c:v>
                </c:pt>
                <c:pt idx="9">
                  <c:v>7.6000000000000004E-5</c:v>
                </c:pt>
                <c:pt idx="10">
                  <c:v>8.3499999999999997E-5</c:v>
                </c:pt>
                <c:pt idx="11">
                  <c:v>9.2E-5</c:v>
                </c:pt>
                <c:pt idx="12">
                  <c:v>1.0149999999999999E-4</c:v>
                </c:pt>
                <c:pt idx="13">
                  <c:v>1.105E-4</c:v>
                </c:pt>
                <c:pt idx="14">
                  <c:v>1.22E-4</c:v>
                </c:pt>
                <c:pt idx="15">
                  <c:v>1.305E-4</c:v>
                </c:pt>
                <c:pt idx="16">
                  <c:v>1.37E-4</c:v>
                </c:pt>
                <c:pt idx="17">
                  <c:v>1.44E-4</c:v>
                </c:pt>
                <c:pt idx="18">
                  <c:v>1.4999999999999999E-4</c:v>
                </c:pt>
                <c:pt idx="19">
                  <c:v>1.54E-4</c:v>
                </c:pt>
                <c:pt idx="20">
                  <c:v>1.585E-4</c:v>
                </c:pt>
                <c:pt idx="21">
                  <c:v>1.6200000000000001E-4</c:v>
                </c:pt>
                <c:pt idx="22">
                  <c:v>1.6799999999999999E-4</c:v>
                </c:pt>
                <c:pt idx="23">
                  <c:v>1.7000000000000001E-4</c:v>
                </c:pt>
                <c:pt idx="24">
                  <c:v>1.7249999999999999E-4</c:v>
                </c:pt>
                <c:pt idx="25">
                  <c:v>1.7550000000000001E-4</c:v>
                </c:pt>
                <c:pt idx="26">
                  <c:v>1.7799999999999999E-4</c:v>
                </c:pt>
              </c:numCache>
            </c:numRef>
          </c:yVal>
          <c:smooth val="0"/>
          <c:extLst>
            <c:ext xmlns:c16="http://schemas.microsoft.com/office/drawing/2014/chart" uri="{C3380CC4-5D6E-409C-BE32-E72D297353CC}">
              <c16:uniqueId val="{00000000-FD44-448C-8A11-5D273B84C111}"/>
            </c:ext>
          </c:extLst>
        </c:ser>
        <c:dLbls>
          <c:showLegendKey val="0"/>
          <c:showVal val="0"/>
          <c:showCatName val="0"/>
          <c:showSerName val="0"/>
          <c:showPercent val="0"/>
          <c:showBubbleSize val="0"/>
        </c:dLbls>
        <c:axId val="1765602367"/>
        <c:axId val="1765603807"/>
      </c:scatterChart>
      <c:valAx>
        <c:axId val="17656023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r>
                  <a:rPr lang="en-GB" baseline="0"/>
                  <a:t> </a:t>
                </a:r>
                <a:endParaRPr lang="en-GB"/>
              </a:p>
            </c:rich>
          </c:tx>
          <c:layout>
            <c:manualLayout>
              <c:xMode val="edge"/>
              <c:yMode val="edge"/>
              <c:x val="0.49182199786002362"/>
              <c:y val="0.9367773830765956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603807"/>
        <c:crosses val="autoZero"/>
        <c:crossBetween val="midCat"/>
      </c:valAx>
      <c:valAx>
        <c:axId val="17656038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Stess</a:t>
                </a:r>
                <a:r>
                  <a:rPr lang="en-GB" baseline="0"/>
                  <a:t> (Pa)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60236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7035cb666c6b9acc5c6a94a1d81ef22e">
  <xsd:schema xmlns:xsd="http://www.w3.org/2001/XMLSchema" xmlns:xs="http://www.w3.org/2001/XMLSchema" xmlns:p="http://schemas.microsoft.com/office/2006/metadata/properties" xmlns:ns3="3ef5847a-e696-4fee-a2c0-6c3f87568321" targetNamespace="http://schemas.microsoft.com/office/2006/metadata/properties" ma:root="true" ma:fieldsID="3f6a472527e951bc323452a61e3e20d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6A4965-83A3-496F-A68A-B00C1DEADEEC}">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010EE84A-6BB0-486B-8859-28A586708E86}">
  <ds:schemaRefs>
    <ds:schemaRef ds:uri="http://schemas.openxmlformats.org/officeDocument/2006/bibliography"/>
  </ds:schemaRefs>
</ds:datastoreItem>
</file>

<file path=customXml/itemProps3.xml><?xml version="1.0" encoding="utf-8"?>
<ds:datastoreItem xmlns:ds="http://schemas.openxmlformats.org/officeDocument/2006/customXml" ds:itemID="{8071D200-4396-4B12-A10C-EFFEDE2E4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CAB566-257D-4163-9B12-DC7F53D42D3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UWTSD Technical Report Template </Template>
  <TotalTime>0</TotalTime>
  <Pages>12</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Cummings</dc:creator>
  <cp:keywords/>
  <dc:description/>
  <cp:lastModifiedBy>Lewis Cummings</cp:lastModifiedBy>
  <cp:revision>4</cp:revision>
  <dcterms:created xsi:type="dcterms:W3CDTF">2026-04-26T19:23:00Z</dcterms:created>
  <dcterms:modified xsi:type="dcterms:W3CDTF">2026-04-26T19:25:00Z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18c3a4d5-1f24-4536-9f69-0eb46df1aa96</vt:lpwstr>
  </property>
</Properties>
</file>