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329C0" w14:textId="77777777" w:rsidR="009F3464" w:rsidRDefault="009F3464" w:rsidP="00646406">
      <w:pPr>
        <w:jc w:val="center"/>
      </w:pPr>
      <w:r>
        <w:fldChar w:fldCharType="begin"/>
      </w:r>
      <w:r>
        <w:instrText xml:space="preserve"> INCLUDEPICTURE "/Users/AzZedin01/Library/Group Containers/UBF8T346G9.ms/WebArchiveCopyPasteTempFiles/com.microsoft.Word/8P2xdp3q1g646AAAAAElFTkSuQmCC" \* MERGEFORMATINET </w:instrText>
      </w:r>
      <w:r>
        <w:fldChar w:fldCharType="separate"/>
      </w:r>
      <w:r>
        <w:rPr>
          <w:noProof/>
        </w:rPr>
        <w:drawing>
          <wp:inline distT="0" distB="0" distL="0" distR="0" wp14:anchorId="6A1DC49F" wp14:editId="130CFB61">
            <wp:extent cx="1235676" cy="1169670"/>
            <wp:effectExtent l="0" t="0" r="0" b="0"/>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51649" cy="1184790"/>
                    </a:xfrm>
                    <a:prstGeom prst="rect">
                      <a:avLst/>
                    </a:prstGeom>
                    <a:noFill/>
                    <a:ln>
                      <a:noFill/>
                    </a:ln>
                  </pic:spPr>
                </pic:pic>
              </a:graphicData>
            </a:graphic>
          </wp:inline>
        </w:drawing>
      </w:r>
      <w:r>
        <w:fldChar w:fldCharType="end"/>
      </w:r>
    </w:p>
    <w:p w14:paraId="667597C5" w14:textId="77777777" w:rsidR="009F3464" w:rsidRDefault="009F3464" w:rsidP="00646406">
      <w:pPr>
        <w:jc w:val="center"/>
      </w:pPr>
    </w:p>
    <w:p w14:paraId="484C456B" w14:textId="77777777" w:rsidR="009F3464" w:rsidRDefault="009F3464" w:rsidP="00646406">
      <w:pPr>
        <w:jc w:val="center"/>
      </w:pPr>
    </w:p>
    <w:p w14:paraId="31100672" w14:textId="77777777" w:rsidR="009F3464" w:rsidRDefault="009F3464" w:rsidP="00646406">
      <w:pPr>
        <w:jc w:val="center"/>
      </w:pPr>
    </w:p>
    <w:p w14:paraId="4ED3FE75" w14:textId="77777777" w:rsidR="009F3464" w:rsidRDefault="009F3464" w:rsidP="00646406">
      <w:pPr>
        <w:jc w:val="center"/>
      </w:pPr>
    </w:p>
    <w:p w14:paraId="35D5AD70" w14:textId="77777777" w:rsidR="009F3464" w:rsidRDefault="009F3464" w:rsidP="00646406">
      <w:pPr>
        <w:jc w:val="center"/>
      </w:pPr>
    </w:p>
    <w:p w14:paraId="616B80D8" w14:textId="73F425E7" w:rsidR="009F3464" w:rsidRPr="00646406" w:rsidRDefault="009F3464" w:rsidP="00646406">
      <w:pPr>
        <w:jc w:val="center"/>
        <w:rPr>
          <w:rFonts w:ascii="Arial" w:hAnsi="Arial" w:cs="Arial"/>
          <w:b/>
          <w:bCs/>
        </w:rPr>
      </w:pPr>
      <w:r w:rsidRPr="00646406">
        <w:rPr>
          <w:rFonts w:ascii="Arial" w:hAnsi="Arial" w:cs="Arial"/>
          <w:b/>
          <w:bCs/>
        </w:rPr>
        <w:t>Student Name:</w:t>
      </w:r>
      <w:r>
        <w:rPr>
          <w:rFonts w:ascii="Arial" w:hAnsi="Arial" w:cs="Arial"/>
          <w:b/>
          <w:bCs/>
        </w:rPr>
        <w:t xml:space="preserve"> </w:t>
      </w:r>
      <w:proofErr w:type="spellStart"/>
      <w:r>
        <w:rPr>
          <w:rFonts w:ascii="Arial" w:hAnsi="Arial" w:cs="Arial"/>
          <w:b/>
          <w:bCs/>
        </w:rPr>
        <w:t>Adityakumar</w:t>
      </w:r>
      <w:proofErr w:type="spellEnd"/>
      <w:r>
        <w:rPr>
          <w:rFonts w:ascii="Arial" w:hAnsi="Arial" w:cs="Arial"/>
          <w:b/>
          <w:bCs/>
        </w:rPr>
        <w:t xml:space="preserve"> </w:t>
      </w:r>
      <w:proofErr w:type="spellStart"/>
      <w:r>
        <w:rPr>
          <w:rFonts w:ascii="Arial" w:hAnsi="Arial" w:cs="Arial"/>
          <w:b/>
          <w:bCs/>
        </w:rPr>
        <w:t>Vipulbhai</w:t>
      </w:r>
      <w:proofErr w:type="spellEnd"/>
      <w:r>
        <w:rPr>
          <w:rFonts w:ascii="Arial" w:hAnsi="Arial" w:cs="Arial"/>
          <w:b/>
          <w:bCs/>
        </w:rPr>
        <w:t xml:space="preserve"> Vaniya</w:t>
      </w:r>
    </w:p>
    <w:p w14:paraId="743AD288" w14:textId="77777777" w:rsidR="009F3464" w:rsidRPr="00646406" w:rsidRDefault="009F3464" w:rsidP="00646406">
      <w:pPr>
        <w:jc w:val="center"/>
        <w:rPr>
          <w:rFonts w:ascii="Arial" w:hAnsi="Arial" w:cs="Arial"/>
          <w:b/>
          <w:bCs/>
        </w:rPr>
      </w:pPr>
    </w:p>
    <w:p w14:paraId="0FAB931C" w14:textId="0031D863" w:rsidR="009F3464" w:rsidRPr="00646406" w:rsidRDefault="009F3464" w:rsidP="00646406">
      <w:pPr>
        <w:jc w:val="center"/>
        <w:rPr>
          <w:rFonts w:ascii="Arial" w:hAnsi="Arial" w:cs="Arial"/>
          <w:b/>
          <w:bCs/>
        </w:rPr>
      </w:pPr>
      <w:r w:rsidRPr="00646406">
        <w:rPr>
          <w:rFonts w:ascii="Arial" w:hAnsi="Arial" w:cs="Arial"/>
          <w:b/>
          <w:bCs/>
        </w:rPr>
        <w:t>Student ID:</w:t>
      </w:r>
      <w:r>
        <w:rPr>
          <w:rFonts w:ascii="Arial" w:hAnsi="Arial" w:cs="Arial"/>
          <w:b/>
          <w:bCs/>
        </w:rPr>
        <w:t xml:space="preserve"> 2421861</w:t>
      </w:r>
    </w:p>
    <w:p w14:paraId="44375BA2" w14:textId="77777777" w:rsidR="009F3464" w:rsidRPr="00646406" w:rsidRDefault="009F3464" w:rsidP="00646406">
      <w:pPr>
        <w:jc w:val="center"/>
        <w:rPr>
          <w:rFonts w:ascii="Arial" w:hAnsi="Arial" w:cs="Arial"/>
        </w:rPr>
      </w:pPr>
    </w:p>
    <w:p w14:paraId="1AC3341D" w14:textId="77777777" w:rsidR="009F3464" w:rsidRPr="00646406" w:rsidRDefault="009F3464" w:rsidP="00646406">
      <w:pPr>
        <w:jc w:val="center"/>
        <w:rPr>
          <w:rFonts w:ascii="Arial" w:hAnsi="Arial" w:cs="Arial"/>
        </w:rPr>
      </w:pPr>
    </w:p>
    <w:p w14:paraId="4DB30358" w14:textId="77777777" w:rsidR="009F3464" w:rsidRPr="00646406" w:rsidRDefault="009F3464" w:rsidP="00646406">
      <w:pPr>
        <w:jc w:val="center"/>
        <w:rPr>
          <w:rFonts w:ascii="Arial" w:hAnsi="Arial" w:cs="Arial"/>
          <w:b/>
          <w:bCs/>
        </w:rPr>
      </w:pPr>
      <w:r w:rsidRPr="00646406">
        <w:rPr>
          <w:rFonts w:ascii="Arial" w:hAnsi="Arial" w:cs="Arial"/>
          <w:b/>
          <w:bCs/>
        </w:rPr>
        <w:t>Module Name: Marketing Management</w:t>
      </w:r>
    </w:p>
    <w:p w14:paraId="67941365" w14:textId="77777777" w:rsidR="009F3464" w:rsidRPr="00646406" w:rsidRDefault="009F3464" w:rsidP="00646406">
      <w:pPr>
        <w:jc w:val="center"/>
        <w:rPr>
          <w:rFonts w:ascii="Arial" w:hAnsi="Arial" w:cs="Arial"/>
          <w:b/>
          <w:bCs/>
        </w:rPr>
      </w:pPr>
    </w:p>
    <w:p w14:paraId="36B8EE05" w14:textId="77777777" w:rsidR="009F3464" w:rsidRPr="00646406" w:rsidRDefault="009F3464" w:rsidP="00646406">
      <w:pPr>
        <w:jc w:val="center"/>
        <w:rPr>
          <w:rFonts w:ascii="Arial" w:hAnsi="Arial" w:cs="Arial"/>
          <w:b/>
          <w:bCs/>
        </w:rPr>
      </w:pPr>
      <w:r w:rsidRPr="00646406">
        <w:rPr>
          <w:rFonts w:ascii="Arial" w:hAnsi="Arial" w:cs="Arial"/>
          <w:b/>
          <w:bCs/>
        </w:rPr>
        <w:t>Module Code: LCMB7024</w:t>
      </w:r>
    </w:p>
    <w:p w14:paraId="6F9017F8" w14:textId="77777777" w:rsidR="009F3464" w:rsidRPr="00646406" w:rsidRDefault="009F3464" w:rsidP="00646406">
      <w:pPr>
        <w:jc w:val="center"/>
        <w:rPr>
          <w:rFonts w:ascii="Arial" w:hAnsi="Arial" w:cs="Arial"/>
          <w:b/>
          <w:bCs/>
        </w:rPr>
      </w:pPr>
    </w:p>
    <w:p w14:paraId="05F4835A" w14:textId="77777777" w:rsidR="009F3464" w:rsidRPr="00646406" w:rsidRDefault="009F3464" w:rsidP="00646406">
      <w:pPr>
        <w:jc w:val="center"/>
        <w:rPr>
          <w:rFonts w:ascii="Arial" w:hAnsi="Arial" w:cs="Arial"/>
          <w:b/>
          <w:bCs/>
        </w:rPr>
      </w:pPr>
    </w:p>
    <w:p w14:paraId="105FC9B9" w14:textId="77777777" w:rsidR="009F3464" w:rsidRPr="00646406" w:rsidRDefault="009F3464" w:rsidP="00646406">
      <w:pPr>
        <w:jc w:val="center"/>
        <w:rPr>
          <w:rFonts w:ascii="Arial" w:hAnsi="Arial" w:cs="Arial"/>
          <w:b/>
          <w:bCs/>
        </w:rPr>
      </w:pPr>
    </w:p>
    <w:p w14:paraId="45CA7042" w14:textId="77777777" w:rsidR="009F3464" w:rsidRPr="00646406" w:rsidRDefault="009F3464" w:rsidP="00646406">
      <w:pPr>
        <w:jc w:val="center"/>
        <w:rPr>
          <w:rFonts w:ascii="Arial" w:hAnsi="Arial" w:cs="Arial"/>
          <w:b/>
          <w:bCs/>
        </w:rPr>
      </w:pPr>
    </w:p>
    <w:p w14:paraId="02417AB5" w14:textId="527D03B1" w:rsidR="009F3464" w:rsidRPr="00646406" w:rsidRDefault="009F3464" w:rsidP="00646406">
      <w:pPr>
        <w:jc w:val="center"/>
        <w:rPr>
          <w:rFonts w:ascii="Arial" w:hAnsi="Arial" w:cs="Arial"/>
          <w:b/>
          <w:bCs/>
        </w:rPr>
      </w:pPr>
      <w:r w:rsidRPr="00646406">
        <w:rPr>
          <w:rFonts w:ascii="Arial" w:hAnsi="Arial" w:cs="Arial"/>
          <w:b/>
          <w:bCs/>
        </w:rPr>
        <w:t>Lecturer’s Name:</w:t>
      </w:r>
      <w:r w:rsidR="00DE40EF">
        <w:rPr>
          <w:rFonts w:ascii="Arial" w:hAnsi="Arial" w:cs="Arial"/>
          <w:b/>
          <w:bCs/>
        </w:rPr>
        <w:t xml:space="preserve"> Haoran Liu</w:t>
      </w:r>
    </w:p>
    <w:p w14:paraId="250D265B" w14:textId="77777777" w:rsidR="009F3464" w:rsidRPr="00646406" w:rsidRDefault="009F3464" w:rsidP="00646406">
      <w:pPr>
        <w:jc w:val="center"/>
        <w:rPr>
          <w:rFonts w:ascii="Arial" w:hAnsi="Arial" w:cs="Arial"/>
          <w:b/>
          <w:bCs/>
        </w:rPr>
      </w:pPr>
    </w:p>
    <w:p w14:paraId="0485382C" w14:textId="77777777" w:rsidR="009F3464" w:rsidRPr="00646406" w:rsidRDefault="009F3464" w:rsidP="00646406">
      <w:pPr>
        <w:jc w:val="center"/>
        <w:rPr>
          <w:rFonts w:ascii="Arial" w:hAnsi="Arial" w:cs="Arial"/>
          <w:b/>
          <w:bCs/>
        </w:rPr>
      </w:pPr>
    </w:p>
    <w:p w14:paraId="05C8A291" w14:textId="77777777" w:rsidR="009F3464" w:rsidRPr="00646406" w:rsidRDefault="009F3464" w:rsidP="00646406">
      <w:pPr>
        <w:rPr>
          <w:rFonts w:ascii="Arial" w:hAnsi="Arial" w:cs="Arial"/>
          <w:b/>
          <w:bCs/>
        </w:rPr>
      </w:pPr>
    </w:p>
    <w:p w14:paraId="7D113916" w14:textId="78FC53E3" w:rsidR="009F3464" w:rsidRPr="00646406" w:rsidRDefault="009F3464" w:rsidP="00646406">
      <w:pPr>
        <w:jc w:val="center"/>
        <w:rPr>
          <w:rFonts w:ascii="Arial" w:hAnsi="Arial" w:cs="Arial"/>
          <w:b/>
          <w:bCs/>
        </w:rPr>
      </w:pPr>
      <w:r w:rsidRPr="00646406">
        <w:rPr>
          <w:rFonts w:ascii="Arial" w:hAnsi="Arial" w:cs="Arial"/>
          <w:b/>
          <w:bCs/>
        </w:rPr>
        <w:t>Work Count:</w:t>
      </w:r>
      <w:r w:rsidR="00DE40EF">
        <w:rPr>
          <w:rFonts w:ascii="Arial" w:hAnsi="Arial" w:cs="Arial"/>
          <w:b/>
          <w:bCs/>
        </w:rPr>
        <w:t xml:space="preserve"> 2500</w:t>
      </w:r>
    </w:p>
    <w:p w14:paraId="18C80BD6" w14:textId="77777777" w:rsidR="009F3464" w:rsidRPr="00646406" w:rsidRDefault="009F3464" w:rsidP="00646406">
      <w:pPr>
        <w:jc w:val="center"/>
        <w:rPr>
          <w:rFonts w:ascii="Arial" w:hAnsi="Arial" w:cs="Arial"/>
          <w:b/>
          <w:bCs/>
        </w:rPr>
      </w:pPr>
    </w:p>
    <w:p w14:paraId="4D7ADA8C" w14:textId="77777777" w:rsidR="009F3464" w:rsidRPr="00646406" w:rsidRDefault="009F3464" w:rsidP="00646406">
      <w:pPr>
        <w:jc w:val="center"/>
        <w:rPr>
          <w:rFonts w:ascii="Arial" w:hAnsi="Arial" w:cs="Arial"/>
          <w:b/>
          <w:bCs/>
        </w:rPr>
      </w:pPr>
    </w:p>
    <w:p w14:paraId="7D1F0379" w14:textId="77777777" w:rsidR="009F3464" w:rsidRDefault="009F3464" w:rsidP="00646406">
      <w:pPr>
        <w:jc w:val="center"/>
        <w:rPr>
          <w:rFonts w:ascii="Arial" w:hAnsi="Arial" w:cs="Arial"/>
          <w:b/>
          <w:bCs/>
        </w:rPr>
      </w:pPr>
    </w:p>
    <w:p w14:paraId="57DD4087" w14:textId="77777777" w:rsidR="009F3464" w:rsidRDefault="009F3464">
      <w:pPr>
        <w:jc w:val="center"/>
        <w:rPr>
          <w:b/>
          <w:sz w:val="40"/>
          <w:szCs w:val="40"/>
        </w:rPr>
      </w:pPr>
    </w:p>
    <w:p w14:paraId="5E015FE5" w14:textId="77777777" w:rsidR="009F3464" w:rsidRDefault="009F3464">
      <w:pPr>
        <w:jc w:val="center"/>
        <w:rPr>
          <w:b/>
          <w:sz w:val="40"/>
          <w:szCs w:val="40"/>
        </w:rPr>
      </w:pPr>
    </w:p>
    <w:p w14:paraId="75C8C0C2" w14:textId="77777777" w:rsidR="009F3464" w:rsidRDefault="009F3464">
      <w:pPr>
        <w:jc w:val="center"/>
        <w:rPr>
          <w:b/>
          <w:sz w:val="40"/>
          <w:szCs w:val="40"/>
        </w:rPr>
      </w:pPr>
    </w:p>
    <w:p w14:paraId="3197DA3F" w14:textId="77777777" w:rsidR="009F3464" w:rsidRDefault="009F3464">
      <w:pPr>
        <w:jc w:val="center"/>
        <w:rPr>
          <w:b/>
          <w:sz w:val="40"/>
          <w:szCs w:val="40"/>
        </w:rPr>
      </w:pPr>
    </w:p>
    <w:p w14:paraId="299C81D3" w14:textId="77777777" w:rsidR="009F3464" w:rsidRDefault="009F3464">
      <w:pPr>
        <w:jc w:val="center"/>
        <w:rPr>
          <w:b/>
          <w:sz w:val="40"/>
          <w:szCs w:val="40"/>
        </w:rPr>
      </w:pPr>
    </w:p>
    <w:p w14:paraId="742D3472" w14:textId="77777777" w:rsidR="009F3464" w:rsidRDefault="009F3464">
      <w:pPr>
        <w:jc w:val="center"/>
        <w:rPr>
          <w:b/>
          <w:sz w:val="40"/>
          <w:szCs w:val="40"/>
        </w:rPr>
      </w:pPr>
    </w:p>
    <w:p w14:paraId="0541ED7B" w14:textId="77777777" w:rsidR="009F3464" w:rsidRDefault="009F3464">
      <w:pPr>
        <w:jc w:val="center"/>
        <w:rPr>
          <w:b/>
          <w:sz w:val="40"/>
          <w:szCs w:val="40"/>
        </w:rPr>
      </w:pPr>
    </w:p>
    <w:p w14:paraId="4D404918" w14:textId="77777777" w:rsidR="009F3464" w:rsidRDefault="009F3464">
      <w:pPr>
        <w:jc w:val="center"/>
        <w:rPr>
          <w:b/>
          <w:sz w:val="40"/>
          <w:szCs w:val="40"/>
        </w:rPr>
      </w:pPr>
      <w:r>
        <w:rPr>
          <w:b/>
          <w:sz w:val="40"/>
          <w:szCs w:val="40"/>
        </w:rPr>
        <w:t xml:space="preserve">Marketing Management </w:t>
      </w:r>
    </w:p>
    <w:p w14:paraId="36410D83" w14:textId="77777777" w:rsidR="009F3464" w:rsidRDefault="009F3464">
      <w:pPr>
        <w:rPr>
          <w:highlight w:val="yellow"/>
        </w:rPr>
      </w:pPr>
      <w:r>
        <w:br w:type="page"/>
      </w:r>
    </w:p>
    <w:p w14:paraId="78B034BA" w14:textId="77777777" w:rsidR="009F3464" w:rsidRDefault="009F3464"/>
    <w:bookmarkStart w:id="0" w:name="_oin56581y23n" w:colFirst="0" w:colLast="0" w:displacedByCustomXml="next"/>
    <w:bookmarkEnd w:id="0" w:displacedByCustomXml="next"/>
    <w:sdt>
      <w:sdtPr>
        <w:rPr>
          <w:rFonts w:ascii="Arial" w:eastAsia="Arial" w:hAnsi="Arial" w:cs="Arial"/>
          <w:color w:val="000000" w:themeColor="text1"/>
          <w:sz w:val="24"/>
          <w:szCs w:val="24"/>
          <w:lang w:val="en-IN" w:eastAsia="en-IN"/>
        </w:rPr>
        <w:id w:val="-958250705"/>
        <w:docPartObj>
          <w:docPartGallery w:val="Table of Contents"/>
          <w:docPartUnique/>
        </w:docPartObj>
      </w:sdtPr>
      <w:sdtEndPr>
        <w:rPr>
          <w:rFonts w:asciiTheme="minorHAnsi" w:eastAsiaTheme="minorHAnsi" w:hAnsiTheme="minorHAnsi" w:cstheme="minorBidi"/>
          <w:noProof/>
          <w:kern w:val="2"/>
          <w:sz w:val="22"/>
          <w:szCs w:val="22"/>
          <w:lang w:val="en-GB" w:eastAsia="en-US"/>
          <w14:ligatures w14:val="standardContextual"/>
        </w:rPr>
      </w:sdtEndPr>
      <w:sdtContent>
        <w:p w14:paraId="1AE3B11E" w14:textId="77777777" w:rsidR="009F3464" w:rsidRPr="009B46A2" w:rsidRDefault="009F3464" w:rsidP="00C325A7">
          <w:pPr>
            <w:pStyle w:val="TOCHeading"/>
            <w:spacing w:after="240"/>
            <w:jc w:val="center"/>
            <w:rPr>
              <w:rFonts w:ascii="Arial" w:hAnsi="Arial" w:cs="Arial"/>
              <w:b w:val="0"/>
              <w:color w:val="000000" w:themeColor="text1"/>
            </w:rPr>
          </w:pPr>
          <w:r w:rsidRPr="009B46A2">
            <w:rPr>
              <w:rFonts w:ascii="Arial" w:hAnsi="Arial" w:cs="Arial"/>
              <w:color w:val="000000" w:themeColor="text1"/>
            </w:rPr>
            <w:t>Table of Contents</w:t>
          </w:r>
        </w:p>
        <w:p w14:paraId="2C0E94F4" w14:textId="77777777" w:rsidR="009F3464" w:rsidRPr="00C325A7" w:rsidRDefault="009F3464" w:rsidP="00C325A7">
          <w:pPr>
            <w:pStyle w:val="TOC1"/>
            <w:tabs>
              <w:tab w:val="right" w:leader="dot" w:pos="9350"/>
            </w:tabs>
            <w:spacing w:after="240"/>
            <w:rPr>
              <w:noProof/>
              <w:color w:val="000000" w:themeColor="text1"/>
            </w:rPr>
          </w:pPr>
          <w:r w:rsidRPr="00C325A7">
            <w:rPr>
              <w:b w:val="0"/>
              <w:bCs w:val="0"/>
              <w:color w:val="000000" w:themeColor="text1"/>
            </w:rPr>
            <w:fldChar w:fldCharType="begin"/>
          </w:r>
          <w:r w:rsidRPr="00C325A7">
            <w:rPr>
              <w:color w:val="000000" w:themeColor="text1"/>
            </w:rPr>
            <w:instrText xml:space="preserve"> TOC \o "1-3" \h \z \u </w:instrText>
          </w:r>
          <w:r w:rsidRPr="00C325A7">
            <w:rPr>
              <w:b w:val="0"/>
              <w:bCs w:val="0"/>
              <w:color w:val="000000" w:themeColor="text1"/>
            </w:rPr>
            <w:fldChar w:fldCharType="separate"/>
          </w:r>
          <w:hyperlink w:anchor="_Toc193305228" w:history="1">
            <w:r w:rsidRPr="00C325A7">
              <w:rPr>
                <w:rStyle w:val="Hyperlink"/>
                <w:noProof/>
                <w:color w:val="000000" w:themeColor="text1"/>
              </w:rPr>
              <w:t>Introduction</w:t>
            </w:r>
            <w:r w:rsidRPr="00C325A7">
              <w:rPr>
                <w:noProof/>
                <w:webHidden/>
                <w:color w:val="000000" w:themeColor="text1"/>
              </w:rPr>
              <w:tab/>
            </w:r>
            <w:r w:rsidRPr="00C325A7">
              <w:rPr>
                <w:noProof/>
                <w:webHidden/>
                <w:color w:val="000000" w:themeColor="text1"/>
              </w:rPr>
              <w:fldChar w:fldCharType="begin"/>
            </w:r>
            <w:r w:rsidRPr="00C325A7">
              <w:rPr>
                <w:noProof/>
                <w:webHidden/>
                <w:color w:val="000000" w:themeColor="text1"/>
              </w:rPr>
              <w:instrText xml:space="preserve"> PAGEREF _Toc193305228 \h </w:instrText>
            </w:r>
            <w:r w:rsidRPr="00C325A7">
              <w:rPr>
                <w:noProof/>
                <w:webHidden/>
                <w:color w:val="000000" w:themeColor="text1"/>
              </w:rPr>
            </w:r>
            <w:r w:rsidRPr="00C325A7">
              <w:rPr>
                <w:noProof/>
                <w:webHidden/>
                <w:color w:val="000000" w:themeColor="text1"/>
              </w:rPr>
              <w:fldChar w:fldCharType="separate"/>
            </w:r>
            <w:r>
              <w:rPr>
                <w:noProof/>
                <w:webHidden/>
                <w:color w:val="000000" w:themeColor="text1"/>
              </w:rPr>
              <w:t>3</w:t>
            </w:r>
            <w:r w:rsidRPr="00C325A7">
              <w:rPr>
                <w:noProof/>
                <w:webHidden/>
                <w:color w:val="000000" w:themeColor="text1"/>
              </w:rPr>
              <w:fldChar w:fldCharType="end"/>
            </w:r>
          </w:hyperlink>
        </w:p>
        <w:p w14:paraId="4675324D" w14:textId="77777777" w:rsidR="009F3464" w:rsidRPr="00C325A7" w:rsidRDefault="009F3464" w:rsidP="00C325A7">
          <w:pPr>
            <w:pStyle w:val="TOC1"/>
            <w:tabs>
              <w:tab w:val="right" w:leader="dot" w:pos="9350"/>
            </w:tabs>
            <w:spacing w:after="240"/>
            <w:rPr>
              <w:noProof/>
              <w:color w:val="000000" w:themeColor="text1"/>
            </w:rPr>
          </w:pPr>
          <w:hyperlink w:anchor="_Toc193305229" w:history="1">
            <w:r w:rsidRPr="00C325A7">
              <w:rPr>
                <w:rStyle w:val="Hyperlink"/>
                <w:noProof/>
                <w:color w:val="000000" w:themeColor="text1"/>
              </w:rPr>
              <w:t>Task 1</w:t>
            </w:r>
            <w:r w:rsidRPr="00C325A7">
              <w:rPr>
                <w:noProof/>
                <w:webHidden/>
                <w:color w:val="000000" w:themeColor="text1"/>
              </w:rPr>
              <w:tab/>
            </w:r>
            <w:r w:rsidRPr="00C325A7">
              <w:rPr>
                <w:noProof/>
                <w:webHidden/>
                <w:color w:val="000000" w:themeColor="text1"/>
              </w:rPr>
              <w:fldChar w:fldCharType="begin"/>
            </w:r>
            <w:r w:rsidRPr="00C325A7">
              <w:rPr>
                <w:noProof/>
                <w:webHidden/>
                <w:color w:val="000000" w:themeColor="text1"/>
              </w:rPr>
              <w:instrText xml:space="preserve"> PAGEREF _Toc193305229 \h </w:instrText>
            </w:r>
            <w:r w:rsidRPr="00C325A7">
              <w:rPr>
                <w:noProof/>
                <w:webHidden/>
                <w:color w:val="000000" w:themeColor="text1"/>
              </w:rPr>
            </w:r>
            <w:r w:rsidRPr="00C325A7">
              <w:rPr>
                <w:noProof/>
                <w:webHidden/>
                <w:color w:val="000000" w:themeColor="text1"/>
              </w:rPr>
              <w:fldChar w:fldCharType="separate"/>
            </w:r>
            <w:r>
              <w:rPr>
                <w:noProof/>
                <w:webHidden/>
                <w:color w:val="000000" w:themeColor="text1"/>
              </w:rPr>
              <w:t>3</w:t>
            </w:r>
            <w:r w:rsidRPr="00C325A7">
              <w:rPr>
                <w:noProof/>
                <w:webHidden/>
                <w:color w:val="000000" w:themeColor="text1"/>
              </w:rPr>
              <w:fldChar w:fldCharType="end"/>
            </w:r>
          </w:hyperlink>
        </w:p>
        <w:p w14:paraId="19178FC3" w14:textId="77777777" w:rsidR="009F3464" w:rsidRPr="00C325A7" w:rsidRDefault="009F3464" w:rsidP="00C325A7">
          <w:pPr>
            <w:pStyle w:val="TOC1"/>
            <w:tabs>
              <w:tab w:val="right" w:leader="dot" w:pos="9350"/>
            </w:tabs>
            <w:spacing w:after="240"/>
            <w:rPr>
              <w:noProof/>
              <w:color w:val="000000" w:themeColor="text1"/>
            </w:rPr>
          </w:pPr>
          <w:hyperlink w:anchor="_Toc193305230" w:history="1">
            <w:r w:rsidRPr="00C325A7">
              <w:rPr>
                <w:rStyle w:val="Hyperlink"/>
                <w:noProof/>
                <w:color w:val="000000" w:themeColor="text1"/>
              </w:rPr>
              <w:t>Task 2</w:t>
            </w:r>
            <w:r w:rsidRPr="00C325A7">
              <w:rPr>
                <w:noProof/>
                <w:webHidden/>
                <w:color w:val="000000" w:themeColor="text1"/>
              </w:rPr>
              <w:tab/>
            </w:r>
            <w:r w:rsidRPr="00C325A7">
              <w:rPr>
                <w:noProof/>
                <w:webHidden/>
                <w:color w:val="000000" w:themeColor="text1"/>
              </w:rPr>
              <w:fldChar w:fldCharType="begin"/>
            </w:r>
            <w:r w:rsidRPr="00C325A7">
              <w:rPr>
                <w:noProof/>
                <w:webHidden/>
                <w:color w:val="000000" w:themeColor="text1"/>
              </w:rPr>
              <w:instrText xml:space="preserve"> PAGEREF _Toc193305230 \h </w:instrText>
            </w:r>
            <w:r w:rsidRPr="00C325A7">
              <w:rPr>
                <w:noProof/>
                <w:webHidden/>
                <w:color w:val="000000" w:themeColor="text1"/>
              </w:rPr>
            </w:r>
            <w:r w:rsidRPr="00C325A7">
              <w:rPr>
                <w:noProof/>
                <w:webHidden/>
                <w:color w:val="000000" w:themeColor="text1"/>
              </w:rPr>
              <w:fldChar w:fldCharType="separate"/>
            </w:r>
            <w:r>
              <w:rPr>
                <w:noProof/>
                <w:webHidden/>
                <w:color w:val="000000" w:themeColor="text1"/>
              </w:rPr>
              <w:t>6</w:t>
            </w:r>
            <w:r w:rsidRPr="00C325A7">
              <w:rPr>
                <w:noProof/>
                <w:webHidden/>
                <w:color w:val="000000" w:themeColor="text1"/>
              </w:rPr>
              <w:fldChar w:fldCharType="end"/>
            </w:r>
          </w:hyperlink>
        </w:p>
        <w:p w14:paraId="37F2F2DF" w14:textId="77777777" w:rsidR="009F3464" w:rsidRPr="00C325A7" w:rsidRDefault="009F3464" w:rsidP="00C325A7">
          <w:pPr>
            <w:pStyle w:val="TOC1"/>
            <w:tabs>
              <w:tab w:val="right" w:leader="dot" w:pos="9350"/>
            </w:tabs>
            <w:spacing w:after="240"/>
            <w:rPr>
              <w:noProof/>
              <w:color w:val="000000" w:themeColor="text1"/>
            </w:rPr>
          </w:pPr>
          <w:hyperlink w:anchor="_Toc193305231" w:history="1">
            <w:r w:rsidRPr="00C325A7">
              <w:rPr>
                <w:rStyle w:val="Hyperlink"/>
                <w:noProof/>
                <w:color w:val="000000" w:themeColor="text1"/>
              </w:rPr>
              <w:t>Conclusion</w:t>
            </w:r>
            <w:r w:rsidRPr="00C325A7">
              <w:rPr>
                <w:noProof/>
                <w:webHidden/>
                <w:color w:val="000000" w:themeColor="text1"/>
              </w:rPr>
              <w:tab/>
            </w:r>
            <w:r w:rsidRPr="00C325A7">
              <w:rPr>
                <w:noProof/>
                <w:webHidden/>
                <w:color w:val="000000" w:themeColor="text1"/>
              </w:rPr>
              <w:fldChar w:fldCharType="begin"/>
            </w:r>
            <w:r w:rsidRPr="00C325A7">
              <w:rPr>
                <w:noProof/>
                <w:webHidden/>
                <w:color w:val="000000" w:themeColor="text1"/>
              </w:rPr>
              <w:instrText xml:space="preserve"> PAGEREF _Toc193305231 \h </w:instrText>
            </w:r>
            <w:r w:rsidRPr="00C325A7">
              <w:rPr>
                <w:noProof/>
                <w:webHidden/>
                <w:color w:val="000000" w:themeColor="text1"/>
              </w:rPr>
            </w:r>
            <w:r w:rsidRPr="00C325A7">
              <w:rPr>
                <w:noProof/>
                <w:webHidden/>
                <w:color w:val="000000" w:themeColor="text1"/>
              </w:rPr>
              <w:fldChar w:fldCharType="separate"/>
            </w:r>
            <w:r>
              <w:rPr>
                <w:noProof/>
                <w:webHidden/>
                <w:color w:val="000000" w:themeColor="text1"/>
              </w:rPr>
              <w:t>9</w:t>
            </w:r>
            <w:r w:rsidRPr="00C325A7">
              <w:rPr>
                <w:noProof/>
                <w:webHidden/>
                <w:color w:val="000000" w:themeColor="text1"/>
              </w:rPr>
              <w:fldChar w:fldCharType="end"/>
            </w:r>
          </w:hyperlink>
        </w:p>
        <w:p w14:paraId="7E5C3657" w14:textId="77777777" w:rsidR="009F3464" w:rsidRPr="00C325A7" w:rsidRDefault="009F3464" w:rsidP="00C325A7">
          <w:pPr>
            <w:pStyle w:val="TOC1"/>
            <w:tabs>
              <w:tab w:val="right" w:leader="dot" w:pos="9350"/>
            </w:tabs>
            <w:spacing w:after="240"/>
            <w:rPr>
              <w:noProof/>
              <w:color w:val="000000" w:themeColor="text1"/>
            </w:rPr>
          </w:pPr>
          <w:hyperlink w:anchor="_Toc193305232" w:history="1">
            <w:r w:rsidRPr="00C325A7">
              <w:rPr>
                <w:rStyle w:val="Hyperlink"/>
                <w:noProof/>
                <w:color w:val="000000" w:themeColor="text1"/>
              </w:rPr>
              <w:t>References</w:t>
            </w:r>
            <w:r w:rsidRPr="00C325A7">
              <w:rPr>
                <w:noProof/>
                <w:webHidden/>
                <w:color w:val="000000" w:themeColor="text1"/>
              </w:rPr>
              <w:tab/>
            </w:r>
            <w:r w:rsidRPr="00C325A7">
              <w:rPr>
                <w:noProof/>
                <w:webHidden/>
                <w:color w:val="000000" w:themeColor="text1"/>
              </w:rPr>
              <w:fldChar w:fldCharType="begin"/>
            </w:r>
            <w:r w:rsidRPr="00C325A7">
              <w:rPr>
                <w:noProof/>
                <w:webHidden/>
                <w:color w:val="000000" w:themeColor="text1"/>
              </w:rPr>
              <w:instrText xml:space="preserve"> PAGEREF _Toc193305232 \h </w:instrText>
            </w:r>
            <w:r w:rsidRPr="00C325A7">
              <w:rPr>
                <w:noProof/>
                <w:webHidden/>
                <w:color w:val="000000" w:themeColor="text1"/>
              </w:rPr>
            </w:r>
            <w:r w:rsidRPr="00C325A7">
              <w:rPr>
                <w:noProof/>
                <w:webHidden/>
                <w:color w:val="000000" w:themeColor="text1"/>
              </w:rPr>
              <w:fldChar w:fldCharType="separate"/>
            </w:r>
            <w:r>
              <w:rPr>
                <w:noProof/>
                <w:webHidden/>
                <w:color w:val="000000" w:themeColor="text1"/>
              </w:rPr>
              <w:t>11</w:t>
            </w:r>
            <w:r w:rsidRPr="00C325A7">
              <w:rPr>
                <w:noProof/>
                <w:webHidden/>
                <w:color w:val="000000" w:themeColor="text1"/>
              </w:rPr>
              <w:fldChar w:fldCharType="end"/>
            </w:r>
          </w:hyperlink>
        </w:p>
        <w:p w14:paraId="329DA5F0" w14:textId="77777777" w:rsidR="009F3464" w:rsidRPr="00C325A7" w:rsidRDefault="009F3464" w:rsidP="00C325A7">
          <w:pPr>
            <w:spacing w:after="240"/>
            <w:rPr>
              <w:color w:val="000000" w:themeColor="text1"/>
            </w:rPr>
          </w:pPr>
          <w:r w:rsidRPr="00C325A7">
            <w:rPr>
              <w:b/>
              <w:bCs/>
              <w:noProof/>
              <w:color w:val="000000" w:themeColor="text1"/>
            </w:rPr>
            <w:fldChar w:fldCharType="end"/>
          </w:r>
        </w:p>
      </w:sdtContent>
    </w:sdt>
    <w:p w14:paraId="64F3A541" w14:textId="77777777" w:rsidR="009F3464" w:rsidRPr="00C325A7" w:rsidRDefault="009F3464" w:rsidP="00C325A7">
      <w:pPr>
        <w:spacing w:after="240"/>
        <w:rPr>
          <w:b/>
          <w:color w:val="000000" w:themeColor="text1"/>
        </w:rPr>
      </w:pPr>
      <w:bookmarkStart w:id="1" w:name="_Toc193305228"/>
      <w:r w:rsidRPr="00C325A7">
        <w:rPr>
          <w:color w:val="000000" w:themeColor="text1"/>
        </w:rPr>
        <w:br w:type="page"/>
      </w:r>
    </w:p>
    <w:p w14:paraId="721789E0" w14:textId="77777777" w:rsidR="009F3464" w:rsidRDefault="009F3464">
      <w:pPr>
        <w:pStyle w:val="Heading1"/>
      </w:pPr>
      <w:r>
        <w:lastRenderedPageBreak/>
        <w:t>Introduction</w:t>
      </w:r>
      <w:bookmarkEnd w:id="1"/>
      <w:r>
        <w:t xml:space="preserve"> </w:t>
      </w:r>
    </w:p>
    <w:p w14:paraId="0C11395C" w14:textId="77777777" w:rsidR="009F3464" w:rsidRPr="00DE40EF" w:rsidRDefault="009F3464">
      <w:pPr>
        <w:rPr>
          <w:rFonts w:ascii="Arial" w:hAnsi="Arial" w:cs="Arial"/>
          <w:sz w:val="24"/>
          <w:szCs w:val="24"/>
        </w:rPr>
      </w:pPr>
      <w:r w:rsidRPr="00DE40EF">
        <w:rPr>
          <w:rFonts w:ascii="Arial" w:hAnsi="Arial" w:cs="Arial"/>
          <w:sz w:val="24"/>
          <w:szCs w:val="24"/>
        </w:rPr>
        <w:t xml:space="preserve">Product launching time for business marketing is necessary which helps business marketers to promote their product in a new market, increase sales and draw the attention of the customers. It provides a well-structured checklist to the marketers which further ensures success in the market. The right time of launching also allows marketers to get an idea about the target audience, available budget, and market competition and provide ideas about strategic decisions. As per Ghasemi </w:t>
      </w:r>
      <w:r w:rsidRPr="00DE40EF">
        <w:rPr>
          <w:rFonts w:ascii="Arial" w:hAnsi="Arial" w:cs="Arial"/>
          <w:i/>
          <w:sz w:val="24"/>
          <w:szCs w:val="24"/>
        </w:rPr>
        <w:t>et al.</w:t>
      </w:r>
      <w:r w:rsidRPr="00DE40EF">
        <w:rPr>
          <w:rFonts w:ascii="Arial" w:hAnsi="Arial" w:cs="Arial"/>
          <w:sz w:val="24"/>
          <w:szCs w:val="24"/>
        </w:rPr>
        <w:t xml:space="preserve">, (2022), along with the right products and features, the right time is equally important to fill the gap and fulfil the needs of the customers. </w:t>
      </w:r>
    </w:p>
    <w:p w14:paraId="0BD22FF4" w14:textId="77777777" w:rsidR="009F3464" w:rsidRPr="00DE40EF" w:rsidRDefault="009F3464">
      <w:pPr>
        <w:rPr>
          <w:rFonts w:ascii="Arial" w:hAnsi="Arial" w:cs="Arial"/>
          <w:sz w:val="24"/>
          <w:szCs w:val="24"/>
        </w:rPr>
      </w:pPr>
      <w:r w:rsidRPr="00DE40EF">
        <w:rPr>
          <w:rFonts w:ascii="Arial" w:hAnsi="Arial" w:cs="Arial"/>
          <w:sz w:val="24"/>
          <w:szCs w:val="24"/>
        </w:rPr>
        <w:t xml:space="preserve">Besides this, understanding the product life cycle is also important for launching a product in a new or established market. In this context, Stark, (2022), opined that a product’s life cycle enables an organisation to understand the current market scenario in a particular place which ultimately helps to maximise the profitability of the product. For operating business activity in a competitive landscape, the right timing and understanding of the product provide a competitive advantage to the company. If an organisation does not launch its product at the right </w:t>
      </w:r>
      <w:proofErr w:type="gramStart"/>
      <w:r w:rsidRPr="00DE40EF">
        <w:rPr>
          <w:rFonts w:ascii="Arial" w:hAnsi="Arial" w:cs="Arial"/>
          <w:sz w:val="24"/>
          <w:szCs w:val="24"/>
        </w:rPr>
        <w:t>time</w:t>
      </w:r>
      <w:proofErr w:type="gramEnd"/>
      <w:r w:rsidRPr="00DE40EF">
        <w:rPr>
          <w:rFonts w:ascii="Arial" w:hAnsi="Arial" w:cs="Arial"/>
          <w:sz w:val="24"/>
          <w:szCs w:val="24"/>
        </w:rPr>
        <w:t xml:space="preserve"> then it further affects the interest of the customers and puts a negative impact on sales growth. Hence, these factors allow a company to promote its product in a new market in an effective manner.</w:t>
      </w:r>
    </w:p>
    <w:p w14:paraId="19865997" w14:textId="77777777" w:rsidR="009F3464" w:rsidRPr="00DE40EF" w:rsidRDefault="009F3464">
      <w:pPr>
        <w:rPr>
          <w:rFonts w:ascii="Times New Roman" w:hAnsi="Times New Roman" w:cs="Times New Roman"/>
          <w:sz w:val="24"/>
          <w:szCs w:val="24"/>
        </w:rPr>
      </w:pPr>
      <w:r w:rsidRPr="00DE40EF">
        <w:rPr>
          <w:rFonts w:ascii="Arial" w:hAnsi="Arial" w:cs="Arial"/>
          <w:sz w:val="24"/>
          <w:szCs w:val="24"/>
        </w:rPr>
        <w:t>This assignment will provide an in-depth knowledge of marketing management by providing concepts of pioneer and follower companies. Furthermore, to get an overview of these concepts real-life examples along with product lifecycle strategies will be considered</w:t>
      </w:r>
      <w:r w:rsidRPr="00DE40EF">
        <w:rPr>
          <w:rFonts w:ascii="Times New Roman" w:hAnsi="Times New Roman" w:cs="Times New Roman"/>
          <w:sz w:val="24"/>
          <w:szCs w:val="24"/>
        </w:rPr>
        <w:t>.</w:t>
      </w:r>
    </w:p>
    <w:p w14:paraId="5227C74D" w14:textId="77777777" w:rsidR="009F3464" w:rsidRDefault="009F3464">
      <w:pPr>
        <w:pStyle w:val="Heading1"/>
      </w:pPr>
      <w:bookmarkStart w:id="2" w:name="_k5h976ra4ndr" w:colFirst="0" w:colLast="0"/>
      <w:bookmarkStart w:id="3" w:name="_Toc193305229"/>
      <w:bookmarkEnd w:id="2"/>
      <w:r>
        <w:t>Task 1</w:t>
      </w:r>
      <w:bookmarkEnd w:id="3"/>
    </w:p>
    <w:p w14:paraId="5B15BFD2" w14:textId="77777777" w:rsidR="009F3464" w:rsidRPr="00DE40EF" w:rsidRDefault="009F3464" w:rsidP="00C325A7">
      <w:pPr>
        <w:rPr>
          <w:rFonts w:ascii="Arial" w:hAnsi="Arial" w:cs="Arial"/>
          <w:b/>
          <w:sz w:val="24"/>
          <w:szCs w:val="24"/>
        </w:rPr>
      </w:pPr>
      <w:r w:rsidRPr="00DE40EF">
        <w:rPr>
          <w:rFonts w:ascii="Arial" w:hAnsi="Arial" w:cs="Arial"/>
          <w:b/>
          <w:sz w:val="24"/>
          <w:szCs w:val="24"/>
        </w:rPr>
        <w:t xml:space="preserve">The advantages of being a pioneer and follower company associated with examples of successful pioneer and follower companies  </w:t>
      </w:r>
      <w:r w:rsidRPr="00DE40EF">
        <w:rPr>
          <w:rFonts w:ascii="Arial" w:hAnsi="Arial" w:cs="Arial"/>
          <w:b/>
          <w:sz w:val="24"/>
          <w:szCs w:val="24"/>
          <w:highlight w:val="yellow"/>
        </w:rPr>
        <w:t xml:space="preserve"> </w:t>
      </w:r>
    </w:p>
    <w:p w14:paraId="6C6CB5E0" w14:textId="77777777" w:rsidR="009F3464" w:rsidRPr="00DE40EF" w:rsidRDefault="009F3464">
      <w:pPr>
        <w:rPr>
          <w:rFonts w:ascii="Arial" w:hAnsi="Arial" w:cs="Arial"/>
          <w:sz w:val="24"/>
          <w:szCs w:val="24"/>
        </w:rPr>
      </w:pPr>
      <w:r w:rsidRPr="00DE40EF">
        <w:rPr>
          <w:rFonts w:ascii="Arial" w:hAnsi="Arial" w:cs="Arial"/>
          <w:sz w:val="24"/>
          <w:szCs w:val="24"/>
        </w:rPr>
        <w:t xml:space="preserve">In terms of business, companies are mainly classified either as pioneers or as followers based on their approach to entering the market. According to Armstrong </w:t>
      </w:r>
      <w:r w:rsidRPr="00DE40EF">
        <w:rPr>
          <w:rFonts w:ascii="Arial" w:hAnsi="Arial" w:cs="Arial"/>
          <w:i/>
          <w:sz w:val="24"/>
          <w:szCs w:val="24"/>
        </w:rPr>
        <w:t>et al.</w:t>
      </w:r>
      <w:r w:rsidRPr="00DE40EF">
        <w:rPr>
          <w:rFonts w:ascii="Arial" w:hAnsi="Arial" w:cs="Arial"/>
          <w:sz w:val="24"/>
          <w:szCs w:val="24"/>
        </w:rPr>
        <w:t xml:space="preserve"> (2018), </w:t>
      </w:r>
      <w:r w:rsidRPr="00DE40EF">
        <w:rPr>
          <w:rFonts w:ascii="Arial" w:hAnsi="Arial" w:cs="Arial"/>
          <w:b/>
          <w:sz w:val="24"/>
          <w:szCs w:val="24"/>
        </w:rPr>
        <w:t>pioneers</w:t>
      </w:r>
      <w:r w:rsidRPr="00DE40EF">
        <w:rPr>
          <w:rFonts w:ascii="Arial" w:hAnsi="Arial" w:cs="Arial"/>
          <w:sz w:val="24"/>
          <w:szCs w:val="24"/>
        </w:rPr>
        <w:t xml:space="preserve"> </w:t>
      </w:r>
      <w:r w:rsidRPr="00DE40EF">
        <w:rPr>
          <w:rFonts w:ascii="Arial" w:hAnsi="Arial" w:cs="Arial"/>
          <w:b/>
          <w:sz w:val="24"/>
          <w:szCs w:val="24"/>
        </w:rPr>
        <w:t>or early entrants</w:t>
      </w:r>
      <w:r w:rsidRPr="00DE40EF">
        <w:rPr>
          <w:rFonts w:ascii="Arial" w:hAnsi="Arial" w:cs="Arial"/>
          <w:sz w:val="24"/>
          <w:szCs w:val="24"/>
        </w:rPr>
        <w:t xml:space="preserve"> </w:t>
      </w:r>
      <w:proofErr w:type="gramStart"/>
      <w:r w:rsidRPr="00DE40EF">
        <w:rPr>
          <w:rFonts w:ascii="Arial" w:hAnsi="Arial" w:cs="Arial"/>
          <w:sz w:val="24"/>
          <w:szCs w:val="24"/>
        </w:rPr>
        <w:t>are considered to be</w:t>
      </w:r>
      <w:proofErr w:type="gramEnd"/>
      <w:r w:rsidRPr="00DE40EF">
        <w:rPr>
          <w:rFonts w:ascii="Arial" w:hAnsi="Arial" w:cs="Arial"/>
          <w:sz w:val="24"/>
          <w:szCs w:val="24"/>
        </w:rPr>
        <w:t xml:space="preserve"> the first firms who introduce new products, services, and business models. This approach aids in securing early benefits like brand awareness, market dominance, and technological superiority in the relevant market. On the contrary, Hooley</w:t>
      </w:r>
      <w:r w:rsidRPr="00DE40EF">
        <w:rPr>
          <w:rFonts w:ascii="Arial" w:hAnsi="Arial" w:cs="Arial"/>
          <w:i/>
          <w:sz w:val="24"/>
          <w:szCs w:val="24"/>
        </w:rPr>
        <w:t xml:space="preserve"> et al</w:t>
      </w:r>
      <w:r w:rsidRPr="00DE40EF">
        <w:rPr>
          <w:rFonts w:ascii="Arial" w:hAnsi="Arial" w:cs="Arial"/>
          <w:sz w:val="24"/>
          <w:szCs w:val="24"/>
        </w:rPr>
        <w:t xml:space="preserve">. (2020), states that </w:t>
      </w:r>
      <w:r w:rsidRPr="00DE40EF">
        <w:rPr>
          <w:rFonts w:ascii="Arial" w:hAnsi="Arial" w:cs="Arial"/>
          <w:b/>
          <w:sz w:val="24"/>
          <w:szCs w:val="24"/>
        </w:rPr>
        <w:t>followers</w:t>
      </w:r>
      <w:r w:rsidRPr="00DE40EF">
        <w:rPr>
          <w:rFonts w:ascii="Arial" w:hAnsi="Arial" w:cs="Arial"/>
          <w:sz w:val="24"/>
          <w:szCs w:val="24"/>
        </w:rPr>
        <w:t xml:space="preserve"> </w:t>
      </w:r>
      <w:r w:rsidRPr="00DE40EF">
        <w:rPr>
          <w:rFonts w:ascii="Arial" w:hAnsi="Arial" w:cs="Arial"/>
          <w:b/>
          <w:sz w:val="24"/>
          <w:szCs w:val="24"/>
        </w:rPr>
        <w:t>or late entrants</w:t>
      </w:r>
      <w:r w:rsidRPr="00DE40EF">
        <w:rPr>
          <w:rFonts w:ascii="Arial" w:hAnsi="Arial" w:cs="Arial"/>
          <w:sz w:val="24"/>
          <w:szCs w:val="24"/>
        </w:rPr>
        <w:t xml:space="preserve"> are those who enter the market subsequently, utilising the valuable insights and experiences of pioneers. This, in turn, helps to enhance products, minimise risks, and optimise business strategies. In respective sectors, many well-established companies have established themselves as strong and reliable pioneers. These pioneers have set industry benchmarks, by shaping market dynamics, and paved the way for followers to build upon their innovations. The study suggested that both pioneer and follower companies have unique advantages. </w:t>
      </w:r>
    </w:p>
    <w:p w14:paraId="218A435E" w14:textId="77777777" w:rsidR="009F3464" w:rsidRPr="00DE40EF" w:rsidRDefault="009F3464">
      <w:pPr>
        <w:rPr>
          <w:rFonts w:ascii="Arial" w:hAnsi="Arial" w:cs="Arial"/>
          <w:sz w:val="24"/>
          <w:szCs w:val="24"/>
        </w:rPr>
      </w:pPr>
      <w:r w:rsidRPr="00DE40EF">
        <w:rPr>
          <w:rFonts w:ascii="Arial" w:hAnsi="Arial" w:cs="Arial"/>
          <w:sz w:val="24"/>
          <w:szCs w:val="24"/>
        </w:rPr>
        <w:lastRenderedPageBreak/>
        <w:t xml:space="preserve">As a pioneer company, the advantages lie in being the first company in the market to gain strong brand recognition and customer loyalty before the entry of rivals (Huang </w:t>
      </w:r>
      <w:r w:rsidRPr="00DE40EF">
        <w:rPr>
          <w:rFonts w:ascii="Arial" w:hAnsi="Arial" w:cs="Arial"/>
          <w:i/>
          <w:sz w:val="24"/>
          <w:szCs w:val="24"/>
        </w:rPr>
        <w:t xml:space="preserve">et al. </w:t>
      </w:r>
      <w:r w:rsidRPr="00DE40EF">
        <w:rPr>
          <w:rFonts w:ascii="Arial" w:hAnsi="Arial" w:cs="Arial"/>
          <w:sz w:val="24"/>
          <w:szCs w:val="24"/>
        </w:rPr>
        <w:t>2024). They can control the market with their established standards, tailor market expectations, and impact customers' needs. An early entry into the market helps the company to minimise cost, scale production, and set a cost-benefit (Parra</w:t>
      </w:r>
      <w:r w:rsidRPr="00DE40EF">
        <w:rPr>
          <w:rFonts w:ascii="Cambria Math" w:hAnsi="Cambria Math" w:cs="Cambria Math"/>
          <w:sz w:val="24"/>
          <w:szCs w:val="24"/>
        </w:rPr>
        <w:t>‐</w:t>
      </w:r>
      <w:r w:rsidRPr="00DE40EF">
        <w:rPr>
          <w:rFonts w:ascii="Arial" w:hAnsi="Arial" w:cs="Arial"/>
          <w:sz w:val="24"/>
          <w:szCs w:val="24"/>
        </w:rPr>
        <w:t xml:space="preserve">Requena </w:t>
      </w:r>
      <w:r w:rsidRPr="00DE40EF">
        <w:rPr>
          <w:rFonts w:ascii="Arial" w:hAnsi="Arial" w:cs="Arial"/>
          <w:i/>
          <w:sz w:val="24"/>
          <w:szCs w:val="24"/>
        </w:rPr>
        <w:t>et al.</w:t>
      </w:r>
      <w:r w:rsidRPr="00DE40EF">
        <w:rPr>
          <w:rFonts w:ascii="Arial" w:hAnsi="Arial" w:cs="Arial"/>
          <w:sz w:val="24"/>
          <w:szCs w:val="24"/>
        </w:rPr>
        <w:t xml:space="preserve"> 2024). It also aids in securing the trademarks of the products, patents, and innovative technologies that foster challenges in entry to the market. In addition, the early entrants have a high-profit potential as they can charge premium costs because of a lack of direct competition. Furthermore, pioneers mostly establish a robust relationship with distributors and suppliers. This in turn causes barriers for new entrants in the market, eventually reducing the competition. </w:t>
      </w:r>
    </w:p>
    <w:p w14:paraId="504743B1" w14:textId="77777777" w:rsidR="009F3464" w:rsidRPr="00DE40EF" w:rsidRDefault="009F3464">
      <w:pPr>
        <w:rPr>
          <w:rFonts w:ascii="Arial" w:hAnsi="Arial" w:cs="Arial"/>
          <w:sz w:val="24"/>
          <w:szCs w:val="24"/>
        </w:rPr>
      </w:pPr>
      <w:r w:rsidRPr="00DE40EF">
        <w:rPr>
          <w:rFonts w:ascii="Arial" w:hAnsi="Arial" w:cs="Arial"/>
          <w:sz w:val="24"/>
          <w:szCs w:val="24"/>
        </w:rPr>
        <w:t xml:space="preserve">Toyota is well known for its revolutionary entry into the automobile industry with lean manufacturing called the Toyota Production System for optimising efficiency and reducing waste (Denner </w:t>
      </w:r>
      <w:r w:rsidRPr="00DE40EF">
        <w:rPr>
          <w:rFonts w:ascii="Arial" w:hAnsi="Arial" w:cs="Arial"/>
          <w:i/>
          <w:sz w:val="24"/>
          <w:szCs w:val="24"/>
        </w:rPr>
        <w:t>et al.</w:t>
      </w:r>
      <w:r w:rsidRPr="00DE40EF">
        <w:rPr>
          <w:rFonts w:ascii="Arial" w:hAnsi="Arial" w:cs="Arial"/>
          <w:sz w:val="24"/>
          <w:szCs w:val="24"/>
        </w:rPr>
        <w:t xml:space="preserve"> 2025). This company is also known as a pioneer in hybrid vehicles with the launch of the Toyota Prius in 1997. Toyota was able to gain a strong reputation for reliability and innovation in fuel efficiency. IBM pioneered Personal Computing &amp; Enterprise Technology by introducing the first commercial computers, including mainframes and the IBM PC in 1981. This led to </w:t>
      </w:r>
      <w:proofErr w:type="gramStart"/>
      <w:r w:rsidRPr="00DE40EF">
        <w:rPr>
          <w:rFonts w:ascii="Arial" w:hAnsi="Arial" w:cs="Arial"/>
          <w:sz w:val="24"/>
          <w:szCs w:val="24"/>
        </w:rPr>
        <w:t>a basic foundation</w:t>
      </w:r>
      <w:proofErr w:type="gramEnd"/>
      <w:r w:rsidRPr="00DE40EF">
        <w:rPr>
          <w:rFonts w:ascii="Arial" w:hAnsi="Arial" w:cs="Arial"/>
          <w:sz w:val="24"/>
          <w:szCs w:val="24"/>
        </w:rPr>
        <w:t xml:space="preserve"> of enterprise IT solutions and modern personal computing. IBM’s early entry into the IT sector provided brand loyalty and long-term partnerships. Tesla pioneered in Electric Vehicles &amp; Autonomous Driving aspects. They are known for revolutionising the electric vehicle (EV) sector with the latest self-driving technology, energy storage solutions, and advanced driving technology (Baier </w:t>
      </w:r>
      <w:r w:rsidRPr="00DE40EF">
        <w:rPr>
          <w:rFonts w:ascii="Arial" w:hAnsi="Arial" w:cs="Arial"/>
          <w:i/>
          <w:sz w:val="24"/>
          <w:szCs w:val="24"/>
        </w:rPr>
        <w:t>et al.</w:t>
      </w:r>
      <w:r w:rsidRPr="00DE40EF">
        <w:rPr>
          <w:rFonts w:ascii="Arial" w:hAnsi="Arial" w:cs="Arial"/>
          <w:sz w:val="24"/>
          <w:szCs w:val="24"/>
        </w:rPr>
        <w:t xml:space="preserve"> 2025). Their entry into this market made the EVs mainstream and desirable for many customers. Additionally, helped Tesla to establish a strong fan base and premium market positioning. Google is well known for transforming Search Engines &amp; Online Advertising. They disrupted the search engine sector with its PageRank algorithm, by suggesting maximum relevant search outcomes. Google is also known for pioneering digital advertising via Google Ads that transformed online marketing. Being the first, Google was able to create a big advertising network that generates revenue in billions. </w:t>
      </w:r>
    </w:p>
    <w:p w14:paraId="58FCAF45" w14:textId="77777777" w:rsidR="009F3464" w:rsidRPr="00DE40EF" w:rsidRDefault="009F3464">
      <w:pPr>
        <w:rPr>
          <w:rFonts w:ascii="Arial" w:hAnsi="Arial" w:cs="Arial"/>
          <w:sz w:val="24"/>
          <w:szCs w:val="24"/>
        </w:rPr>
      </w:pPr>
      <w:r w:rsidRPr="00DE40EF">
        <w:rPr>
          <w:rFonts w:ascii="Arial" w:hAnsi="Arial" w:cs="Arial"/>
          <w:sz w:val="24"/>
          <w:szCs w:val="24"/>
        </w:rPr>
        <w:t xml:space="preserve">Considering the beneficial aspects of a follower company, they </w:t>
      </w:r>
      <w:proofErr w:type="gramStart"/>
      <w:r w:rsidRPr="00DE40EF">
        <w:rPr>
          <w:rFonts w:ascii="Arial" w:hAnsi="Arial" w:cs="Arial"/>
          <w:sz w:val="24"/>
          <w:szCs w:val="24"/>
        </w:rPr>
        <w:t>have the opportunity to</w:t>
      </w:r>
      <w:proofErr w:type="gramEnd"/>
      <w:r w:rsidRPr="00DE40EF">
        <w:rPr>
          <w:rFonts w:ascii="Arial" w:hAnsi="Arial" w:cs="Arial"/>
          <w:sz w:val="24"/>
          <w:szCs w:val="24"/>
        </w:rPr>
        <w:t xml:space="preserve"> learn from the successes and mistakes of pioneers (Wang and Jiang, 2025). This further helps in saving money by reducing the extra expenses on research and development (R&amp;D). Based on customer feedback and existing market gaps, late entrants can tailor and enhance the existing products. In terms of risk factors, followers have lower risk as pioneers tend to take on high risks by introducing new products in the market (</w:t>
      </w:r>
      <w:proofErr w:type="spellStart"/>
      <w:r w:rsidRPr="00DE40EF">
        <w:rPr>
          <w:rFonts w:ascii="Arial" w:hAnsi="Arial" w:cs="Arial"/>
          <w:sz w:val="24"/>
          <w:szCs w:val="24"/>
        </w:rPr>
        <w:t>Elhajjar</w:t>
      </w:r>
      <w:proofErr w:type="spellEnd"/>
      <w:r w:rsidRPr="00DE40EF">
        <w:rPr>
          <w:rFonts w:ascii="Arial" w:hAnsi="Arial" w:cs="Arial"/>
          <w:sz w:val="24"/>
          <w:szCs w:val="24"/>
        </w:rPr>
        <w:t xml:space="preserve">, 2024). Thus, followers can enter the market with certainty about current trends and marketing circumstances. The late entrants attain benefits over early entrants with lower production costs and more efficient technologies. In terms of easier customer acquisition, followers can identify the dissatisfied customers of pioneers by providing better service or products. </w:t>
      </w:r>
      <w:r w:rsidRPr="00DE40EF">
        <w:rPr>
          <w:rFonts w:ascii="Arial" w:hAnsi="Arial" w:cs="Arial"/>
          <w:sz w:val="24"/>
          <w:szCs w:val="24"/>
        </w:rPr>
        <w:lastRenderedPageBreak/>
        <w:t xml:space="preserve">Additionally, by observing the marketing strategies of pioneers, followers can refine their current marketing and branding initiatives for greater impact.  </w:t>
      </w:r>
    </w:p>
    <w:p w14:paraId="70DCDF54" w14:textId="77777777" w:rsidR="009F3464" w:rsidRPr="00DE40EF" w:rsidRDefault="009F3464">
      <w:pPr>
        <w:rPr>
          <w:rFonts w:ascii="Arial" w:hAnsi="Arial" w:cs="Arial"/>
          <w:sz w:val="24"/>
          <w:szCs w:val="24"/>
        </w:rPr>
      </w:pPr>
      <w:r w:rsidRPr="00DE40EF">
        <w:rPr>
          <w:rFonts w:ascii="Arial" w:hAnsi="Arial" w:cs="Arial"/>
          <w:sz w:val="24"/>
          <w:szCs w:val="24"/>
        </w:rPr>
        <w:t xml:space="preserve">Based on the above-stated pioneer companies, it had many followers in the industry, like Hyundai being a follower of Toyota. Hyundai adopted the lean manufacturing aspects and </w:t>
      </w:r>
      <w:proofErr w:type="gramStart"/>
      <w:r w:rsidRPr="00DE40EF">
        <w:rPr>
          <w:rFonts w:ascii="Arial" w:hAnsi="Arial" w:cs="Arial"/>
          <w:sz w:val="24"/>
          <w:szCs w:val="24"/>
        </w:rPr>
        <w:t>later on</w:t>
      </w:r>
      <w:proofErr w:type="gramEnd"/>
      <w:r w:rsidRPr="00DE40EF">
        <w:rPr>
          <w:rFonts w:ascii="Arial" w:hAnsi="Arial" w:cs="Arial"/>
          <w:sz w:val="24"/>
          <w:szCs w:val="24"/>
        </w:rPr>
        <w:t xml:space="preserve"> introduced hybrid or electric vehicles in the market (Yang </w:t>
      </w:r>
      <w:r w:rsidRPr="00DE40EF">
        <w:rPr>
          <w:rFonts w:ascii="Arial" w:hAnsi="Arial" w:cs="Arial"/>
          <w:i/>
          <w:sz w:val="24"/>
          <w:szCs w:val="24"/>
        </w:rPr>
        <w:t xml:space="preserve">et al. </w:t>
      </w:r>
      <w:r w:rsidRPr="00DE40EF">
        <w:rPr>
          <w:rFonts w:ascii="Arial" w:hAnsi="Arial" w:cs="Arial"/>
          <w:sz w:val="24"/>
          <w:szCs w:val="24"/>
        </w:rPr>
        <w:t xml:space="preserve">2025). Being a follower, they improvised the hybrid technology and eventually developed electric vehicles to advance beyond hybrids. </w:t>
      </w:r>
      <w:proofErr w:type="spellStart"/>
      <w:r w:rsidRPr="00DE40EF">
        <w:rPr>
          <w:rFonts w:ascii="Arial" w:hAnsi="Arial" w:cs="Arial"/>
          <w:sz w:val="24"/>
          <w:szCs w:val="24"/>
        </w:rPr>
        <w:t>Apple.Inc</w:t>
      </w:r>
      <w:proofErr w:type="spellEnd"/>
      <w:r w:rsidRPr="00DE40EF">
        <w:rPr>
          <w:rFonts w:ascii="Arial" w:hAnsi="Arial" w:cs="Arial"/>
          <w:sz w:val="24"/>
          <w:szCs w:val="24"/>
        </w:rPr>
        <w:t xml:space="preserve">., being a well-established brand is a follower of IBM in Personal Computers &amp; Enterprise Computing. This company further differentiated itself by emphasising its user experience, smooth integration, and unique designs to attract customers in the premium segment. Similarly, in terms of EVs and energy storage, Volkswagen (ID Series) is considered a follower. They utilised existing dealer networks and factories to scale EV production faster than Tesla (Kang, 2024). In Search Engines &amp; Online Advertising, Bing </w:t>
      </w:r>
      <w:proofErr w:type="gramStart"/>
      <w:r w:rsidRPr="00DE40EF">
        <w:rPr>
          <w:rFonts w:ascii="Arial" w:hAnsi="Arial" w:cs="Arial"/>
          <w:sz w:val="24"/>
          <w:szCs w:val="24"/>
        </w:rPr>
        <w:t>is considered to be</w:t>
      </w:r>
      <w:proofErr w:type="gramEnd"/>
      <w:r w:rsidRPr="00DE40EF">
        <w:rPr>
          <w:rFonts w:ascii="Arial" w:hAnsi="Arial" w:cs="Arial"/>
          <w:sz w:val="24"/>
          <w:szCs w:val="24"/>
        </w:rPr>
        <w:t xml:space="preserve"> a follower of Google. Bing, as Microsoft's search engine gained benefits of being a follower in strategies. The integration of an extensive product ecosystem allowed Microsoft to increase Bing’s visibility among users and drive search traffic.</w:t>
      </w:r>
    </w:p>
    <w:p w14:paraId="64707D9E" w14:textId="77777777" w:rsidR="009F3464" w:rsidRPr="00DE40EF" w:rsidRDefault="009F3464">
      <w:pPr>
        <w:rPr>
          <w:rFonts w:ascii="Arial" w:hAnsi="Arial" w:cs="Arial"/>
          <w:sz w:val="24"/>
          <w:szCs w:val="24"/>
        </w:rPr>
      </w:pPr>
      <w:r w:rsidRPr="00DE40EF">
        <w:rPr>
          <w:rFonts w:ascii="Arial" w:hAnsi="Arial" w:cs="Arial"/>
          <w:sz w:val="24"/>
          <w:szCs w:val="24"/>
        </w:rPr>
        <w:t>Therefore, based on the above analysis it can be stated that being a pioneer and follower holds respective advantages, each benefiting in different ways. The examples used in this section further support the fact that pioneer companies gain early market control and set industry standards. This in turn helps the followers to employ existing knowledge to refine products and optimise approaches for market competitiveness.</w:t>
      </w:r>
    </w:p>
    <w:p w14:paraId="4A900A03" w14:textId="77777777" w:rsidR="009F3464" w:rsidRPr="00DE40EF" w:rsidRDefault="009F3464">
      <w:pPr>
        <w:pStyle w:val="Heading1"/>
        <w:rPr>
          <w:rFonts w:ascii="Arial" w:hAnsi="Arial" w:cs="Arial"/>
          <w:sz w:val="24"/>
          <w:szCs w:val="24"/>
        </w:rPr>
      </w:pPr>
      <w:bookmarkStart w:id="4" w:name="_s5f2pyyfl59l" w:colFirst="0" w:colLast="0"/>
      <w:bookmarkStart w:id="5" w:name="_Toc193305230"/>
      <w:bookmarkEnd w:id="4"/>
      <w:r w:rsidRPr="00DE40EF">
        <w:rPr>
          <w:rFonts w:ascii="Arial" w:hAnsi="Arial" w:cs="Arial"/>
          <w:sz w:val="24"/>
          <w:szCs w:val="24"/>
        </w:rPr>
        <w:t>Task 2</w:t>
      </w:r>
      <w:bookmarkEnd w:id="5"/>
    </w:p>
    <w:p w14:paraId="12DCF959" w14:textId="77777777" w:rsidR="009F3464" w:rsidRPr="00DE40EF" w:rsidRDefault="009F3464" w:rsidP="00C325A7">
      <w:pPr>
        <w:rPr>
          <w:rFonts w:ascii="Arial" w:hAnsi="Arial" w:cs="Arial"/>
          <w:b/>
          <w:sz w:val="24"/>
          <w:szCs w:val="24"/>
        </w:rPr>
      </w:pPr>
      <w:r w:rsidRPr="00DE40EF">
        <w:rPr>
          <w:rFonts w:ascii="Arial" w:hAnsi="Arial" w:cs="Arial"/>
          <w:b/>
          <w:sz w:val="24"/>
          <w:szCs w:val="24"/>
        </w:rPr>
        <w:t>The Product life cycle strategies of successful pioneer and follower companies with examples of different pioneer and follower MNCs</w:t>
      </w:r>
    </w:p>
    <w:p w14:paraId="42568028" w14:textId="77777777" w:rsidR="009F3464" w:rsidRPr="00DE40EF" w:rsidRDefault="009F3464">
      <w:pPr>
        <w:rPr>
          <w:rFonts w:ascii="Arial" w:hAnsi="Arial" w:cs="Arial"/>
          <w:sz w:val="24"/>
          <w:szCs w:val="24"/>
        </w:rPr>
      </w:pPr>
      <w:r w:rsidRPr="00DE40EF">
        <w:rPr>
          <w:rFonts w:ascii="Arial" w:hAnsi="Arial" w:cs="Arial"/>
          <w:sz w:val="24"/>
          <w:szCs w:val="24"/>
        </w:rPr>
        <w:t xml:space="preserve">Successful pioneer companies implement a continuous product life cycle to increase growth and maintain a competitive advantage. As Robert and </w:t>
      </w:r>
      <w:proofErr w:type="spellStart"/>
      <w:r w:rsidRPr="00DE40EF">
        <w:rPr>
          <w:rFonts w:ascii="Arial" w:hAnsi="Arial" w:cs="Arial"/>
          <w:sz w:val="24"/>
          <w:szCs w:val="24"/>
        </w:rPr>
        <w:t>Moncaut</w:t>
      </w:r>
      <w:proofErr w:type="spellEnd"/>
      <w:r w:rsidRPr="00DE40EF">
        <w:rPr>
          <w:rFonts w:ascii="Arial" w:hAnsi="Arial" w:cs="Arial"/>
          <w:sz w:val="24"/>
          <w:szCs w:val="24"/>
        </w:rPr>
        <w:t xml:space="preserve">, (2024), suggested during the </w:t>
      </w:r>
      <w:r w:rsidRPr="00DE40EF">
        <w:rPr>
          <w:rFonts w:ascii="Arial" w:hAnsi="Arial" w:cs="Arial"/>
          <w:b/>
          <w:sz w:val="24"/>
          <w:szCs w:val="24"/>
        </w:rPr>
        <w:t>introduction</w:t>
      </w:r>
      <w:r w:rsidRPr="00DE40EF">
        <w:rPr>
          <w:rFonts w:ascii="Arial" w:hAnsi="Arial" w:cs="Arial"/>
          <w:sz w:val="24"/>
          <w:szCs w:val="24"/>
        </w:rPr>
        <w:t xml:space="preserve"> of product launching pioneer firms focus on creating awareness and building a customer base for the upcoming product. For example, Tesla introduced its latest EV models while creating a buzz around its innovative selling points through strategic marketing and partnerships. The follower companies, on the other hand, observe and learn from the pioneer’s strategies and </w:t>
      </w:r>
      <w:proofErr w:type="spellStart"/>
      <w:r w:rsidRPr="00DE40EF">
        <w:rPr>
          <w:rFonts w:ascii="Arial" w:hAnsi="Arial" w:cs="Arial"/>
          <w:sz w:val="24"/>
          <w:szCs w:val="24"/>
        </w:rPr>
        <w:t>strategise</w:t>
      </w:r>
      <w:proofErr w:type="spellEnd"/>
      <w:r w:rsidRPr="00DE40EF">
        <w:rPr>
          <w:rFonts w:ascii="Arial" w:hAnsi="Arial" w:cs="Arial"/>
          <w:sz w:val="24"/>
          <w:szCs w:val="24"/>
        </w:rPr>
        <w:t xml:space="preserve"> plans to avoid the same failures that pioneers faced. These brands refine their strategies before entering the market based on the review of the products launched by pioneer companies. Honda, for example, abstracted Toyota’s success with hybrid vehicles and developed its own hybrid models such as the Civic Hybrid (</w:t>
      </w:r>
      <w:proofErr w:type="spellStart"/>
      <w:r w:rsidRPr="00DE40EF">
        <w:rPr>
          <w:rFonts w:ascii="Arial" w:hAnsi="Arial" w:cs="Arial"/>
          <w:sz w:val="24"/>
          <w:szCs w:val="24"/>
        </w:rPr>
        <w:t>Çubukcu</w:t>
      </w:r>
      <w:proofErr w:type="spellEnd"/>
      <w:r w:rsidRPr="00DE40EF">
        <w:rPr>
          <w:rFonts w:ascii="Arial" w:hAnsi="Arial" w:cs="Arial"/>
          <w:sz w:val="24"/>
          <w:szCs w:val="24"/>
        </w:rPr>
        <w:t xml:space="preserve"> </w:t>
      </w:r>
      <w:r w:rsidRPr="00DE40EF">
        <w:rPr>
          <w:rFonts w:ascii="Arial" w:hAnsi="Arial" w:cs="Arial"/>
          <w:i/>
          <w:sz w:val="24"/>
          <w:szCs w:val="24"/>
        </w:rPr>
        <w:t xml:space="preserve">et al. </w:t>
      </w:r>
      <w:r w:rsidRPr="00DE40EF">
        <w:rPr>
          <w:rFonts w:ascii="Arial" w:hAnsi="Arial" w:cs="Arial"/>
          <w:sz w:val="24"/>
          <w:szCs w:val="24"/>
        </w:rPr>
        <w:t xml:space="preserve">2024). </w:t>
      </w:r>
    </w:p>
    <w:p w14:paraId="0B7F5A8C" w14:textId="77777777" w:rsidR="009F3464" w:rsidRPr="00DE40EF" w:rsidRDefault="009F3464" w:rsidP="00960CCF">
      <w:pPr>
        <w:pStyle w:val="NormalWeb"/>
        <w:jc w:val="center"/>
        <w:rPr>
          <w:rFonts w:ascii="Arial" w:hAnsi="Arial" w:cs="Arial"/>
        </w:rPr>
      </w:pPr>
    </w:p>
    <w:p w14:paraId="2FC1626F" w14:textId="77777777" w:rsidR="009F3464" w:rsidRDefault="009F3464" w:rsidP="00960CCF">
      <w:pPr>
        <w:pStyle w:val="NormalWeb"/>
        <w:jc w:val="center"/>
      </w:pPr>
    </w:p>
    <w:p w14:paraId="28EA114B" w14:textId="77777777" w:rsidR="009F3464" w:rsidRDefault="009F3464" w:rsidP="0080715A">
      <w:pPr>
        <w:pStyle w:val="NormalWeb"/>
        <w:jc w:val="center"/>
      </w:pPr>
      <w:r w:rsidRPr="00437471">
        <w:rPr>
          <w:noProof/>
        </w:rPr>
        <w:drawing>
          <wp:inline distT="0" distB="0" distL="0" distR="0" wp14:anchorId="3B0FB2C2" wp14:editId="644988D4">
            <wp:extent cx="5943600" cy="3594100"/>
            <wp:effectExtent l="0" t="0" r="0" b="6350"/>
            <wp:docPr id="979257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257899" name=""/>
                    <pic:cNvPicPr/>
                  </pic:nvPicPr>
                  <pic:blipFill>
                    <a:blip r:embed="rId6"/>
                    <a:stretch>
                      <a:fillRect/>
                    </a:stretch>
                  </pic:blipFill>
                  <pic:spPr>
                    <a:xfrm>
                      <a:off x="0" y="0"/>
                      <a:ext cx="5943600" cy="3594100"/>
                    </a:xfrm>
                    <a:prstGeom prst="rect">
                      <a:avLst/>
                    </a:prstGeom>
                  </pic:spPr>
                </pic:pic>
              </a:graphicData>
            </a:graphic>
          </wp:inline>
        </w:drawing>
      </w:r>
    </w:p>
    <w:p w14:paraId="36A64356" w14:textId="77777777" w:rsidR="009F3464" w:rsidRDefault="009F3464">
      <w:pPr>
        <w:jc w:val="center"/>
        <w:rPr>
          <w:b/>
        </w:rPr>
      </w:pPr>
      <w:r>
        <w:rPr>
          <w:b/>
        </w:rPr>
        <w:t>Figure: Product Life Cycle</w:t>
      </w:r>
    </w:p>
    <w:p w14:paraId="237212F6" w14:textId="77777777" w:rsidR="009F3464" w:rsidRPr="00DE40EF" w:rsidRDefault="009F3464">
      <w:pPr>
        <w:jc w:val="center"/>
        <w:rPr>
          <w:sz w:val="24"/>
          <w:szCs w:val="24"/>
        </w:rPr>
      </w:pPr>
      <w:r w:rsidRPr="00DE40EF">
        <w:rPr>
          <w:sz w:val="24"/>
          <w:szCs w:val="24"/>
        </w:rPr>
        <w:t xml:space="preserve">(Source: Hooley </w:t>
      </w:r>
      <w:r w:rsidRPr="00DE40EF">
        <w:rPr>
          <w:i/>
          <w:sz w:val="24"/>
          <w:szCs w:val="24"/>
        </w:rPr>
        <w:t>et al.</w:t>
      </w:r>
      <w:r w:rsidRPr="00DE40EF">
        <w:rPr>
          <w:sz w:val="24"/>
          <w:szCs w:val="24"/>
        </w:rPr>
        <w:t>, 2020, p 291)</w:t>
      </w:r>
    </w:p>
    <w:p w14:paraId="6A4E1D3D" w14:textId="77777777" w:rsidR="009F3464" w:rsidRPr="00DE40EF" w:rsidRDefault="009F3464">
      <w:pPr>
        <w:rPr>
          <w:rFonts w:ascii="Arial" w:hAnsi="Arial" w:cs="Arial"/>
          <w:sz w:val="24"/>
          <w:szCs w:val="24"/>
        </w:rPr>
      </w:pPr>
      <w:r w:rsidRPr="00DE40EF">
        <w:rPr>
          <w:rFonts w:ascii="Arial" w:hAnsi="Arial" w:cs="Arial"/>
          <w:sz w:val="24"/>
          <w:szCs w:val="24"/>
        </w:rPr>
        <w:t xml:space="preserve">As stated by, Peters, (2024), when the market is in the growth phase, pioneers continue to improve and innovate their products, widen their product line, intensify marketing activities, make strategic alliances, and engage in research and development. Toyota, for example, has been upgrading and developing its hybrid cars continuously, widening its product line to accommodate various segments of customers. IBM has also spent significantly on research and development, creating new-age solutions like Watson, its artificial intelligence solution (Banai and Nirenberg, 2024). Pioneers develop and enhance products, constantly upgrading and enhancing them. They diversify into new product lines to serve various customer segments and raise marketing levels to gain brand prominence. Pioneers create strategic alliances and engage in R&amp;D to maintain competitive advantage. Followers replicate and mimic pioneers' actions, targeting niche markets and charging competitive prices to capture market share. Google, on the other hand, has diversified its product line to various innovative offerings such as Google Maps and Google Cloud. Nike has also upped its marketing game, tying up with sports stars and celebrities to endorse its brand (Li </w:t>
      </w:r>
      <w:r w:rsidRPr="00DE40EF">
        <w:rPr>
          <w:rFonts w:ascii="Arial" w:hAnsi="Arial" w:cs="Arial"/>
          <w:i/>
          <w:sz w:val="24"/>
          <w:szCs w:val="24"/>
        </w:rPr>
        <w:t>et al.</w:t>
      </w:r>
      <w:r w:rsidRPr="00DE40EF">
        <w:rPr>
          <w:rFonts w:ascii="Arial" w:hAnsi="Arial" w:cs="Arial"/>
          <w:sz w:val="24"/>
          <w:szCs w:val="24"/>
        </w:rPr>
        <w:t xml:space="preserve"> 2024).</w:t>
      </w:r>
    </w:p>
    <w:p w14:paraId="51C49E00" w14:textId="77777777" w:rsidR="009F3464" w:rsidRPr="00DE40EF" w:rsidRDefault="009F3464">
      <w:pPr>
        <w:rPr>
          <w:rFonts w:ascii="Arial" w:hAnsi="Arial" w:cs="Arial"/>
          <w:sz w:val="24"/>
          <w:szCs w:val="24"/>
        </w:rPr>
      </w:pPr>
      <w:r w:rsidRPr="00DE40EF">
        <w:rPr>
          <w:rFonts w:ascii="Arial" w:hAnsi="Arial" w:cs="Arial"/>
          <w:sz w:val="24"/>
          <w:szCs w:val="24"/>
        </w:rPr>
        <w:t xml:space="preserve">Pellegrino, (2024), asserted followers, in contrast, replicate and modify pioneers' tactics, target niche markets, provide competitive pricing, build complementary products, and create partnerships. Honda, for instance, has concentrated on creating </w:t>
      </w:r>
      <w:r w:rsidRPr="00DE40EF">
        <w:rPr>
          <w:rFonts w:ascii="Arial" w:hAnsi="Arial" w:cs="Arial"/>
          <w:sz w:val="24"/>
          <w:szCs w:val="24"/>
        </w:rPr>
        <w:lastRenderedPageBreak/>
        <w:t xml:space="preserve">fuel-efficient cars, aiming at customers who value environmental conservation (Yang </w:t>
      </w:r>
      <w:r w:rsidRPr="00DE40EF">
        <w:rPr>
          <w:rFonts w:ascii="Arial" w:hAnsi="Arial" w:cs="Arial"/>
          <w:i/>
          <w:sz w:val="24"/>
          <w:szCs w:val="24"/>
        </w:rPr>
        <w:t>et al.</w:t>
      </w:r>
      <w:r w:rsidRPr="00DE40EF">
        <w:rPr>
          <w:rFonts w:ascii="Arial" w:hAnsi="Arial" w:cs="Arial"/>
          <w:sz w:val="24"/>
          <w:szCs w:val="24"/>
        </w:rPr>
        <w:t xml:space="preserve"> 2025). Capgemini has provided competitive pricing for its IT advisory services, winning customers who are seeking affordable options. Mercedes Benz has created complementary products, such as its Mercedes-AMG line, aimed at consumers who seek high-performance cars. Yahoo has partnered with Google and Microsoft </w:t>
      </w:r>
      <w:proofErr w:type="gramStart"/>
      <w:r w:rsidRPr="00DE40EF">
        <w:rPr>
          <w:rFonts w:ascii="Arial" w:hAnsi="Arial" w:cs="Arial"/>
          <w:sz w:val="24"/>
          <w:szCs w:val="24"/>
        </w:rPr>
        <w:t>in order to</w:t>
      </w:r>
      <w:proofErr w:type="gramEnd"/>
      <w:r w:rsidRPr="00DE40EF">
        <w:rPr>
          <w:rFonts w:ascii="Arial" w:hAnsi="Arial" w:cs="Arial"/>
          <w:sz w:val="24"/>
          <w:szCs w:val="24"/>
        </w:rPr>
        <w:t xml:space="preserve"> enhance its search engine functionality.</w:t>
      </w:r>
    </w:p>
    <w:p w14:paraId="7EEE54F7" w14:textId="77777777" w:rsidR="009F3464" w:rsidRPr="00DE40EF" w:rsidRDefault="009F3464">
      <w:pPr>
        <w:rPr>
          <w:rFonts w:ascii="Arial" w:hAnsi="Arial" w:cs="Arial"/>
          <w:sz w:val="24"/>
          <w:szCs w:val="24"/>
        </w:rPr>
      </w:pPr>
      <w:r w:rsidRPr="00DE40EF">
        <w:rPr>
          <w:rFonts w:ascii="Arial" w:hAnsi="Arial" w:cs="Arial"/>
          <w:sz w:val="24"/>
          <w:szCs w:val="24"/>
        </w:rPr>
        <w:t xml:space="preserve">As for strategic </w:t>
      </w:r>
      <w:r w:rsidRPr="00DE40EF">
        <w:rPr>
          <w:rFonts w:ascii="Arial" w:hAnsi="Arial" w:cs="Arial"/>
          <w:b/>
          <w:sz w:val="24"/>
          <w:szCs w:val="24"/>
        </w:rPr>
        <w:t>market maturity amplification</w:t>
      </w:r>
      <w:r w:rsidRPr="00DE40EF">
        <w:rPr>
          <w:rFonts w:ascii="Arial" w:hAnsi="Arial" w:cs="Arial"/>
          <w:sz w:val="24"/>
          <w:szCs w:val="24"/>
        </w:rPr>
        <w:t xml:space="preserve">, pioneers concentrate on consolidating market share, improving operations, diversifying into new markets, and investing in brand support. </w:t>
      </w:r>
      <w:proofErr w:type="gramStart"/>
      <w:r w:rsidRPr="00DE40EF">
        <w:rPr>
          <w:rFonts w:ascii="Arial" w:hAnsi="Arial" w:cs="Arial"/>
          <w:sz w:val="24"/>
          <w:szCs w:val="24"/>
        </w:rPr>
        <w:t xml:space="preserve">Dominic </w:t>
      </w:r>
      <w:r w:rsidRPr="00DE40EF">
        <w:rPr>
          <w:rFonts w:ascii="Arial" w:hAnsi="Arial" w:cs="Arial"/>
          <w:i/>
          <w:sz w:val="24"/>
          <w:szCs w:val="24"/>
        </w:rPr>
        <w:t xml:space="preserve">et al. </w:t>
      </w:r>
      <w:r w:rsidRPr="00DE40EF">
        <w:rPr>
          <w:rFonts w:ascii="Arial" w:hAnsi="Arial" w:cs="Arial"/>
          <w:sz w:val="24"/>
          <w:szCs w:val="24"/>
        </w:rPr>
        <w:t>(2024),</w:t>
      </w:r>
      <w:proofErr w:type="gramEnd"/>
      <w:r w:rsidRPr="00DE40EF">
        <w:rPr>
          <w:rFonts w:ascii="Arial" w:hAnsi="Arial" w:cs="Arial"/>
          <w:sz w:val="24"/>
          <w:szCs w:val="24"/>
        </w:rPr>
        <w:t xml:space="preserve"> demonstrated these brands also track and react to competitors in the market to look out for variations in the maturity stage. Toyota, for example, has centralized its market position in the hybrid car business, streamlining its operations </w:t>
      </w:r>
      <w:proofErr w:type="gramStart"/>
      <w:r w:rsidRPr="00DE40EF">
        <w:rPr>
          <w:rFonts w:ascii="Arial" w:hAnsi="Arial" w:cs="Arial"/>
          <w:sz w:val="24"/>
          <w:szCs w:val="24"/>
        </w:rPr>
        <w:t>in an effort to</w:t>
      </w:r>
      <w:proofErr w:type="gramEnd"/>
      <w:r w:rsidRPr="00DE40EF">
        <w:rPr>
          <w:rFonts w:ascii="Arial" w:hAnsi="Arial" w:cs="Arial"/>
          <w:sz w:val="24"/>
          <w:szCs w:val="24"/>
        </w:rPr>
        <w:t xml:space="preserve"> save money and be more efficient. However, Eckert </w:t>
      </w:r>
      <w:r w:rsidRPr="00DE40EF">
        <w:rPr>
          <w:rFonts w:ascii="Arial" w:hAnsi="Arial" w:cs="Arial"/>
          <w:i/>
          <w:sz w:val="24"/>
          <w:szCs w:val="24"/>
        </w:rPr>
        <w:t xml:space="preserve">et al. </w:t>
      </w:r>
      <w:r w:rsidRPr="00DE40EF">
        <w:rPr>
          <w:rFonts w:ascii="Arial" w:hAnsi="Arial" w:cs="Arial"/>
          <w:sz w:val="24"/>
          <w:szCs w:val="24"/>
        </w:rPr>
        <w:t xml:space="preserve">(2024), asserted in this stage pioneers diversify into new markets, venturing into neighbouring markets or industries to increase revenue streams. For example, IBM diversified into other segments, like cloud computing and AI, making large investments in R&amp;D in a bid to get ahead of the competition. They spend on brand upkeep, continuing to invest in branding and marketing activities. Pioneers also track and react to competition, closely tracking them and reacting to their moves. Followers counter pioneers, competing with them head-on through aggressive marketing, pricing, or innovation. Google made an investment in maintaining brands by keeping spending on advertising and promotions </w:t>
      </w:r>
      <w:proofErr w:type="gramStart"/>
      <w:r w:rsidRPr="00DE40EF">
        <w:rPr>
          <w:rFonts w:ascii="Arial" w:hAnsi="Arial" w:cs="Arial"/>
          <w:sz w:val="24"/>
          <w:szCs w:val="24"/>
        </w:rPr>
        <w:t>in an attempt to</w:t>
      </w:r>
      <w:proofErr w:type="gramEnd"/>
      <w:r w:rsidRPr="00DE40EF">
        <w:rPr>
          <w:rFonts w:ascii="Arial" w:hAnsi="Arial" w:cs="Arial"/>
          <w:sz w:val="24"/>
          <w:szCs w:val="24"/>
        </w:rPr>
        <w:t xml:space="preserve"> keep itself top in brands. Nike has tracked and reacted to competitors and updated its tactics to remain competitive.</w:t>
      </w:r>
    </w:p>
    <w:p w14:paraId="183E884F" w14:textId="77777777" w:rsidR="009F3464" w:rsidRPr="00DE40EF" w:rsidRDefault="009F3464">
      <w:pPr>
        <w:rPr>
          <w:rFonts w:ascii="Arial" w:hAnsi="Arial" w:cs="Arial"/>
          <w:sz w:val="24"/>
          <w:szCs w:val="24"/>
        </w:rPr>
      </w:pPr>
      <w:r w:rsidRPr="00DE40EF">
        <w:rPr>
          <w:rFonts w:ascii="Arial" w:hAnsi="Arial" w:cs="Arial"/>
          <w:sz w:val="24"/>
          <w:szCs w:val="24"/>
        </w:rPr>
        <w:t xml:space="preserve">Hongbin </w:t>
      </w:r>
      <w:r w:rsidRPr="00DE40EF">
        <w:rPr>
          <w:rFonts w:ascii="Arial" w:hAnsi="Arial" w:cs="Arial"/>
          <w:i/>
          <w:sz w:val="24"/>
          <w:szCs w:val="24"/>
        </w:rPr>
        <w:t>et al.</w:t>
      </w:r>
      <w:r w:rsidRPr="00DE40EF">
        <w:rPr>
          <w:rFonts w:ascii="Arial" w:hAnsi="Arial" w:cs="Arial"/>
          <w:sz w:val="24"/>
          <w:szCs w:val="24"/>
        </w:rPr>
        <w:t xml:space="preserve"> (2025), stated that followers, however, disrupt pioneers, prioritise customer retention, look for new channels of distribution, create new products, and make strategic acquisitions. Honda, for example, has disrupted Toyota's dominance in hybrid car sales by creating new products like the Honda Clarity. Capgemini has emphasised customer retention, building good relationships with customers to keep their business. Mercedes Benz has innovated new distribution channels, like online selling websites, to penetrate wider markets. Yahoo has innovated new products, like its Yahoo Finance website, to win new customers. Adidas has contemplated strategic acquisitions, buying firms like Reebok to diversify its product range.</w:t>
      </w:r>
    </w:p>
    <w:p w14:paraId="32000CDA" w14:textId="77777777" w:rsidR="009F3464" w:rsidRPr="00DE40EF" w:rsidRDefault="009F3464">
      <w:pPr>
        <w:rPr>
          <w:rFonts w:ascii="Arial" w:hAnsi="Arial" w:cs="Arial"/>
          <w:sz w:val="24"/>
          <w:szCs w:val="24"/>
        </w:rPr>
      </w:pPr>
      <w:r w:rsidRPr="00DE40EF">
        <w:rPr>
          <w:rFonts w:ascii="Arial" w:hAnsi="Arial" w:cs="Arial"/>
          <w:sz w:val="24"/>
          <w:szCs w:val="24"/>
        </w:rPr>
        <w:t xml:space="preserve">Moreover, according to, Kotler and Armstrong, (2018), in the </w:t>
      </w:r>
      <w:r w:rsidRPr="00DE40EF">
        <w:rPr>
          <w:rFonts w:ascii="Arial" w:hAnsi="Arial" w:cs="Arial"/>
          <w:b/>
          <w:sz w:val="24"/>
          <w:szCs w:val="24"/>
        </w:rPr>
        <w:t>decline stage</w:t>
      </w:r>
      <w:r w:rsidRPr="00DE40EF">
        <w:rPr>
          <w:rFonts w:ascii="Arial" w:hAnsi="Arial" w:cs="Arial"/>
          <w:sz w:val="24"/>
          <w:szCs w:val="24"/>
        </w:rPr>
        <w:t xml:space="preserve">, followers and pioneers are concerned with harvesting current products, cutting investments, looking for new markets or products, and thinking of divestment. Both followers and pioneers reap currently available products and aim to maximise profits from them. The brands lower their investment in losing products or markets and venture into new markets or products. Firms think about divestment, disposing of losing products or businesses to concentrate on more lucrative lines. Toyota has, for example, harvested its current products with the aim of bringing the maximum revenue from its mature product lines. IBM has cut investments in its declining products, like its hardware business, and ventured into new markets, like cloud </w:t>
      </w:r>
      <w:r w:rsidRPr="00DE40EF">
        <w:rPr>
          <w:rFonts w:ascii="Arial" w:hAnsi="Arial" w:cs="Arial"/>
          <w:sz w:val="24"/>
          <w:szCs w:val="24"/>
        </w:rPr>
        <w:lastRenderedPageBreak/>
        <w:t>computing and artificial intelligence (Stark, 2022). Google has ventured into new markets, including healthcare and finance, and divested, disposing of its Motorola Mobility division (Hooley et al. 2008). Nike has reaped its current products, emphasising revenue maximisation from its current product lines, and ventured into new markets, including digital sports.</w:t>
      </w:r>
    </w:p>
    <w:p w14:paraId="46F9CBFB" w14:textId="77777777" w:rsidR="009F3464" w:rsidRPr="00DE40EF" w:rsidRDefault="009F3464">
      <w:pPr>
        <w:rPr>
          <w:rFonts w:ascii="Arial" w:hAnsi="Arial" w:cs="Arial"/>
          <w:sz w:val="24"/>
          <w:szCs w:val="24"/>
        </w:rPr>
      </w:pPr>
      <w:r w:rsidRPr="00DE40EF">
        <w:rPr>
          <w:rFonts w:ascii="Arial" w:hAnsi="Arial" w:cs="Arial"/>
          <w:sz w:val="24"/>
          <w:szCs w:val="24"/>
        </w:rPr>
        <w:t xml:space="preserve">Finally, effective pioneer and follower firms employ different product life cycle strategies to enhance growth and sustain competitive advantage. By recognising the various phases of the product life cycle and modifying their strategies in response, businesses </w:t>
      </w:r>
      <w:proofErr w:type="gramStart"/>
      <w:r w:rsidRPr="00DE40EF">
        <w:rPr>
          <w:rFonts w:ascii="Arial" w:hAnsi="Arial" w:cs="Arial"/>
          <w:sz w:val="24"/>
          <w:szCs w:val="24"/>
        </w:rPr>
        <w:t>are able to</w:t>
      </w:r>
      <w:proofErr w:type="gramEnd"/>
      <w:r w:rsidRPr="00DE40EF">
        <w:rPr>
          <w:rFonts w:ascii="Arial" w:hAnsi="Arial" w:cs="Arial"/>
          <w:sz w:val="24"/>
          <w:szCs w:val="24"/>
        </w:rPr>
        <w:t xml:space="preserve"> remain competitive and enjoy long-term success. Whether it's a matter of product innovation and refinement, product line extension, or extending into new markets, businesses need to be prepared to change and evolve </w:t>
      </w:r>
      <w:proofErr w:type="gramStart"/>
      <w:r w:rsidRPr="00DE40EF">
        <w:rPr>
          <w:rFonts w:ascii="Arial" w:hAnsi="Arial" w:cs="Arial"/>
          <w:sz w:val="24"/>
          <w:szCs w:val="24"/>
        </w:rPr>
        <w:t>in order to</w:t>
      </w:r>
      <w:proofErr w:type="gramEnd"/>
      <w:r w:rsidRPr="00DE40EF">
        <w:rPr>
          <w:rFonts w:ascii="Arial" w:hAnsi="Arial" w:cs="Arial"/>
          <w:sz w:val="24"/>
          <w:szCs w:val="24"/>
        </w:rPr>
        <w:t xml:space="preserve"> remain competitive in this era of fast-paced business.</w:t>
      </w:r>
    </w:p>
    <w:p w14:paraId="78132C47" w14:textId="77777777" w:rsidR="009F3464" w:rsidRPr="00DE40EF" w:rsidRDefault="009F3464" w:rsidP="00C325A7">
      <w:pPr>
        <w:pStyle w:val="Heading1"/>
        <w:rPr>
          <w:rFonts w:ascii="Arial" w:hAnsi="Arial" w:cs="Arial"/>
        </w:rPr>
      </w:pPr>
      <w:bookmarkStart w:id="6" w:name="_5ybs8rodx7jw" w:colFirst="0" w:colLast="0"/>
      <w:bookmarkStart w:id="7" w:name="_Toc193305231"/>
      <w:bookmarkEnd w:id="6"/>
      <w:r w:rsidRPr="00DE40EF">
        <w:rPr>
          <w:rFonts w:ascii="Arial" w:hAnsi="Arial" w:cs="Arial"/>
        </w:rPr>
        <w:t>Conclusion</w:t>
      </w:r>
      <w:bookmarkEnd w:id="7"/>
    </w:p>
    <w:p w14:paraId="1296A6AB" w14:textId="77777777" w:rsidR="009F3464" w:rsidRPr="00DE40EF" w:rsidRDefault="009F3464">
      <w:pPr>
        <w:rPr>
          <w:rFonts w:ascii="Arial" w:hAnsi="Arial" w:cs="Arial"/>
          <w:sz w:val="24"/>
          <w:szCs w:val="24"/>
        </w:rPr>
      </w:pPr>
      <w:r w:rsidRPr="00DE40EF">
        <w:rPr>
          <w:rFonts w:ascii="Arial" w:hAnsi="Arial" w:cs="Arial"/>
          <w:sz w:val="24"/>
          <w:szCs w:val="24"/>
        </w:rPr>
        <w:t xml:space="preserve">This report has provided a concept of marketing management </w:t>
      </w:r>
      <w:proofErr w:type="gramStart"/>
      <w:r w:rsidRPr="00DE40EF">
        <w:rPr>
          <w:rFonts w:ascii="Arial" w:hAnsi="Arial" w:cs="Arial"/>
          <w:sz w:val="24"/>
          <w:szCs w:val="24"/>
        </w:rPr>
        <w:t>and also</w:t>
      </w:r>
      <w:proofErr w:type="gramEnd"/>
      <w:r w:rsidRPr="00DE40EF">
        <w:rPr>
          <w:rFonts w:ascii="Arial" w:hAnsi="Arial" w:cs="Arial"/>
          <w:sz w:val="24"/>
          <w:szCs w:val="24"/>
        </w:rPr>
        <w:t xml:space="preserve"> stated the importance of launch timing and product life cycle to enter a new market. </w:t>
      </w:r>
      <w:proofErr w:type="gramStart"/>
      <w:r w:rsidRPr="00DE40EF">
        <w:rPr>
          <w:rFonts w:ascii="Arial" w:hAnsi="Arial" w:cs="Arial"/>
          <w:sz w:val="24"/>
          <w:szCs w:val="24"/>
        </w:rPr>
        <w:t>In order to</w:t>
      </w:r>
      <w:proofErr w:type="gramEnd"/>
      <w:r w:rsidRPr="00DE40EF">
        <w:rPr>
          <w:rFonts w:ascii="Arial" w:hAnsi="Arial" w:cs="Arial"/>
          <w:sz w:val="24"/>
          <w:szCs w:val="24"/>
        </w:rPr>
        <w:t xml:space="preserve"> complete this </w:t>
      </w:r>
      <w:proofErr w:type="gramStart"/>
      <w:r w:rsidRPr="00DE40EF">
        <w:rPr>
          <w:rFonts w:ascii="Arial" w:hAnsi="Arial" w:cs="Arial"/>
          <w:sz w:val="24"/>
          <w:szCs w:val="24"/>
        </w:rPr>
        <w:t>report</w:t>
      </w:r>
      <w:proofErr w:type="gramEnd"/>
      <w:r w:rsidRPr="00DE40EF">
        <w:rPr>
          <w:rFonts w:ascii="Arial" w:hAnsi="Arial" w:cs="Arial"/>
          <w:sz w:val="24"/>
          <w:szCs w:val="24"/>
        </w:rPr>
        <w:t xml:space="preserve"> the entire content has been subdivided into two sections in which the advantages and examples of pioneer and follower companies have been described. In the first section benefits of pioneer companies have been described in examples of Toyota, IBM and Tesla have been considered. It has been depicted that being a pioneer a company can enter the product or services at an early stage in the market though drawing the attention of the customers becomes easy for them. Moreover, follower companies get the advantage of understanding the market scenario after observing the challenges and opportunities faced by the pioneer ones. Through this process, the follower companies can make strategic decisions to overcome such challenges in the market. In this report, the business activities of Hyundai, Volkswagen and Apple Inc. have been discussed as a follower company. The second section discussed the product life cycle and its importance in increasing sales, and performance of an organisation. The “Product life cycle” described in this report states four stages "introduction", "growth", "maturity" and "decline" of a particular product. By implementing strategies after understanding the product lifecycle companies can create awareness about the product among the customer base </w:t>
      </w:r>
      <w:proofErr w:type="gramStart"/>
      <w:r w:rsidRPr="00DE40EF">
        <w:rPr>
          <w:rFonts w:ascii="Arial" w:hAnsi="Arial" w:cs="Arial"/>
          <w:sz w:val="24"/>
          <w:szCs w:val="24"/>
        </w:rPr>
        <w:t>and also</w:t>
      </w:r>
      <w:proofErr w:type="gramEnd"/>
      <w:r w:rsidRPr="00DE40EF">
        <w:rPr>
          <w:rFonts w:ascii="Arial" w:hAnsi="Arial" w:cs="Arial"/>
          <w:sz w:val="24"/>
          <w:szCs w:val="24"/>
        </w:rPr>
        <w:t xml:space="preserve"> can generate new leads. Pioneer companies can approach their unique selling points to their customers whereas the follower company can make effective partnerships from this process.</w:t>
      </w:r>
    </w:p>
    <w:p w14:paraId="38849FCD" w14:textId="77777777" w:rsidR="009F3464" w:rsidRPr="009F3464" w:rsidRDefault="009F3464">
      <w:pPr>
        <w:rPr>
          <w:rFonts w:ascii="Times New Roman" w:hAnsi="Times New Roman" w:cs="Times New Roman"/>
          <w:b/>
          <w:sz w:val="28"/>
          <w:szCs w:val="28"/>
        </w:rPr>
      </w:pPr>
      <w:r w:rsidRPr="009F3464">
        <w:rPr>
          <w:rFonts w:ascii="Times New Roman" w:hAnsi="Times New Roman" w:cs="Times New Roman"/>
        </w:rPr>
        <w:br w:type="page"/>
      </w:r>
    </w:p>
    <w:p w14:paraId="52F33F5B" w14:textId="77777777" w:rsidR="009F3464" w:rsidRDefault="009F3464" w:rsidP="00C325A7">
      <w:pPr>
        <w:pStyle w:val="Heading1"/>
      </w:pPr>
      <w:bookmarkStart w:id="8" w:name="_Toc193305232"/>
      <w:r>
        <w:lastRenderedPageBreak/>
        <w:t>References</w:t>
      </w:r>
      <w:bookmarkEnd w:id="8"/>
    </w:p>
    <w:p w14:paraId="58D275A0" w14:textId="77777777" w:rsidR="009F3464" w:rsidRDefault="009F3464">
      <w:r>
        <w:t xml:space="preserve">Armstrong, G., Adam, S., Denize, S. and Kotler, P., (2018). Principles of Marketing Edition. [Available at: </w:t>
      </w:r>
      <w:hyperlink r:id="rId7" w:anchor="v=onepage&amp;q&amp;f=false">
        <w:r>
          <w:rPr>
            <w:color w:val="1155CC"/>
            <w:u w:val="single"/>
          </w:rPr>
          <w:t>https://books.google.co.in/books?hl=en&amp;lr=&amp;id=hG9VDgAAQBAJ&amp;oi=fnd&amp;pg=PA15&amp;dq=related:V2haNyNbYPwJ:scholar.google.com/&amp;ots=5wRHTXXYdp&amp;sig=v8kqKEfJ-Bf9_LO2WFk5E8nTON0&amp;redir_esc=y#v=onepage&amp;q&amp;f=false</w:t>
        </w:r>
      </w:hyperlink>
      <w:r>
        <w:t xml:space="preserve">] </w:t>
      </w:r>
    </w:p>
    <w:p w14:paraId="1CF766B9" w14:textId="77777777" w:rsidR="009F3464" w:rsidRDefault="009F3464">
      <w:r w:rsidRPr="008042B0">
        <w:t xml:space="preserve">Baier, D., Decker, R. and </w:t>
      </w:r>
      <w:proofErr w:type="spellStart"/>
      <w:r w:rsidRPr="008042B0">
        <w:t>Asenova</w:t>
      </w:r>
      <w:proofErr w:type="spellEnd"/>
      <w:r w:rsidRPr="008042B0">
        <w:t xml:space="preserve">, Y., (2025). Collecting and </w:t>
      </w:r>
      <w:proofErr w:type="spellStart"/>
      <w:r w:rsidRPr="008042B0">
        <w:t>Analyzing</w:t>
      </w:r>
      <w:proofErr w:type="spellEnd"/>
      <w:r w:rsidRPr="008042B0">
        <w:t xml:space="preserve"> User-Generated Content for Decision Support in Marketing Management: An Overview of Methods and Use Cases. </w:t>
      </w:r>
      <w:r w:rsidRPr="008042B0">
        <w:rPr>
          <w:i/>
          <w:iCs/>
        </w:rPr>
        <w:t>Schmalenbach Journal of Business Research</w:t>
      </w:r>
      <w:r w:rsidRPr="008042B0">
        <w:t xml:space="preserve">, pp.1-37. [Available at: </w:t>
      </w:r>
      <w:hyperlink r:id="rId8" w:history="1">
        <w:r w:rsidRPr="008042B0">
          <w:rPr>
            <w:rStyle w:val="Hyperlink"/>
          </w:rPr>
          <w:t>https://link.springer.com/article/10.1007/s41471-025-00208-7</w:t>
        </w:r>
      </w:hyperlink>
      <w:r w:rsidRPr="008042B0">
        <w:t>]</w:t>
      </w:r>
      <w:r>
        <w:t xml:space="preserve"> </w:t>
      </w:r>
    </w:p>
    <w:p w14:paraId="5A2C9AC0" w14:textId="77777777" w:rsidR="009F3464" w:rsidRDefault="009F3464">
      <w:r>
        <w:t xml:space="preserve">Banai, M. and Nirenberg, J., (2024). Ownership, freedom, belonging and God: Kibbutzim’s strategies to extend their “sharing” model. Management Decision. [Available at: </w:t>
      </w:r>
      <w:hyperlink r:id="rId9">
        <w:r>
          <w:rPr>
            <w:color w:val="1155CC"/>
            <w:u w:val="single"/>
          </w:rPr>
          <w:t>https://www.emerald.com/insight/content/doi/10.1108/md-10-2023-1887/full/html</w:t>
        </w:r>
      </w:hyperlink>
      <w:r>
        <w:t xml:space="preserve">] </w:t>
      </w:r>
    </w:p>
    <w:p w14:paraId="7C39A5E4" w14:textId="77777777" w:rsidR="009F3464" w:rsidRDefault="009F3464">
      <w:proofErr w:type="spellStart"/>
      <w:r>
        <w:t>Çubukcu</w:t>
      </w:r>
      <w:proofErr w:type="spellEnd"/>
      <w:r>
        <w:t xml:space="preserve">, A., Özözer, Y.Ö. and </w:t>
      </w:r>
      <w:proofErr w:type="spellStart"/>
      <w:r>
        <w:t>Bingüler</w:t>
      </w:r>
      <w:proofErr w:type="spellEnd"/>
      <w:r>
        <w:t xml:space="preserve">, A.H.E., (2024). Innovation Strategies and the Business Perspective: A Synthesis of Existing Research and a Composed and Comprehensive Framework. Journal of Organisational Studies &amp; Innovation, 11(1). [Available at: </w:t>
      </w:r>
      <w:hyperlink r:id="rId10">
        <w:r>
          <w:rPr>
            <w:color w:val="1155CC"/>
            <w:u w:val="single"/>
          </w:rPr>
          <w:t>https://mbacademy.org.uk/journals/2023-2024/ahmet%20cubukcu.pdf</w:t>
        </w:r>
      </w:hyperlink>
      <w:r>
        <w:t xml:space="preserve">] </w:t>
      </w:r>
    </w:p>
    <w:p w14:paraId="4A9E1C7B" w14:textId="77777777" w:rsidR="009F3464" w:rsidRDefault="009F3464">
      <w:r>
        <w:t xml:space="preserve">Denner, N., Koch, T. and Dahlke, J., (2025). Companies as Critics, Adapters, and Pioneers: Motives, Strategies, and Risks of Corporate Social Advocacy. International Journal of Strategic Communication, pp.1-19. [Available at: </w:t>
      </w:r>
      <w:hyperlink r:id="rId11">
        <w:r>
          <w:rPr>
            <w:color w:val="1155CC"/>
            <w:u w:val="single"/>
          </w:rPr>
          <w:t>https://www.tandfonline.com/doi/pdf/10.1080/1553118X.2025.2466505</w:t>
        </w:r>
      </w:hyperlink>
      <w:r>
        <w:t>]</w:t>
      </w:r>
    </w:p>
    <w:p w14:paraId="2EB76FE1" w14:textId="77777777" w:rsidR="009F3464" w:rsidRDefault="009F3464">
      <w:r w:rsidRPr="008042B0">
        <w:t xml:space="preserve">Dominic, M.L., Venkateswaran, P.S., Reddi, L.T., </w:t>
      </w:r>
      <w:proofErr w:type="spellStart"/>
      <w:r w:rsidRPr="008042B0">
        <w:t>Rangineni</w:t>
      </w:r>
      <w:proofErr w:type="spellEnd"/>
      <w:r w:rsidRPr="008042B0">
        <w:t xml:space="preserve">, S., Regin, R. and Rajest, S.S., </w:t>
      </w:r>
      <w:r>
        <w:t>(</w:t>
      </w:r>
      <w:r w:rsidRPr="008042B0">
        <w:t>2024</w:t>
      </w:r>
      <w:r>
        <w:t>)</w:t>
      </w:r>
      <w:r w:rsidRPr="008042B0">
        <w:t>. The synergy of management information systems and predictive analytics for marketing. In </w:t>
      </w:r>
      <w:r w:rsidRPr="008042B0">
        <w:rPr>
          <w:i/>
          <w:iCs/>
        </w:rPr>
        <w:t>Data-Driven Decision Making for Long-Term Business Success</w:t>
      </w:r>
      <w:r w:rsidRPr="008042B0">
        <w:t xml:space="preserve"> (pp. 49-63). IGI Global Scientific Publishing. [Available at: </w:t>
      </w:r>
      <w:hyperlink r:id="rId12">
        <w:r w:rsidRPr="008042B0">
          <w:rPr>
            <w:color w:val="1155CC"/>
            <w:u w:val="single"/>
          </w:rPr>
          <w:t>https://www.proquest.com/openview/1bc5d251478414b1c21c1d25db83bfa0/1?cbl=396494&amp;pq-origsite=gscholar</w:t>
        </w:r>
      </w:hyperlink>
      <w:r w:rsidRPr="008042B0">
        <w:t>]</w:t>
      </w:r>
      <w:r>
        <w:t xml:space="preserve"> </w:t>
      </w:r>
    </w:p>
    <w:p w14:paraId="4E4BD25F" w14:textId="77777777" w:rsidR="009F3464" w:rsidRDefault="009F3464">
      <w:r>
        <w:t xml:space="preserve">Eckert, T., </w:t>
      </w:r>
      <w:proofErr w:type="spellStart"/>
      <w:r>
        <w:t>Hüsig</w:t>
      </w:r>
      <w:proofErr w:type="spellEnd"/>
      <w:r>
        <w:t xml:space="preserve">, S. and </w:t>
      </w:r>
      <w:proofErr w:type="spellStart"/>
      <w:r>
        <w:t>Doblinger</w:t>
      </w:r>
      <w:proofErr w:type="spellEnd"/>
      <w:r>
        <w:t xml:space="preserve">, C., (2024). The Influence of Market Entry Strategies on the Success of Digital Service Innovations in the Mobility Sector. Journal of Service Research, p.10946705241245463. [Available at: </w:t>
      </w:r>
      <w:hyperlink r:id="rId13">
        <w:r>
          <w:rPr>
            <w:color w:val="1155CC"/>
            <w:u w:val="single"/>
          </w:rPr>
          <w:t>https://journals.sagepub.com/doi/abs/10.1177/10946705241245463</w:t>
        </w:r>
      </w:hyperlink>
      <w:r>
        <w:t>]</w:t>
      </w:r>
    </w:p>
    <w:p w14:paraId="4DD252DD" w14:textId="77777777" w:rsidR="009F3464" w:rsidRPr="008042B0" w:rsidRDefault="009F3464">
      <w:proofErr w:type="spellStart"/>
      <w:r w:rsidRPr="008042B0">
        <w:t>Elhajjar</w:t>
      </w:r>
      <w:proofErr w:type="spellEnd"/>
      <w:r w:rsidRPr="008042B0">
        <w:t>, S., (2024). The current and future state of the marketing management profession. </w:t>
      </w:r>
      <w:r w:rsidRPr="008042B0">
        <w:rPr>
          <w:i/>
          <w:iCs/>
        </w:rPr>
        <w:t>Journal of Marketing Theory and Practice</w:t>
      </w:r>
      <w:r w:rsidRPr="008042B0">
        <w:t>, </w:t>
      </w:r>
      <w:r w:rsidRPr="008042B0">
        <w:rPr>
          <w:i/>
          <w:iCs/>
        </w:rPr>
        <w:t>32</w:t>
      </w:r>
      <w:r w:rsidRPr="008042B0">
        <w:t xml:space="preserve">(2), pp.233-250. [Available at: </w:t>
      </w:r>
      <w:hyperlink r:id="rId14" w:history="1">
        <w:r w:rsidRPr="008042B0">
          <w:rPr>
            <w:rStyle w:val="Hyperlink"/>
          </w:rPr>
          <w:t>https://www.tandfonline.com/doi/abs/10.1080/10696679.2023.2166535</w:t>
        </w:r>
      </w:hyperlink>
      <w:r w:rsidRPr="008042B0">
        <w:t xml:space="preserve">] </w:t>
      </w:r>
    </w:p>
    <w:p w14:paraId="18C1C5A6" w14:textId="77777777" w:rsidR="009F3464" w:rsidRDefault="009F3464">
      <w:r>
        <w:t xml:space="preserve">Ghasemi, M., Nejad, M.G., Alsaadi, N., Abdel-Jaber, M.T., Ab </w:t>
      </w:r>
      <w:proofErr w:type="spellStart"/>
      <w:r>
        <w:t>Yajid</w:t>
      </w:r>
      <w:proofErr w:type="spellEnd"/>
      <w:r>
        <w:t xml:space="preserve">, M.S. and Habib, M., (2022). Performance measurement and lead‐time reduction in </w:t>
      </w:r>
      <w:proofErr w:type="spellStart"/>
      <w:r>
        <w:t>epc</w:t>
      </w:r>
      <w:proofErr w:type="spellEnd"/>
      <w:r>
        <w:t xml:space="preserve"> project‐based organizations: a mathematical </w:t>
      </w:r>
      <w:proofErr w:type="spellStart"/>
      <w:r>
        <w:t>modeling</w:t>
      </w:r>
      <w:proofErr w:type="spellEnd"/>
      <w:r>
        <w:t xml:space="preserve"> approach. Mathematical Problems in Engineering, 2022(1), p.5767356. [Available at: </w:t>
      </w:r>
      <w:hyperlink r:id="rId15">
        <w:r>
          <w:rPr>
            <w:color w:val="1155CC"/>
            <w:u w:val="single"/>
          </w:rPr>
          <w:t>https://onlinelibrary.wiley.com/doi/pdf/10.1155/2022/5767356</w:t>
        </w:r>
      </w:hyperlink>
      <w:r>
        <w:t xml:space="preserve">]. </w:t>
      </w:r>
    </w:p>
    <w:p w14:paraId="5CC83138" w14:textId="77777777" w:rsidR="009F3464" w:rsidRDefault="009F3464">
      <w:r>
        <w:lastRenderedPageBreak/>
        <w:t xml:space="preserve">Hongbin, Y., Weiwen, C., Cifuentes‐Faura, J. and Lijun, P., (2025). The Dual Growth‐Value Transfer Nexus: Sustaining Corporate Performance Among Hidden Champions to Achieve Sustainable Growth. Business Strategy and the Environment. [Available at: </w:t>
      </w:r>
      <w:hyperlink r:id="rId16">
        <w:r>
          <w:rPr>
            <w:color w:val="1155CC"/>
            <w:u w:val="single"/>
          </w:rPr>
          <w:t>https://onlinelibrary.wiley.com/doi/abs/10.1002/bse.4220</w:t>
        </w:r>
      </w:hyperlink>
      <w:r>
        <w:t xml:space="preserve">] </w:t>
      </w:r>
    </w:p>
    <w:p w14:paraId="071508DD" w14:textId="77777777" w:rsidR="009F3464" w:rsidRDefault="009F3464">
      <w:r>
        <w:t xml:space="preserve">Hooley, G.J., Piercy, N. and </w:t>
      </w:r>
      <w:proofErr w:type="spellStart"/>
      <w:r>
        <w:t>Nicoulaud</w:t>
      </w:r>
      <w:proofErr w:type="spellEnd"/>
      <w:r>
        <w:t>, B., (2008). Marketing strategy and competitive positioning. Pearson Education. [the UK]</w:t>
      </w:r>
    </w:p>
    <w:p w14:paraId="4D01BFC1" w14:textId="77777777" w:rsidR="009F3464" w:rsidRDefault="009F3464">
      <w:r>
        <w:t xml:space="preserve">Hooley, G.J., Piercy, N. and </w:t>
      </w:r>
      <w:proofErr w:type="spellStart"/>
      <w:r>
        <w:t>Nicoulaud</w:t>
      </w:r>
      <w:proofErr w:type="spellEnd"/>
      <w:r>
        <w:t xml:space="preserve">, B., (2020). Marketing strategy and competitive positioning. Pearson Education. [Available at: </w:t>
      </w:r>
      <w:hyperlink r:id="rId17">
        <w:r>
          <w:rPr>
            <w:color w:val="1155CC"/>
            <w:u w:val="single"/>
          </w:rPr>
          <w:t>https://thuvienso.hoasen.edu.vn/bitstream/handle/123456789/8525/Contents.pdf?sequence=3&amp;isAllowed=y</w:t>
        </w:r>
      </w:hyperlink>
      <w:r>
        <w:t xml:space="preserve">] </w:t>
      </w:r>
    </w:p>
    <w:p w14:paraId="5726352A" w14:textId="77777777" w:rsidR="009F3464" w:rsidRDefault="009F3464">
      <w:r>
        <w:t xml:space="preserve">Huang, S., Cheng, J. and Zheng, W., (2024). The impacts of environmental benefit concern of enterprises on competitive supply chain economic and environmental benefits. Applied Energy, 374, p.124016. [Available at: </w:t>
      </w:r>
      <w:hyperlink r:id="rId18">
        <w:r>
          <w:rPr>
            <w:color w:val="1155CC"/>
            <w:u w:val="single"/>
          </w:rPr>
          <w:t>https://pure.eur.nl/files/160891282/1-s2.0-S0306261924013990-main.pdf</w:t>
        </w:r>
      </w:hyperlink>
      <w:r>
        <w:t xml:space="preserve">]  </w:t>
      </w:r>
    </w:p>
    <w:p w14:paraId="6FD2753B" w14:textId="77777777" w:rsidR="009F3464" w:rsidRDefault="009F3464">
      <w:r>
        <w:t xml:space="preserve">Kang, H. G. (2024). CHALLENGES AND OPPORTUNITIES OF SUSTAINING GLOBAL COMPETITIVE ADVANTAGES: LESSONS FROM GLOBAL CORPORATIONS’TECHNOLOGY STRATEGY. [Available at: </w:t>
      </w:r>
      <w:hyperlink r:id="rId19" w:history="1">
        <w:r w:rsidRPr="001F240D">
          <w:rPr>
            <w:rStyle w:val="Hyperlink"/>
          </w:rPr>
          <w:t>https://d1wqtxts1xzle7.cloudfront.net/116754285/04_IJETMR24_A06_1468-libre.pdf?1720847541=&amp;response-content-disposition=inline%3B+filename%3DCHALLENGES_AND_OPPORTUNITIES_OF_SUSTAINI.pdf&amp;Expires=1743153617&amp;Signature=ghGrTMgKErJAiUSKMimrWF3YF4f8Vwf7drOQp0jw0Ne-mlhS5aLZjIQbEHmVvp2RFudxdjDaBygLAG5pDs5Iz19vs~XHkmwuXoKXVTfRssdrxn1jsjg8UjlGlrzkRz70jG2WK4DthJofReaN~3AA~~wPfkgPggxX1foFKm8-3hX0B~XHO2WM3TI2t5xxhJSeMvmwmFwuiQ-KfBMx4osFGbC7eBnErjiE3Yhmz2o7GsMaHY3MEYFGdJ8KdH~QxIT2DRGQU0Cr4tneig8W8Q-J4aZYx3iW-o28iScPdAm~~~qdYwTUj9QflBk7HPNEjIwcjbDsGGk6tPNoefz9-DPF1A__&amp;Key-Pair-Id=APKAJLOHF5GGSLRBV4ZA</w:t>
        </w:r>
      </w:hyperlink>
      <w:r>
        <w:t xml:space="preserve">] </w:t>
      </w:r>
    </w:p>
    <w:p w14:paraId="77E844A1" w14:textId="77777777" w:rsidR="009F3464" w:rsidRDefault="009F3464">
      <w:r>
        <w:t xml:space="preserve">Kotler, P. and Armstrong, G., (2018). Principles of Marketing 17th Edition Global Editions. [Available at: </w:t>
      </w:r>
      <w:hyperlink r:id="rId20">
        <w:r>
          <w:rPr>
            <w:color w:val="1155CC"/>
            <w:u w:val="single"/>
          </w:rPr>
          <w:t>https://books.google.co.in/books/about/Principles_of_Marketing.html?id=cRsxku7O06UC&amp;redir_esc=y</w:t>
        </w:r>
      </w:hyperlink>
      <w:r>
        <w:t xml:space="preserve">] </w:t>
      </w:r>
    </w:p>
    <w:p w14:paraId="249DB96B" w14:textId="77777777" w:rsidR="009F3464" w:rsidRDefault="009F3464">
      <w:r>
        <w:t xml:space="preserve">Li, H., Zhao, J., Cao, Y., Su, L., Zhao, Z. and Zhang, Y., (2024). </w:t>
      </w:r>
      <w:proofErr w:type="spellStart"/>
      <w:r>
        <w:t>Servitization</w:t>
      </w:r>
      <w:proofErr w:type="spellEnd"/>
      <w:r>
        <w:t xml:space="preserve"> and product service system: A literature review on value creation. Technological Forecasting and Social Change, 208, p.123724. [Available at: </w:t>
      </w:r>
      <w:hyperlink r:id="rId21">
        <w:r>
          <w:rPr>
            <w:color w:val="1155CC"/>
            <w:u w:val="single"/>
          </w:rPr>
          <w:t>https://www.sciencedirect.com/science/article/abs/pii/S0040162524005225</w:t>
        </w:r>
      </w:hyperlink>
      <w:r>
        <w:t xml:space="preserve">] </w:t>
      </w:r>
    </w:p>
    <w:p w14:paraId="51DF0B1F" w14:textId="77777777" w:rsidR="009F3464" w:rsidRDefault="009F3464">
      <w:r>
        <w:t xml:space="preserve">Parra‐Requena, G., García‐Villaverde, P.M., Ruiz‐Ortega, M.J. and </w:t>
      </w:r>
      <w:proofErr w:type="spellStart"/>
      <w:r>
        <w:t>Córcoles</w:t>
      </w:r>
      <w:proofErr w:type="spellEnd"/>
      <w:r>
        <w:t xml:space="preserve">‐Muñoz, M.M., (2024). Strategic resilience nexus: Connecting pioneering and sustainability orientations. Business Strategy and the Environment, 33(8), pp.8784-8797. [Available at: </w:t>
      </w:r>
      <w:hyperlink r:id="rId22">
        <w:r>
          <w:rPr>
            <w:color w:val="1155CC"/>
            <w:u w:val="single"/>
          </w:rPr>
          <w:t>https://onlinelibrary.wiley.com/doi/pdf/10.1002/bse.3943</w:t>
        </w:r>
      </w:hyperlink>
      <w:r>
        <w:t>]</w:t>
      </w:r>
    </w:p>
    <w:p w14:paraId="74BA8883" w14:textId="77777777" w:rsidR="009F3464" w:rsidRDefault="009F3464">
      <w:r>
        <w:t xml:space="preserve">Pellegrino, A., (2024). Evolution of Marketing. In Decoding Digital Consumer </w:t>
      </w:r>
      <w:proofErr w:type="spellStart"/>
      <w:r>
        <w:t>Behavior</w:t>
      </w:r>
      <w:proofErr w:type="spellEnd"/>
      <w:r>
        <w:t xml:space="preserve">: Bridging Theory and Practice (pp. 1-13). Singapore: Springer Nature Singapore. [Available at: </w:t>
      </w:r>
      <w:hyperlink r:id="rId23">
        <w:r>
          <w:rPr>
            <w:color w:val="1155CC"/>
            <w:u w:val="single"/>
          </w:rPr>
          <w:t>https://link.springer.com/chapter/10.1007/978-981-97-3454-2_1</w:t>
        </w:r>
      </w:hyperlink>
      <w:r>
        <w:t xml:space="preserve">] </w:t>
      </w:r>
    </w:p>
    <w:p w14:paraId="33140B24" w14:textId="77777777" w:rsidR="009F3464" w:rsidRDefault="009F3464">
      <w:r>
        <w:lastRenderedPageBreak/>
        <w:t>Peters, J.G., (2024). A life cycle perspective on business models in the smart home device industry (</w:t>
      </w:r>
      <w:proofErr w:type="gramStart"/>
      <w:r>
        <w:t>Master's</w:t>
      </w:r>
      <w:proofErr w:type="gramEnd"/>
      <w:r>
        <w:t xml:space="preserve"> thesis, University of Twente). [Available at: </w:t>
      </w:r>
      <w:hyperlink r:id="rId24">
        <w:r>
          <w:rPr>
            <w:color w:val="1155CC"/>
            <w:u w:val="single"/>
          </w:rPr>
          <w:t>https://essay.utwente.nl/101768/</w:t>
        </w:r>
      </w:hyperlink>
      <w:r>
        <w:t xml:space="preserve">] </w:t>
      </w:r>
    </w:p>
    <w:p w14:paraId="22FC402B" w14:textId="77777777" w:rsidR="009F3464" w:rsidRDefault="009F3464">
      <w:proofErr w:type="spellStart"/>
      <w:r>
        <w:t>productleadership</w:t>
      </w:r>
      <w:proofErr w:type="spellEnd"/>
      <w:r>
        <w:t xml:space="preserve">, (2025), about the figure of product life cycle. [Available at: </w:t>
      </w:r>
      <w:hyperlink r:id="rId25">
        <w:r>
          <w:rPr>
            <w:color w:val="1155CC"/>
            <w:u w:val="single"/>
          </w:rPr>
          <w:t>https://www.productleadership.com/product-lifecycle-management/</w:t>
        </w:r>
      </w:hyperlink>
      <w:r>
        <w:t xml:space="preserve">]. [Accessed On: 13.03.2025]. </w:t>
      </w:r>
    </w:p>
    <w:p w14:paraId="42366E2A" w14:textId="77777777" w:rsidR="009F3464" w:rsidRDefault="009F3464">
      <w:r>
        <w:t xml:space="preserve">Robert, V. and </w:t>
      </w:r>
      <w:proofErr w:type="spellStart"/>
      <w:r>
        <w:t>Moncaut</w:t>
      </w:r>
      <w:proofErr w:type="spellEnd"/>
      <w:r>
        <w:t xml:space="preserve">, N., (2024). A pioneer without followers: a case of productive diversification from rice to aquaculture in Chaco, Argentina. In Cases on Entrepreneurship and Innovation (pp. 175-186). Edward Elgar Publishing. [Available at: </w:t>
      </w:r>
      <w:hyperlink r:id="rId26">
        <w:r>
          <w:rPr>
            <w:color w:val="1155CC"/>
            <w:u w:val="single"/>
          </w:rPr>
          <w:t>https://www.elgaronline.com/edcollchap/book/9781802204537/book-part-9781802204537-23.xml</w:t>
        </w:r>
      </w:hyperlink>
      <w:r>
        <w:t xml:space="preserve">] </w:t>
      </w:r>
    </w:p>
    <w:p w14:paraId="3D2D121B" w14:textId="77777777" w:rsidR="009F3464" w:rsidRDefault="009F3464">
      <w:r>
        <w:t xml:space="preserve">Stark, J., (2022). Product lifecycle management (PLM). In Product lifecycle management (volume 1) 21st Century paradigm for product realisation (pp. 1-32). Cham: Springer International Publishing. [Available at: </w:t>
      </w:r>
      <w:hyperlink r:id="rId27">
        <w:r>
          <w:rPr>
            <w:color w:val="1155CC"/>
            <w:u w:val="single"/>
          </w:rPr>
          <w:t>http://sewiki.ru/images/8/8a/Stark-PLM.pdf</w:t>
        </w:r>
      </w:hyperlink>
      <w:r>
        <w:t xml:space="preserve">]. </w:t>
      </w:r>
    </w:p>
    <w:p w14:paraId="051C6F47" w14:textId="77777777" w:rsidR="009F3464" w:rsidRDefault="009F3464">
      <w:r>
        <w:t xml:space="preserve">Wang, L. and Jiang, Y., (2025), February. A Study on the Group Mechanism of the Demonstration Effect of Pioneer Enterprises on the Digital Transformation of Small and Medium-Sized Manufacturing Enterprises in Industrial Clusters. In 2024 4th International Conference on Public Management and Big Data Analysis (PMBDA 2024) (pp. 369-381). Atlantis Press. [Available at: </w:t>
      </w:r>
      <w:hyperlink r:id="rId28">
        <w:r>
          <w:rPr>
            <w:color w:val="1155CC"/>
            <w:u w:val="single"/>
          </w:rPr>
          <w:t>https://www.atlantis-press.com/article/126008784.pdf</w:t>
        </w:r>
      </w:hyperlink>
      <w:r>
        <w:t>]</w:t>
      </w:r>
    </w:p>
    <w:p w14:paraId="2EE5A5A0" w14:textId="77777777" w:rsidR="009F3464" w:rsidRDefault="009F3464">
      <w:r>
        <w:t xml:space="preserve">Yang, Y., Chuang, Y.T., Wu, C.H. and Chen, Y.J., (2025). Is Switching Cost Always a First-Mover Advantage for the Technology </w:t>
      </w:r>
      <w:proofErr w:type="gramStart"/>
      <w:r>
        <w:t>Leader?.</w:t>
      </w:r>
      <w:proofErr w:type="gramEnd"/>
      <w:r>
        <w:t xml:space="preserve"> Available at SSRN 5143033. [Available at: </w:t>
      </w:r>
      <w:hyperlink r:id="rId29">
        <w:r>
          <w:rPr>
            <w:color w:val="1155CC"/>
            <w:u w:val="single"/>
          </w:rPr>
          <w:t>https://papers.ssrn.com/sol3/Delivery.cfm?abstractid=5143033</w:t>
        </w:r>
      </w:hyperlink>
      <w:r>
        <w:t>]</w:t>
      </w:r>
    </w:p>
    <w:p w14:paraId="29D53843" w14:textId="77777777" w:rsidR="009F3464" w:rsidRDefault="009F3464" w:rsidP="00646406">
      <w:pPr>
        <w:jc w:val="center"/>
        <w:rPr>
          <w:rFonts w:ascii="Arial" w:hAnsi="Arial" w:cs="Arial"/>
          <w:b/>
          <w:bCs/>
        </w:rPr>
      </w:pPr>
    </w:p>
    <w:p w14:paraId="5EC48F1E" w14:textId="77777777" w:rsidR="004327A4" w:rsidRDefault="004327A4"/>
    <w:sectPr w:rsidR="004327A4" w:rsidSect="009F34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7475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9F3464"/>
    <w:rsid w:val="004327A4"/>
    <w:rsid w:val="008406BB"/>
    <w:rsid w:val="009F3464"/>
    <w:rsid w:val="00C64573"/>
    <w:rsid w:val="00DE4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2F28E"/>
  <w15:chartTrackingRefBased/>
  <w15:docId w15:val="{AF996635-0EB2-4180-81DB-C0C7E5FAA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9F3464"/>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9F3464"/>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9F346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9F346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9F346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9F34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34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34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34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464"/>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9F346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9F3464"/>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9F3464"/>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9F3464"/>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9F34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34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34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3464"/>
    <w:rPr>
      <w:rFonts w:eastAsiaTheme="majorEastAsia" w:cstheme="majorBidi"/>
      <w:color w:val="272727" w:themeColor="text1" w:themeTint="D8"/>
    </w:rPr>
  </w:style>
  <w:style w:type="paragraph" w:styleId="Title">
    <w:name w:val="Title"/>
    <w:basedOn w:val="Normal"/>
    <w:next w:val="Normal"/>
    <w:link w:val="TitleChar"/>
    <w:uiPriority w:val="10"/>
    <w:qFormat/>
    <w:rsid w:val="009F34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34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346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34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346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F3464"/>
    <w:rPr>
      <w:i/>
      <w:iCs/>
      <w:color w:val="404040" w:themeColor="text1" w:themeTint="BF"/>
    </w:rPr>
  </w:style>
  <w:style w:type="paragraph" w:styleId="ListParagraph">
    <w:name w:val="List Paragraph"/>
    <w:basedOn w:val="Normal"/>
    <w:uiPriority w:val="34"/>
    <w:qFormat/>
    <w:rsid w:val="009F3464"/>
    <w:pPr>
      <w:ind w:left="720"/>
      <w:contextualSpacing/>
    </w:pPr>
  </w:style>
  <w:style w:type="character" w:styleId="IntenseEmphasis">
    <w:name w:val="Intense Emphasis"/>
    <w:basedOn w:val="DefaultParagraphFont"/>
    <w:uiPriority w:val="21"/>
    <w:qFormat/>
    <w:rsid w:val="009F3464"/>
    <w:rPr>
      <w:i/>
      <w:iCs/>
      <w:color w:val="365F91" w:themeColor="accent1" w:themeShade="BF"/>
    </w:rPr>
  </w:style>
  <w:style w:type="paragraph" w:styleId="IntenseQuote">
    <w:name w:val="Intense Quote"/>
    <w:basedOn w:val="Normal"/>
    <w:next w:val="Normal"/>
    <w:link w:val="IntenseQuoteChar"/>
    <w:uiPriority w:val="30"/>
    <w:qFormat/>
    <w:rsid w:val="009F346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F3464"/>
    <w:rPr>
      <w:i/>
      <w:iCs/>
      <w:color w:val="365F91" w:themeColor="accent1" w:themeShade="BF"/>
    </w:rPr>
  </w:style>
  <w:style w:type="character" w:styleId="IntenseReference">
    <w:name w:val="Intense Reference"/>
    <w:basedOn w:val="DefaultParagraphFont"/>
    <w:uiPriority w:val="32"/>
    <w:qFormat/>
    <w:rsid w:val="009F3464"/>
    <w:rPr>
      <w:b/>
      <w:bCs/>
      <w:smallCaps/>
      <w:color w:val="365F91" w:themeColor="accent1" w:themeShade="BF"/>
      <w:spacing w:val="5"/>
    </w:rPr>
  </w:style>
  <w:style w:type="paragraph" w:styleId="TOCHeading">
    <w:name w:val="TOC Heading"/>
    <w:basedOn w:val="Heading1"/>
    <w:next w:val="Normal"/>
    <w:uiPriority w:val="39"/>
    <w:unhideWhenUsed/>
    <w:qFormat/>
    <w:rsid w:val="009F3464"/>
    <w:pPr>
      <w:spacing w:before="480" w:after="0"/>
      <w:outlineLvl w:val="9"/>
    </w:pPr>
    <w:rPr>
      <w:b/>
      <w:bCs/>
      <w:kern w:val="0"/>
      <w:sz w:val="28"/>
      <w:szCs w:val="28"/>
      <w:lang w:val="en-US"/>
      <w14:ligatures w14:val="none"/>
    </w:rPr>
  </w:style>
  <w:style w:type="paragraph" w:styleId="TOC1">
    <w:name w:val="toc 1"/>
    <w:basedOn w:val="Normal"/>
    <w:next w:val="Normal"/>
    <w:autoRedefine/>
    <w:uiPriority w:val="39"/>
    <w:unhideWhenUsed/>
    <w:rsid w:val="009F3464"/>
    <w:pPr>
      <w:spacing w:before="120" w:after="0" w:line="240" w:lineRule="auto"/>
    </w:pPr>
    <w:rPr>
      <w:b/>
      <w:bCs/>
      <w:i/>
      <w:iCs/>
      <w:sz w:val="24"/>
      <w:szCs w:val="24"/>
    </w:rPr>
  </w:style>
  <w:style w:type="character" w:styleId="Hyperlink">
    <w:name w:val="Hyperlink"/>
    <w:basedOn w:val="DefaultParagraphFont"/>
    <w:uiPriority w:val="99"/>
    <w:unhideWhenUsed/>
    <w:rsid w:val="009F3464"/>
    <w:rPr>
      <w:color w:val="0000FF" w:themeColor="hyperlink"/>
      <w:u w:val="single"/>
    </w:rPr>
  </w:style>
  <w:style w:type="paragraph" w:styleId="NormalWeb">
    <w:name w:val="Normal (Web)"/>
    <w:basedOn w:val="Normal"/>
    <w:uiPriority w:val="99"/>
    <w:unhideWhenUsed/>
    <w:rsid w:val="009F3464"/>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41471-025-00208-7" TargetMode="External"/><Relationship Id="rId13" Type="http://schemas.openxmlformats.org/officeDocument/2006/relationships/hyperlink" Target="https://journals.sagepub.com/doi/abs/10.1177/10946705241245463" TargetMode="External"/><Relationship Id="rId18" Type="http://schemas.openxmlformats.org/officeDocument/2006/relationships/hyperlink" Target="https://pure.eur.nl/files/160891282/1-s2.0-S0306261924013990-main.pdf" TargetMode="External"/><Relationship Id="rId26" Type="http://schemas.openxmlformats.org/officeDocument/2006/relationships/hyperlink" Target="https://www.elgaronline.com/edcollchap/book/9781802204537/book-part-9781802204537-23.xml" TargetMode="External"/><Relationship Id="rId3" Type="http://schemas.openxmlformats.org/officeDocument/2006/relationships/settings" Target="settings.xml"/><Relationship Id="rId21" Type="http://schemas.openxmlformats.org/officeDocument/2006/relationships/hyperlink" Target="https://www.sciencedirect.com/science/article/abs/pii/S0040162524005225" TargetMode="External"/><Relationship Id="rId7" Type="http://schemas.openxmlformats.org/officeDocument/2006/relationships/hyperlink" Target="https://books.google.co.in/books?hl=en&amp;lr=&amp;id=hG9VDgAAQBAJ&amp;oi=fnd&amp;pg=PA15&amp;dq=related:V2haNyNbYPwJ:scholar.google.com/&amp;ots=5wRHTXXYdp&amp;sig=v8kqKEfJ-Bf9_LO2WFk5E8nTON0&amp;redir_esc=y" TargetMode="External"/><Relationship Id="rId12" Type="http://schemas.openxmlformats.org/officeDocument/2006/relationships/hyperlink" Target="https://www.proquest.com/openview/1bc5d251478414b1c21c1d25db83bfa0/1?cbl=396494&amp;pq-origsite=gscholar" TargetMode="External"/><Relationship Id="rId17" Type="http://schemas.openxmlformats.org/officeDocument/2006/relationships/hyperlink" Target="https://thuvienso.hoasen.edu.vn/bitstream/handle/123456789/8525/Contents.pdf?sequence=3&amp;isAllowed=y" TargetMode="External"/><Relationship Id="rId25" Type="http://schemas.openxmlformats.org/officeDocument/2006/relationships/hyperlink" Target="https://www.productleadership.com/product-lifecycle-management/" TargetMode="External"/><Relationship Id="rId2" Type="http://schemas.openxmlformats.org/officeDocument/2006/relationships/styles" Target="styles.xml"/><Relationship Id="rId16" Type="http://schemas.openxmlformats.org/officeDocument/2006/relationships/hyperlink" Target="https://onlinelibrary.wiley.com/doi/abs/10.1002/bse.4220" TargetMode="External"/><Relationship Id="rId20" Type="http://schemas.openxmlformats.org/officeDocument/2006/relationships/hyperlink" Target="https://books.google.co.in/books/about/Principles_of_Marketing.html?id=cRsxku7O06UC&amp;redir_esc=y" TargetMode="External"/><Relationship Id="rId29" Type="http://schemas.openxmlformats.org/officeDocument/2006/relationships/hyperlink" Target="https://papers.ssrn.com/sol3/Delivery.cfm?abstractid=514303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tandfonline.com/doi/pdf/10.1080/1553118X.2025.2466505" TargetMode="External"/><Relationship Id="rId24" Type="http://schemas.openxmlformats.org/officeDocument/2006/relationships/hyperlink" Target="https://essay.utwente.nl/101768/" TargetMode="External"/><Relationship Id="rId5" Type="http://schemas.openxmlformats.org/officeDocument/2006/relationships/image" Target="media/image1.png"/><Relationship Id="rId15" Type="http://schemas.openxmlformats.org/officeDocument/2006/relationships/hyperlink" Target="https://onlinelibrary.wiley.com/doi/pdf/10.1155/2022/5767356" TargetMode="External"/><Relationship Id="rId23" Type="http://schemas.openxmlformats.org/officeDocument/2006/relationships/hyperlink" Target="https://link.springer.com/chapter/10.1007/978-981-97-3454-2_1" TargetMode="External"/><Relationship Id="rId28" Type="http://schemas.openxmlformats.org/officeDocument/2006/relationships/hyperlink" Target="https://www.atlantis-press.com/article/126008784.pdf" TargetMode="External"/><Relationship Id="rId10" Type="http://schemas.openxmlformats.org/officeDocument/2006/relationships/hyperlink" Target="https://mbacademy.org.uk/journals/2023-2024/ahmet%20cubukcu.pdf" TargetMode="External"/><Relationship Id="rId19" Type="http://schemas.openxmlformats.org/officeDocument/2006/relationships/hyperlink" Target="https://d1wqtxts1xzle7.cloudfront.net/116754285/04_IJETMR24_A06_1468-libre.pdf?1720847541=&amp;response-content-disposition=inline%3B+filename%3DCHALLENGES_AND_OPPORTUNITIES_OF_SUSTAINI.pdf&amp;Expires=1743153617&amp;Signature=ghGrTMgKErJAiUSKMimrWF3YF4f8Vwf7drOQp0jw0Ne-mlhS5aLZjIQbEHmVvp2RFudxdjDaBygLAG5pDs5Iz19vs~XHkmwuXoKXVTfRssdrxn1jsjg8UjlGlrzkRz70jG2WK4DthJofReaN~3AA~~wPfkgPggxX1foFKm8-3hX0B~XHO2WM3TI2t5xxhJSeMvmwmFwuiQ-KfBMx4osFGbC7eBnErjiE3Yhmz2o7GsMaHY3MEYFGdJ8KdH~QxIT2DRGQU0Cr4tneig8W8Q-J4aZYx3iW-o28iScPdAm~~~qdYwTUj9QflBk7HPNEjIwcjbDsGGk6tPNoefz9-DPF1A__&amp;Key-Pair-Id=APKAJLOHF5GGSLRBV4ZA"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merald.com/insight/content/doi/10.1108/md-10-2023-1887/full/html" TargetMode="External"/><Relationship Id="rId14" Type="http://schemas.openxmlformats.org/officeDocument/2006/relationships/hyperlink" Target="https://www.tandfonline.com/doi/abs/10.1080/10696679.2023.2166535" TargetMode="External"/><Relationship Id="rId22" Type="http://schemas.openxmlformats.org/officeDocument/2006/relationships/hyperlink" Target="https://onlinelibrary.wiley.com/doi/pdf/10.1002/bse.3943" TargetMode="External"/><Relationship Id="rId27" Type="http://schemas.openxmlformats.org/officeDocument/2006/relationships/hyperlink" Target="http://sewiki.ru/images/8/8a/Stark-PLM.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12</Pages>
  <Words>4051</Words>
  <Characters>23092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Mayur Vaniya</dc:creator>
  <cp:keywords/>
  <dc:description/>
  <cp:lastModifiedBy>Mayur Vaniya</cp:lastModifiedBy>
  <cp:revision>1</cp:revision>
  <dcterms:created xsi:type="dcterms:W3CDTF">2025-03-28T09:05:00Z</dcterms:created>
  <dcterms:modified xsi:type="dcterms:W3CDTF">2025-03-28T09:24:00Z</dcterms:modified>
</cp:coreProperties>
</file>