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charts/chart1.xml" ContentType="application/vnd.openxmlformats-officedocument.drawingml.chart+xml"/>
  <Override PartName="/word/media/image1.jpeg" ContentType="image/jpeg"/>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cs="Calibri" w:cstheme="minorHAnsi"/>
          <w:sz w:val="40"/>
          <w:szCs w:val="40"/>
          <w:u w:val="single"/>
        </w:rPr>
      </w:pPr>
      <w:r>
        <w:rPr>
          <w:rFonts w:cs="Calibri" w:cstheme="minorHAnsi"/>
          <w:sz w:val="40"/>
          <w:szCs w:val="40"/>
          <w:u w:val="single"/>
        </w:rPr>
      </w:r>
    </w:p>
    <w:p>
      <w:pPr>
        <w:pStyle w:val="Normal"/>
        <w:jc w:val="center"/>
        <w:rPr>
          <w:rFonts w:cs="Calibri" w:cstheme="minorHAnsi"/>
          <w:sz w:val="40"/>
          <w:szCs w:val="40"/>
          <w:u w:val="single"/>
        </w:rPr>
      </w:pPr>
      <w:r>
        <w:rPr>
          <w:rFonts w:cs="Calibri" w:cstheme="minorHAnsi"/>
          <w:sz w:val="40"/>
          <w:szCs w:val="40"/>
          <w:u w:val="single"/>
        </w:rPr>
        <w:t>University of Wales Trinity Saint David</w:t>
      </w:r>
    </w:p>
    <w:p>
      <w:pPr>
        <w:pStyle w:val="Normal"/>
        <w:jc w:val="center"/>
        <w:rPr>
          <w:rFonts w:cs="Calibri" w:cstheme="minorHAnsi"/>
          <w:sz w:val="40"/>
          <w:szCs w:val="72"/>
          <w:u w:val="single"/>
        </w:rPr>
      </w:pPr>
      <w:r>
        <w:rPr>
          <w:rFonts w:cs="Calibri" w:cstheme="minorHAnsi"/>
          <w:sz w:val="40"/>
          <w:szCs w:val="72"/>
          <w:u w:val="single"/>
        </w:rPr>
      </w:r>
    </w:p>
    <w:p>
      <w:pPr>
        <w:pStyle w:val="Normal"/>
        <w:jc w:val="center"/>
        <w:rPr>
          <w:rFonts w:cs="Calibri" w:cstheme="minorHAnsi"/>
          <w:sz w:val="40"/>
          <w:szCs w:val="72"/>
          <w:u w:val="single"/>
        </w:rPr>
      </w:pPr>
      <w:r>
        <w:rPr>
          <w:rFonts w:cs="Calibri" w:cstheme="minorHAnsi"/>
          <w:sz w:val="40"/>
          <w:szCs w:val="72"/>
          <w:u w:val="single"/>
        </w:rPr>
      </w:r>
    </w:p>
    <w:p>
      <w:pPr>
        <w:pStyle w:val="Normal"/>
        <w:jc w:val="center"/>
        <w:rPr>
          <w:rFonts w:cs="Calibri" w:cstheme="minorHAnsi"/>
          <w:sz w:val="52"/>
          <w:szCs w:val="76"/>
          <w:u w:val="single"/>
        </w:rPr>
      </w:pPr>
      <w:r>
        <w:rPr>
          <w:rFonts w:cs="Calibri" w:cstheme="minorHAnsi"/>
          <w:sz w:val="52"/>
          <w:szCs w:val="76"/>
          <w:u w:val="single"/>
        </w:rPr>
      </w:r>
    </w:p>
    <w:p>
      <w:pPr>
        <w:pStyle w:val="Normal"/>
        <w:jc w:val="center"/>
        <w:rPr>
          <w:rFonts w:cs="Calibri" w:cstheme="minorHAnsi"/>
          <w:sz w:val="80"/>
          <w:szCs w:val="80"/>
          <w:u w:val="single"/>
        </w:rPr>
      </w:pPr>
      <w:r>
        <w:rPr>
          <w:rFonts w:cs="Calibri" w:cstheme="minorHAnsi"/>
          <w:sz w:val="80"/>
          <w:szCs w:val="80"/>
          <w:u w:val="single"/>
        </w:rPr>
        <w:t>Chemistry</w:t>
      </w:r>
    </w:p>
    <w:p>
      <w:pPr>
        <w:pStyle w:val="Normal"/>
        <w:jc w:val="center"/>
        <w:rPr>
          <w:rFonts w:cs="Calibri" w:cstheme="minorHAnsi"/>
          <w:sz w:val="36"/>
          <w:u w:val="single"/>
        </w:rPr>
      </w:pPr>
      <w:r>
        <w:rPr>
          <w:rFonts w:cs="Calibri" w:cstheme="minorHAnsi"/>
          <w:sz w:val="36"/>
          <w:u w:val="single"/>
        </w:rPr>
        <w:t>ACDB 4011: Flame test lab report</w:t>
      </w:r>
    </w:p>
    <w:p>
      <w:pPr>
        <w:pStyle w:val="Normal"/>
        <w:jc w:val="center"/>
        <w:rPr>
          <w:rFonts w:cs="Calibri" w:cstheme="minorHAnsi"/>
          <w:sz w:val="80"/>
          <w:szCs w:val="80"/>
          <w:u w:val="single"/>
        </w:rPr>
      </w:pPr>
      <w:r>
        <w:rPr>
          <w:rFonts w:cs="Calibri" w:cstheme="minorHAnsi"/>
          <w:sz w:val="80"/>
          <w:szCs w:val="80"/>
          <w:u w:val="single"/>
        </w:rPr>
      </w:r>
    </w:p>
    <w:p>
      <w:pPr>
        <w:pStyle w:val="Normal"/>
        <w:jc w:val="center"/>
        <w:rPr>
          <w:rFonts w:cs="Calibri" w:cstheme="minorHAnsi"/>
          <w:sz w:val="72"/>
          <w:szCs w:val="72"/>
          <w:u w:val="single"/>
        </w:rPr>
      </w:pPr>
      <w:r>
        <w:rPr>
          <w:rFonts w:cs="Calibri" w:cstheme="minorHAnsi"/>
          <w:sz w:val="72"/>
          <w:szCs w:val="72"/>
          <w:u w:val="single"/>
        </w:rPr>
      </w:r>
    </w:p>
    <w:p>
      <w:pPr>
        <w:pStyle w:val="Normal"/>
        <w:jc w:val="center"/>
        <w:rPr>
          <w:rFonts w:cs="Calibri" w:cstheme="minorHAnsi"/>
          <w:sz w:val="36"/>
          <w:szCs w:val="72"/>
          <w:u w:val="single"/>
        </w:rPr>
      </w:pPr>
      <w:r>
        <w:rPr>
          <w:rFonts w:cs="Calibri" w:cstheme="minorHAnsi"/>
          <w:sz w:val="36"/>
          <w:szCs w:val="72"/>
          <w:u w:val="single"/>
        </w:rPr>
      </w:r>
    </w:p>
    <w:p>
      <w:pPr>
        <w:pStyle w:val="Normal"/>
        <w:jc w:val="center"/>
        <w:rPr>
          <w:rFonts w:cs="Calibri" w:cstheme="minorHAnsi"/>
          <w:sz w:val="40"/>
          <w:szCs w:val="40"/>
          <w:u w:val="single"/>
        </w:rPr>
      </w:pPr>
      <w:r>
        <w:rPr>
          <w:rFonts w:cs="Calibri" w:cstheme="minorHAnsi"/>
          <w:sz w:val="40"/>
          <w:szCs w:val="40"/>
          <w:u w:val="single"/>
        </w:rPr>
        <w:t>Name - Luke Brown</w:t>
      </w:r>
    </w:p>
    <w:p>
      <w:pPr>
        <w:pStyle w:val="Normal"/>
        <w:jc w:val="center"/>
        <w:rPr>
          <w:rFonts w:cs="Calibri" w:cstheme="minorHAnsi"/>
          <w:sz w:val="40"/>
          <w:szCs w:val="40"/>
          <w:u w:val="single"/>
        </w:rPr>
      </w:pPr>
      <w:r>
        <w:rPr>
          <w:rFonts w:cs="Calibri" w:cstheme="minorHAnsi"/>
          <w:sz w:val="40"/>
          <w:szCs w:val="40"/>
          <w:u w:val="single"/>
        </w:rPr>
        <w:t>Course - Ordnance Munitions and Explosives (OME)</w:t>
      </w:r>
    </w:p>
    <w:p>
      <w:pPr>
        <w:pStyle w:val="Normal"/>
        <w:jc w:val="center"/>
        <w:rPr>
          <w:rFonts w:cs="Calibri" w:cstheme="minorHAnsi"/>
          <w:sz w:val="40"/>
          <w:szCs w:val="40"/>
          <w:u w:val="single"/>
        </w:rPr>
      </w:pPr>
      <w:r>
        <w:rPr>
          <w:rFonts w:cs="Calibri" w:cstheme="minorHAnsi"/>
          <w:sz w:val="40"/>
          <w:szCs w:val="40"/>
          <w:u w:val="single"/>
        </w:rPr>
        <w:t>Tutor – Ewa Kazimierska, Mark Broadhead</w:t>
      </w:r>
    </w:p>
    <w:p>
      <w:pPr>
        <w:pStyle w:val="Normal"/>
        <w:jc w:val="center"/>
        <w:rPr>
          <w:rFonts w:cs="Calibri" w:cstheme="minorHAnsi"/>
          <w:sz w:val="40"/>
          <w:szCs w:val="40"/>
          <w:u w:val="single"/>
        </w:rPr>
      </w:pPr>
      <w:r>
        <w:rPr>
          <w:rFonts w:cs="Calibri" w:cstheme="minorHAnsi"/>
          <w:sz w:val="40"/>
          <w:szCs w:val="40"/>
          <w:u w:val="single"/>
        </w:rPr>
        <w:t>Submission Date – 14th March 2024</w:t>
      </w:r>
    </w:p>
    <w:p>
      <w:pPr>
        <w:pStyle w:val="Normal"/>
        <w:jc w:val="center"/>
        <w:rPr>
          <w:rFonts w:cs="Calibri" w:cstheme="minorHAnsi"/>
          <w:sz w:val="36"/>
          <w:u w:val="single"/>
        </w:rPr>
      </w:pPr>
      <w:r>
        <w:rPr>
          <w:rFonts w:cs="Calibri" w:cstheme="minorHAnsi"/>
          <w:sz w:val="36"/>
          <w:u w:val="single"/>
        </w:rPr>
      </w:r>
    </w:p>
    <w:p>
      <w:pPr>
        <w:pStyle w:val="Normal"/>
        <w:jc w:val="center"/>
        <w:rPr>
          <w:rFonts w:cs="Calibri" w:cstheme="minorHAnsi"/>
          <w:sz w:val="36"/>
          <w:u w:val="single"/>
        </w:rPr>
      </w:pPr>
      <w:r>
        <w:rPr>
          <w:rFonts w:cs="Calibri" w:cstheme="minorHAnsi"/>
          <w:sz w:val="36"/>
          <w:u w:val="single"/>
        </w:rPr>
      </w:r>
    </w:p>
    <w:p>
      <w:pPr>
        <w:pStyle w:val="Normal"/>
        <w:jc w:val="center"/>
        <w:rPr>
          <w:rFonts w:cs="Calibri" w:cstheme="minorHAnsi"/>
          <w:sz w:val="36"/>
          <w:u w:val="single"/>
        </w:rPr>
      </w:pPr>
      <w:r>
        <w:rPr>
          <w:rFonts w:cs="Calibri" w:cstheme="minorHAnsi"/>
          <w:sz w:val="36"/>
          <w:u w:val="single"/>
        </w:rPr>
      </w:r>
    </w:p>
    <w:p>
      <w:pPr>
        <w:pStyle w:val="Normal"/>
        <w:rPr>
          <w:rFonts w:cs="Calibri" w:cstheme="minorHAnsi"/>
          <w:sz w:val="36"/>
          <w:u w:val="single"/>
        </w:rPr>
      </w:pPr>
      <w:r>
        <w:rPr>
          <w:rFonts w:cs="Calibri" w:cstheme="minorHAnsi"/>
          <w:sz w:val="36"/>
          <w:u w:val="single"/>
        </w:rPr>
      </w:r>
    </w:p>
    <w:p>
      <w:pPr>
        <w:pStyle w:val="Normal"/>
        <w:jc w:val="center"/>
        <w:rPr>
          <w:rFonts w:cs="Calibri" w:cstheme="minorHAnsi"/>
          <w:sz w:val="48"/>
          <w:szCs w:val="28"/>
          <w:u w:val="single"/>
        </w:rPr>
      </w:pPr>
      <w:r>
        <w:rPr>
          <w:rFonts w:cs="Calibri" w:cstheme="minorHAnsi"/>
          <w:sz w:val="48"/>
          <w:szCs w:val="28"/>
          <w:u w:val="single"/>
        </w:rPr>
        <w:t>Table of Contents:</w:t>
      </w:r>
    </w:p>
    <w:p>
      <w:pPr>
        <w:pStyle w:val="Normal"/>
        <w:rPr>
          <w:rFonts w:cs="Calibri" w:cstheme="minorHAnsi"/>
          <w:sz w:val="12"/>
          <w:szCs w:val="28"/>
          <w:u w:val="single"/>
        </w:rPr>
      </w:pPr>
      <w:r>
        <w:rPr>
          <w:rFonts w:cs="Calibri" w:cstheme="minorHAnsi"/>
          <w:sz w:val="12"/>
          <w:szCs w:val="28"/>
          <w:u w:val="single"/>
        </w:rPr>
      </w:r>
    </w:p>
    <w:p>
      <w:pPr>
        <w:pStyle w:val="Normal"/>
        <w:rPr>
          <w:rFonts w:cs="Calibri" w:cstheme="minorHAnsi"/>
          <w:szCs w:val="28"/>
        </w:rPr>
      </w:pPr>
      <w:r>
        <w:rPr>
          <w:rFonts w:cs="Calibri" w:cstheme="minorHAnsi"/>
          <w:sz w:val="32"/>
          <w:szCs w:val="28"/>
          <w:u w:val="single"/>
        </w:rPr>
        <w:t>Section 1 – Introduction</w:t>
      </w:r>
      <w:r>
        <w:rPr>
          <w:rFonts w:cs="Calibri" w:cstheme="minorHAnsi"/>
          <w:sz w:val="32"/>
          <w:szCs w:val="28"/>
        </w:rPr>
        <w:t xml:space="preserve"> </w:t>
      </w:r>
      <w:r>
        <w:rPr>
          <w:rFonts w:cs="Calibri" w:cstheme="minorHAnsi"/>
          <w:sz w:val="18"/>
          <w:szCs w:val="28"/>
        </w:rPr>
        <w:t>(Page 3)</w:t>
      </w:r>
    </w:p>
    <w:p>
      <w:pPr>
        <w:pStyle w:val="ListParagraph"/>
        <w:numPr>
          <w:ilvl w:val="0"/>
          <w:numId w:val="8"/>
        </w:numPr>
        <w:rPr>
          <w:rFonts w:cs="Calibri" w:cstheme="minorHAnsi"/>
          <w:sz w:val="24"/>
          <w:szCs w:val="28"/>
        </w:rPr>
      </w:pPr>
      <w:r>
        <w:rPr>
          <w:rFonts w:cs="Calibri" w:cstheme="minorHAnsi"/>
          <w:sz w:val="24"/>
          <w:szCs w:val="28"/>
        </w:rPr>
        <w:t>Purpose.</w:t>
      </w:r>
    </w:p>
    <w:p>
      <w:pPr>
        <w:pStyle w:val="ListParagraph"/>
        <w:numPr>
          <w:ilvl w:val="0"/>
          <w:numId w:val="8"/>
        </w:numPr>
        <w:rPr>
          <w:rFonts w:cs="Calibri" w:cstheme="minorHAnsi"/>
          <w:sz w:val="24"/>
          <w:szCs w:val="28"/>
        </w:rPr>
      </w:pPr>
      <w:r>
        <w:rPr>
          <w:rFonts w:cs="Calibri" w:cstheme="minorHAnsi"/>
          <w:sz w:val="24"/>
          <w:szCs w:val="28"/>
        </w:rPr>
        <w:t>Hypotheses.</w:t>
      </w:r>
    </w:p>
    <w:p>
      <w:pPr>
        <w:pStyle w:val="ListParagraph"/>
        <w:numPr>
          <w:ilvl w:val="0"/>
          <w:numId w:val="8"/>
        </w:numPr>
        <w:rPr>
          <w:rFonts w:cs="Calibri" w:cstheme="minorHAnsi"/>
          <w:sz w:val="24"/>
          <w:szCs w:val="28"/>
        </w:rPr>
      </w:pPr>
      <w:r>
        <w:rPr>
          <w:rFonts w:cs="Calibri" w:cstheme="minorHAnsi"/>
          <w:sz w:val="24"/>
          <w:szCs w:val="28"/>
        </w:rPr>
        <w:t>Variables.</w:t>
      </w:r>
    </w:p>
    <w:p>
      <w:pPr>
        <w:pStyle w:val="ListParagraph"/>
        <w:numPr>
          <w:ilvl w:val="0"/>
          <w:numId w:val="8"/>
        </w:numPr>
        <w:rPr>
          <w:rFonts w:cs="Calibri" w:cstheme="minorHAnsi"/>
          <w:sz w:val="24"/>
          <w:szCs w:val="28"/>
        </w:rPr>
      </w:pPr>
      <w:r>
        <w:rPr>
          <w:rFonts w:cs="Calibri" w:cstheme="minorHAnsi"/>
          <w:sz w:val="24"/>
          <w:szCs w:val="28"/>
        </w:rPr>
        <w:t>Equations.</w:t>
      </w:r>
    </w:p>
    <w:p>
      <w:pPr>
        <w:pStyle w:val="Normal"/>
        <w:rPr>
          <w:rFonts w:cs="Calibri" w:cstheme="minorHAnsi"/>
          <w:sz w:val="20"/>
          <w:szCs w:val="28"/>
        </w:rPr>
      </w:pPr>
      <w:r>
        <w:rPr>
          <w:rFonts w:cs="Calibri" w:cstheme="minorHAnsi"/>
          <w:sz w:val="20"/>
          <w:szCs w:val="28"/>
        </w:rPr>
      </w:r>
    </w:p>
    <w:p>
      <w:pPr>
        <w:pStyle w:val="Normal"/>
        <w:rPr>
          <w:rFonts w:cs="Calibri" w:cstheme="minorHAnsi"/>
          <w:sz w:val="32"/>
          <w:szCs w:val="28"/>
          <w:u w:val="single"/>
        </w:rPr>
      </w:pPr>
      <w:r>
        <w:rPr>
          <w:rFonts w:cs="Calibri" w:cstheme="minorHAnsi"/>
          <w:sz w:val="32"/>
          <w:szCs w:val="28"/>
          <w:u w:val="single"/>
        </w:rPr>
        <w:t>Section 2 – Materials and method</w:t>
      </w:r>
      <w:r>
        <w:rPr>
          <w:rFonts w:cs="Calibri" w:cstheme="minorHAnsi"/>
          <w:sz w:val="32"/>
          <w:szCs w:val="28"/>
        </w:rPr>
        <w:t xml:space="preserve"> </w:t>
      </w:r>
      <w:r>
        <w:rPr>
          <w:rFonts w:cs="Calibri" w:cstheme="minorHAnsi"/>
          <w:sz w:val="18"/>
          <w:szCs w:val="28"/>
        </w:rPr>
        <w:t>(Page 3-4)</w:t>
      </w:r>
    </w:p>
    <w:p>
      <w:pPr>
        <w:pStyle w:val="ListParagraph"/>
        <w:numPr>
          <w:ilvl w:val="0"/>
          <w:numId w:val="10"/>
        </w:numPr>
        <w:rPr>
          <w:rFonts w:cs="Calibri" w:cstheme="minorHAnsi"/>
          <w:sz w:val="24"/>
          <w:szCs w:val="28"/>
        </w:rPr>
      </w:pPr>
      <w:r>
        <w:rPr>
          <w:rFonts w:cs="Calibri" w:cstheme="minorHAnsi"/>
          <w:sz w:val="24"/>
          <w:szCs w:val="28"/>
        </w:rPr>
        <w:t>Equipment.</w:t>
      </w:r>
    </w:p>
    <w:p>
      <w:pPr>
        <w:pStyle w:val="ListParagraph"/>
        <w:numPr>
          <w:ilvl w:val="0"/>
          <w:numId w:val="10"/>
        </w:numPr>
        <w:rPr>
          <w:rFonts w:cs="Calibri" w:cstheme="minorHAnsi"/>
          <w:sz w:val="24"/>
          <w:szCs w:val="28"/>
        </w:rPr>
      </w:pPr>
      <w:r>
        <w:rPr>
          <w:rFonts w:cs="Calibri" w:cstheme="minorHAnsi"/>
          <w:sz w:val="24"/>
          <w:szCs w:val="28"/>
        </w:rPr>
        <w:t>Method.</w:t>
      </w:r>
    </w:p>
    <w:p>
      <w:pPr>
        <w:pStyle w:val="Normal"/>
        <w:rPr>
          <w:rFonts w:cs="Calibri" w:cstheme="minorHAnsi"/>
          <w:sz w:val="20"/>
        </w:rPr>
      </w:pPr>
      <w:r>
        <w:rPr>
          <w:rFonts w:cs="Calibri" w:cstheme="minorHAnsi"/>
          <w:sz w:val="20"/>
        </w:rPr>
      </w:r>
    </w:p>
    <w:p>
      <w:pPr>
        <w:pStyle w:val="Normal"/>
        <w:rPr>
          <w:rFonts w:cs="Calibri" w:cstheme="minorHAnsi"/>
          <w:sz w:val="36"/>
          <w:u w:val="single"/>
        </w:rPr>
      </w:pPr>
      <w:r>
        <w:rPr>
          <w:rFonts w:cs="Calibri" w:cstheme="minorHAnsi"/>
          <w:sz w:val="32"/>
          <w:u w:val="single"/>
        </w:rPr>
        <w:t>Section 3 – Results</w:t>
      </w:r>
      <w:r>
        <w:rPr>
          <w:rFonts w:cs="Calibri" w:cstheme="minorHAnsi"/>
          <w:sz w:val="32"/>
        </w:rPr>
        <w:t xml:space="preserve"> </w:t>
      </w:r>
      <w:r>
        <w:rPr>
          <w:rFonts w:cs="Calibri" w:cstheme="minorHAnsi"/>
          <w:sz w:val="18"/>
          <w:szCs w:val="28"/>
        </w:rPr>
        <w:t>(Page 4)</w:t>
      </w:r>
    </w:p>
    <w:p>
      <w:pPr>
        <w:pStyle w:val="ListParagraph"/>
        <w:numPr>
          <w:ilvl w:val="0"/>
          <w:numId w:val="9"/>
        </w:numPr>
        <w:rPr>
          <w:rFonts w:cs="Calibri" w:cstheme="minorHAnsi"/>
          <w:sz w:val="24"/>
        </w:rPr>
      </w:pPr>
      <w:r>
        <w:rPr>
          <w:rFonts w:cs="Calibri" w:cstheme="minorHAnsi"/>
          <w:sz w:val="24"/>
        </w:rPr>
        <w:t>Table of results.</w:t>
      </w:r>
    </w:p>
    <w:p>
      <w:pPr>
        <w:pStyle w:val="ListParagraph"/>
        <w:numPr>
          <w:ilvl w:val="0"/>
          <w:numId w:val="9"/>
        </w:numPr>
        <w:rPr>
          <w:rFonts w:cs="Calibri" w:cstheme="minorHAnsi"/>
          <w:sz w:val="24"/>
        </w:rPr>
      </w:pPr>
      <w:r>
        <w:rPr>
          <w:rFonts w:cs="Calibri" w:cstheme="minorHAnsi"/>
          <w:sz w:val="24"/>
        </w:rPr>
        <w:t>Graph of results.</w:t>
      </w:r>
    </w:p>
    <w:p>
      <w:pPr>
        <w:pStyle w:val="ListParagraph"/>
        <w:numPr>
          <w:ilvl w:val="0"/>
          <w:numId w:val="9"/>
        </w:numPr>
        <w:rPr>
          <w:rFonts w:cs="Calibri" w:cstheme="minorHAnsi"/>
          <w:sz w:val="24"/>
        </w:rPr>
      </w:pPr>
      <w:r>
        <w:rPr>
          <w:rFonts w:cs="Calibri" w:cstheme="minorHAnsi"/>
          <w:sz w:val="24"/>
        </w:rPr>
        <w:t>Brief description of findings.</w:t>
      </w:r>
    </w:p>
    <w:p>
      <w:pPr>
        <w:pStyle w:val="ListParagraph"/>
        <w:rPr>
          <w:rFonts w:cs="Calibri" w:cstheme="minorHAnsi"/>
          <w:sz w:val="20"/>
        </w:rPr>
      </w:pPr>
      <w:r>
        <w:rPr>
          <w:rFonts w:cs="Calibri" w:cstheme="minorHAnsi"/>
          <w:sz w:val="20"/>
        </w:rPr>
      </w:r>
    </w:p>
    <w:p>
      <w:pPr>
        <w:pStyle w:val="Normal"/>
        <w:rPr>
          <w:rFonts w:cs="Calibri" w:cstheme="minorHAnsi"/>
          <w:sz w:val="36"/>
          <w:u w:val="single"/>
        </w:rPr>
      </w:pPr>
      <w:r>
        <w:rPr>
          <w:rFonts w:cs="Calibri" w:cstheme="minorHAnsi"/>
          <w:sz w:val="32"/>
          <w:u w:val="single"/>
        </w:rPr>
        <w:t>Section 4 – Discussion</w:t>
      </w:r>
      <w:r>
        <w:rPr>
          <w:rFonts w:cs="Calibri" w:cstheme="minorHAnsi"/>
          <w:sz w:val="32"/>
        </w:rPr>
        <w:t xml:space="preserve"> </w:t>
      </w:r>
      <w:r>
        <w:rPr>
          <w:rFonts w:cs="Calibri" w:cstheme="minorHAnsi"/>
          <w:sz w:val="18"/>
          <w:szCs w:val="28"/>
        </w:rPr>
        <w:t>(Page 5-6)</w:t>
      </w:r>
    </w:p>
    <w:p>
      <w:pPr>
        <w:pStyle w:val="ListParagraph"/>
        <w:numPr>
          <w:ilvl w:val="0"/>
          <w:numId w:val="11"/>
        </w:numPr>
        <w:rPr>
          <w:rFonts w:cs="Calibri" w:cstheme="minorHAnsi"/>
          <w:sz w:val="24"/>
        </w:rPr>
      </w:pPr>
      <w:r>
        <w:rPr>
          <w:rFonts w:cs="Calibri" w:cstheme="minorHAnsi"/>
          <w:sz w:val="24"/>
        </w:rPr>
        <w:t>Interpretation of results.</w:t>
      </w:r>
    </w:p>
    <w:p>
      <w:pPr>
        <w:pStyle w:val="ListParagraph"/>
        <w:numPr>
          <w:ilvl w:val="0"/>
          <w:numId w:val="11"/>
        </w:numPr>
        <w:rPr>
          <w:rFonts w:cs="Calibri" w:cstheme="minorHAnsi"/>
          <w:sz w:val="24"/>
        </w:rPr>
      </w:pPr>
      <w:r>
        <w:rPr>
          <w:rFonts w:cs="Calibri" w:cstheme="minorHAnsi"/>
          <w:sz w:val="24"/>
        </w:rPr>
        <w:t>Comparison of two results.</w:t>
      </w:r>
    </w:p>
    <w:p>
      <w:pPr>
        <w:pStyle w:val="ListParagraph"/>
        <w:numPr>
          <w:ilvl w:val="0"/>
          <w:numId w:val="11"/>
        </w:numPr>
        <w:rPr>
          <w:rFonts w:cs="Calibri" w:cstheme="minorHAnsi"/>
          <w:sz w:val="24"/>
        </w:rPr>
      </w:pPr>
      <w:r>
        <w:rPr>
          <w:rFonts w:cs="Calibri" w:cstheme="minorHAnsi"/>
          <w:sz w:val="24"/>
        </w:rPr>
        <w:t>Relevance to OME.</w:t>
      </w:r>
    </w:p>
    <w:p>
      <w:pPr>
        <w:pStyle w:val="ListParagraph"/>
        <w:numPr>
          <w:ilvl w:val="0"/>
          <w:numId w:val="11"/>
        </w:numPr>
        <w:rPr>
          <w:rFonts w:cs="Calibri" w:cstheme="minorHAnsi"/>
          <w:sz w:val="24"/>
        </w:rPr>
      </w:pPr>
      <w:r>
        <w:rPr>
          <w:rFonts w:cs="Calibri" w:cstheme="minorHAnsi"/>
          <w:sz w:val="24"/>
        </w:rPr>
        <w:t>Relevance to other fields.</w:t>
      </w:r>
    </w:p>
    <w:p>
      <w:pPr>
        <w:pStyle w:val="ListParagraph"/>
        <w:numPr>
          <w:ilvl w:val="0"/>
          <w:numId w:val="11"/>
        </w:numPr>
        <w:rPr>
          <w:rFonts w:cs="Calibri" w:cstheme="minorHAnsi"/>
          <w:sz w:val="24"/>
        </w:rPr>
      </w:pPr>
      <w:r>
        <w:rPr>
          <w:rFonts w:cs="Calibri" w:cstheme="minorHAnsi"/>
          <w:sz w:val="24"/>
        </w:rPr>
        <w:t>Limitations and sources of error.</w:t>
      </w:r>
    </w:p>
    <w:p>
      <w:pPr>
        <w:pStyle w:val="ListParagraph"/>
        <w:rPr>
          <w:rFonts w:cs="Calibri" w:cstheme="minorHAnsi"/>
          <w:sz w:val="20"/>
        </w:rPr>
      </w:pPr>
      <w:r>
        <w:rPr>
          <w:rFonts w:cs="Calibri" w:cstheme="minorHAnsi"/>
          <w:sz w:val="20"/>
        </w:rPr>
      </w:r>
    </w:p>
    <w:p>
      <w:pPr>
        <w:pStyle w:val="Normal"/>
        <w:rPr>
          <w:rFonts w:cs="Calibri" w:cstheme="minorHAnsi"/>
          <w:sz w:val="32"/>
          <w:u w:val="single"/>
        </w:rPr>
      </w:pPr>
      <w:r>
        <w:rPr>
          <w:rFonts w:cs="Calibri" w:cstheme="minorHAnsi"/>
          <w:sz w:val="32"/>
          <w:u w:val="single"/>
        </w:rPr>
        <w:t>Section 5 – Conclusion</w:t>
      </w:r>
      <w:r>
        <w:rPr>
          <w:rFonts w:cs="Calibri" w:cstheme="minorHAnsi"/>
          <w:sz w:val="32"/>
        </w:rPr>
        <w:t xml:space="preserve"> </w:t>
      </w:r>
      <w:r>
        <w:rPr>
          <w:rFonts w:cs="Calibri" w:cstheme="minorHAnsi"/>
          <w:sz w:val="18"/>
          <w:szCs w:val="28"/>
        </w:rPr>
        <w:t>(Page 6)</w:t>
      </w:r>
    </w:p>
    <w:p>
      <w:pPr>
        <w:pStyle w:val="Normal"/>
        <w:rPr>
          <w:rFonts w:cs="Calibri" w:cstheme="minorHAnsi"/>
          <w:sz w:val="20"/>
          <w:u w:val="single"/>
        </w:rPr>
      </w:pPr>
      <w:r>
        <w:rPr>
          <w:rFonts w:cs="Calibri" w:cstheme="minorHAnsi"/>
          <w:sz w:val="20"/>
          <w:u w:val="single"/>
        </w:rPr>
      </w:r>
    </w:p>
    <w:p>
      <w:pPr>
        <w:pStyle w:val="Normal"/>
        <w:rPr>
          <w:rFonts w:cs="Calibri" w:cstheme="minorHAnsi"/>
          <w:sz w:val="18"/>
          <w:szCs w:val="28"/>
        </w:rPr>
      </w:pPr>
      <w:r>
        <w:rPr>
          <w:rFonts w:cs="Calibri" w:cstheme="minorHAnsi"/>
          <w:sz w:val="32"/>
          <w:u w:val="single"/>
        </w:rPr>
        <w:t>Section 6 – References</w:t>
      </w:r>
      <w:r>
        <w:rPr>
          <w:rFonts w:cs="Calibri" w:cstheme="minorHAnsi"/>
          <w:sz w:val="32"/>
        </w:rPr>
        <w:t xml:space="preserve"> </w:t>
      </w:r>
      <w:r>
        <w:rPr>
          <w:rFonts w:cs="Calibri" w:cstheme="minorHAnsi"/>
          <w:sz w:val="18"/>
          <w:szCs w:val="28"/>
        </w:rPr>
        <w:t>(Page 6-7)</w:t>
      </w:r>
    </w:p>
    <w:p>
      <w:pPr>
        <w:pStyle w:val="Normal"/>
        <w:rPr>
          <w:rFonts w:cs="Calibri" w:cstheme="minorHAnsi"/>
          <w:sz w:val="20"/>
          <w:u w:val="single"/>
        </w:rPr>
      </w:pPr>
      <w:r>
        <w:rPr>
          <w:rFonts w:cs="Calibri" w:cstheme="minorHAnsi"/>
          <w:sz w:val="20"/>
          <w:u w:val="single"/>
        </w:rPr>
      </w:r>
    </w:p>
    <w:p>
      <w:pPr>
        <w:pStyle w:val="Normal"/>
        <w:rPr>
          <w:rFonts w:cs="Calibri" w:cstheme="minorHAnsi"/>
          <w:sz w:val="32"/>
          <w:u w:val="single"/>
        </w:rPr>
      </w:pPr>
      <w:r>
        <w:rPr>
          <w:rFonts w:cs="Calibri" w:cstheme="minorHAnsi"/>
          <w:sz w:val="32"/>
          <w:u w:val="single"/>
        </w:rPr>
        <w:t>Table of figures</w:t>
      </w:r>
    </w:p>
    <w:p>
      <w:pPr>
        <w:pStyle w:val="Normal"/>
        <w:rPr>
          <w:rFonts w:cs="Calibri" w:cstheme="minorHAnsi"/>
          <w:sz w:val="24"/>
        </w:rPr>
      </w:pPr>
      <w:r>
        <w:rPr>
          <w:rFonts w:cs="Calibri" w:cstheme="minorHAnsi"/>
          <w:sz w:val="24"/>
        </w:rPr>
        <w:t>Figure 1 -</w:t>
      </w:r>
      <w:r>
        <w:rPr>
          <w:sz w:val="20"/>
        </w:rPr>
        <w:t xml:space="preserve"> </w:t>
      </w:r>
      <w:r>
        <w:rPr>
          <w:sz w:val="24"/>
        </w:rPr>
        <w:t>Results from Flame Test.</w:t>
      </w:r>
    </w:p>
    <w:p>
      <w:pPr>
        <w:pStyle w:val="Normal"/>
        <w:rPr>
          <w:rFonts w:cs="Calibri" w:cstheme="minorHAnsi"/>
          <w:sz w:val="24"/>
        </w:rPr>
      </w:pPr>
      <w:r>
        <w:rPr>
          <w:rFonts w:cs="Calibri" w:cstheme="minorHAnsi"/>
          <w:sz w:val="24"/>
        </w:rPr>
        <w:t xml:space="preserve">Figure 2 - </w:t>
      </w:r>
      <w:r>
        <w:rPr>
          <w:sz w:val="24"/>
        </w:rPr>
        <w:t>Visual display of metal ions and their emitted wavelengths.</w:t>
      </w:r>
    </w:p>
    <w:p>
      <w:pPr>
        <w:pStyle w:val="Normal"/>
        <w:rPr>
          <w:rFonts w:cs="Calibri" w:cstheme="minorHAnsi"/>
          <w:sz w:val="24"/>
        </w:rPr>
      </w:pPr>
      <w:r>
        <w:rPr>
          <w:rFonts w:cs="Calibri" w:cstheme="minorHAnsi"/>
          <w:sz w:val="24"/>
        </w:rPr>
        <w:t xml:space="preserve">Figure 3 - </w:t>
      </w:r>
      <w:r>
        <w:rPr>
          <w:rFonts w:eastAsia="" w:eastAsiaTheme="minorEastAsia"/>
          <w:sz w:val="24"/>
        </w:rPr>
        <w:t>EM visible light spectrum.</w:t>
      </w:r>
    </w:p>
    <w:p>
      <w:pPr>
        <w:pStyle w:val="Normal"/>
        <w:rPr>
          <w:rFonts w:cs="Calibri" w:cstheme="minorHAnsi"/>
          <w:sz w:val="32"/>
          <w:u w:val="single"/>
        </w:rPr>
      </w:pPr>
      <w:r>
        <w:rPr>
          <w:rFonts w:cs="Calibri" w:cstheme="minorHAnsi"/>
          <w:sz w:val="32"/>
          <w:u w:val="single"/>
        </w:rPr>
      </w:r>
    </w:p>
    <w:p>
      <w:pPr>
        <w:pStyle w:val="Normal"/>
        <w:rPr>
          <w:rFonts w:cs="Calibri" w:cstheme="minorHAnsi"/>
          <w:sz w:val="32"/>
          <w:u w:val="single"/>
        </w:rPr>
      </w:pPr>
      <w:r>
        <w:rPr>
          <w:rFonts w:cs="Calibri" w:cstheme="minorHAnsi"/>
          <w:sz w:val="32"/>
          <w:u w:val="single"/>
        </w:rPr>
        <w:t>Introduction:</w:t>
      </w:r>
    </w:p>
    <w:p>
      <w:pPr>
        <w:pStyle w:val="Normal"/>
        <w:rPr>
          <w:sz w:val="20"/>
          <w:u w:val="single"/>
        </w:rPr>
      </w:pPr>
      <w:r>
        <w:rPr>
          <w:sz w:val="20"/>
          <w:u w:val="single"/>
        </w:rPr>
      </w:r>
    </w:p>
    <w:p>
      <w:pPr>
        <w:pStyle w:val="Normal"/>
        <w:rPr>
          <w:sz w:val="20"/>
        </w:rPr>
      </w:pPr>
      <w:r>
        <w:rPr>
          <w:sz w:val="20"/>
        </w:rPr>
        <w:t xml:space="preserve">The purpose of the flame test experiment is to quickly and easily identify the metal ion of a compound. This is done by heating the solution and determining the colour change associated. This colour change arises due to the change in energy level of the outermost electron. It is excited to a higher energy shell then de-excites to its original shell, releasing a specific energy photon with a unique frequency and wavelength (relating to a colour). </w:t>
      </w:r>
    </w:p>
    <w:p>
      <w:pPr>
        <w:pStyle w:val="Normal"/>
        <w:rPr>
          <w:sz w:val="20"/>
        </w:rPr>
      </w:pPr>
      <w:r>
        <w:rPr>
          <w:sz w:val="20"/>
        </w:rPr>
      </w:r>
    </w:p>
    <w:p>
      <w:pPr>
        <w:pStyle w:val="Normal"/>
        <w:rPr>
          <w:sz w:val="20"/>
          <w:u w:val="single"/>
        </w:rPr>
      </w:pPr>
      <w:r>
        <w:rPr>
          <w:sz w:val="20"/>
          <w:u w:val="single"/>
        </w:rPr>
        <w:t>The hypotheses being tested are:</w:t>
      </w:r>
    </w:p>
    <w:p>
      <w:pPr>
        <w:pStyle w:val="ListParagraph"/>
        <w:numPr>
          <w:ilvl w:val="0"/>
          <w:numId w:val="1"/>
        </w:numPr>
        <w:rPr>
          <w:sz w:val="20"/>
        </w:rPr>
      </w:pPr>
      <w:r>
        <w:rPr>
          <w:sz w:val="20"/>
        </w:rPr>
        <w:t>Metal ions emit light when they are heated.</w:t>
      </w:r>
    </w:p>
    <w:p>
      <w:pPr>
        <w:pStyle w:val="ListParagraph"/>
        <w:numPr>
          <w:ilvl w:val="0"/>
          <w:numId w:val="1"/>
        </w:numPr>
        <w:rPr>
          <w:sz w:val="20"/>
        </w:rPr>
      </w:pPr>
      <w:r>
        <w:rPr>
          <w:sz w:val="20"/>
        </w:rPr>
        <w:t>Different metal ions have different colours associated.</w:t>
      </w:r>
    </w:p>
    <w:p>
      <w:pPr>
        <w:pStyle w:val="Normal"/>
        <w:rPr>
          <w:sz w:val="20"/>
        </w:rPr>
      </w:pPr>
      <w:r>
        <w:rPr>
          <w:sz w:val="20"/>
        </w:rPr>
      </w:r>
    </w:p>
    <w:p>
      <w:pPr>
        <w:pStyle w:val="Normal"/>
        <w:rPr>
          <w:sz w:val="20"/>
        </w:rPr>
      </w:pPr>
      <w:r>
        <w:rPr>
          <w:sz w:val="20"/>
        </w:rPr>
        <w:t>Independent variable – The metal ion within the compound.</w:t>
      </w:r>
    </w:p>
    <w:p>
      <w:pPr>
        <w:pStyle w:val="Normal"/>
        <w:rPr>
          <w:sz w:val="20"/>
        </w:rPr>
      </w:pPr>
      <w:r>
        <w:rPr>
          <w:sz w:val="20"/>
        </w:rPr>
        <w:t>Dependent variable – The colour of the flame produced.</w:t>
      </w:r>
    </w:p>
    <w:p>
      <w:pPr>
        <w:pStyle w:val="Normal"/>
        <w:rPr>
          <w:sz w:val="20"/>
        </w:rPr>
      </w:pPr>
      <w:r>
        <w:rPr>
          <w:sz w:val="20"/>
        </w:rPr>
        <w:t>Control variables – Keep the same person determining the colour, Use roughly the same mols of solution, Maintain consistent room lighting, Hold the compound over the corona of the flame, When testing keep it on a roaring flame, Always remove any residue of the previous test using HCL and then deionised water.</w:t>
      </w:r>
    </w:p>
    <w:p>
      <w:pPr>
        <w:pStyle w:val="Normal"/>
        <w:rPr>
          <w:sz w:val="20"/>
        </w:rPr>
      </w:pPr>
      <w:r>
        <w:rPr>
          <w:sz w:val="20"/>
        </w:rPr>
      </w:r>
    </w:p>
    <w:p>
      <w:pPr>
        <w:pStyle w:val="Normal"/>
        <w:rPr>
          <w:sz w:val="20"/>
          <w:u w:val="single"/>
        </w:rPr>
      </w:pPr>
      <w:r>
        <w:rPr>
          <w:sz w:val="20"/>
          <w:u w:val="single"/>
        </w:rPr>
        <w:t xml:space="preserve">Equations:   </w:t>
      </w:r>
    </w:p>
    <w:p>
      <w:pPr>
        <w:pStyle w:val="Normal"/>
        <w:rPr/>
      </w:pPr>
      <w:r>
        <w:rPr/>
      </w:r>
      <m:oMath xmlns:m="http://schemas.openxmlformats.org/officeDocument/2006/math">
        <m:r>
          <w:rPr>
            <w:rFonts w:ascii="Cambria Math" w:hAnsi="Cambria Math"/>
          </w:rPr>
          <m:t xml:space="preserve">c</m:t>
        </m:r>
        <m:r>
          <w:rPr>
            <w:rFonts w:ascii="Cambria Math" w:hAnsi="Cambria Math"/>
          </w:rPr>
          <m:t xml:space="preserve">=</m:t>
        </m:r>
        <m:r>
          <w:rPr>
            <w:rFonts w:ascii="Cambria Math" w:hAnsi="Cambria Math"/>
          </w:rPr>
          <m:t xml:space="preserve">λ</m:t>
        </m:r>
        <m:r>
          <w:rPr>
            <w:rFonts w:ascii="Cambria Math" w:hAnsi="Cambria Math"/>
          </w:rPr>
          <m:t xml:space="preserve">f</m:t>
        </m:r>
      </m:oMath>
      <w:r>
        <w:rPr>
          <w:rFonts w:eastAsia="" w:eastAsiaTheme="minorEastAsia"/>
          <w:sz w:val="20"/>
        </w:rPr>
        <w:t xml:space="preserve">     </w:t>
      </w:r>
      <w:r>
        <w:rPr>
          <w:rFonts w:eastAsia="" w:eastAsiaTheme="minorEastAsia"/>
          <w:sz w:val="20"/>
        </w:rPr>
        <w:t>C = Speed of light (3</w:t>
      </w:r>
      <w:r>
        <w:rPr/>
      </w:r>
      <m:oMath xmlns:m="http://schemas.openxmlformats.org/officeDocument/2006/math">
        <m:r>
          <w:rPr>
            <w:rFonts w:ascii="Cambria Math" w:hAnsi="Cambria Math"/>
          </w:rPr>
          <m:t xml:space="preserve">×</m:t>
        </m:r>
      </m:oMath>
      <w:r>
        <w:rPr>
          <w:rFonts w:eastAsia="" w:eastAsiaTheme="minorEastAsia"/>
          <w:sz w:val="20"/>
        </w:rPr>
        <w:t>10</w:t>
      </w:r>
      <w:r>
        <w:rPr>
          <w:rFonts w:eastAsia="" w:eastAsiaTheme="minorEastAsia"/>
          <w:sz w:val="20"/>
          <w:vertAlign w:val="superscript"/>
        </w:rPr>
        <w:t>8</w:t>
      </w:r>
      <w:r>
        <w:rPr>
          <w:rFonts w:eastAsia="" w:eastAsiaTheme="minorEastAsia"/>
          <w:sz w:val="20"/>
        </w:rPr>
        <w:t>ms</w:t>
      </w:r>
      <w:r>
        <w:rPr>
          <w:rFonts w:eastAsia="" w:eastAsiaTheme="minorEastAsia"/>
          <w:sz w:val="20"/>
          <w:vertAlign w:val="superscript"/>
        </w:rPr>
        <w:t>-1</w:t>
      </w:r>
      <w:r>
        <w:rPr>
          <w:rFonts w:eastAsia="" w:eastAsiaTheme="minorEastAsia"/>
          <w:sz w:val="20"/>
        </w:rPr>
        <w:t xml:space="preserve">)      </w:t>
      </w:r>
      <w:r>
        <w:rPr>
          <w:rFonts w:eastAsia="" w:ascii="Google Sans;arial;sans-serif" w:hAnsi="Google Sans;arial;sans-serif" w:eastAsiaTheme="minorEastAsia"/>
          <w:b w:val="false"/>
          <w:i w:val="false"/>
          <w:caps w:val="false"/>
          <w:smallCaps w:val="false"/>
          <w:color w:val="202124"/>
          <w:spacing w:val="0"/>
          <w:sz w:val="24"/>
        </w:rPr>
        <w:t xml:space="preserve">λ </w:t>
      </w:r>
      <w:r>
        <w:rPr>
          <w:rFonts w:eastAsia="" w:ascii="Google Sans;arial;sans-serif" w:hAnsi="Google Sans;arial;sans-serif" w:eastAsiaTheme="minorEastAsia"/>
          <w:b w:val="false"/>
          <w:bCs w:val="false"/>
          <w:i w:val="false"/>
          <w:caps w:val="false"/>
          <w:smallCaps w:val="false"/>
          <w:color w:val="202124"/>
          <w:spacing w:val="0"/>
          <w:sz w:val="20"/>
        </w:rPr>
        <w:t>=</w:t>
      </w:r>
      <w:r>
        <w:rPr>
          <w:rFonts w:eastAsia="" w:eastAsiaTheme="minorEastAsia"/>
          <w:b w:val="false"/>
          <w:bCs w:val="false"/>
          <w:sz w:val="20"/>
        </w:rPr>
        <w:t xml:space="preserve"> </w:t>
      </w:r>
      <w:r>
        <w:rPr>
          <w:rFonts w:eastAsia="" w:eastAsiaTheme="minorEastAsia"/>
          <w:sz w:val="20"/>
        </w:rPr>
        <w:t>Wavelength (m)      f = Frequency (Hz)</w:t>
      </w:r>
    </w:p>
    <w:p>
      <w:pPr>
        <w:pStyle w:val="Normal"/>
        <w:rPr/>
      </w:pPr>
      <w:r>
        <w:rPr/>
      </w:r>
      <m:oMath xmlns:m="http://schemas.openxmlformats.org/officeDocument/2006/math">
        <m:r>
          <w:rPr>
            <w:rFonts w:ascii="Cambria Math" w:hAnsi="Cambria Math"/>
          </w:rPr>
          <m:t xml:space="preserve">∆</m:t>
        </m:r>
        <m:r>
          <w:rPr>
            <w:rFonts w:ascii="Cambria Math" w:hAnsi="Cambria Math"/>
          </w:rPr>
          <m:t xml:space="preserve">E</m:t>
        </m:r>
        <m:r>
          <w:rPr>
            <w:rFonts w:ascii="Cambria Math" w:hAnsi="Cambria Math"/>
          </w:rPr>
          <m:t xml:space="preserve">=</m:t>
        </m:r>
        <m:r>
          <w:rPr>
            <w:rFonts w:ascii="Cambria Math" w:hAnsi="Cambria Math"/>
          </w:rPr>
          <m:t xml:space="preserve">hf</m:t>
        </m:r>
      </m:oMath>
      <w:r>
        <w:rPr>
          <w:rFonts w:eastAsia="" w:eastAsiaTheme="minorEastAsia"/>
          <w:sz w:val="20"/>
        </w:rPr>
        <w:t xml:space="preserve">   </w:t>
      </w:r>
      <w:r>
        <w:rPr>
          <w:rFonts w:eastAsia="" w:ascii="Google Sans;arial;sans-serif" w:hAnsi="Google Sans;arial;sans-serif" w:eastAsiaTheme="minorEastAsia"/>
          <w:b w:val="false"/>
          <w:i w:val="false"/>
          <w:caps w:val="false"/>
          <w:smallCaps w:val="false"/>
          <w:color w:val="202124"/>
          <w:spacing w:val="0"/>
          <w:sz w:val="20"/>
          <w:szCs w:val="20"/>
        </w:rPr>
        <w:t xml:space="preserve">ΔE = </w:t>
      </w:r>
      <w:r>
        <w:rPr>
          <w:rFonts w:eastAsia="" w:eastAsiaTheme="minorEastAsia"/>
          <w:sz w:val="20"/>
        </w:rPr>
        <w:t>Change in energy      h = Planks constant (6.63</w:t>
      </w:r>
      <w:r>
        <w:rPr/>
      </w:r>
      <m:oMath xmlns:m="http://schemas.openxmlformats.org/officeDocument/2006/math">
        <m:r>
          <w:rPr>
            <w:rFonts w:ascii="Cambria Math" w:hAnsi="Cambria Math"/>
          </w:rPr>
          <m:t xml:space="preserve">×</m:t>
        </m:r>
      </m:oMath>
      <w:r>
        <w:rPr>
          <w:rFonts w:eastAsia="" w:eastAsiaTheme="minorEastAsia"/>
          <w:sz w:val="20"/>
        </w:rPr>
        <w:t>10</w:t>
      </w:r>
      <w:r>
        <w:rPr>
          <w:rFonts w:eastAsia="" w:eastAsiaTheme="minorEastAsia"/>
          <w:sz w:val="20"/>
          <w:vertAlign w:val="superscript"/>
        </w:rPr>
        <w:t>-34</w:t>
      </w:r>
      <w:r>
        <w:rPr>
          <w:rFonts w:eastAsia="" w:eastAsiaTheme="minorEastAsia"/>
          <w:sz w:val="20"/>
        </w:rPr>
        <w:t>Js)       f = Frequency (Hz)</w:t>
      </w:r>
    </w:p>
    <w:p>
      <w:pPr>
        <w:pStyle w:val="Normal"/>
        <w:rPr>
          <w:sz w:val="20"/>
        </w:rPr>
      </w:pPr>
      <w:r>
        <w:rPr>
          <w:sz w:val="20"/>
        </w:rPr>
      </w:r>
    </w:p>
    <w:p>
      <w:pPr>
        <w:pStyle w:val="Normal"/>
        <w:rPr>
          <w:sz w:val="32"/>
          <w:u w:val="single"/>
        </w:rPr>
      </w:pPr>
      <w:r>
        <w:rPr>
          <w:sz w:val="32"/>
          <w:u w:val="single"/>
        </w:rPr>
        <w:t>Materials and methods</w:t>
      </w:r>
    </w:p>
    <w:p>
      <w:pPr>
        <w:pStyle w:val="Normal"/>
        <w:rPr>
          <w:sz w:val="20"/>
          <w:u w:val="single"/>
        </w:rPr>
      </w:pPr>
      <w:r>
        <w:rPr>
          <w:sz w:val="20"/>
          <w:u w:val="single"/>
        </w:rPr>
      </w:r>
    </w:p>
    <w:p>
      <w:pPr>
        <w:pStyle w:val="Normal"/>
        <w:rPr>
          <w:sz w:val="20"/>
          <w:u w:val="single"/>
        </w:rPr>
      </w:pPr>
      <w:r>
        <w:rPr>
          <w:sz w:val="20"/>
          <w:u w:val="single"/>
        </w:rPr>
        <w:t>Equipment:</w:t>
      </w:r>
    </w:p>
    <w:p>
      <w:pPr>
        <w:pStyle w:val="ListParagraph"/>
        <w:numPr>
          <w:ilvl w:val="0"/>
          <w:numId w:val="2"/>
        </w:numPr>
        <w:rPr>
          <w:sz w:val="20"/>
        </w:rPr>
      </w:pPr>
      <w:r>
        <w:rPr>
          <w:sz w:val="20"/>
        </w:rPr>
        <w:t>Bunsen burner.</w:t>
      </w:r>
    </w:p>
    <w:p>
      <w:pPr>
        <w:pStyle w:val="ListParagraph"/>
        <w:numPr>
          <w:ilvl w:val="0"/>
          <w:numId w:val="2"/>
        </w:numPr>
        <w:rPr>
          <w:sz w:val="20"/>
        </w:rPr>
      </w:pPr>
      <w:r>
        <w:rPr>
          <w:sz w:val="20"/>
        </w:rPr>
        <w:t>Heat-resistant mat.</w:t>
      </w:r>
    </w:p>
    <w:p>
      <w:pPr>
        <w:pStyle w:val="ListParagraph"/>
        <w:numPr>
          <w:ilvl w:val="0"/>
          <w:numId w:val="2"/>
        </w:numPr>
        <w:rPr>
          <w:sz w:val="20"/>
        </w:rPr>
      </w:pPr>
      <w:r>
        <w:rPr>
          <w:sz w:val="20"/>
        </w:rPr>
        <w:t>Matches.</w:t>
      </w:r>
    </w:p>
    <w:p>
      <w:pPr>
        <w:pStyle w:val="ListParagraph"/>
        <w:numPr>
          <w:ilvl w:val="0"/>
          <w:numId w:val="2"/>
        </w:numPr>
        <w:rPr>
          <w:sz w:val="20"/>
        </w:rPr>
      </w:pPr>
      <w:r>
        <w:rPr>
          <w:sz w:val="20"/>
        </w:rPr>
        <w:t>Metal rod.</w:t>
      </w:r>
    </w:p>
    <w:p>
      <w:pPr>
        <w:pStyle w:val="ListParagraph"/>
        <w:numPr>
          <w:ilvl w:val="0"/>
          <w:numId w:val="2"/>
        </w:numPr>
        <w:rPr>
          <w:sz w:val="20"/>
        </w:rPr>
      </w:pPr>
      <w:r>
        <w:rPr>
          <w:sz w:val="20"/>
        </w:rPr>
        <w:t>1 M solutions of unknown metal salts labelled A-H.</w:t>
      </w:r>
    </w:p>
    <w:p>
      <w:pPr>
        <w:pStyle w:val="ListParagraph"/>
        <w:numPr>
          <w:ilvl w:val="0"/>
          <w:numId w:val="2"/>
        </w:numPr>
        <w:rPr>
          <w:sz w:val="20"/>
        </w:rPr>
      </w:pPr>
      <w:r>
        <w:rPr>
          <w:sz w:val="20"/>
        </w:rPr>
        <w:t>Beaker with 1M HCL.</w:t>
      </w:r>
    </w:p>
    <w:p>
      <w:pPr>
        <w:pStyle w:val="ListParagraph"/>
        <w:numPr>
          <w:ilvl w:val="0"/>
          <w:numId w:val="2"/>
        </w:numPr>
        <w:rPr>
          <w:sz w:val="20"/>
        </w:rPr>
      </w:pPr>
      <w:r>
        <w:rPr>
          <w:sz w:val="20"/>
        </w:rPr>
        <w:t>Beaker with deionised water (DI water).</w:t>
      </w:r>
    </w:p>
    <w:p>
      <w:pPr>
        <w:pStyle w:val="ListParagraph"/>
        <w:numPr>
          <w:ilvl w:val="0"/>
          <w:numId w:val="2"/>
        </w:numPr>
        <w:rPr>
          <w:sz w:val="20"/>
        </w:rPr>
      </w:pPr>
      <w:r>
        <w:rPr>
          <w:sz w:val="20"/>
        </w:rPr>
        <w:t>Blue cobalt glass.</w:t>
      </w:r>
    </w:p>
    <w:p>
      <w:pPr>
        <w:pStyle w:val="Normal"/>
        <w:rPr>
          <w:sz w:val="20"/>
          <w:u w:val="single"/>
        </w:rPr>
      </w:pPr>
      <w:r>
        <w:rPr>
          <w:sz w:val="20"/>
          <w:u w:val="single"/>
        </w:rPr>
      </w:r>
    </w:p>
    <w:p>
      <w:pPr>
        <w:pStyle w:val="Normal"/>
        <w:rPr>
          <w:sz w:val="20"/>
          <w:u w:val="single"/>
        </w:rPr>
      </w:pPr>
      <w:r>
        <w:rPr>
          <w:sz w:val="20"/>
          <w:u w:val="single"/>
        </w:rPr>
      </w:r>
    </w:p>
    <w:p>
      <w:pPr>
        <w:pStyle w:val="Normal"/>
        <w:rPr>
          <w:sz w:val="20"/>
          <w:u w:val="single"/>
        </w:rPr>
      </w:pPr>
      <w:r>
        <w:rPr>
          <w:sz w:val="20"/>
          <w:u w:val="single"/>
        </w:rPr>
      </w:r>
    </w:p>
    <w:p>
      <w:pPr>
        <w:pStyle w:val="Normal"/>
        <w:rPr>
          <w:sz w:val="20"/>
          <w:u w:val="single"/>
        </w:rPr>
      </w:pPr>
      <w:r>
        <w:rPr>
          <w:sz w:val="20"/>
          <w:u w:val="single"/>
        </w:rPr>
        <w:t>Method:</w:t>
      </w:r>
    </w:p>
    <w:p>
      <w:pPr>
        <w:pStyle w:val="ListParagraph"/>
        <w:numPr>
          <w:ilvl w:val="0"/>
          <w:numId w:val="3"/>
        </w:numPr>
        <w:rPr>
          <w:sz w:val="20"/>
          <w:u w:val="single"/>
        </w:rPr>
      </w:pPr>
      <w:r>
        <w:rPr>
          <w:sz w:val="20"/>
        </w:rPr>
        <w:t>Set up the Bunsen burner on a heatproof mat. Light it and put it to a roaring flame by spinning the air vent open (Keep the safety flame on when not in use).</w:t>
      </w:r>
    </w:p>
    <w:p>
      <w:pPr>
        <w:pStyle w:val="ListParagraph"/>
        <w:numPr>
          <w:ilvl w:val="0"/>
          <w:numId w:val="3"/>
        </w:numPr>
        <w:rPr>
          <w:sz w:val="20"/>
          <w:u w:val="single"/>
        </w:rPr>
      </w:pPr>
      <w:r>
        <w:rPr>
          <w:sz w:val="20"/>
        </w:rPr>
        <w:t>Clean the nichrome loop wire by dipping in the 1M HCL solution beaker then heat at the corona of the roaring flame. Repeat this step until no colour is shown.</w:t>
      </w:r>
    </w:p>
    <w:p>
      <w:pPr>
        <w:pStyle w:val="ListParagraph"/>
        <w:numPr>
          <w:ilvl w:val="0"/>
          <w:numId w:val="3"/>
        </w:numPr>
        <w:rPr>
          <w:sz w:val="20"/>
          <w:u w:val="single"/>
        </w:rPr>
      </w:pPr>
      <w:r>
        <w:rPr>
          <w:sz w:val="20"/>
        </w:rPr>
        <w:t>Dip the wire in the deionised water beaker and heat to remove any HCL residue.</w:t>
      </w:r>
    </w:p>
    <w:p>
      <w:pPr>
        <w:pStyle w:val="ListParagraph"/>
        <w:numPr>
          <w:ilvl w:val="0"/>
          <w:numId w:val="3"/>
        </w:numPr>
        <w:rPr>
          <w:sz w:val="20"/>
          <w:u w:val="single"/>
        </w:rPr>
      </w:pPr>
      <w:r>
        <w:rPr>
          <w:sz w:val="20"/>
        </w:rPr>
        <w:t>Leave the wire to cool then dip it in the unknown solution.</w:t>
      </w:r>
    </w:p>
    <w:p>
      <w:pPr>
        <w:pStyle w:val="ListParagraph"/>
        <w:numPr>
          <w:ilvl w:val="0"/>
          <w:numId w:val="3"/>
        </w:numPr>
        <w:rPr>
          <w:sz w:val="20"/>
          <w:u w:val="single"/>
        </w:rPr>
      </w:pPr>
      <w:r>
        <w:rPr>
          <w:sz w:val="20"/>
        </w:rPr>
        <w:t>Heat the wire over the corona and record the observation (colour change).</w:t>
      </w:r>
    </w:p>
    <w:p>
      <w:pPr>
        <w:pStyle w:val="ListParagraph"/>
        <w:numPr>
          <w:ilvl w:val="0"/>
          <w:numId w:val="3"/>
        </w:numPr>
        <w:rPr>
          <w:sz w:val="20"/>
          <w:u w:val="single"/>
        </w:rPr>
      </w:pPr>
      <w:r>
        <w:rPr>
          <w:sz w:val="20"/>
        </w:rPr>
        <w:t>Use the cobalt glass to identify the sodium/ potassium mixture.</w:t>
      </w:r>
    </w:p>
    <w:p>
      <w:pPr>
        <w:pStyle w:val="ListParagraph"/>
        <w:numPr>
          <w:ilvl w:val="0"/>
          <w:numId w:val="3"/>
        </w:numPr>
        <w:rPr>
          <w:sz w:val="20"/>
          <w:u w:val="single"/>
        </w:rPr>
      </w:pPr>
      <w:r>
        <w:rPr>
          <w:sz w:val="20"/>
        </w:rPr>
        <w:t>Repeat steps until all unknown solutions have been tested and recorded.</w:t>
      </w:r>
    </w:p>
    <w:p>
      <w:pPr>
        <w:pStyle w:val="ListParagraph"/>
        <w:numPr>
          <w:ilvl w:val="0"/>
          <w:numId w:val="3"/>
        </w:numPr>
        <w:rPr>
          <w:sz w:val="20"/>
          <w:u w:val="single"/>
        </w:rPr>
      </w:pPr>
      <w:r>
        <w:rPr>
          <w:sz w:val="20"/>
        </w:rPr>
        <w:t>Record the colour of the flame for deionised water and 1M HCL.</w:t>
      </w:r>
    </w:p>
    <w:p>
      <w:pPr>
        <w:pStyle w:val="Normal"/>
        <w:rPr>
          <w:sz w:val="20"/>
          <w:u w:val="single"/>
        </w:rPr>
      </w:pPr>
      <w:r>
        <w:rPr>
          <w:sz w:val="20"/>
          <w:u w:val="single"/>
        </w:rPr>
      </w:r>
    </w:p>
    <w:p>
      <w:pPr>
        <w:pStyle w:val="Normal"/>
        <w:rPr>
          <w:sz w:val="32"/>
          <w:u w:val="single"/>
        </w:rPr>
      </w:pPr>
      <w:r>
        <w:rPr>
          <w:sz w:val="32"/>
          <w:u w:val="single"/>
        </w:rPr>
        <w:t>Results:</w:t>
      </w:r>
    </w:p>
    <w:p>
      <w:pPr>
        <w:pStyle w:val="Normal"/>
        <w:rPr>
          <w:sz w:val="20"/>
          <w:u w:val="single"/>
        </w:rPr>
      </w:pPr>
      <w:r>
        <w:rPr>
          <w:sz w:val="20"/>
          <w:u w:val="single"/>
        </w:rPr>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2254"/>
        <w:gridCol w:w="2254"/>
        <w:gridCol w:w="2254"/>
        <w:gridCol w:w="2253"/>
      </w:tblGrid>
      <w:tr>
        <w:trPr/>
        <w:tc>
          <w:tcPr>
            <w:tcW w:w="2254" w:type="dxa"/>
            <w:tcBorders/>
            <w:shd w:fill="auto" w:val="clear"/>
            <w:vAlign w:val="center"/>
          </w:tcPr>
          <w:p>
            <w:pPr>
              <w:pStyle w:val="Normal"/>
              <w:spacing w:lineRule="auto" w:line="240" w:before="0" w:after="0"/>
              <w:jc w:val="center"/>
              <w:rPr>
                <w:sz w:val="20"/>
                <w:u w:val="single"/>
              </w:rPr>
            </w:pPr>
            <w:r>
              <w:rPr>
                <w:sz w:val="20"/>
                <w:u w:val="single"/>
              </w:rPr>
              <w:t>Unknown metal salt</w:t>
            </w:r>
          </w:p>
        </w:tc>
        <w:tc>
          <w:tcPr>
            <w:tcW w:w="2254" w:type="dxa"/>
            <w:tcBorders/>
            <w:shd w:fill="auto" w:val="clear"/>
            <w:vAlign w:val="center"/>
          </w:tcPr>
          <w:p>
            <w:pPr>
              <w:pStyle w:val="Normal"/>
              <w:spacing w:lineRule="auto" w:line="240" w:before="0" w:after="0"/>
              <w:jc w:val="center"/>
              <w:rPr>
                <w:sz w:val="20"/>
                <w:u w:val="single"/>
              </w:rPr>
            </w:pPr>
            <w:r>
              <w:rPr>
                <w:sz w:val="20"/>
                <w:u w:val="single"/>
              </w:rPr>
              <w:t>Colour of the flame</w:t>
            </w:r>
          </w:p>
        </w:tc>
        <w:tc>
          <w:tcPr>
            <w:tcW w:w="2254" w:type="dxa"/>
            <w:tcBorders/>
            <w:shd w:fill="auto" w:val="clear"/>
            <w:vAlign w:val="center"/>
          </w:tcPr>
          <w:p>
            <w:pPr>
              <w:pStyle w:val="Normal"/>
              <w:spacing w:lineRule="auto" w:line="240" w:before="0" w:after="0"/>
              <w:jc w:val="center"/>
              <w:rPr>
                <w:sz w:val="20"/>
                <w:u w:val="single"/>
              </w:rPr>
            </w:pPr>
            <w:r>
              <w:rPr>
                <w:sz w:val="20"/>
                <w:u w:val="single"/>
              </w:rPr>
              <w:t>Identity of metal</w:t>
            </w:r>
          </w:p>
        </w:tc>
        <w:tc>
          <w:tcPr>
            <w:tcW w:w="2253" w:type="dxa"/>
            <w:tcBorders/>
            <w:shd w:fill="auto" w:val="clear"/>
            <w:vAlign w:val="center"/>
          </w:tcPr>
          <w:p>
            <w:pPr>
              <w:pStyle w:val="Normal"/>
              <w:spacing w:lineRule="auto" w:line="240" w:before="0" w:after="0"/>
              <w:jc w:val="center"/>
              <w:rPr>
                <w:sz w:val="20"/>
                <w:u w:val="single"/>
              </w:rPr>
            </w:pPr>
            <w:r>
              <w:rPr>
                <w:sz w:val="20"/>
                <w:u w:val="single"/>
              </w:rPr>
              <w:t>Wavelength</w:t>
            </w:r>
          </w:p>
        </w:tc>
      </w:tr>
      <w:tr>
        <w:trPr/>
        <w:tc>
          <w:tcPr>
            <w:tcW w:w="2254" w:type="dxa"/>
            <w:tcBorders/>
            <w:shd w:fill="auto" w:val="clear"/>
            <w:vAlign w:val="center"/>
          </w:tcPr>
          <w:p>
            <w:pPr>
              <w:pStyle w:val="Normal"/>
              <w:spacing w:lineRule="auto" w:line="240" w:before="0" w:after="0"/>
              <w:jc w:val="center"/>
              <w:rPr>
                <w:sz w:val="20"/>
              </w:rPr>
            </w:pPr>
            <w:r>
              <w:rPr>
                <w:sz w:val="20"/>
              </w:rPr>
              <w:t>Deionised water</w:t>
            </w:r>
          </w:p>
        </w:tc>
        <w:tc>
          <w:tcPr>
            <w:tcW w:w="2254" w:type="dxa"/>
            <w:tcBorders/>
            <w:shd w:fill="auto" w:val="clear"/>
            <w:vAlign w:val="center"/>
          </w:tcPr>
          <w:p>
            <w:pPr>
              <w:pStyle w:val="Normal"/>
              <w:spacing w:lineRule="auto" w:line="240" w:before="0" w:after="0"/>
              <w:jc w:val="center"/>
              <w:rPr>
                <w:sz w:val="20"/>
              </w:rPr>
            </w:pPr>
            <w:r>
              <w:rPr>
                <w:sz w:val="20"/>
              </w:rPr>
              <w:t>Orange</w:t>
            </w:r>
          </w:p>
        </w:tc>
        <w:tc>
          <w:tcPr>
            <w:tcW w:w="2254" w:type="dxa"/>
            <w:tcBorders/>
            <w:shd w:fill="auto" w:val="clear"/>
            <w:vAlign w:val="center"/>
          </w:tcPr>
          <w:p>
            <w:pPr>
              <w:pStyle w:val="Normal"/>
              <w:spacing w:lineRule="auto" w:line="240" w:before="0" w:after="0"/>
              <w:jc w:val="center"/>
              <w:rPr>
                <w:sz w:val="20"/>
              </w:rPr>
            </w:pPr>
            <w:r>
              <w:rPr>
                <w:sz w:val="20"/>
              </w:rPr>
              <w:t>N/A</w:t>
            </w:r>
          </w:p>
        </w:tc>
        <w:tc>
          <w:tcPr>
            <w:tcW w:w="2253" w:type="dxa"/>
            <w:tcBorders/>
            <w:shd w:fill="auto" w:val="clear"/>
            <w:vAlign w:val="center"/>
          </w:tcPr>
          <w:p>
            <w:pPr>
              <w:pStyle w:val="Normal"/>
              <w:spacing w:lineRule="auto" w:line="240" w:before="0" w:after="0"/>
              <w:jc w:val="center"/>
              <w:rPr>
                <w:sz w:val="20"/>
              </w:rPr>
            </w:pPr>
            <w:r>
              <w:rPr>
                <w:sz w:val="20"/>
              </w:rPr>
              <w:t>N/A</w:t>
            </w:r>
          </w:p>
        </w:tc>
      </w:tr>
      <w:tr>
        <w:trPr/>
        <w:tc>
          <w:tcPr>
            <w:tcW w:w="2254" w:type="dxa"/>
            <w:tcBorders/>
            <w:shd w:fill="auto" w:val="clear"/>
            <w:vAlign w:val="center"/>
          </w:tcPr>
          <w:p>
            <w:pPr>
              <w:pStyle w:val="Normal"/>
              <w:spacing w:lineRule="auto" w:line="240" w:before="0" w:after="0"/>
              <w:jc w:val="center"/>
              <w:rPr>
                <w:sz w:val="20"/>
              </w:rPr>
            </w:pPr>
            <w:r>
              <w:rPr>
                <w:sz w:val="20"/>
              </w:rPr>
              <w:t>1M HCL</w:t>
            </w:r>
          </w:p>
        </w:tc>
        <w:tc>
          <w:tcPr>
            <w:tcW w:w="2254" w:type="dxa"/>
            <w:tcBorders/>
            <w:shd w:fill="auto" w:val="clear"/>
            <w:vAlign w:val="center"/>
          </w:tcPr>
          <w:p>
            <w:pPr>
              <w:pStyle w:val="Normal"/>
              <w:spacing w:lineRule="auto" w:line="240" w:before="0" w:after="0"/>
              <w:jc w:val="center"/>
              <w:rPr>
                <w:sz w:val="20"/>
              </w:rPr>
            </w:pPr>
            <w:r>
              <w:rPr>
                <w:sz w:val="20"/>
              </w:rPr>
              <w:t>Orange</w:t>
            </w:r>
          </w:p>
        </w:tc>
        <w:tc>
          <w:tcPr>
            <w:tcW w:w="2254" w:type="dxa"/>
            <w:tcBorders/>
            <w:shd w:fill="auto" w:val="clear"/>
            <w:vAlign w:val="center"/>
          </w:tcPr>
          <w:p>
            <w:pPr>
              <w:pStyle w:val="Normal"/>
              <w:spacing w:lineRule="auto" w:line="240" w:before="0" w:after="0"/>
              <w:jc w:val="center"/>
              <w:rPr>
                <w:sz w:val="20"/>
              </w:rPr>
            </w:pPr>
            <w:r>
              <w:rPr>
                <w:sz w:val="20"/>
              </w:rPr>
              <w:t>N/A</w:t>
            </w:r>
          </w:p>
        </w:tc>
        <w:tc>
          <w:tcPr>
            <w:tcW w:w="2253" w:type="dxa"/>
            <w:tcBorders/>
            <w:shd w:fill="auto" w:val="clear"/>
            <w:vAlign w:val="center"/>
          </w:tcPr>
          <w:p>
            <w:pPr>
              <w:pStyle w:val="Normal"/>
              <w:spacing w:lineRule="auto" w:line="240" w:before="0" w:after="0"/>
              <w:jc w:val="center"/>
              <w:rPr>
                <w:sz w:val="20"/>
              </w:rPr>
            </w:pPr>
            <w:r>
              <w:rPr>
                <w:sz w:val="20"/>
              </w:rPr>
              <w:t>N/A</w:t>
            </w:r>
          </w:p>
        </w:tc>
      </w:tr>
      <w:tr>
        <w:trPr/>
        <w:tc>
          <w:tcPr>
            <w:tcW w:w="2254" w:type="dxa"/>
            <w:tcBorders/>
            <w:shd w:fill="auto" w:val="clear"/>
            <w:vAlign w:val="center"/>
          </w:tcPr>
          <w:p>
            <w:pPr>
              <w:pStyle w:val="Normal"/>
              <w:spacing w:lineRule="auto" w:line="240" w:before="0" w:after="0"/>
              <w:jc w:val="center"/>
              <w:rPr>
                <w:sz w:val="20"/>
              </w:rPr>
            </w:pPr>
            <w:r>
              <w:rPr>
                <w:sz w:val="20"/>
              </w:rPr>
              <w:t>A</w:t>
            </w:r>
          </w:p>
        </w:tc>
        <w:tc>
          <w:tcPr>
            <w:tcW w:w="2254" w:type="dxa"/>
            <w:tcBorders/>
            <w:shd w:fill="auto" w:val="clear"/>
            <w:vAlign w:val="center"/>
          </w:tcPr>
          <w:p>
            <w:pPr>
              <w:pStyle w:val="Normal"/>
              <w:spacing w:lineRule="auto" w:line="240" w:before="0" w:after="0"/>
              <w:jc w:val="center"/>
              <w:rPr>
                <w:sz w:val="20"/>
              </w:rPr>
            </w:pPr>
            <w:r>
              <w:rPr>
                <w:sz w:val="20"/>
              </w:rPr>
              <w:t>Yellow</w:t>
            </w:r>
          </w:p>
        </w:tc>
        <w:tc>
          <w:tcPr>
            <w:tcW w:w="2254" w:type="dxa"/>
            <w:tcBorders/>
            <w:shd w:fill="auto" w:val="clear"/>
            <w:vAlign w:val="center"/>
          </w:tcPr>
          <w:p>
            <w:pPr>
              <w:pStyle w:val="Normal"/>
              <w:spacing w:lineRule="auto" w:line="240" w:before="0" w:after="0"/>
              <w:jc w:val="center"/>
              <w:rPr>
                <w:sz w:val="20"/>
                <w:vertAlign w:val="superscript"/>
              </w:rPr>
            </w:pPr>
            <w:r>
              <w:rPr>
                <w:sz w:val="20"/>
              </w:rPr>
              <w:t>Sodium/ Na</w:t>
            </w:r>
            <w:r>
              <w:rPr>
                <w:sz w:val="20"/>
                <w:vertAlign w:val="superscript"/>
              </w:rPr>
              <w:t>+</w:t>
            </w:r>
          </w:p>
        </w:tc>
        <w:tc>
          <w:tcPr>
            <w:tcW w:w="2253" w:type="dxa"/>
            <w:tcBorders/>
            <w:shd w:fill="auto" w:val="clear"/>
            <w:vAlign w:val="center"/>
          </w:tcPr>
          <w:p>
            <w:pPr>
              <w:pStyle w:val="Normal"/>
              <w:spacing w:lineRule="auto" w:line="240" w:before="0" w:after="0"/>
              <w:jc w:val="center"/>
              <w:rPr>
                <w:sz w:val="20"/>
              </w:rPr>
            </w:pPr>
            <w:r>
              <w:rPr>
                <w:sz w:val="20"/>
              </w:rPr>
              <w:t>600nm</w:t>
            </w:r>
          </w:p>
        </w:tc>
      </w:tr>
      <w:tr>
        <w:trPr/>
        <w:tc>
          <w:tcPr>
            <w:tcW w:w="2254" w:type="dxa"/>
            <w:tcBorders/>
            <w:shd w:fill="auto" w:val="clear"/>
            <w:vAlign w:val="center"/>
          </w:tcPr>
          <w:p>
            <w:pPr>
              <w:pStyle w:val="Normal"/>
              <w:spacing w:lineRule="auto" w:line="240" w:before="0" w:after="0"/>
              <w:jc w:val="center"/>
              <w:rPr>
                <w:sz w:val="20"/>
              </w:rPr>
            </w:pPr>
            <w:r>
              <w:rPr>
                <w:sz w:val="20"/>
              </w:rPr>
              <w:t>B</w:t>
            </w:r>
          </w:p>
        </w:tc>
        <w:tc>
          <w:tcPr>
            <w:tcW w:w="2254" w:type="dxa"/>
            <w:tcBorders/>
            <w:shd w:fill="auto" w:val="clear"/>
            <w:vAlign w:val="center"/>
          </w:tcPr>
          <w:p>
            <w:pPr>
              <w:pStyle w:val="Normal"/>
              <w:spacing w:lineRule="auto" w:line="240" w:before="0" w:after="0"/>
              <w:jc w:val="center"/>
              <w:rPr>
                <w:sz w:val="20"/>
              </w:rPr>
            </w:pPr>
            <w:r>
              <w:rPr>
                <w:sz w:val="20"/>
              </w:rPr>
              <w:t>Red</w:t>
            </w:r>
          </w:p>
        </w:tc>
        <w:tc>
          <w:tcPr>
            <w:tcW w:w="2254" w:type="dxa"/>
            <w:tcBorders/>
            <w:shd w:fill="auto" w:val="clear"/>
            <w:vAlign w:val="center"/>
          </w:tcPr>
          <w:p>
            <w:pPr>
              <w:pStyle w:val="Normal"/>
              <w:spacing w:lineRule="auto" w:line="240" w:before="0" w:after="0"/>
              <w:jc w:val="center"/>
              <w:rPr>
                <w:sz w:val="20"/>
              </w:rPr>
            </w:pPr>
            <w:r>
              <w:rPr>
                <w:sz w:val="20"/>
              </w:rPr>
              <w:t>Strontium/ Sr</w:t>
            </w:r>
            <w:r>
              <w:rPr>
                <w:sz w:val="20"/>
                <w:vertAlign w:val="superscript"/>
              </w:rPr>
              <w:t>2+</w:t>
            </w:r>
          </w:p>
        </w:tc>
        <w:tc>
          <w:tcPr>
            <w:tcW w:w="2253" w:type="dxa"/>
            <w:tcBorders/>
            <w:shd w:fill="auto" w:val="clear"/>
            <w:vAlign w:val="center"/>
          </w:tcPr>
          <w:p>
            <w:pPr>
              <w:pStyle w:val="Normal"/>
              <w:spacing w:lineRule="auto" w:line="240" w:before="0" w:after="0"/>
              <w:jc w:val="center"/>
              <w:rPr>
                <w:sz w:val="20"/>
              </w:rPr>
            </w:pPr>
            <w:r>
              <w:rPr>
                <w:sz w:val="20"/>
              </w:rPr>
              <w:t>650nm</w:t>
            </w:r>
          </w:p>
        </w:tc>
      </w:tr>
      <w:tr>
        <w:trPr/>
        <w:tc>
          <w:tcPr>
            <w:tcW w:w="2254" w:type="dxa"/>
            <w:tcBorders/>
            <w:shd w:fill="auto" w:val="clear"/>
            <w:vAlign w:val="center"/>
          </w:tcPr>
          <w:p>
            <w:pPr>
              <w:pStyle w:val="Normal"/>
              <w:spacing w:lineRule="auto" w:line="240" w:before="0" w:after="0"/>
              <w:jc w:val="center"/>
              <w:rPr>
                <w:sz w:val="20"/>
              </w:rPr>
            </w:pPr>
            <w:r>
              <w:rPr>
                <w:sz w:val="20"/>
              </w:rPr>
              <w:t>C</w:t>
            </w:r>
          </w:p>
        </w:tc>
        <w:tc>
          <w:tcPr>
            <w:tcW w:w="2254" w:type="dxa"/>
            <w:tcBorders/>
            <w:shd w:fill="auto" w:val="clear"/>
            <w:vAlign w:val="center"/>
          </w:tcPr>
          <w:p>
            <w:pPr>
              <w:pStyle w:val="Normal"/>
              <w:spacing w:lineRule="auto" w:line="240" w:before="0" w:after="0"/>
              <w:jc w:val="center"/>
              <w:rPr>
                <w:sz w:val="20"/>
              </w:rPr>
            </w:pPr>
            <w:r>
              <w:rPr>
                <w:sz w:val="20"/>
              </w:rPr>
              <w:t>Orange</w:t>
            </w:r>
          </w:p>
        </w:tc>
        <w:tc>
          <w:tcPr>
            <w:tcW w:w="2254" w:type="dxa"/>
            <w:tcBorders/>
            <w:shd w:fill="auto" w:val="clear"/>
            <w:vAlign w:val="center"/>
          </w:tcPr>
          <w:p>
            <w:pPr>
              <w:pStyle w:val="Normal"/>
              <w:spacing w:lineRule="auto" w:line="240" w:before="0" w:after="0"/>
              <w:jc w:val="center"/>
              <w:rPr>
                <w:sz w:val="20"/>
                <w:vertAlign w:val="superscript"/>
              </w:rPr>
            </w:pPr>
            <w:r>
              <w:rPr>
                <w:sz w:val="20"/>
              </w:rPr>
              <w:t>Calcium/ Ca</w:t>
            </w:r>
            <w:r>
              <w:rPr>
                <w:sz w:val="20"/>
                <w:vertAlign w:val="superscript"/>
              </w:rPr>
              <w:t>2+</w:t>
            </w:r>
          </w:p>
        </w:tc>
        <w:tc>
          <w:tcPr>
            <w:tcW w:w="2253" w:type="dxa"/>
            <w:tcBorders/>
            <w:shd w:fill="auto" w:val="clear"/>
            <w:vAlign w:val="center"/>
          </w:tcPr>
          <w:p>
            <w:pPr>
              <w:pStyle w:val="Normal"/>
              <w:spacing w:lineRule="auto" w:line="240" w:before="0" w:after="0"/>
              <w:jc w:val="center"/>
              <w:rPr>
                <w:sz w:val="20"/>
              </w:rPr>
            </w:pPr>
            <w:r>
              <w:rPr>
                <w:sz w:val="20"/>
              </w:rPr>
              <w:t>600nm</w:t>
            </w:r>
          </w:p>
        </w:tc>
      </w:tr>
      <w:tr>
        <w:trPr/>
        <w:tc>
          <w:tcPr>
            <w:tcW w:w="2254" w:type="dxa"/>
            <w:tcBorders/>
            <w:shd w:fill="auto" w:val="clear"/>
            <w:vAlign w:val="center"/>
          </w:tcPr>
          <w:p>
            <w:pPr>
              <w:pStyle w:val="Normal"/>
              <w:spacing w:lineRule="auto" w:line="240" w:before="0" w:after="0"/>
              <w:jc w:val="center"/>
              <w:rPr>
                <w:sz w:val="20"/>
              </w:rPr>
            </w:pPr>
            <w:r>
              <w:rPr>
                <w:sz w:val="20"/>
              </w:rPr>
              <w:t>D</w:t>
            </w:r>
          </w:p>
        </w:tc>
        <w:tc>
          <w:tcPr>
            <w:tcW w:w="2254" w:type="dxa"/>
            <w:tcBorders/>
            <w:shd w:fill="auto" w:val="clear"/>
            <w:vAlign w:val="center"/>
          </w:tcPr>
          <w:p>
            <w:pPr>
              <w:pStyle w:val="Normal"/>
              <w:spacing w:lineRule="auto" w:line="240" w:before="0" w:after="0"/>
              <w:jc w:val="center"/>
              <w:rPr>
                <w:sz w:val="20"/>
              </w:rPr>
            </w:pPr>
            <w:r>
              <w:rPr>
                <w:sz w:val="20"/>
              </w:rPr>
              <w:t>Lavender</w:t>
            </w:r>
          </w:p>
        </w:tc>
        <w:tc>
          <w:tcPr>
            <w:tcW w:w="2254" w:type="dxa"/>
            <w:tcBorders/>
            <w:shd w:fill="auto" w:val="clear"/>
            <w:vAlign w:val="center"/>
          </w:tcPr>
          <w:p>
            <w:pPr>
              <w:pStyle w:val="Normal"/>
              <w:spacing w:lineRule="auto" w:line="240" w:before="0" w:after="0"/>
              <w:jc w:val="center"/>
              <w:rPr>
                <w:sz w:val="20"/>
                <w:vertAlign w:val="superscript"/>
              </w:rPr>
            </w:pPr>
            <w:r>
              <w:rPr>
                <w:sz w:val="20"/>
              </w:rPr>
              <w:t>Potassium/ K</w:t>
            </w:r>
            <w:r>
              <w:rPr>
                <w:sz w:val="20"/>
                <w:vertAlign w:val="superscript"/>
              </w:rPr>
              <w:t>+</w:t>
            </w:r>
          </w:p>
        </w:tc>
        <w:tc>
          <w:tcPr>
            <w:tcW w:w="2253" w:type="dxa"/>
            <w:tcBorders/>
            <w:shd w:fill="auto" w:val="clear"/>
            <w:vAlign w:val="center"/>
          </w:tcPr>
          <w:p>
            <w:pPr>
              <w:pStyle w:val="Normal"/>
              <w:spacing w:lineRule="auto" w:line="240" w:before="0" w:after="0"/>
              <w:jc w:val="center"/>
              <w:rPr>
                <w:sz w:val="20"/>
              </w:rPr>
            </w:pPr>
            <w:r>
              <w:rPr>
                <w:sz w:val="20"/>
              </w:rPr>
              <w:t>410nm</w:t>
            </w:r>
          </w:p>
        </w:tc>
      </w:tr>
      <w:tr>
        <w:trPr/>
        <w:tc>
          <w:tcPr>
            <w:tcW w:w="2254" w:type="dxa"/>
            <w:tcBorders/>
            <w:shd w:fill="auto" w:val="clear"/>
            <w:vAlign w:val="center"/>
          </w:tcPr>
          <w:p>
            <w:pPr>
              <w:pStyle w:val="Normal"/>
              <w:spacing w:lineRule="auto" w:line="240" w:before="0" w:after="0"/>
              <w:jc w:val="center"/>
              <w:rPr>
                <w:sz w:val="20"/>
              </w:rPr>
            </w:pPr>
            <w:r>
              <w:rPr>
                <w:sz w:val="20"/>
              </w:rPr>
              <w:t>E</w:t>
            </w:r>
          </w:p>
        </w:tc>
        <w:tc>
          <w:tcPr>
            <w:tcW w:w="2254" w:type="dxa"/>
            <w:tcBorders/>
            <w:shd w:fill="auto" w:val="clear"/>
            <w:vAlign w:val="center"/>
          </w:tcPr>
          <w:p>
            <w:pPr>
              <w:pStyle w:val="Normal"/>
              <w:spacing w:lineRule="auto" w:line="240" w:before="0" w:after="0"/>
              <w:jc w:val="center"/>
              <w:rPr>
                <w:sz w:val="20"/>
              </w:rPr>
            </w:pPr>
            <w:r>
              <w:rPr>
                <w:sz w:val="20"/>
              </w:rPr>
              <w:t>Green</w:t>
            </w:r>
          </w:p>
        </w:tc>
        <w:tc>
          <w:tcPr>
            <w:tcW w:w="2254" w:type="dxa"/>
            <w:tcBorders/>
            <w:shd w:fill="auto" w:val="clear"/>
            <w:vAlign w:val="center"/>
          </w:tcPr>
          <w:p>
            <w:pPr>
              <w:pStyle w:val="Normal"/>
              <w:spacing w:lineRule="auto" w:line="240" w:before="0" w:after="0"/>
              <w:jc w:val="center"/>
              <w:rPr>
                <w:sz w:val="20"/>
                <w:vertAlign w:val="superscript"/>
              </w:rPr>
            </w:pPr>
            <w:r>
              <w:rPr>
                <w:sz w:val="20"/>
              </w:rPr>
              <w:t>Barium/ Ba</w:t>
            </w:r>
            <w:r>
              <w:rPr>
                <w:sz w:val="20"/>
                <w:vertAlign w:val="superscript"/>
              </w:rPr>
              <w:t>2+</w:t>
            </w:r>
          </w:p>
        </w:tc>
        <w:tc>
          <w:tcPr>
            <w:tcW w:w="2253" w:type="dxa"/>
            <w:tcBorders/>
            <w:shd w:fill="auto" w:val="clear"/>
            <w:vAlign w:val="center"/>
          </w:tcPr>
          <w:p>
            <w:pPr>
              <w:pStyle w:val="Normal"/>
              <w:spacing w:lineRule="auto" w:line="240" w:before="0" w:after="0"/>
              <w:jc w:val="center"/>
              <w:rPr>
                <w:sz w:val="20"/>
              </w:rPr>
            </w:pPr>
            <w:r>
              <w:rPr>
                <w:sz w:val="20"/>
              </w:rPr>
              <w:t>565nm</w:t>
            </w:r>
          </w:p>
        </w:tc>
      </w:tr>
      <w:tr>
        <w:trPr/>
        <w:tc>
          <w:tcPr>
            <w:tcW w:w="2254" w:type="dxa"/>
            <w:tcBorders/>
            <w:shd w:fill="auto" w:val="clear"/>
            <w:vAlign w:val="center"/>
          </w:tcPr>
          <w:p>
            <w:pPr>
              <w:pStyle w:val="Normal"/>
              <w:spacing w:lineRule="auto" w:line="240" w:before="0" w:after="0"/>
              <w:jc w:val="center"/>
              <w:rPr>
                <w:sz w:val="20"/>
              </w:rPr>
            </w:pPr>
            <w:r>
              <w:rPr>
                <w:sz w:val="20"/>
              </w:rPr>
              <w:t>F</w:t>
            </w:r>
          </w:p>
        </w:tc>
        <w:tc>
          <w:tcPr>
            <w:tcW w:w="2254" w:type="dxa"/>
            <w:tcBorders/>
            <w:shd w:fill="auto" w:val="clear"/>
            <w:vAlign w:val="center"/>
          </w:tcPr>
          <w:p>
            <w:pPr>
              <w:pStyle w:val="Normal"/>
              <w:spacing w:lineRule="auto" w:line="240" w:before="0" w:after="0"/>
              <w:jc w:val="center"/>
              <w:rPr>
                <w:sz w:val="20"/>
              </w:rPr>
            </w:pPr>
            <w:r>
              <w:rPr>
                <w:sz w:val="20"/>
              </w:rPr>
              <w:t>Red/ Pink</w:t>
            </w:r>
          </w:p>
        </w:tc>
        <w:tc>
          <w:tcPr>
            <w:tcW w:w="2254" w:type="dxa"/>
            <w:tcBorders/>
            <w:shd w:fill="auto" w:val="clear"/>
            <w:vAlign w:val="center"/>
          </w:tcPr>
          <w:p>
            <w:pPr>
              <w:pStyle w:val="Normal"/>
              <w:spacing w:lineRule="auto" w:line="240" w:before="0" w:after="0"/>
              <w:jc w:val="center"/>
              <w:rPr>
                <w:sz w:val="20"/>
                <w:vertAlign w:val="superscript"/>
              </w:rPr>
            </w:pPr>
            <w:r>
              <w:rPr>
                <w:sz w:val="20"/>
              </w:rPr>
              <w:t>Lithium/ Li</w:t>
            </w:r>
            <w:r>
              <w:rPr>
                <w:sz w:val="20"/>
                <w:vertAlign w:val="superscript"/>
              </w:rPr>
              <w:t>+</w:t>
            </w:r>
          </w:p>
        </w:tc>
        <w:tc>
          <w:tcPr>
            <w:tcW w:w="2253" w:type="dxa"/>
            <w:tcBorders/>
            <w:shd w:fill="auto" w:val="clear"/>
            <w:vAlign w:val="center"/>
          </w:tcPr>
          <w:p>
            <w:pPr>
              <w:pStyle w:val="Normal"/>
              <w:spacing w:lineRule="auto" w:line="240" w:before="0" w:after="0"/>
              <w:jc w:val="center"/>
              <w:rPr>
                <w:sz w:val="20"/>
              </w:rPr>
            </w:pPr>
            <w:r>
              <w:rPr>
                <w:sz w:val="20"/>
              </w:rPr>
              <w:t>650nm</w:t>
            </w:r>
          </w:p>
        </w:tc>
      </w:tr>
      <w:tr>
        <w:trPr/>
        <w:tc>
          <w:tcPr>
            <w:tcW w:w="2254" w:type="dxa"/>
            <w:tcBorders/>
            <w:shd w:fill="auto" w:val="clear"/>
            <w:vAlign w:val="center"/>
          </w:tcPr>
          <w:p>
            <w:pPr>
              <w:pStyle w:val="Normal"/>
              <w:spacing w:lineRule="auto" w:line="240" w:before="0" w:after="0"/>
              <w:jc w:val="center"/>
              <w:rPr>
                <w:sz w:val="20"/>
              </w:rPr>
            </w:pPr>
            <w:r>
              <w:rPr>
                <w:sz w:val="20"/>
              </w:rPr>
              <w:t>G</w:t>
            </w:r>
          </w:p>
        </w:tc>
        <w:tc>
          <w:tcPr>
            <w:tcW w:w="2254" w:type="dxa"/>
            <w:tcBorders/>
            <w:shd w:fill="auto" w:val="clear"/>
            <w:vAlign w:val="center"/>
          </w:tcPr>
          <w:p>
            <w:pPr>
              <w:pStyle w:val="Normal"/>
              <w:spacing w:lineRule="auto" w:line="240" w:before="0" w:after="0"/>
              <w:jc w:val="center"/>
              <w:rPr>
                <w:sz w:val="20"/>
              </w:rPr>
            </w:pPr>
            <w:r>
              <w:rPr>
                <w:sz w:val="20"/>
              </w:rPr>
              <w:t>Green/ Blue</w:t>
            </w:r>
          </w:p>
        </w:tc>
        <w:tc>
          <w:tcPr>
            <w:tcW w:w="2254" w:type="dxa"/>
            <w:tcBorders/>
            <w:shd w:fill="auto" w:val="clear"/>
            <w:vAlign w:val="center"/>
          </w:tcPr>
          <w:p>
            <w:pPr>
              <w:pStyle w:val="Normal"/>
              <w:spacing w:lineRule="auto" w:line="240" w:before="0" w:after="0"/>
              <w:jc w:val="center"/>
              <w:rPr>
                <w:sz w:val="20"/>
                <w:vertAlign w:val="superscript"/>
              </w:rPr>
            </w:pPr>
            <w:r>
              <w:rPr>
                <w:sz w:val="20"/>
              </w:rPr>
              <w:t>Copper/ Cu</w:t>
            </w:r>
            <w:r>
              <w:rPr>
                <w:sz w:val="20"/>
                <w:vertAlign w:val="superscript"/>
              </w:rPr>
              <w:t>2+</w:t>
            </w:r>
          </w:p>
        </w:tc>
        <w:tc>
          <w:tcPr>
            <w:tcW w:w="2253" w:type="dxa"/>
            <w:tcBorders/>
            <w:shd w:fill="auto" w:val="clear"/>
            <w:vAlign w:val="center"/>
          </w:tcPr>
          <w:p>
            <w:pPr>
              <w:pStyle w:val="Normal"/>
              <w:spacing w:lineRule="auto" w:line="240" w:before="0" w:after="0"/>
              <w:jc w:val="center"/>
              <w:rPr>
                <w:sz w:val="20"/>
              </w:rPr>
            </w:pPr>
            <w:r>
              <w:rPr>
                <w:sz w:val="20"/>
              </w:rPr>
              <w:t>490nm</w:t>
            </w:r>
          </w:p>
        </w:tc>
      </w:tr>
      <w:tr>
        <w:trPr/>
        <w:tc>
          <w:tcPr>
            <w:tcW w:w="2254" w:type="dxa"/>
            <w:tcBorders/>
            <w:shd w:fill="auto" w:val="clear"/>
            <w:vAlign w:val="center"/>
          </w:tcPr>
          <w:p>
            <w:pPr>
              <w:pStyle w:val="Normal"/>
              <w:spacing w:lineRule="auto" w:line="240" w:before="0" w:after="0"/>
              <w:jc w:val="center"/>
              <w:rPr>
                <w:sz w:val="20"/>
              </w:rPr>
            </w:pPr>
            <w:r>
              <w:rPr>
                <w:sz w:val="20"/>
              </w:rPr>
              <w:t>H</w:t>
            </w:r>
          </w:p>
        </w:tc>
        <w:tc>
          <w:tcPr>
            <w:tcW w:w="2254" w:type="dxa"/>
            <w:tcBorders/>
            <w:shd w:fill="auto" w:val="clear"/>
            <w:vAlign w:val="center"/>
          </w:tcPr>
          <w:p>
            <w:pPr>
              <w:pStyle w:val="Normal"/>
              <w:spacing w:lineRule="auto" w:line="240" w:before="0" w:after="0"/>
              <w:jc w:val="center"/>
              <w:rPr>
                <w:sz w:val="20"/>
              </w:rPr>
            </w:pPr>
            <w:r>
              <w:rPr>
                <w:sz w:val="20"/>
              </w:rPr>
              <w:t>Orange</w:t>
            </w:r>
          </w:p>
        </w:tc>
        <w:tc>
          <w:tcPr>
            <w:tcW w:w="2254" w:type="dxa"/>
            <w:tcBorders/>
            <w:shd w:fill="auto" w:val="clear"/>
            <w:vAlign w:val="center"/>
          </w:tcPr>
          <w:p>
            <w:pPr>
              <w:pStyle w:val="Normal"/>
              <w:spacing w:lineRule="auto" w:line="240" w:before="0" w:after="0"/>
              <w:jc w:val="center"/>
              <w:rPr>
                <w:sz w:val="20"/>
                <w:vertAlign w:val="superscript"/>
              </w:rPr>
            </w:pPr>
            <w:r>
              <w:rPr>
                <w:sz w:val="20"/>
              </w:rPr>
              <w:t>Sodium/ Na</w:t>
            </w:r>
            <w:r>
              <w:rPr>
                <w:sz w:val="20"/>
                <w:vertAlign w:val="superscript"/>
              </w:rPr>
              <w:t>+</w:t>
            </w:r>
          </w:p>
          <w:p>
            <w:pPr>
              <w:pStyle w:val="Normal"/>
              <w:spacing w:lineRule="auto" w:line="240" w:before="0" w:after="0"/>
              <w:jc w:val="center"/>
              <w:rPr>
                <w:sz w:val="20"/>
              </w:rPr>
            </w:pPr>
            <w:r>
              <w:rPr>
                <w:sz w:val="20"/>
              </w:rPr>
              <w:t>Potassium/ K</w:t>
            </w:r>
            <w:r>
              <w:rPr>
                <w:sz w:val="20"/>
                <w:vertAlign w:val="superscript"/>
              </w:rPr>
              <w:t>+</w:t>
            </w:r>
          </w:p>
        </w:tc>
        <w:tc>
          <w:tcPr>
            <w:tcW w:w="2253" w:type="dxa"/>
            <w:tcBorders/>
            <w:shd w:fill="auto" w:val="clear"/>
            <w:vAlign w:val="center"/>
          </w:tcPr>
          <w:p>
            <w:pPr>
              <w:pStyle w:val="Normal"/>
              <w:spacing w:lineRule="auto" w:line="240" w:before="0" w:after="0"/>
              <w:jc w:val="center"/>
              <w:rPr>
                <w:sz w:val="20"/>
              </w:rPr>
            </w:pPr>
            <w:r>
              <w:rPr>
                <w:sz w:val="20"/>
              </w:rPr>
              <w:t>600nm</w:t>
            </w:r>
          </w:p>
          <w:p>
            <w:pPr>
              <w:pStyle w:val="Normal"/>
              <w:spacing w:lineRule="auto" w:line="240" w:before="0" w:after="0"/>
              <w:jc w:val="center"/>
              <w:rPr>
                <w:sz w:val="20"/>
              </w:rPr>
            </w:pPr>
            <w:r>
              <w:rPr>
                <w:sz w:val="20"/>
              </w:rPr>
              <w:t>410nm</w:t>
            </w:r>
          </w:p>
        </w:tc>
      </w:tr>
    </w:tbl>
    <w:p>
      <w:pPr>
        <w:pStyle w:val="Normal"/>
        <w:rPr>
          <w:sz w:val="20"/>
          <w:u w:val="single"/>
        </w:rPr>
      </w:pPr>
      <w:r>
        <w:rPr>
          <w:sz w:val="20"/>
          <w:u w:val="single"/>
        </w:rPr>
        <w:t>Figure 1 – Results from Flame Test (All wavelength values - [1]).</w:t>
      </w:r>
    </w:p>
    <w:p>
      <w:pPr>
        <w:pStyle w:val="Normal"/>
        <w:rPr>
          <w:sz w:val="20"/>
          <w:u w:val="single"/>
        </w:rPr>
      </w:pPr>
      <w:r>
        <w:rPr>
          <w:sz w:val="20"/>
          <w:u w:val="single"/>
        </w:rPr>
      </w:r>
    </w:p>
    <w:p>
      <w:pPr>
        <w:pStyle w:val="Normal"/>
        <w:rPr>
          <w:sz w:val="20"/>
          <w:u w:val="single"/>
        </w:rPr>
      </w:pPr>
      <w:r>
        <w:rPr/>
        <w:drawing>
          <wp:inline distT="0" distB="0" distL="0" distR="0">
            <wp:extent cx="5833110" cy="2665730"/>
            <wp:effectExtent l="0" t="0" r="0" b="0"/>
            <wp:docPr id="1"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2"/>
              </a:graphicData>
            </a:graphic>
          </wp:inline>
        </w:drawing>
      </w:r>
    </w:p>
    <w:p>
      <w:pPr>
        <w:pStyle w:val="Normal"/>
        <w:rPr>
          <w:sz w:val="20"/>
          <w:u w:val="single"/>
        </w:rPr>
      </w:pPr>
      <w:r>
        <w:rPr>
          <w:sz w:val="20"/>
          <w:u w:val="single"/>
        </w:rPr>
        <w:t>Figure 2 – Visual display of metal ions and their emitted wavelengths (All wavelength values - [1]).</w:t>
      </w:r>
    </w:p>
    <w:p>
      <w:pPr>
        <w:pStyle w:val="Normal"/>
        <w:rPr>
          <w:sz w:val="20"/>
        </w:rPr>
      </w:pPr>
      <w:r>
        <w:rPr>
          <w:sz w:val="20"/>
        </w:rPr>
        <w:t>The key findings are that a wide array of different colours of the Electromagnetic spectrum were observed. From what was tested, potassium emits the lowest wavelength and strontium/ lithium emit the highest.</w:t>
      </w:r>
    </w:p>
    <w:p>
      <w:pPr>
        <w:pStyle w:val="Normal"/>
        <w:rPr>
          <w:sz w:val="20"/>
        </w:rPr>
      </w:pPr>
      <w:r>
        <w:rPr>
          <w:sz w:val="32"/>
          <w:u w:val="single"/>
        </w:rPr>
        <w:t>Discussion:</w:t>
      </w:r>
    </w:p>
    <w:p>
      <w:pPr>
        <w:pStyle w:val="Normal"/>
        <w:rPr>
          <w:sz w:val="20"/>
          <w:u w:val="single"/>
        </w:rPr>
      </w:pPr>
      <w:r>
        <w:rPr>
          <w:sz w:val="20"/>
          <w:u w:val="single"/>
        </w:rPr>
      </w:r>
    </w:p>
    <w:p>
      <w:pPr>
        <w:pStyle w:val="Normal"/>
        <w:rPr>
          <w:rFonts w:eastAsia="" w:eastAsiaTheme="minorEastAsia"/>
          <w:sz w:val="20"/>
        </w:rPr>
      </w:pPr>
      <w:r>
        <w:rPr>
          <w:sz w:val="20"/>
        </w:rPr>
        <w:t xml:space="preserve">The experimental results showed the metal ions did emit light which changed colour based on the solution (metal ion). Colour is directly determined by the wavelength of the electromagnetic wave. This means the wavelength alters so by the equation  </w:t>
      </w:r>
      <w:r>
        <w:rPr/>
      </w:r>
      <m:oMath xmlns:m="http://schemas.openxmlformats.org/officeDocument/2006/math">
        <m:r>
          <w:rPr>
            <w:rFonts w:ascii="Cambria Math" w:hAnsi="Cambria Math"/>
          </w:rPr>
          <m:t xml:space="preserve">c</m:t>
        </m:r>
        <m:r>
          <w:rPr>
            <w:rFonts w:ascii="Cambria Math" w:hAnsi="Cambria Math"/>
          </w:rPr>
          <m:t xml:space="preserve">=</m:t>
        </m:r>
        <m:r>
          <w:rPr>
            <w:rFonts w:ascii="Cambria Math" w:hAnsi="Cambria Math"/>
          </w:rPr>
          <m:t xml:space="preserve">λ</m:t>
        </m:r>
        <m:r>
          <w:rPr>
            <w:rFonts w:ascii="Cambria Math" w:hAnsi="Cambria Math"/>
          </w:rPr>
          <m:t xml:space="preserve">f</m:t>
        </m:r>
      </m:oMath>
      <w:r>
        <w:rPr>
          <w:rFonts w:eastAsia="" w:eastAsiaTheme="minorEastAsia"/>
          <w:sz w:val="20"/>
        </w:rPr>
        <w:t xml:space="preserve"> , with </w:t>
      </w:r>
      <w:r>
        <w:rPr/>
      </w:r>
      <m:oMath xmlns:m="http://schemas.openxmlformats.org/officeDocument/2006/math">
        <m:r>
          <w:rPr>
            <w:rFonts w:ascii="Cambria Math" w:hAnsi="Cambria Math"/>
          </w:rPr>
          <m:t xml:space="preserve">c</m:t>
        </m:r>
      </m:oMath>
      <w:r>
        <w:rPr>
          <w:rFonts w:eastAsia="" w:eastAsiaTheme="minorEastAsia"/>
          <w:sz w:val="20"/>
        </w:rPr>
        <w:t xml:space="preserve"> being a constant, the frequency (</w:t>
      </w:r>
      <w:r>
        <w:rPr/>
      </w:r>
      <m:oMath xmlns:m="http://schemas.openxmlformats.org/officeDocument/2006/math">
        <m:r>
          <w:rPr>
            <w:rFonts w:ascii="Cambria Math" w:hAnsi="Cambria Math"/>
          </w:rPr>
          <m:t xml:space="preserve">f</m:t>
        </m:r>
      </m:oMath>
      <w:r>
        <w:rPr>
          <w:rFonts w:eastAsia="" w:eastAsiaTheme="minorEastAsia"/>
          <w:sz w:val="20"/>
        </w:rPr>
        <w:t>) must be different also. Furthermore, by equation</w:t>
      </w:r>
      <w:r>
        <w:rPr/>
      </w:r>
      <m:oMath xmlns:m="http://schemas.openxmlformats.org/officeDocument/2006/math">
        <m:r>
          <w:rPr>
            <w:rFonts w:ascii="Cambria Math" w:hAnsi="Cambria Math"/>
          </w:rPr>
          <m:t xml:space="preserve">∆</m:t>
        </m:r>
        <m:r>
          <w:rPr>
            <w:rFonts w:ascii="Cambria Math" w:hAnsi="Cambria Math"/>
          </w:rPr>
          <m:t xml:space="preserve">E</m:t>
        </m:r>
        <m:r>
          <w:rPr>
            <w:rFonts w:ascii="Cambria Math" w:hAnsi="Cambria Math"/>
          </w:rPr>
          <m:t xml:space="preserve">=</m:t>
        </m:r>
        <m:r>
          <w:rPr>
            <w:rFonts w:ascii="Cambria Math" w:hAnsi="Cambria Math"/>
          </w:rPr>
          <m:t xml:space="preserve">hf</m:t>
        </m:r>
      </m:oMath>
      <w:r>
        <w:rPr>
          <w:rFonts w:eastAsia="" w:eastAsiaTheme="minorEastAsia"/>
          <w:sz w:val="20"/>
        </w:rPr>
        <w:t xml:space="preserve">, as frequency alters and </w:t>
      </w:r>
      <w:r>
        <w:rPr/>
      </w:r>
      <m:oMath xmlns:m="http://schemas.openxmlformats.org/officeDocument/2006/math">
        <m:r>
          <w:rPr>
            <w:rFonts w:ascii="Cambria Math" w:hAnsi="Cambria Math"/>
          </w:rPr>
          <m:t xml:space="preserve">h</m:t>
        </m:r>
      </m:oMath>
      <w:r>
        <w:rPr>
          <w:rFonts w:eastAsia="" w:eastAsiaTheme="minorEastAsia"/>
          <w:sz w:val="20"/>
        </w:rPr>
        <w:t xml:space="preserve"> being a constant, the change in energy also varies. Therefore, by rule, the lower the wavelength the greater the frequency and thus a higher energy change. </w:t>
      </w:r>
    </w:p>
    <w:p>
      <w:pPr>
        <w:pStyle w:val="Normal"/>
        <w:rPr>
          <w:rFonts w:eastAsia="" w:eastAsiaTheme="minorEastAsia"/>
          <w:sz w:val="20"/>
        </w:rPr>
      </w:pPr>
      <w:r>
        <w:rPr>
          <w:rFonts w:eastAsia="" w:eastAsiaTheme="minorEastAsia"/>
          <w:sz w:val="20"/>
        </w:rPr>
        <w:t>Comparing Lithium/ Li</w:t>
      </w:r>
      <w:r>
        <w:rPr>
          <w:rFonts w:eastAsia="" w:eastAsiaTheme="minorEastAsia"/>
          <w:sz w:val="20"/>
          <w:vertAlign w:val="superscript"/>
        </w:rPr>
        <w:t xml:space="preserve">+ </w:t>
      </w:r>
      <w:r>
        <w:rPr>
          <w:rFonts w:eastAsia="" w:eastAsiaTheme="minorEastAsia"/>
          <w:sz w:val="20"/>
        </w:rPr>
        <w:t>ions and Copper/ Cu</w:t>
      </w:r>
      <w:r>
        <w:rPr>
          <w:rFonts w:eastAsia="" w:eastAsiaTheme="minorEastAsia"/>
          <w:sz w:val="20"/>
          <w:vertAlign w:val="superscript"/>
        </w:rPr>
        <w:t>2+</w:t>
      </w:r>
      <w:r>
        <w:rPr>
          <w:rFonts w:eastAsia="" w:eastAsiaTheme="minorEastAsia"/>
          <w:sz w:val="20"/>
        </w:rPr>
        <w:t xml:space="preserve"> ions. Light emitted by Lithium has a wavelength of around </w:t>
      </w:r>
      <w:r>
        <w:rPr>
          <w:sz w:val="20"/>
        </w:rPr>
        <w:t xml:space="preserve">650nm. This means by using equation  </w:t>
      </w:r>
      <w:r>
        <w:rPr/>
      </w:r>
      <m:oMath xmlns:m="http://schemas.openxmlformats.org/officeDocument/2006/math">
        <m:r>
          <w:rPr>
            <w:rFonts w:ascii="Cambria Math" w:hAnsi="Cambria Math"/>
          </w:rPr>
          <m:t xml:space="preserve">c</m:t>
        </m:r>
        <m:r>
          <w:rPr>
            <w:rFonts w:ascii="Cambria Math" w:hAnsi="Cambria Math"/>
          </w:rPr>
          <m:t xml:space="preserve">=</m:t>
        </m:r>
        <m:r>
          <w:rPr>
            <w:rFonts w:ascii="Cambria Math" w:hAnsi="Cambria Math"/>
          </w:rPr>
          <m:t xml:space="preserve">λ</m:t>
        </m:r>
        <m:r>
          <w:rPr>
            <w:rFonts w:ascii="Cambria Math" w:hAnsi="Cambria Math"/>
          </w:rPr>
          <m:t xml:space="preserve">f</m:t>
        </m:r>
      </m:oMath>
      <w:r>
        <w:rPr>
          <w:rFonts w:eastAsia="" w:eastAsiaTheme="minorEastAsia"/>
          <w:sz w:val="20"/>
        </w:rPr>
        <w:t xml:space="preserve"> and rearranging, </w:t>
      </w:r>
      <w:r>
        <w:rPr/>
      </w:r>
      <m:oMath xmlns:m="http://schemas.openxmlformats.org/officeDocument/2006/math">
        <m:r>
          <w:rPr>
            <w:rFonts w:ascii="Cambria Math" w:hAnsi="Cambria Math"/>
          </w:rPr>
          <m:t xml:space="preserve">f</m:t>
        </m:r>
      </m:oMath>
      <w:r>
        <w:rPr>
          <w:rFonts w:eastAsia="" w:eastAsiaTheme="minorEastAsia"/>
          <w:sz w:val="20"/>
        </w:rPr>
        <w:t xml:space="preserve"> = 4.62</w:t>
      </w:r>
      <w:r>
        <w:rPr/>
      </w:r>
      <m:oMath xmlns:m="http://schemas.openxmlformats.org/officeDocument/2006/math">
        <m:r>
          <w:rPr>
            <w:rFonts w:ascii="Cambria Math" w:hAnsi="Cambria Math"/>
          </w:rPr>
          <m:t xml:space="preserve">×</m:t>
        </m:r>
        <m:r>
          <w:rPr>
            <w:rFonts w:ascii="Cambria Math" w:hAnsi="Cambria Math"/>
          </w:rPr>
          <m:t xml:space="preserve">10</m:t>
        </m:r>
      </m:oMath>
      <w:r>
        <w:rPr>
          <w:rFonts w:eastAsia="" w:eastAsiaTheme="minorEastAsia"/>
          <w:sz w:val="20"/>
          <w:vertAlign w:val="superscript"/>
        </w:rPr>
        <w:t>14</w:t>
      </w:r>
      <w:r>
        <w:rPr>
          <w:rFonts w:eastAsia="" w:eastAsiaTheme="minorEastAsia"/>
          <w:sz w:val="20"/>
        </w:rPr>
        <w:t>Hz. Then by equation</w:t>
      </w:r>
      <w:r>
        <w:rPr/>
      </w:r>
      <m:oMath xmlns:m="http://schemas.openxmlformats.org/officeDocument/2006/math">
        <m:r>
          <w:rPr>
            <w:rFonts w:ascii="Cambria Math" w:hAnsi="Cambria Math"/>
          </w:rPr>
          <m:t xml:space="preserve">∆</m:t>
        </m:r>
        <m:r>
          <w:rPr>
            <w:rFonts w:ascii="Cambria Math" w:hAnsi="Cambria Math"/>
          </w:rPr>
          <m:t xml:space="preserve">E</m:t>
        </m:r>
        <m:r>
          <w:rPr>
            <w:rFonts w:ascii="Cambria Math" w:hAnsi="Cambria Math"/>
          </w:rPr>
          <m:t xml:space="preserve">=</m:t>
        </m:r>
        <m:r>
          <w:rPr>
            <w:rFonts w:ascii="Cambria Math" w:hAnsi="Cambria Math"/>
          </w:rPr>
          <m:t xml:space="preserve">hf</m:t>
        </m:r>
        <m:r>
          <w:rPr>
            <w:rFonts w:ascii="Cambria Math" w:hAnsi="Cambria Math"/>
          </w:rPr>
          <m:t xml:space="preserve">,</m:t>
        </m:r>
      </m:oMath>
      <w:r>
        <w:rPr>
          <w:rFonts w:eastAsia="" w:eastAsiaTheme="minorEastAsia"/>
          <w:sz w:val="20"/>
        </w:rPr>
        <w:t xml:space="preserve"> </w:t>
      </w:r>
      <w:r>
        <w:rPr/>
      </w:r>
      <m:oMath xmlns:m="http://schemas.openxmlformats.org/officeDocument/2006/math">
        <m:r>
          <w:rPr>
            <w:rFonts w:ascii="Cambria Math" w:hAnsi="Cambria Math"/>
          </w:rPr>
          <m:t xml:space="preserve">∆</m:t>
        </m:r>
        <m:r>
          <w:rPr>
            <w:rFonts w:ascii="Cambria Math" w:hAnsi="Cambria Math"/>
          </w:rPr>
          <m:t xml:space="preserve">E</m:t>
        </m:r>
      </m:oMath>
      <w:r>
        <w:rPr>
          <w:rFonts w:eastAsia="" w:eastAsiaTheme="minorEastAsia"/>
          <w:sz w:val="20"/>
        </w:rPr>
        <w:t xml:space="preserve"> = 3.06</w:t>
      </w:r>
      <w:r>
        <w:rPr/>
      </w:r>
      <m:oMath xmlns:m="http://schemas.openxmlformats.org/officeDocument/2006/math">
        <m:r>
          <w:rPr>
            <w:rFonts w:ascii="Cambria Math" w:hAnsi="Cambria Math"/>
          </w:rPr>
          <m:t xml:space="preserve">×</m:t>
        </m:r>
        <m:r>
          <w:rPr>
            <w:rFonts w:ascii="Cambria Math" w:hAnsi="Cambria Math"/>
          </w:rPr>
          <m:t xml:space="preserve">10</m:t>
        </m:r>
      </m:oMath>
      <w:r>
        <w:rPr>
          <w:rFonts w:eastAsia="" w:eastAsiaTheme="minorEastAsia"/>
          <w:sz w:val="20"/>
          <w:vertAlign w:val="superscript"/>
        </w:rPr>
        <w:t>-19</w:t>
      </w:r>
      <w:r>
        <w:rPr>
          <w:rFonts w:eastAsia="" w:eastAsiaTheme="minorEastAsia"/>
          <w:sz w:val="20"/>
        </w:rPr>
        <w:t xml:space="preserve">J. By following the same procedure for Copper, </w:t>
      </w:r>
      <w:r>
        <w:rPr/>
      </w:r>
      <m:oMath xmlns:m="http://schemas.openxmlformats.org/officeDocument/2006/math">
        <m:r>
          <w:rPr>
            <w:rFonts w:ascii="Cambria Math" w:hAnsi="Cambria Math"/>
          </w:rPr>
          <m:t xml:space="preserve">∆</m:t>
        </m:r>
        <m:r>
          <w:rPr>
            <w:rFonts w:ascii="Cambria Math" w:hAnsi="Cambria Math"/>
          </w:rPr>
          <m:t xml:space="preserve">E</m:t>
        </m:r>
      </m:oMath>
      <w:r>
        <w:rPr>
          <w:rFonts w:eastAsia="" w:eastAsiaTheme="minorEastAsia"/>
          <w:sz w:val="20"/>
        </w:rPr>
        <w:t xml:space="preserve"> = 4.06</w:t>
      </w:r>
      <w:r>
        <w:rPr/>
      </w:r>
      <m:oMath xmlns:m="http://schemas.openxmlformats.org/officeDocument/2006/math">
        <m:r>
          <w:rPr>
            <w:rFonts w:ascii="Cambria Math" w:hAnsi="Cambria Math"/>
          </w:rPr>
          <m:t xml:space="preserve">×</m:t>
        </m:r>
        <m:r>
          <w:rPr>
            <w:rFonts w:ascii="Cambria Math" w:hAnsi="Cambria Math"/>
          </w:rPr>
          <m:t xml:space="preserve">10</m:t>
        </m:r>
      </m:oMath>
      <w:r>
        <w:rPr>
          <w:rFonts w:eastAsia="" w:eastAsiaTheme="minorEastAsia"/>
          <w:sz w:val="20"/>
          <w:vertAlign w:val="superscript"/>
        </w:rPr>
        <w:t>-19</w:t>
      </w:r>
      <w:r>
        <w:rPr>
          <w:rFonts w:eastAsia="" w:eastAsiaTheme="minorEastAsia"/>
          <w:sz w:val="20"/>
        </w:rPr>
        <w:t>J and hence more energy than the emitted lithium wave. This follows the rule stated in the paragraph above.</w:t>
      </w:r>
    </w:p>
    <w:p>
      <w:pPr>
        <w:pStyle w:val="Normal"/>
        <w:rPr>
          <w:rFonts w:eastAsia="" w:eastAsiaTheme="minorEastAsia"/>
          <w:sz w:val="20"/>
        </w:rPr>
      </w:pPr>
      <w:r>
        <w:rPr>
          <w:rFonts w:eastAsia="" w:eastAsiaTheme="minorEastAsia"/>
          <w:sz w:val="20"/>
        </w:rPr>
        <w:drawing>
          <wp:anchor behindDoc="0" distT="0" distB="0" distL="0" distR="0" simplePos="0" locked="0" layoutInCell="1" allowOverlap="1" relativeHeight="3">
            <wp:simplePos x="0" y="0"/>
            <wp:positionH relativeFrom="column">
              <wp:posOffset>-335915</wp:posOffset>
            </wp:positionH>
            <wp:positionV relativeFrom="paragraph">
              <wp:posOffset>-19050</wp:posOffset>
            </wp:positionV>
            <wp:extent cx="4087495" cy="1537335"/>
            <wp:effectExtent l="0" t="0" r="0" b="0"/>
            <wp:wrapNone/>
            <wp:docPr id="2" name="Picture 4" descr="Visible Light Spectrum Images – Browse 423,0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Visible Light Spectrum Images – Browse 423,016 Stock Photos, Vectors, and  Video | Adobe Stock"/>
                    <pic:cNvPicPr>
                      <a:picLocks noChangeAspect="1" noChangeArrowheads="1"/>
                    </pic:cNvPicPr>
                  </pic:nvPicPr>
                  <pic:blipFill>
                    <a:blip r:embed="rId3"/>
                    <a:srcRect l="0" t="9842" r="0" b="17257"/>
                    <a:stretch>
                      <a:fillRect/>
                    </a:stretch>
                  </pic:blipFill>
                  <pic:spPr bwMode="auto">
                    <a:xfrm>
                      <a:off x="0" y="0"/>
                      <a:ext cx="4087495" cy="1537335"/>
                    </a:xfrm>
                    <a:prstGeom prst="rect">
                      <a:avLst/>
                    </a:prstGeom>
                  </pic:spPr>
                </pic:pic>
              </a:graphicData>
            </a:graphic>
          </wp:anchor>
        </w:drawing>
      </w:r>
    </w:p>
    <w:p>
      <w:pPr>
        <w:pStyle w:val="Normal"/>
        <w:rPr>
          <w:rFonts w:eastAsia="" w:eastAsiaTheme="minorEastAsia"/>
          <w:sz w:val="20"/>
        </w:rPr>
      </w:pPr>
      <w:r>
        <w:rPr>
          <w:rFonts w:eastAsia="" w:eastAsiaTheme="minorEastAsia"/>
          <w:sz w:val="20"/>
        </w:rPr>
        <mc:AlternateContent>
          <mc:Choice Requires="wps">
            <w:drawing>
              <wp:anchor behindDoc="0" distT="0" distB="0" distL="0" distR="0" simplePos="0" locked="0" layoutInCell="1" allowOverlap="1" relativeHeight="2">
                <wp:simplePos x="0" y="0"/>
                <wp:positionH relativeFrom="margin">
                  <wp:posOffset>3821430</wp:posOffset>
                </wp:positionH>
                <wp:positionV relativeFrom="paragraph">
                  <wp:posOffset>212725</wp:posOffset>
                </wp:positionV>
                <wp:extent cx="1890395" cy="1006475"/>
                <wp:effectExtent l="0" t="0" r="0" b="9525"/>
                <wp:wrapNone/>
                <wp:docPr id="3" name="Text Box 2"/>
                <a:graphic xmlns:a="http://schemas.openxmlformats.org/drawingml/2006/main">
                  <a:graphicData uri="http://schemas.microsoft.com/office/word/2010/wordprocessingShape">
                    <wps:wsp>
                      <wps:cNvSpPr/>
                      <wps:spPr>
                        <a:xfrm>
                          <a:off x="0" y="0"/>
                          <a:ext cx="1889640" cy="1005840"/>
                        </a:xfrm>
                        <a:prstGeom prst="rect">
                          <a:avLst/>
                        </a:prstGeom>
                        <a:solidFill>
                          <a:srgbClr val="ffffff"/>
                        </a:solidFill>
                        <a:ln w="9360">
                          <a:noFill/>
                        </a:ln>
                      </wps:spPr>
                      <wps:style>
                        <a:lnRef idx="0"/>
                        <a:fillRef idx="0"/>
                        <a:effectRef idx="0"/>
                        <a:fontRef idx="minor"/>
                      </wps:style>
                      <wps:txbx>
                        <w:txbxContent>
                          <w:p>
                            <w:pPr>
                              <w:pStyle w:val="FrameContents"/>
                              <w:spacing w:before="0" w:after="160"/>
                              <w:rPr/>
                            </w:pPr>
                            <w:r>
                              <w:rPr>
                                <w:color w:val="auto"/>
                                <w:sz w:val="20"/>
                              </w:rPr>
                              <w:t>The further to the violet end of the electromagnetic spectrum, the lower the wavelength and thus higher the frequency and energy of the waves emitted.</w:t>
                            </w:r>
                          </w:p>
                        </w:txbxContent>
                      </wps:txbx>
                      <wps:bodyPr>
                        <a:spAutoFit/>
                      </wps:bodyPr>
                    </wps:wsp>
                  </a:graphicData>
                </a:graphic>
                <wp14:sizeRelV relativeFrom="margin">
                  <wp14:pctHeight>20000</wp14:pctHeight>
                </wp14:sizeRelV>
              </wp:anchor>
            </w:drawing>
          </mc:Choice>
          <mc:Fallback>
            <w:pict>
              <v:rect id="shape_0" ID="Text Box 2" fillcolor="white" stroked="f" style="position:absolute;margin-left:300.9pt;margin-top:16.75pt;width:148.75pt;height:79.15pt;mso-position-horizontal-relative:margin">
                <w10:wrap type="square"/>
                <v:fill o:detectmouseclick="t" type="solid" color2="black"/>
                <v:stroke color="#3465a4" weight="9360" joinstyle="round" endcap="flat"/>
                <v:textbox>
                  <w:txbxContent>
                    <w:p>
                      <w:pPr>
                        <w:pStyle w:val="FrameContents"/>
                        <w:spacing w:before="0" w:after="160"/>
                        <w:rPr/>
                      </w:pPr>
                      <w:r>
                        <w:rPr>
                          <w:color w:val="auto"/>
                          <w:sz w:val="20"/>
                        </w:rPr>
                        <w:t>The further to the violet end of the electromagnetic spectrum, the lower the wavelength and thus higher the frequency and energy of the waves emitted.</w:t>
                      </w:r>
                    </w:p>
                  </w:txbxContent>
                </v:textbox>
              </v:rect>
            </w:pict>
          </mc:Fallback>
        </mc:AlternateContent>
      </w:r>
    </w:p>
    <w:p>
      <w:pPr>
        <w:pStyle w:val="Normal"/>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r>
    </w:p>
    <w:p>
      <w:pPr>
        <w:pStyle w:val="Normal"/>
        <w:rPr>
          <w:rFonts w:eastAsia="" w:eastAsiaTheme="minorEastAsia"/>
          <w:sz w:val="20"/>
          <w:u w:val="single"/>
        </w:rPr>
      </w:pPr>
      <w:r>
        <w:rPr>
          <w:rFonts w:eastAsia="" w:eastAsiaTheme="minorEastAsia"/>
          <w:sz w:val="20"/>
          <w:u w:val="single"/>
        </w:rPr>
        <w:t>Figure 3 – EM visible light spectrum [2].</w:t>
      </w:r>
    </w:p>
    <w:p>
      <w:pPr>
        <w:pStyle w:val="Normal"/>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t>The OME relevance of this experiment includes:</w:t>
      </w:r>
    </w:p>
    <w:p>
      <w:pPr>
        <w:pStyle w:val="ListParagraph"/>
        <w:numPr>
          <w:ilvl w:val="0"/>
          <w:numId w:val="4"/>
        </w:numPr>
        <w:rPr>
          <w:rFonts w:eastAsia="" w:eastAsiaTheme="minorEastAsia"/>
          <w:sz w:val="20"/>
        </w:rPr>
      </w:pPr>
      <w:r>
        <w:rPr>
          <w:rFonts w:eastAsia="" w:eastAsiaTheme="minorEastAsia"/>
          <w:sz w:val="20"/>
        </w:rPr>
        <w:t xml:space="preserve">Analysis of explosive residue, providing knowledge on compositions, origin and the manufacturing processes involved. </w:t>
      </w:r>
    </w:p>
    <w:p>
      <w:pPr>
        <w:pStyle w:val="ListParagraph"/>
        <w:numPr>
          <w:ilvl w:val="0"/>
          <w:numId w:val="4"/>
        </w:numPr>
        <w:rPr>
          <w:rFonts w:eastAsia="" w:eastAsiaTheme="minorEastAsia"/>
          <w:sz w:val="20"/>
        </w:rPr>
      </w:pPr>
      <w:r>
        <w:rPr>
          <w:rFonts w:eastAsia="" w:eastAsiaTheme="minorEastAsia"/>
          <w:sz w:val="20"/>
        </w:rPr>
        <w:t>Quality control of the manufacturing process of explosives, verifying the presence and concentration of key metal ion materials.</w:t>
      </w:r>
    </w:p>
    <w:p>
      <w:pPr>
        <w:pStyle w:val="ListParagraph"/>
        <w:keepNext w:val="true"/>
        <w:numPr>
          <w:ilvl w:val="0"/>
          <w:numId w:val="4"/>
        </w:numPr>
        <w:rPr/>
      </w:pPr>
      <w:r>
        <w:rPr>
          <w:rFonts w:eastAsia="" w:eastAsiaTheme="minorEastAsia"/>
          <w:sz w:val="20"/>
        </w:rPr>
        <w:t>Flares, using the concept of flame spectroscopy to produce certain wavelengths of colours for detection.</w:t>
      </w:r>
      <w:r>
        <w:rPr/>
        <w:t xml:space="preserve"> </w:t>
      </w:r>
      <w:r>
        <w:rPr>
          <w:sz w:val="20"/>
        </w:rPr>
        <w:t xml:space="preserve">This is shown in [3], as different colours are used for differing purposes resulting in an array of different metal ions being used to make the flares. </w:t>
      </w:r>
    </w:p>
    <w:p>
      <w:pPr>
        <w:pStyle w:val="ListParagraph"/>
        <w:numPr>
          <w:ilvl w:val="0"/>
          <w:numId w:val="4"/>
        </w:numPr>
        <w:rPr>
          <w:rFonts w:eastAsia="" w:eastAsiaTheme="minorEastAsia"/>
          <w:sz w:val="20"/>
        </w:rPr>
      </w:pPr>
      <w:r>
        <w:rPr>
          <w:rFonts w:eastAsia="" w:eastAsiaTheme="minorEastAsia"/>
          <w:sz w:val="20"/>
        </w:rPr>
        <w:t xml:space="preserve">Tracer rounds contain a pyrotechnic composition in the base that is ignited by the flame of the propellant producing colour via flame spectroscopy. This is documented in [4]. </w:t>
      </w:r>
    </w:p>
    <w:p>
      <w:pPr>
        <w:pStyle w:val="ListParagraph"/>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t>Other areas this experiment can be applied (excluding OME and fireworks):</w:t>
      </w:r>
    </w:p>
    <w:p>
      <w:pPr>
        <w:pStyle w:val="Normal"/>
        <w:numPr>
          <w:ilvl w:val="0"/>
          <w:numId w:val="7"/>
        </w:numPr>
        <w:spacing w:lineRule="auto" w:line="240" w:before="0" w:after="0"/>
        <w:ind w:left="720" w:right="300" w:hanging="360"/>
        <w:textAlignment w:val="baseline"/>
        <w:rPr>
          <w:rFonts w:cs="Calibri" w:cstheme="minorHAnsi"/>
          <w:sz w:val="20"/>
        </w:rPr>
      </w:pPr>
      <w:r>
        <w:rPr>
          <w:rFonts w:cs="Calibri" w:cstheme="minorHAnsi"/>
          <w:sz w:val="20"/>
        </w:rPr>
        <w:t>‘</w:t>
      </w:r>
      <w:r>
        <w:rPr>
          <w:rFonts w:cs="Calibri" w:cstheme="minorHAnsi"/>
          <w:sz w:val="20"/>
        </w:rPr>
        <w:t>Analysis of body fluids in clinical settings.</w:t>
      </w:r>
    </w:p>
    <w:p>
      <w:pPr>
        <w:pStyle w:val="Normal"/>
        <w:numPr>
          <w:ilvl w:val="0"/>
          <w:numId w:val="7"/>
        </w:numPr>
        <w:spacing w:lineRule="auto" w:line="240" w:before="0" w:after="0"/>
        <w:ind w:left="720" w:right="300" w:hanging="360"/>
        <w:textAlignment w:val="baseline"/>
        <w:rPr>
          <w:rFonts w:cs="Calibri" w:cstheme="minorHAnsi"/>
          <w:sz w:val="20"/>
        </w:rPr>
      </w:pPr>
      <w:r>
        <w:rPr>
          <w:rFonts w:cs="Calibri" w:cstheme="minorHAnsi"/>
          <w:sz w:val="20"/>
        </w:rPr>
        <w:t>Quality control for pharmaceutical products.</w:t>
      </w:r>
    </w:p>
    <w:p>
      <w:pPr>
        <w:pStyle w:val="Normal"/>
        <w:numPr>
          <w:ilvl w:val="0"/>
          <w:numId w:val="7"/>
        </w:numPr>
        <w:spacing w:lineRule="auto" w:line="240" w:before="0" w:after="0"/>
        <w:ind w:left="720" w:right="300" w:hanging="360"/>
        <w:textAlignment w:val="baseline"/>
        <w:rPr>
          <w:rFonts w:cs="Calibri" w:cstheme="minorHAnsi"/>
          <w:sz w:val="20"/>
        </w:rPr>
      </w:pPr>
      <w:r>
        <w:rPr>
          <w:rFonts w:cs="Calibri" w:cstheme="minorHAnsi"/>
          <w:sz w:val="20"/>
        </w:rPr>
        <w:t>Soil analysis for environmental studies.</w:t>
      </w:r>
    </w:p>
    <w:p>
      <w:pPr>
        <w:pStyle w:val="Normal"/>
        <w:numPr>
          <w:ilvl w:val="0"/>
          <w:numId w:val="7"/>
        </w:numPr>
        <w:spacing w:lineRule="auto" w:line="240" w:before="0" w:after="0"/>
        <w:ind w:left="720" w:right="300" w:hanging="360"/>
        <w:textAlignment w:val="baseline"/>
        <w:rPr/>
      </w:pPr>
      <w:hyperlink r:id="rId4" w:tgtFrame="_blank">
        <w:r>
          <w:rPr>
            <w:rStyle w:val="InternetLink"/>
            <w:rFonts w:cs="Calibri" w:cstheme="minorHAnsi"/>
            <w:bCs/>
            <w:color w:val="auto"/>
            <w:sz w:val="20"/>
            <w:u w:val="none"/>
          </w:rPr>
          <w:t>Elemental analysis of fertilisers</w:t>
        </w:r>
      </w:hyperlink>
      <w:r>
        <w:rPr>
          <w:rFonts w:cs="Calibri" w:cstheme="minorHAnsi"/>
          <w:sz w:val="20"/>
        </w:rPr>
        <w:t> in the agricultural sector.</w:t>
      </w:r>
    </w:p>
    <w:p>
      <w:pPr>
        <w:pStyle w:val="Normal"/>
        <w:numPr>
          <w:ilvl w:val="0"/>
          <w:numId w:val="7"/>
        </w:numPr>
        <w:spacing w:lineRule="auto" w:line="240" w:before="0" w:after="0"/>
        <w:ind w:left="720" w:right="300" w:hanging="360"/>
        <w:textAlignment w:val="baseline"/>
        <w:rPr>
          <w:rFonts w:cs="Calibri" w:cstheme="minorHAnsi"/>
          <w:sz w:val="20"/>
        </w:rPr>
      </w:pPr>
      <w:r>
        <w:rPr>
          <w:rFonts w:cs="Calibri" w:cstheme="minorHAnsi"/>
          <w:sz w:val="20"/>
        </w:rPr>
        <w:t>Detection of alloys and ferrous metals for industrial applications.</w:t>
      </w:r>
    </w:p>
    <w:p>
      <w:pPr>
        <w:pStyle w:val="Normal"/>
        <w:numPr>
          <w:ilvl w:val="0"/>
          <w:numId w:val="7"/>
        </w:numPr>
        <w:spacing w:lineRule="auto" w:line="240" w:before="0" w:after="0"/>
        <w:ind w:left="720" w:right="300" w:hanging="360"/>
        <w:textAlignment w:val="baseline"/>
        <w:rPr>
          <w:rFonts w:cs="Calibri" w:cstheme="minorHAnsi"/>
          <w:sz w:val="20"/>
        </w:rPr>
      </w:pPr>
      <w:r>
        <w:rPr>
          <w:rFonts w:cs="Calibri" w:cstheme="minorHAnsi"/>
          <w:sz w:val="20"/>
        </w:rPr>
        <w:t>Detection of metals in oils and residual fuels.’ [5]</w:t>
      </w:r>
    </w:p>
    <w:p>
      <w:pPr>
        <w:pStyle w:val="ListParagraph"/>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t>Sources of error:</w:t>
      </w:r>
    </w:p>
    <w:p>
      <w:pPr>
        <w:pStyle w:val="ListParagraph"/>
        <w:numPr>
          <w:ilvl w:val="0"/>
          <w:numId w:val="5"/>
        </w:numPr>
        <w:rPr>
          <w:rFonts w:eastAsia="" w:eastAsiaTheme="minorEastAsia"/>
          <w:sz w:val="20"/>
        </w:rPr>
      </w:pPr>
      <w:r>
        <w:rPr>
          <w:rFonts w:eastAsia="" w:eastAsiaTheme="minorEastAsia"/>
          <w:sz w:val="20"/>
        </w:rPr>
        <w:t xml:space="preserve">Human error in the judgement of the colour. </w:t>
      </w:r>
    </w:p>
    <w:p>
      <w:pPr>
        <w:pStyle w:val="ListParagraph"/>
        <w:numPr>
          <w:ilvl w:val="0"/>
          <w:numId w:val="5"/>
        </w:numPr>
        <w:rPr>
          <w:rFonts w:eastAsia="" w:eastAsiaTheme="minorEastAsia"/>
          <w:sz w:val="20"/>
        </w:rPr>
      </w:pPr>
      <w:r>
        <w:rPr>
          <w:rFonts w:eastAsia="" w:eastAsiaTheme="minorEastAsia"/>
          <w:sz w:val="20"/>
        </w:rPr>
        <w:t>Lighting conditions may affect perception of colour.</w:t>
      </w:r>
    </w:p>
    <w:p>
      <w:pPr>
        <w:pStyle w:val="ListParagraph"/>
        <w:numPr>
          <w:ilvl w:val="0"/>
          <w:numId w:val="5"/>
        </w:numPr>
        <w:rPr>
          <w:rFonts w:eastAsia="" w:eastAsiaTheme="minorEastAsia"/>
          <w:sz w:val="20"/>
        </w:rPr>
      </w:pPr>
      <w:r>
        <w:rPr>
          <w:rFonts w:eastAsia="" w:eastAsiaTheme="minorEastAsia"/>
          <w:sz w:val="20"/>
        </w:rPr>
        <w:t>Contamination of the nichrome loop, metal ion solution, distilled water.</w:t>
      </w:r>
    </w:p>
    <w:p>
      <w:pPr>
        <w:pStyle w:val="ListParagraph"/>
        <w:numPr>
          <w:ilvl w:val="0"/>
          <w:numId w:val="5"/>
        </w:numPr>
        <w:rPr>
          <w:rFonts w:eastAsia="" w:eastAsiaTheme="minorEastAsia"/>
          <w:sz w:val="20"/>
        </w:rPr>
      </w:pPr>
      <w:r>
        <w:rPr>
          <w:rFonts w:eastAsia="" w:eastAsiaTheme="minorEastAsia"/>
          <w:sz w:val="20"/>
        </w:rPr>
        <w:t>Hydrochloric acid must be concentrated enough to remove metal ion residue on the nichrome loop.</w:t>
      </w:r>
    </w:p>
    <w:p>
      <w:pPr>
        <w:pStyle w:val="ListParagraph"/>
        <w:numPr>
          <w:ilvl w:val="0"/>
          <w:numId w:val="5"/>
        </w:numPr>
        <w:rPr>
          <w:rFonts w:eastAsia="" w:eastAsiaTheme="minorEastAsia"/>
          <w:sz w:val="20"/>
        </w:rPr>
      </w:pPr>
      <w:r>
        <w:rPr>
          <w:rFonts w:eastAsia="" w:eastAsiaTheme="minorEastAsia"/>
          <w:sz w:val="20"/>
        </w:rPr>
        <w:t>The solution may contain multiple metal ions so an array of are colours produced, distorting human judgement.</w:t>
      </w:r>
    </w:p>
    <w:p>
      <w:pPr>
        <w:pStyle w:val="ListParagraph"/>
        <w:rPr>
          <w:rFonts w:eastAsia="" w:eastAsiaTheme="minorEastAsia"/>
          <w:sz w:val="20"/>
        </w:rPr>
      </w:pPr>
      <w:r>
        <w:rPr>
          <w:rFonts w:eastAsia="" w:eastAsiaTheme="minorEastAsia"/>
          <w:sz w:val="20"/>
        </w:rPr>
      </w:r>
    </w:p>
    <w:p>
      <w:pPr>
        <w:pStyle w:val="Normal"/>
        <w:rPr>
          <w:rFonts w:eastAsia="" w:eastAsiaTheme="minorEastAsia"/>
          <w:sz w:val="20"/>
        </w:rPr>
      </w:pPr>
      <w:r>
        <w:rPr>
          <w:rFonts w:eastAsia="" w:eastAsiaTheme="minorEastAsia"/>
          <w:sz w:val="20"/>
        </w:rPr>
        <w:t>Limitations:</w:t>
      </w:r>
    </w:p>
    <w:p>
      <w:pPr>
        <w:pStyle w:val="ListParagraph"/>
        <w:numPr>
          <w:ilvl w:val="0"/>
          <w:numId w:val="6"/>
        </w:numPr>
        <w:rPr>
          <w:rFonts w:eastAsia="" w:eastAsiaTheme="minorEastAsia"/>
          <w:sz w:val="20"/>
        </w:rPr>
      </w:pPr>
      <w:r>
        <w:rPr>
          <w:rFonts w:eastAsia="" w:eastAsiaTheme="minorEastAsia"/>
          <w:sz w:val="20"/>
        </w:rPr>
        <w:t>Subjective, based on who is observing the colour (not precise).</w:t>
      </w:r>
    </w:p>
    <w:p>
      <w:pPr>
        <w:pStyle w:val="ListParagraph"/>
        <w:numPr>
          <w:ilvl w:val="0"/>
          <w:numId w:val="6"/>
        </w:numPr>
        <w:rPr>
          <w:rFonts w:eastAsia="" w:eastAsiaTheme="minorEastAsia"/>
          <w:sz w:val="20"/>
        </w:rPr>
      </w:pPr>
      <w:r>
        <w:rPr>
          <w:rFonts w:eastAsia="" w:eastAsiaTheme="minorEastAsia"/>
          <w:sz w:val="20"/>
        </w:rPr>
        <w:t>Can only be used effectively for a solution containing one metal ion.</w:t>
      </w:r>
    </w:p>
    <w:p>
      <w:pPr>
        <w:pStyle w:val="ListParagraph"/>
        <w:numPr>
          <w:ilvl w:val="0"/>
          <w:numId w:val="6"/>
        </w:numPr>
        <w:rPr>
          <w:rFonts w:eastAsia="" w:eastAsiaTheme="minorEastAsia"/>
          <w:sz w:val="20"/>
        </w:rPr>
      </w:pPr>
      <w:r>
        <w:rPr>
          <w:rFonts w:eastAsia="" w:eastAsiaTheme="minorEastAsia"/>
          <w:sz w:val="20"/>
        </w:rPr>
        <w:t>Further research or experimental procedure must occur to find out the exact wavelength emitted.</w:t>
      </w:r>
    </w:p>
    <w:p>
      <w:pPr>
        <w:pStyle w:val="ListParagraph"/>
        <w:rPr>
          <w:rFonts w:eastAsia="" w:eastAsiaTheme="minorEastAsia"/>
          <w:sz w:val="20"/>
        </w:rPr>
      </w:pPr>
      <w:r>
        <w:rPr>
          <w:rFonts w:eastAsia="" w:eastAsiaTheme="minorEastAsia"/>
          <w:sz w:val="20"/>
        </w:rPr>
      </w:r>
    </w:p>
    <w:p>
      <w:pPr>
        <w:pStyle w:val="Normal"/>
        <w:rPr>
          <w:sz w:val="32"/>
          <w:u w:val="single"/>
        </w:rPr>
      </w:pPr>
      <w:r>
        <w:rPr>
          <w:sz w:val="32"/>
          <w:u w:val="single"/>
        </w:rPr>
        <w:t>Conclusion:</w:t>
      </w:r>
    </w:p>
    <w:p>
      <w:pPr>
        <w:pStyle w:val="Normal"/>
        <w:rPr>
          <w:sz w:val="20"/>
          <w:u w:val="single"/>
        </w:rPr>
      </w:pPr>
      <w:r>
        <w:rPr>
          <w:sz w:val="20"/>
          <w:u w:val="single"/>
        </w:rPr>
      </w:r>
    </w:p>
    <w:p>
      <w:pPr>
        <w:pStyle w:val="Normal"/>
        <w:rPr>
          <w:color w:val="000000" w:themeColor="text1"/>
          <w:sz w:val="20"/>
        </w:rPr>
      </w:pPr>
      <w:r>
        <w:rPr>
          <w:sz w:val="20"/>
        </w:rPr>
        <w:t xml:space="preserve">My findings do support my hypotheses stated earlier. This is because the metal ions did emit light when they were heated and the colour of the light did vary due to the metal ion being heated. Based on what was found, </w:t>
      </w:r>
      <w:bookmarkStart w:id="0" w:name="_GoBack"/>
      <w:bookmarkEnd w:id="0"/>
      <w:r>
        <w:rPr>
          <w:sz w:val="20"/>
        </w:rPr>
        <w:t xml:space="preserve">to improve for future experiments, using a flame photometer </w:t>
      </w:r>
      <w:r>
        <w:rPr>
          <w:color w:val="000000" w:themeColor="text1"/>
          <w:sz w:val="20"/>
        </w:rPr>
        <w:t xml:space="preserve">would improve the accuracy of the experiment by allowing for a precise qualitative wavelength value for the emitted light. Furthermore, opportunity’s to use near infra-red (NIR) spectroscopy are very promising in its ability </w:t>
      </w:r>
      <w:r>
        <w:rPr>
          <w:color w:val="000000" w:themeColor="text1"/>
          <w:sz w:val="20"/>
          <w:szCs w:val="20"/>
        </w:rPr>
        <w:t>‘</w:t>
      </w:r>
      <w:r>
        <w:rPr>
          <w:sz w:val="20"/>
          <w:szCs w:val="20"/>
        </w:rPr>
        <w:t xml:space="preserve">for correct compound identification within a given class of energetic materials, including nitro-aromatics, nitro-amines, nitrate esters, and peroxides’ [6, p.1]. This method is said to be more accurate, without the need of manual handling and </w:t>
      </w:r>
      <w:r>
        <w:rPr>
          <w:sz w:val="20"/>
        </w:rPr>
        <w:t>being suited to prevent false-positive results making a much more compelling method over its competitors.</w:t>
      </w:r>
      <w:r>
        <w:rPr>
          <w:color w:val="000000" w:themeColor="text1"/>
          <w:sz w:val="20"/>
        </w:rPr>
        <w:t xml:space="preserve"> However, the visual method we tested in the lab has its own benefits of being quick and easy making it more accessible to a volatile war environment. </w:t>
      </w:r>
    </w:p>
    <w:p>
      <w:pPr>
        <w:pStyle w:val="Normal"/>
        <w:rPr>
          <w:color w:val="000000" w:themeColor="text1"/>
          <w:sz w:val="20"/>
        </w:rPr>
      </w:pPr>
      <w:r>
        <w:rPr>
          <w:color w:val="000000" w:themeColor="text1"/>
          <w:sz w:val="20"/>
        </w:rPr>
      </w:r>
    </w:p>
    <w:p>
      <w:pPr>
        <w:pStyle w:val="Bibliography"/>
        <w:rPr/>
      </w:pPr>
      <w:r>
        <w:rPr>
          <w:sz w:val="32"/>
          <w:u w:val="single"/>
        </w:rPr>
        <w:t>References:</w:t>
      </w:r>
      <w:r>
        <w:rPr/>
        <w:t xml:space="preserve"> </w:t>
      </w:r>
    </w:p>
    <w:p>
      <w:pPr>
        <w:pStyle w:val="Normal"/>
        <w:rPr>
          <w:sz w:val="20"/>
        </w:rPr>
      </w:pPr>
      <w:r>
        <w:rPr>
          <w:sz w:val="20"/>
        </w:rPr>
      </w:r>
    </w:p>
    <w:p>
      <w:pPr>
        <w:pStyle w:val="Normal"/>
        <w:rPr/>
      </w:pPr>
      <w:r>
        <w:rPr/>
        <w:t xml:space="preserve">[1] “Coursehero,” (16/02/2024) Flame tests, Available: </w:t>
      </w:r>
      <w:hyperlink r:id="rId5">
        <w:r>
          <w:rPr>
            <w:rStyle w:val="InternetLink"/>
          </w:rPr>
          <w:t>Flame Tests - Flame Tests Data Table Metal Ion Color of | Course Hero</w:t>
        </w:r>
      </w:hyperlink>
    </w:p>
    <w:p>
      <w:pPr>
        <w:pStyle w:val="Normal"/>
        <w:rPr/>
      </w:pPr>
      <w:r>
        <w:rPr>
          <w:rStyle w:val="InternetLink"/>
          <w:color w:val="auto"/>
          <w:u w:val="none"/>
        </w:rPr>
        <w:t xml:space="preserve">[2] </w:t>
      </w:r>
      <w:r>
        <w:rPr/>
        <w:t xml:space="preserve">“Stockadobe,” (16/02/2024) Visible light spectrum, Available: </w:t>
      </w:r>
      <w:hyperlink r:id="rId6">
        <w:r>
          <w:rPr>
            <w:rStyle w:val="InternetLink"/>
          </w:rPr>
          <w:t>Visible Light Spectrum Images – Browse 346,541 Stock Photos, Vectors, and Video | Adobe Stock</w:t>
        </w:r>
      </w:hyperlink>
    </w:p>
    <w:p>
      <w:pPr>
        <w:pStyle w:val="Normal"/>
        <w:rPr/>
      </w:pPr>
      <w:r>
        <w:rPr>
          <w:rStyle w:val="InternetLink"/>
          <w:color w:val="auto"/>
          <w:u w:val="none"/>
        </w:rPr>
        <w:t>[3]</w:t>
      </w:r>
      <w:r>
        <w:rPr/>
        <w:t xml:space="preserve"> Chris Woodford. “Explainthatstuff,” (16/02/2024) Flares, Available: </w:t>
      </w:r>
      <w:hyperlink r:id="rId7">
        <w:r>
          <w:rPr>
            <w:rStyle w:val="InternetLink"/>
          </w:rPr>
          <w:t>How do flares and flare guns work? - Explain that Stuff</w:t>
        </w:r>
      </w:hyperlink>
    </w:p>
    <w:p>
      <w:pPr>
        <w:pStyle w:val="Normal"/>
        <w:rPr/>
      </w:pPr>
      <w:r>
        <w:rPr>
          <w:rStyle w:val="InternetLink"/>
          <w:color w:val="auto"/>
          <w:u w:val="none"/>
        </w:rPr>
        <w:t>[4]</w:t>
      </w:r>
      <w:r>
        <w:rPr/>
        <w:t xml:space="preserve"> Bogdan Gheorghe PULPEA, Cristian-Valentin NUȚĂ, Daniela PULPEA , Adrian ROTARIU, Eugen TRANĂ, Gabriela TOADER, Traian ROTARIU, Florin DÎRLOMAN, Pamfil ȘOMOIAG, Mihai Ionuț UNGUREANU, “CHARACTERIZATION OF PYROTECHNIC COMPOSITION USED IN TRACER AMMUNITIONS.,” </w:t>
      </w:r>
      <w:r>
        <w:rPr>
          <w:rFonts w:cs="Calibri" w:cstheme="minorHAnsi"/>
          <w:i/>
          <w:iCs/>
          <w:color w:val="222222"/>
          <w:shd w:fill="FFFFFF" w:val="clear"/>
        </w:rPr>
        <w:t>UPB Scientific Bulletin</w:t>
      </w:r>
      <w:r>
        <w:rPr/>
        <w:t xml:space="preserve">, vol. 85, No. 2, pp. 186-198, 2023. Available:  </w:t>
      </w:r>
      <w:hyperlink r:id="rId8">
        <w:r>
          <w:rPr>
            <w:rStyle w:val="InternetLink"/>
          </w:rPr>
          <w:t>VAPOR LIQUID (upb.ro)</w:t>
        </w:r>
      </w:hyperlink>
    </w:p>
    <w:p>
      <w:pPr>
        <w:pStyle w:val="Normal"/>
        <w:rPr/>
      </w:pPr>
      <w:r>
        <w:rPr/>
        <w:t xml:space="preserve">[5] “LABMATE-online,” (17/02/2024) How does flame spectroscopy work, Available: </w:t>
      </w:r>
      <w:hyperlink r:id="rId9">
        <w:r>
          <w:rPr>
            <w:rStyle w:val="InternetLink"/>
          </w:rPr>
          <w:t>How Does Flame Spectroscopy Work? Labmate Online (labmate-online.com)</w:t>
        </w:r>
      </w:hyperlink>
    </w:p>
    <w:p>
      <w:pPr>
        <w:pStyle w:val="Normal"/>
        <w:widowControl/>
        <w:bidi w:val="0"/>
        <w:spacing w:lineRule="auto" w:line="259" w:before="0" w:after="160"/>
        <w:jc w:val="left"/>
        <w:rPr/>
      </w:pPr>
      <w:r>
        <w:rPr>
          <w:rStyle w:val="InternetLink"/>
          <w:color w:val="auto"/>
          <w:u w:val="none"/>
        </w:rPr>
        <w:t>[6]</w:t>
      </w:r>
      <w:r>
        <w:rPr/>
        <w:t xml:space="preserve"> Irene M. van Damme, Pol Mestres-Fitó, Henk-Jan Ramaker, Annemieke W. C. Hulsbergen, Antoine E. D. M. van der Heijden, Ruben F. Kranenburg, Arian C. van Asten, “Rapid and On-Scene Chemical Identification of Intact Explosives with Portable Near-Infrared Spectroscopy and Multivariate Data Analysis.,” </w:t>
      </w:r>
      <w:r>
        <w:rPr>
          <w:i/>
        </w:rPr>
        <w:t>sensors</w:t>
      </w:r>
      <w:r>
        <w:rPr/>
        <w:t xml:space="preserve">, pp. 0-17, April 2023. Available: </w:t>
      </w:r>
      <w:hyperlink r:id="rId10">
        <w:r>
          <w:rPr>
            <w:rStyle w:val="InternetLink"/>
          </w:rPr>
          <w:t>Sensors | Free Full-Text | Rapid and On-Scene Chemical Identification of Intact Explosives with Portable Near-Infrared Spectroscopy and Multivariate Data Analysis (mdpi.com)</w:t>
        </w:r>
      </w:hyperlink>
    </w:p>
    <w:sectPr>
      <w:type w:val="nextPage"/>
      <w:pgSz w:w="11906" w:h="16838"/>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roman"/>
    <w:pitch w:val="variable"/>
  </w:font>
  <w:font w:name="Google Sans">
    <w:altName w:val="arial"/>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sz w:val="20"/>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bullet"/>
      <w:lvlText w:val=""/>
      <w:lvlJc w:val="left"/>
      <w:pPr>
        <w:ind w:left="720" w:hanging="360"/>
      </w:pPr>
      <w:rPr>
        <w:rFonts w:ascii="Symbol" w:hAnsi="Symbol" w:cs="Symbol" w:hint="default"/>
        <w:sz w:val="20"/>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3">
    <w:lvl w:ilvl="0">
      <w:start w:val="1"/>
      <w:numFmt w:val="bullet"/>
      <w:lvlText w:val=""/>
      <w:lvlJc w:val="left"/>
      <w:pPr>
        <w:ind w:left="720" w:hanging="360"/>
      </w:pPr>
      <w:rPr>
        <w:rFonts w:ascii="Symbol" w:hAnsi="Symbol" w:cs="Symbol" w:hint="default"/>
        <w:sz w:val="20"/>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4">
    <w:lvl w:ilvl="0">
      <w:start w:val="1"/>
      <w:numFmt w:val="bullet"/>
      <w:lvlText w:val=""/>
      <w:lvlJc w:val="left"/>
      <w:pPr>
        <w:ind w:left="720" w:hanging="360"/>
      </w:pPr>
      <w:rPr>
        <w:rFonts w:ascii="Symbol" w:hAnsi="Symbol" w:cs="Symbol" w:hint="default"/>
        <w:sz w:val="20"/>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5">
    <w:lvl w:ilvl="0">
      <w:start w:val="1"/>
      <w:numFmt w:val="bullet"/>
      <w:lvlText w:val=""/>
      <w:lvlJc w:val="left"/>
      <w:pPr>
        <w:ind w:left="720" w:hanging="360"/>
      </w:pPr>
      <w:rPr>
        <w:rFonts w:ascii="Symbol" w:hAnsi="Symbol" w:cs="Symbol" w:hint="default"/>
        <w:sz w:val="20"/>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6">
    <w:lvl w:ilvl="0">
      <w:start w:val="1"/>
      <w:numFmt w:val="bullet"/>
      <w:lvlText w:val=""/>
      <w:lvlJc w:val="left"/>
      <w:pPr>
        <w:ind w:left="720" w:hanging="360"/>
      </w:pPr>
      <w:rPr>
        <w:rFonts w:ascii="Symbol" w:hAnsi="Symbol" w:cs="Symbol" w:hint="default"/>
        <w:sz w:val="20"/>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7">
    <w:lvl w:ilvl="0">
      <w:start w:val="1"/>
      <w:numFmt w:val="bullet"/>
      <w:lvlText w:val=""/>
      <w:lvlJc w:val="left"/>
      <w:pPr>
        <w:ind w:left="720" w:hanging="360"/>
      </w:pPr>
      <w:rPr>
        <w:rFonts w:ascii="Symbol" w:hAnsi="Symbol" w:cs="Symbol" w:hint="default"/>
        <w:sz w:val="20"/>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w="http://schemas.openxmlformats.org/wordprocessingml/2006/main">
  <w:zoom w:percent="115"/>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b97089"/>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character" w:styleId="DefaultParagraphFont" w:default="1">
    <w:name w:val="Default Paragraph Font"/>
    <w:uiPriority w:val="1"/>
    <w:semiHidden/>
    <w:unhideWhenUsed/>
    <w:qFormat/>
    <w:rPr/>
  </w:style>
  <w:style w:type="character" w:styleId="PlaceholderText">
    <w:name w:val="Placeholder Text"/>
    <w:basedOn w:val="DefaultParagraphFont"/>
    <w:uiPriority w:val="99"/>
    <w:semiHidden/>
    <w:qFormat/>
    <w:rsid w:val="00962ca4"/>
    <w:rPr>
      <w:color w:val="808080"/>
    </w:rPr>
  </w:style>
  <w:style w:type="character" w:styleId="InternetLink">
    <w:name w:val="Internet Link"/>
    <w:basedOn w:val="DefaultParagraphFont"/>
    <w:uiPriority w:val="99"/>
    <w:unhideWhenUsed/>
    <w:rsid w:val="005d2b74"/>
    <w:rPr>
      <w:color w:val="0000FF"/>
      <w:u w:val="single"/>
    </w:rPr>
  </w:style>
  <w:style w:type="character" w:styleId="FollowedHyperlink">
    <w:name w:val="FollowedHyperlink"/>
    <w:basedOn w:val="DefaultParagraphFont"/>
    <w:uiPriority w:val="99"/>
    <w:semiHidden/>
    <w:unhideWhenUsed/>
    <w:qFormat/>
    <w:rsid w:val="00975ef9"/>
    <w:rPr>
      <w:color w:val="954F72" w:themeColor="followedHyperlink"/>
      <w:u w:val="single"/>
    </w:rPr>
  </w:style>
  <w:style w:type="character" w:styleId="Heading1Char" w:customStyle="1">
    <w:name w:val="Heading 1 Char"/>
    <w:basedOn w:val="DefaultParagraphFont"/>
    <w:link w:val="Heading1"/>
    <w:uiPriority w:val="9"/>
    <w:qFormat/>
    <w:rsid w:val="00b97089"/>
    <w:rPr>
      <w:rFonts w:ascii="Calibri Light" w:hAnsi="Calibri Light" w:eastAsia="" w:cs="" w:asciiTheme="majorHAnsi" w:cstheme="majorBidi" w:eastAsiaTheme="majorEastAsia" w:hAnsiTheme="majorHAnsi"/>
      <w:color w:val="2E74B5" w:themeColor="accent1" w:themeShade="bf"/>
      <w:sz w:val="32"/>
      <w:szCs w:val="32"/>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rFonts w:cs="Calibri" w:cstheme="minorHAnsi"/>
      <w:bCs/>
      <w:color w:val="auto"/>
      <w:sz w:val="20"/>
      <w:u w:val="none"/>
    </w:rPr>
  </w:style>
  <w:style w:type="character" w:styleId="ListLabel41">
    <w:name w:val="ListLabel 41"/>
    <w:qFormat/>
    <w:rPr/>
  </w:style>
  <w:style w:type="character" w:styleId="NumberingSymbols">
    <w:name w:val="Numbering Symbols"/>
    <w:qFormat/>
    <w:rPr/>
  </w:style>
  <w:style w:type="character" w:styleId="ListLabel42">
    <w:name w:val="ListLabel 42"/>
    <w:qFormat/>
    <w:rPr>
      <w:rFonts w:cs="Symbol"/>
      <w:sz w:val="20"/>
    </w:rPr>
  </w:style>
  <w:style w:type="character" w:styleId="ListLabel43">
    <w:name w:val="ListLabel 43"/>
    <w:qFormat/>
    <w:rPr>
      <w:rFonts w:cs="Courier New"/>
    </w:rPr>
  </w:style>
  <w:style w:type="character" w:styleId="ListLabel44">
    <w:name w:val="ListLabel 44"/>
    <w:qFormat/>
    <w:rPr>
      <w:rFonts w:cs="Wingdings"/>
    </w:rPr>
  </w:style>
  <w:style w:type="character" w:styleId="ListLabel45">
    <w:name w:val="ListLabel 45"/>
    <w:qFormat/>
    <w:rPr>
      <w:rFonts w:cs="Symbol"/>
    </w:rPr>
  </w:style>
  <w:style w:type="character" w:styleId="ListLabel46">
    <w:name w:val="ListLabel 46"/>
    <w:qFormat/>
    <w:rPr>
      <w:rFonts w:cs="Courier New"/>
    </w:rPr>
  </w:style>
  <w:style w:type="character" w:styleId="ListLabel47">
    <w:name w:val="ListLabel 47"/>
    <w:qFormat/>
    <w:rPr>
      <w:rFonts w:cs="Wingdings"/>
    </w:rPr>
  </w:style>
  <w:style w:type="character" w:styleId="ListLabel48">
    <w:name w:val="ListLabel 48"/>
    <w:qFormat/>
    <w:rPr>
      <w:rFonts w:cs="Symbol"/>
    </w:rPr>
  </w:style>
  <w:style w:type="character" w:styleId="ListLabel49">
    <w:name w:val="ListLabel 49"/>
    <w:qFormat/>
    <w:rPr>
      <w:rFonts w:cs="Courier New"/>
    </w:rPr>
  </w:style>
  <w:style w:type="character" w:styleId="ListLabel50">
    <w:name w:val="ListLabel 50"/>
    <w:qFormat/>
    <w:rPr>
      <w:rFonts w:cs="Wingdings"/>
    </w:rPr>
  </w:style>
  <w:style w:type="character" w:styleId="ListLabel51">
    <w:name w:val="ListLabel 51"/>
    <w:qFormat/>
    <w:rPr>
      <w:rFonts w:cs="Symbol"/>
      <w:sz w:val="20"/>
    </w:rPr>
  </w:style>
  <w:style w:type="character" w:styleId="ListLabel52">
    <w:name w:val="ListLabel 52"/>
    <w:qFormat/>
    <w:rPr>
      <w:rFonts w:cs="Courier New"/>
    </w:rPr>
  </w:style>
  <w:style w:type="character" w:styleId="ListLabel53">
    <w:name w:val="ListLabel 53"/>
    <w:qFormat/>
    <w:rPr>
      <w:rFonts w:cs="Wingdings"/>
    </w:rPr>
  </w:style>
  <w:style w:type="character" w:styleId="ListLabel54">
    <w:name w:val="ListLabel 54"/>
    <w:qFormat/>
    <w:rPr>
      <w:rFonts w:cs="Symbol"/>
    </w:rPr>
  </w:style>
  <w:style w:type="character" w:styleId="ListLabel55">
    <w:name w:val="ListLabel 55"/>
    <w:qFormat/>
    <w:rPr>
      <w:rFonts w:cs="Courier New"/>
    </w:rPr>
  </w:style>
  <w:style w:type="character" w:styleId="ListLabel56">
    <w:name w:val="ListLabel 56"/>
    <w:qFormat/>
    <w:rPr>
      <w:rFonts w:cs="Wingdings"/>
    </w:rPr>
  </w:style>
  <w:style w:type="character" w:styleId="ListLabel57">
    <w:name w:val="ListLabel 57"/>
    <w:qFormat/>
    <w:rPr>
      <w:rFonts w:cs="Symbol"/>
    </w:rPr>
  </w:style>
  <w:style w:type="character" w:styleId="ListLabel58">
    <w:name w:val="ListLabel 58"/>
    <w:qFormat/>
    <w:rPr>
      <w:rFonts w:cs="Courier New"/>
    </w:rPr>
  </w:style>
  <w:style w:type="character" w:styleId="ListLabel59">
    <w:name w:val="ListLabel 59"/>
    <w:qFormat/>
    <w:rPr>
      <w:rFonts w:cs="Wingdings"/>
    </w:rPr>
  </w:style>
  <w:style w:type="character" w:styleId="ListLabel60">
    <w:name w:val="ListLabel 60"/>
    <w:qFormat/>
    <w:rPr>
      <w:rFonts w:cs="Symbol"/>
      <w:sz w:val="20"/>
    </w:rPr>
  </w:style>
  <w:style w:type="character" w:styleId="ListLabel61">
    <w:name w:val="ListLabel 61"/>
    <w:qFormat/>
    <w:rPr>
      <w:rFonts w:cs="Courier New"/>
    </w:rPr>
  </w:style>
  <w:style w:type="character" w:styleId="ListLabel62">
    <w:name w:val="ListLabel 62"/>
    <w:qFormat/>
    <w:rPr>
      <w:rFonts w:cs="Wingdings"/>
    </w:rPr>
  </w:style>
  <w:style w:type="character" w:styleId="ListLabel63">
    <w:name w:val="ListLabel 63"/>
    <w:qFormat/>
    <w:rPr>
      <w:rFonts w:cs="Symbol"/>
    </w:rPr>
  </w:style>
  <w:style w:type="character" w:styleId="ListLabel64">
    <w:name w:val="ListLabel 64"/>
    <w:qFormat/>
    <w:rPr>
      <w:rFonts w:cs="Courier New"/>
    </w:rPr>
  </w:style>
  <w:style w:type="character" w:styleId="ListLabel65">
    <w:name w:val="ListLabel 65"/>
    <w:qFormat/>
    <w:rPr>
      <w:rFonts w:cs="Wingdings"/>
    </w:rPr>
  </w:style>
  <w:style w:type="character" w:styleId="ListLabel66">
    <w:name w:val="ListLabel 66"/>
    <w:qFormat/>
    <w:rPr>
      <w:rFonts w:cs="Symbol"/>
    </w:rPr>
  </w:style>
  <w:style w:type="character" w:styleId="ListLabel67">
    <w:name w:val="ListLabel 67"/>
    <w:qFormat/>
    <w:rPr>
      <w:rFonts w:cs="Courier New"/>
    </w:rPr>
  </w:style>
  <w:style w:type="character" w:styleId="ListLabel68">
    <w:name w:val="ListLabel 68"/>
    <w:qFormat/>
    <w:rPr>
      <w:rFonts w:cs="Wingdings"/>
    </w:rPr>
  </w:style>
  <w:style w:type="character" w:styleId="ListLabel69">
    <w:name w:val="ListLabel 69"/>
    <w:qFormat/>
    <w:rPr>
      <w:rFonts w:cs="Symbol"/>
      <w:sz w:val="20"/>
    </w:rPr>
  </w:style>
  <w:style w:type="character" w:styleId="ListLabel70">
    <w:name w:val="ListLabel 70"/>
    <w:qFormat/>
    <w:rPr>
      <w:rFonts w:cs="Courier New"/>
    </w:rPr>
  </w:style>
  <w:style w:type="character" w:styleId="ListLabel71">
    <w:name w:val="ListLabel 71"/>
    <w:qFormat/>
    <w:rPr>
      <w:rFonts w:cs="Wingdings"/>
    </w:rPr>
  </w:style>
  <w:style w:type="character" w:styleId="ListLabel72">
    <w:name w:val="ListLabel 72"/>
    <w:qFormat/>
    <w:rPr>
      <w:rFonts w:cs="Symbol"/>
    </w:rPr>
  </w:style>
  <w:style w:type="character" w:styleId="ListLabel73">
    <w:name w:val="ListLabel 73"/>
    <w:qFormat/>
    <w:rPr>
      <w:rFonts w:cs="Courier New"/>
    </w:rPr>
  </w:style>
  <w:style w:type="character" w:styleId="ListLabel74">
    <w:name w:val="ListLabel 74"/>
    <w:qFormat/>
    <w:rPr>
      <w:rFonts w:cs="Wingdings"/>
    </w:rPr>
  </w:style>
  <w:style w:type="character" w:styleId="ListLabel75">
    <w:name w:val="ListLabel 75"/>
    <w:qFormat/>
    <w:rPr>
      <w:rFonts w:cs="Symbol"/>
    </w:rPr>
  </w:style>
  <w:style w:type="character" w:styleId="ListLabel76">
    <w:name w:val="ListLabel 76"/>
    <w:qFormat/>
    <w:rPr>
      <w:rFonts w:cs="Courier New"/>
    </w:rPr>
  </w:style>
  <w:style w:type="character" w:styleId="ListLabel77">
    <w:name w:val="ListLabel 77"/>
    <w:qFormat/>
    <w:rPr>
      <w:rFonts w:cs="Wingdings"/>
    </w:rPr>
  </w:style>
  <w:style w:type="character" w:styleId="ListLabel78">
    <w:name w:val="ListLabel 78"/>
    <w:qFormat/>
    <w:rPr>
      <w:rFonts w:cs="Symbol"/>
      <w:sz w:val="20"/>
    </w:rPr>
  </w:style>
  <w:style w:type="character" w:styleId="ListLabel79">
    <w:name w:val="ListLabel 79"/>
    <w:qFormat/>
    <w:rPr>
      <w:rFonts w:cs="Courier New"/>
    </w:rPr>
  </w:style>
  <w:style w:type="character" w:styleId="ListLabel80">
    <w:name w:val="ListLabel 80"/>
    <w:qFormat/>
    <w:rPr>
      <w:rFonts w:cs="Wingdings"/>
    </w:rPr>
  </w:style>
  <w:style w:type="character" w:styleId="ListLabel81">
    <w:name w:val="ListLabel 81"/>
    <w:qFormat/>
    <w:rPr>
      <w:rFonts w:cs="Symbol"/>
    </w:rPr>
  </w:style>
  <w:style w:type="character" w:styleId="ListLabel82">
    <w:name w:val="ListLabel 82"/>
    <w:qFormat/>
    <w:rPr>
      <w:rFonts w:cs="Courier New"/>
    </w:rPr>
  </w:style>
  <w:style w:type="character" w:styleId="ListLabel83">
    <w:name w:val="ListLabel 83"/>
    <w:qFormat/>
    <w:rPr>
      <w:rFonts w:cs="Wingdings"/>
    </w:rPr>
  </w:style>
  <w:style w:type="character" w:styleId="ListLabel84">
    <w:name w:val="ListLabel 84"/>
    <w:qFormat/>
    <w:rPr>
      <w:rFonts w:cs="Symbol"/>
    </w:rPr>
  </w:style>
  <w:style w:type="character" w:styleId="ListLabel85">
    <w:name w:val="ListLabel 85"/>
    <w:qFormat/>
    <w:rPr>
      <w:rFonts w:cs="Courier New"/>
    </w:rPr>
  </w:style>
  <w:style w:type="character" w:styleId="ListLabel86">
    <w:name w:val="ListLabel 86"/>
    <w:qFormat/>
    <w:rPr>
      <w:rFonts w:cs="Wingdings"/>
    </w:rPr>
  </w:style>
  <w:style w:type="character" w:styleId="ListLabel87">
    <w:name w:val="ListLabel 87"/>
    <w:qFormat/>
    <w:rPr>
      <w:rFonts w:cs="Symbol"/>
      <w:sz w:val="20"/>
    </w:rPr>
  </w:style>
  <w:style w:type="character" w:styleId="ListLabel88">
    <w:name w:val="ListLabel 88"/>
    <w:qFormat/>
    <w:rPr>
      <w:rFonts w:cs="Courier New"/>
    </w:rPr>
  </w:style>
  <w:style w:type="character" w:styleId="ListLabel89">
    <w:name w:val="ListLabel 89"/>
    <w:qFormat/>
    <w:rPr>
      <w:rFonts w:cs="Wingdings"/>
    </w:rPr>
  </w:style>
  <w:style w:type="character" w:styleId="ListLabel90">
    <w:name w:val="ListLabel 90"/>
    <w:qFormat/>
    <w:rPr>
      <w:rFonts w:cs="Symbol"/>
    </w:rPr>
  </w:style>
  <w:style w:type="character" w:styleId="ListLabel91">
    <w:name w:val="ListLabel 91"/>
    <w:qFormat/>
    <w:rPr>
      <w:rFonts w:cs="Courier New"/>
    </w:rPr>
  </w:style>
  <w:style w:type="character" w:styleId="ListLabel92">
    <w:name w:val="ListLabel 92"/>
    <w:qFormat/>
    <w:rPr>
      <w:rFonts w:cs="Wingdings"/>
    </w:rPr>
  </w:style>
  <w:style w:type="character" w:styleId="ListLabel93">
    <w:name w:val="ListLabel 93"/>
    <w:qFormat/>
    <w:rPr>
      <w:rFonts w:cs="Symbol"/>
    </w:rPr>
  </w:style>
  <w:style w:type="character" w:styleId="ListLabel94">
    <w:name w:val="ListLabel 94"/>
    <w:qFormat/>
    <w:rPr>
      <w:rFonts w:cs="Courier New"/>
    </w:rPr>
  </w:style>
  <w:style w:type="character" w:styleId="ListLabel95">
    <w:name w:val="ListLabel 95"/>
    <w:qFormat/>
    <w:rPr>
      <w:rFonts w:cs="Wingdings"/>
    </w:rPr>
  </w:style>
  <w:style w:type="character" w:styleId="ListLabel96">
    <w:name w:val="ListLabel 96"/>
    <w:qFormat/>
    <w:rPr>
      <w:rFonts w:cs="Symbol"/>
      <w:sz w:val="20"/>
    </w:rPr>
  </w:style>
  <w:style w:type="character" w:styleId="ListLabel97">
    <w:name w:val="ListLabel 97"/>
    <w:qFormat/>
    <w:rPr>
      <w:rFonts w:cs="Courier New"/>
    </w:rPr>
  </w:style>
  <w:style w:type="character" w:styleId="ListLabel98">
    <w:name w:val="ListLabel 98"/>
    <w:qFormat/>
    <w:rPr>
      <w:rFonts w:cs="Wingdings"/>
    </w:rPr>
  </w:style>
  <w:style w:type="character" w:styleId="ListLabel99">
    <w:name w:val="ListLabel 99"/>
    <w:qFormat/>
    <w:rPr>
      <w:rFonts w:cs="Symbol"/>
    </w:rPr>
  </w:style>
  <w:style w:type="character" w:styleId="ListLabel100">
    <w:name w:val="ListLabel 100"/>
    <w:qFormat/>
    <w:rPr>
      <w:rFonts w:cs="Courier New"/>
    </w:rPr>
  </w:style>
  <w:style w:type="character" w:styleId="ListLabel101">
    <w:name w:val="ListLabel 101"/>
    <w:qFormat/>
    <w:rPr>
      <w:rFonts w:cs="Wingdings"/>
    </w:rPr>
  </w:style>
  <w:style w:type="character" w:styleId="ListLabel102">
    <w:name w:val="ListLabel 102"/>
    <w:qFormat/>
    <w:rPr>
      <w:rFonts w:cs="Symbol"/>
    </w:rPr>
  </w:style>
  <w:style w:type="character" w:styleId="ListLabel103">
    <w:name w:val="ListLabel 103"/>
    <w:qFormat/>
    <w:rPr>
      <w:rFonts w:cs="Courier New"/>
    </w:rPr>
  </w:style>
  <w:style w:type="character" w:styleId="ListLabel104">
    <w:name w:val="ListLabel 104"/>
    <w:qFormat/>
    <w:rPr>
      <w:rFonts w:cs="Wingdings"/>
    </w:rPr>
  </w:style>
  <w:style w:type="character" w:styleId="ListLabel105">
    <w:name w:val="ListLabel 105"/>
    <w:qFormat/>
    <w:rPr>
      <w:rFonts w:cs="Calibri" w:cstheme="minorHAnsi"/>
      <w:bCs/>
      <w:color w:val="auto"/>
      <w:sz w:val="20"/>
      <w:u w:val="none"/>
    </w:rPr>
  </w:style>
  <w:style w:type="character" w:styleId="ListLabel106">
    <w:name w:val="ListLabel 106"/>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d676a4"/>
    <w:pPr>
      <w:spacing w:before="0" w:after="160"/>
      <w:ind w:left="720" w:hanging="0"/>
      <w:contextualSpacing/>
    </w:pPr>
    <w:rPr/>
  </w:style>
  <w:style w:type="paragraph" w:styleId="Caption1">
    <w:name w:val="caption"/>
    <w:basedOn w:val="Normal"/>
    <w:next w:val="Normal"/>
    <w:uiPriority w:val="35"/>
    <w:unhideWhenUsed/>
    <w:qFormat/>
    <w:rsid w:val="006617b3"/>
    <w:pPr>
      <w:spacing w:lineRule="auto" w:line="240" w:before="0" w:after="200"/>
    </w:pPr>
    <w:rPr>
      <w:i/>
      <w:iCs/>
      <w:color w:val="44546A" w:themeColor="text2"/>
      <w:sz w:val="18"/>
      <w:szCs w:val="18"/>
    </w:rPr>
  </w:style>
  <w:style w:type="paragraph" w:styleId="Tableoffigures">
    <w:name w:val="table of figures"/>
    <w:basedOn w:val="Normal"/>
    <w:next w:val="Normal"/>
    <w:uiPriority w:val="99"/>
    <w:unhideWhenUsed/>
    <w:qFormat/>
    <w:rsid w:val="006617b3"/>
    <w:pPr>
      <w:spacing w:before="0" w:after="0"/>
    </w:pPr>
    <w:rPr/>
  </w:style>
  <w:style w:type="paragraph" w:styleId="Bibliography">
    <w:name w:val="Bibliography"/>
    <w:basedOn w:val="Normal"/>
    <w:next w:val="Normal"/>
    <w:uiPriority w:val="37"/>
    <w:unhideWhenUsed/>
    <w:qFormat/>
    <w:rsid w:val="006859c4"/>
    <w:pPr/>
    <w:rPr/>
  </w:style>
  <w:style w:type="paragraph" w:styleId="TOCHeading">
    <w:name w:val="TOC Heading"/>
    <w:basedOn w:val="Heading1"/>
    <w:next w:val="Normal"/>
    <w:uiPriority w:val="39"/>
    <w:unhideWhenUsed/>
    <w:qFormat/>
    <w:rsid w:val="00b97089"/>
    <w:pPr/>
    <w:rPr>
      <w:lang w:val="en-US"/>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e0485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chart" Target="charts/chart1.xml"/><Relationship Id="rId3" Type="http://schemas.openxmlformats.org/officeDocument/2006/relationships/image" Target="media/image1.jpeg"/><Relationship Id="rId4" Type="http://schemas.openxmlformats.org/officeDocument/2006/relationships/hyperlink" Target="https://ilmt.co/PL/PynK" TargetMode="External"/><Relationship Id="rId5" Type="http://schemas.openxmlformats.org/officeDocument/2006/relationships/hyperlink" Target="https://www.coursehero.com/file/17668314/Flame-Tests/" TargetMode="External"/><Relationship Id="rId6" Type="http://schemas.openxmlformats.org/officeDocument/2006/relationships/hyperlink" Target="https://stock.adobe.com/uk/search?k=visible+light+spectrum" TargetMode="External"/><Relationship Id="rId7" Type="http://schemas.openxmlformats.org/officeDocument/2006/relationships/hyperlink" Target="https://www.explainthatstuff.com/flares.html" TargetMode="External"/><Relationship Id="rId8" Type="http://schemas.openxmlformats.org/officeDocument/2006/relationships/hyperlink" Target="https://www.scientificbulletin.upb.ro/rev_docs_arhiva/full7d2_820114.pdf" TargetMode="External"/><Relationship Id="rId9" Type="http://schemas.openxmlformats.org/officeDocument/2006/relationships/hyperlink" Target="https://www.labmate-online.com/news/mass-spectrometry-and-spectroscopy/41/breaking-news/how-does-flame-spectroscopy-work/57694" TargetMode="External"/><Relationship Id="rId10" Type="http://schemas.openxmlformats.org/officeDocument/2006/relationships/hyperlink" Target="https://www.mdpi.com/1424-8220/23/8/3804" TargetMode="Externa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Relationship Id="rId14" Type="http://schemas.openxmlformats.org/officeDocument/2006/relationships/theme" Target="theme/theme1.xml"/><Relationship Id="rId15" Type="http://schemas.openxmlformats.org/officeDocument/2006/relationships/customXml" Target="../customXml/item1.xml"/>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Emitted wavelengths of metal ions</a:t>
            </a:r>
          </a:p>
        </c:rich>
      </c:tx>
      <c:overlay val="0"/>
      <c:spPr>
        <a:noFill/>
        <a:ln>
          <a:noFill/>
        </a:ln>
      </c:spPr>
    </c:title>
    <c:autoTitleDeleted val="0"/>
    <c:plotArea>
      <c:barChart>
        <c:barDir val="col"/>
        <c:grouping val="clustered"/>
        <c:varyColors val="0"/>
        <c:ser>
          <c:idx val="0"/>
          <c:order val="0"/>
          <c:tx>
            <c:strRef>
              <c:f>label 0</c:f>
              <c:strCache>
                <c:ptCount val="1"/>
                <c:pt idx="0">
                  <c:v>Wavelength (nm)</c:v>
                </c:pt>
              </c:strCache>
            </c:strRef>
          </c:tx>
          <c:spPr>
            <a:solidFill>
              <a:srgbClr val="5b9bd5"/>
            </a:solidFill>
            <a:ln>
              <a:noFill/>
            </a:ln>
          </c:spPr>
          <c:invertIfNegative val="0"/>
          <c:dLbls>
            <c:numFmt formatCode="General" sourceLinked="1"/>
            <c:txPr>
              <a:bodyPr/>
              <a:lstStyle/>
              <a:p>
                <a:pPr>
                  <a:defRPr b="0" sz="1000" spc="-1" strike="noStrike">
                    <a:solidFill>
                      <a:srgbClr val="000000"/>
                    </a:solidFill>
                    <a:latin typeface="Calibri"/>
                  </a:defRPr>
                </a:pPr>
              </a:p>
            </c:txPr>
            <c:dLblPos val="outEnd"/>
            <c:showLegendKey val="0"/>
            <c:showVal val="0"/>
            <c:showCatName val="0"/>
            <c:showSerName val="0"/>
            <c:showPercent val="0"/>
            <c:separator>; </c:separator>
            <c:showLeaderLines val="0"/>
          </c:dLbls>
          <c:cat>
            <c:strRef>
              <c:f>categories</c:f>
              <c:strCache>
                <c:ptCount val="7"/>
                <c:pt idx="0">
                  <c:v>Potassium/ K+</c:v>
                </c:pt>
                <c:pt idx="1">
                  <c:v>Copper/ Cu2+</c:v>
                </c:pt>
                <c:pt idx="2">
                  <c:v>Barium/ Ba2+</c:v>
                </c:pt>
                <c:pt idx="3">
                  <c:v>Calcium/ Ca2+</c:v>
                </c:pt>
                <c:pt idx="4">
                  <c:v>Sodium/ Na+</c:v>
                </c:pt>
                <c:pt idx="5">
                  <c:v>Lithium/ Li+</c:v>
                </c:pt>
                <c:pt idx="6">
                  <c:v>Strontium/ Sr2+</c:v>
                </c:pt>
              </c:strCache>
            </c:strRef>
          </c:cat>
          <c:val>
            <c:numRef>
              <c:f>0</c:f>
              <c:numCache>
                <c:formatCode>General</c:formatCode>
                <c:ptCount val="7"/>
                <c:pt idx="0">
                  <c:v>410</c:v>
                </c:pt>
                <c:pt idx="1">
                  <c:v>490</c:v>
                </c:pt>
                <c:pt idx="2">
                  <c:v>565</c:v>
                </c:pt>
                <c:pt idx="3">
                  <c:v>600</c:v>
                </c:pt>
                <c:pt idx="4">
                  <c:v>600</c:v>
                </c:pt>
                <c:pt idx="5">
                  <c:v>650</c:v>
                </c:pt>
                <c:pt idx="6">
                  <c:v>650</c:v>
                </c:pt>
              </c:numCache>
            </c:numRef>
          </c:val>
        </c:ser>
        <c:gapWidth val="219"/>
        <c:overlap val="-27"/>
        <c:axId val="66339736"/>
        <c:axId val="19027061"/>
      </c:barChart>
      <c:catAx>
        <c:axId val="66339736"/>
        <c:scaling>
          <c:orientation val="minMax"/>
        </c:scaling>
        <c:delete val="0"/>
        <c:axPos val="b"/>
        <c:title>
          <c:tx>
            <c:rich>
              <a:bodyPr rot="0"/>
              <a:lstStyle/>
              <a:p>
                <a:pPr>
                  <a:defRPr b="0" sz="1000" spc="-1" strike="noStrike">
                    <a:solidFill>
                      <a:srgbClr val="595959"/>
                    </a:solidFill>
                    <a:latin typeface="Calibri"/>
                  </a:defRPr>
                </a:pPr>
                <a:r>
                  <a:rPr b="0" sz="1000" spc="-1" strike="noStrike">
                    <a:solidFill>
                      <a:srgbClr val="595959"/>
                    </a:solidFill>
                    <a:latin typeface="Calibri"/>
                  </a:rPr>
                  <a:t>Metal ion </a:t>
                </a:r>
              </a:p>
            </c:rich>
          </c:tx>
          <c:overlay val="0"/>
          <c:spPr>
            <a:noFill/>
            <a:ln>
              <a:noFill/>
            </a:ln>
          </c:spPr>
        </c:title>
        <c:numFmt formatCode="[$-809]DD/MM/YYYY" sourceLinked="1"/>
        <c:majorTickMark val="none"/>
        <c:minorTickMark val="none"/>
        <c:tickLblPos val="nextTo"/>
        <c:spPr>
          <a:ln w="9360">
            <a:solidFill>
              <a:srgbClr val="d9d9d9"/>
            </a:solidFill>
            <a:round/>
          </a:ln>
        </c:spPr>
        <c:txPr>
          <a:bodyPr/>
          <a:lstStyle/>
          <a:p>
            <a:pPr>
              <a:defRPr b="0" sz="900" spc="-1" strike="noStrike">
                <a:solidFill>
                  <a:srgbClr val="595959"/>
                </a:solidFill>
                <a:latin typeface="Calibri"/>
              </a:defRPr>
            </a:pPr>
          </a:p>
        </c:txPr>
        <c:crossAx val="19027061"/>
        <c:crosses val="autoZero"/>
        <c:auto val="1"/>
        <c:lblAlgn val="ctr"/>
        <c:lblOffset val="100"/>
      </c:catAx>
      <c:valAx>
        <c:axId val="19027061"/>
        <c:scaling>
          <c:orientation val="minMax"/>
        </c:scaling>
        <c:delete val="0"/>
        <c:axPos val="l"/>
        <c:majorGridlines>
          <c:spPr>
            <a:ln w="9360">
              <a:solidFill>
                <a:srgbClr val="d9d9d9"/>
              </a:solidFill>
              <a:round/>
            </a:ln>
          </c:spPr>
        </c:majorGridlines>
        <c:title>
          <c:tx>
            <c:rich>
              <a:bodyPr rot="-5400000"/>
              <a:lstStyle/>
              <a:p>
                <a:pPr>
                  <a:defRPr b="0" sz="1000" spc="-1" strike="noStrike">
                    <a:solidFill>
                      <a:srgbClr val="595959"/>
                    </a:solidFill>
                    <a:latin typeface="Calibri"/>
                  </a:defRPr>
                </a:pPr>
                <a:r>
                  <a:rPr b="0" sz="1000" spc="-1" strike="noStrike">
                    <a:solidFill>
                      <a:srgbClr val="595959"/>
                    </a:solidFill>
                    <a:latin typeface="Calibri"/>
                  </a:rPr>
                  <a:t>Wavelength (nm) </a:t>
                </a:r>
              </a:p>
            </c:rich>
          </c:tx>
          <c:overlay val="0"/>
          <c:spPr>
            <a:noFill/>
            <a:ln>
              <a:noFill/>
            </a:ln>
          </c:spPr>
        </c:title>
        <c:numFmt formatCode="General" sourceLinked="0"/>
        <c:majorTickMark val="none"/>
        <c:minorTickMark val="none"/>
        <c:tickLblPos val="nextTo"/>
        <c:spPr>
          <a:ln w="6480">
            <a:noFill/>
          </a:ln>
        </c:spPr>
        <c:txPr>
          <a:bodyPr/>
          <a:lstStyle/>
          <a:p>
            <a:pPr>
              <a:defRPr b="0" sz="900" spc="-1" strike="noStrike">
                <a:solidFill>
                  <a:srgbClr val="595959"/>
                </a:solidFill>
                <a:latin typeface="Calibri"/>
              </a:defRPr>
            </a:pPr>
          </a:p>
        </c:txPr>
        <c:crossAx val="66339736"/>
        <c:crosses val="autoZero"/>
      </c:valAx>
      <c:spPr>
        <a:noFill/>
        <a:ln>
          <a:noFill/>
        </a:ln>
      </c:spPr>
    </c:plotArea>
    <c:plotVisOnly val="1"/>
    <c:dispBlanksAs val="gap"/>
  </c:chart>
  <c:spPr>
    <a:solidFill>
      <a:srgbClr val="ffffff"/>
    </a:solidFill>
    <a:ln w="9360">
      <a:solidFill>
        <a:srgbClr val="d9d9d9"/>
      </a:solidFill>
      <a:round/>
    </a:ln>
  </c:sp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Report</b:SourceType>
    <b:Guid>{C9CB5772-09C5-48FC-8616-78F5A2CFF7B4}</b:Guid>
    <b:RefOrder>2</b:RefOrder>
  </b:Source>
  <b:Source>
    <b:Tag>Cou24</b:Tag>
    <b:SourceType>Report</b:SourceType>
    <b:Guid>{5538794E-B994-4E3B-8C9B-037FE0C734A0}</b:Guid>
    <b:Author>
      <b:Author>
        <b:NameList>
          <b:Person>
            <b:Last>Coursehero</b:Last>
          </b:Person>
        </b:NameList>
      </b:Author>
    </b:Author>
    <b:Title>Flame tests</b:Title>
    <b:Year>16/02/2024</b:Year>
    <b:RefOrder>3</b:RefOrder>
  </b:Source>
  <b:Source>
    <b:Tag>jo</b:Tag>
    <b:SourceType>Report</b:SourceType>
    <b:Guid>{0402B2B4-2728-4E1C-A283-63F51812ED51}</b:Guid>
    <b:Author>
      <b:Author>
        <b:NameList>
          <b:Person>
            <b:Last>jo</b:Last>
          </b:Person>
        </b:NameList>
      </b:Author>
    </b:Author>
    <b:RefOrder>1</b:RefOrder>
  </b:Source>
</b:Sources>
</file>

<file path=customXml/itemProps1.xml><?xml version="1.0" encoding="utf-8"?>
<ds:datastoreItem xmlns:ds="http://schemas.openxmlformats.org/officeDocument/2006/customXml" ds:itemID="{A6E229D2-4C54-4BB9-8346-EFB0C61A6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Application>Ultra_Office/6.2.3.2$Windows_x86 LibreOffice_project/</Application>
  <Pages>7</Pages>
  <Words>1462</Words>
  <Characters>7698</Characters>
  <CharactersWithSpaces>9027</CharactersWithSpaces>
  <Paragraphs>149</Paragraphs>
  <Company>QinetiQ</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2024-02-15T10:53:00Z</dcterms:created>
  <dc:creator>Brown, Luke H</dc:creator>
  <dc:description/>
  <dc:language>en-GB</dc:language>
  <cp:lastModifiedBy/>
  <dcterms:modified xsi:type="dcterms:W3CDTF">2024-03-10T17:42:37Z</dcterms:modified>
  <cp:revision>26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QinetiQ</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