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F4081" w14:textId="77777777" w:rsidR="00D22D65" w:rsidRPr="00BD16F1" w:rsidRDefault="00D22D65" w:rsidP="00D22D65">
      <w:pPr>
        <w:overflowPunct w:val="0"/>
        <w:autoSpaceDE w:val="0"/>
        <w:autoSpaceDN w:val="0"/>
        <w:adjustRightInd w:val="0"/>
        <w:spacing w:after="0" w:line="240" w:lineRule="auto"/>
        <w:jc w:val="center"/>
        <w:textAlignment w:val="baseline"/>
        <w:rPr>
          <w:rFonts w:ascii="Arial" w:eastAsia="Times New Roman" w:hAnsi="Arial" w:cs="Arial"/>
          <w:color w:val="000000"/>
          <w:sz w:val="28"/>
          <w:szCs w:val="28"/>
          <w:lang w:eastAsia="en-GB"/>
        </w:rPr>
      </w:pPr>
      <w:r w:rsidRPr="00BD16F1">
        <w:rPr>
          <w:rFonts w:ascii="Arial" w:eastAsia="Times New Roman" w:hAnsi="Arial" w:cs="Arial"/>
          <w:b/>
          <w:color w:val="000000"/>
          <w:sz w:val="28"/>
          <w:szCs w:val="28"/>
          <w:lang w:eastAsia="en-GB"/>
        </w:rPr>
        <w:t>Task 3</w:t>
      </w:r>
    </w:p>
    <w:p w14:paraId="331A6736" w14:textId="77777777" w:rsidR="00D22D65" w:rsidRPr="00BD16F1" w:rsidRDefault="00D22D65" w:rsidP="00D22D65">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p>
    <w:p w14:paraId="16F64DFF" w14:textId="77777777" w:rsidR="00D22D65" w:rsidRPr="00BD16F1" w:rsidRDefault="00D22D65" w:rsidP="00D22D65">
      <w:pPr>
        <w:overflowPunct w:val="0"/>
        <w:autoSpaceDE w:val="0"/>
        <w:autoSpaceDN w:val="0"/>
        <w:adjustRightInd w:val="0"/>
        <w:spacing w:after="0" w:line="240" w:lineRule="auto"/>
        <w:jc w:val="center"/>
        <w:textAlignment w:val="baseline"/>
        <w:rPr>
          <w:rFonts w:ascii="Arial" w:eastAsia="Times New Roman" w:hAnsi="Arial" w:cs="Arial"/>
          <w:b/>
          <w:sz w:val="28"/>
          <w:szCs w:val="28"/>
          <w:lang w:eastAsia="en-GB"/>
        </w:rPr>
      </w:pPr>
      <w:r w:rsidRPr="00BD16F1">
        <w:rPr>
          <w:rFonts w:ascii="Arial" w:eastAsia="Times New Roman" w:hAnsi="Arial" w:cs="Arial"/>
          <w:b/>
          <w:sz w:val="28"/>
          <w:szCs w:val="28"/>
          <w:lang w:eastAsia="en-GB"/>
        </w:rPr>
        <w:t>Safeguarding and working in complex situations – Case Study</w:t>
      </w:r>
    </w:p>
    <w:p w14:paraId="021AFF24" w14:textId="77777777" w:rsidR="00D22D65" w:rsidRPr="00BD16F1" w:rsidRDefault="00D22D65" w:rsidP="00D22D65">
      <w:pPr>
        <w:overflowPunct w:val="0"/>
        <w:autoSpaceDE w:val="0"/>
        <w:autoSpaceDN w:val="0"/>
        <w:adjustRightInd w:val="0"/>
        <w:spacing w:after="0" w:line="240" w:lineRule="auto"/>
        <w:textAlignment w:val="baseline"/>
        <w:rPr>
          <w:rFonts w:ascii="Arial" w:eastAsia="Times New Roman" w:hAnsi="Arial" w:cs="Arial"/>
          <w:b/>
          <w:sz w:val="24"/>
          <w:szCs w:val="24"/>
          <w:lang w:eastAsia="en-GB"/>
        </w:rPr>
      </w:pPr>
    </w:p>
    <w:p w14:paraId="60BAB0D6" w14:textId="77777777" w:rsidR="00D22D65" w:rsidRPr="00BD16F1" w:rsidRDefault="00D22D65" w:rsidP="00D22D65">
      <w:pPr>
        <w:overflowPunct w:val="0"/>
        <w:autoSpaceDE w:val="0"/>
        <w:autoSpaceDN w:val="0"/>
        <w:adjustRightInd w:val="0"/>
        <w:spacing w:after="0" w:line="240" w:lineRule="auto"/>
        <w:textAlignment w:val="baseline"/>
        <w:rPr>
          <w:rFonts w:ascii="Arial" w:eastAsia="Times New Roman" w:hAnsi="Arial" w:cs="Arial"/>
          <w:b/>
          <w:sz w:val="24"/>
          <w:szCs w:val="24"/>
          <w:lang w:eastAsia="en-GB"/>
        </w:rPr>
      </w:pPr>
      <w:r w:rsidRPr="00BD16F1">
        <w:rPr>
          <w:rFonts w:ascii="Arial" w:eastAsia="Times New Roman" w:hAnsi="Arial" w:cs="Arial"/>
          <w:b/>
          <w:sz w:val="24"/>
          <w:szCs w:val="24"/>
          <w:lang w:eastAsia="en-GB"/>
        </w:rPr>
        <w:t>Guidance;</w:t>
      </w:r>
    </w:p>
    <w:p w14:paraId="751EFAC0" w14:textId="77777777" w:rsidR="00D22D65" w:rsidRPr="00BD16F1" w:rsidRDefault="00D22D65" w:rsidP="00D22D65">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BD16F1">
        <w:rPr>
          <w:rFonts w:ascii="Arial" w:eastAsia="Times New Roman" w:hAnsi="Arial" w:cs="Arial"/>
          <w:i/>
          <w:iCs/>
          <w:color w:val="000000"/>
          <w:sz w:val="24"/>
          <w:szCs w:val="24"/>
          <w:lang w:eastAsia="en-GB"/>
        </w:rPr>
        <w:t xml:space="preserve">Please ensure that you meet the National Occupational Standards and assigned Learning Outcomes for this task (see appendix 5 and 6 of the handbook). </w:t>
      </w:r>
    </w:p>
    <w:p w14:paraId="40869601" w14:textId="77777777" w:rsidR="00D22D65" w:rsidRPr="00BD16F1" w:rsidRDefault="00D22D65" w:rsidP="00D22D65">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22D65" w:rsidRPr="00BD16F1" w14:paraId="4EC6B58E" w14:textId="77777777" w:rsidTr="004843C3">
        <w:tc>
          <w:tcPr>
            <w:tcW w:w="10031" w:type="dxa"/>
            <w:shd w:val="clear" w:color="auto" w:fill="auto"/>
          </w:tcPr>
          <w:p w14:paraId="063580C1" w14:textId="77777777" w:rsidR="00D22D65" w:rsidRPr="00BD16F1" w:rsidRDefault="00D22D65" w:rsidP="004843C3">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BD16F1">
              <w:rPr>
                <w:rFonts w:ascii="Arial" w:eastAsia="Times New Roman" w:hAnsi="Arial" w:cs="Arial"/>
                <w:b/>
                <w:color w:val="000000"/>
                <w:sz w:val="24"/>
                <w:szCs w:val="24"/>
                <w:lang w:eastAsia="en-GB"/>
              </w:rPr>
              <w:t>Question:</w:t>
            </w:r>
          </w:p>
          <w:p w14:paraId="4D991E2A" w14:textId="77777777" w:rsidR="00D22D65" w:rsidRPr="00BD16F1" w:rsidRDefault="00D22D65" w:rsidP="004843C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BD16F1">
              <w:rPr>
                <w:rFonts w:ascii="Arial" w:eastAsia="Times New Roman" w:hAnsi="Arial" w:cs="Arial"/>
                <w:color w:val="000000"/>
                <w:sz w:val="24"/>
                <w:szCs w:val="24"/>
                <w:lang w:eastAsia="en-GB"/>
              </w:rPr>
              <w:t>Complete a critically reflective case study based on an assessment that you have undertaken with others,</w:t>
            </w:r>
            <w:r w:rsidRPr="00BD16F1">
              <w:rPr>
                <w:rFonts w:ascii="Arial" w:eastAsia="Times New Roman" w:hAnsi="Arial" w:cs="Arial"/>
                <w:b/>
                <w:bCs/>
                <w:color w:val="000000"/>
                <w:sz w:val="24"/>
                <w:szCs w:val="24"/>
                <w:lang w:eastAsia="en-GB"/>
              </w:rPr>
              <w:t xml:space="preserve"> </w:t>
            </w:r>
            <w:r w:rsidRPr="00BD16F1">
              <w:rPr>
                <w:rFonts w:ascii="Arial" w:eastAsia="Times New Roman" w:hAnsi="Arial" w:cs="Arial"/>
                <w:color w:val="000000"/>
                <w:sz w:val="24"/>
                <w:szCs w:val="24"/>
                <w:lang w:eastAsia="en-GB"/>
              </w:rPr>
              <w:t xml:space="preserve">in your own area of work, concerning the safeguarding of either an adult or a child. You must demonstrate how the case relates to or could relate to safeguarding legislation, policies, strategies and procedures (including demonstrating an understanding of the </w:t>
            </w:r>
            <w:r w:rsidRPr="00BD16F1">
              <w:rPr>
                <w:rFonts w:ascii="Arial" w:eastAsia="Arial" w:hAnsi="Arial" w:cs="Arial"/>
                <w:color w:val="000000" w:themeColor="text1"/>
                <w:sz w:val="24"/>
                <w:szCs w:val="24"/>
                <w:lang w:eastAsia="en-GB"/>
              </w:rPr>
              <w:t>interface between social services provision in Wales with the United Kingdom, the European Union (EU) and outside the EU)</w:t>
            </w:r>
            <w:r w:rsidRPr="00BD16F1">
              <w:rPr>
                <w:rFonts w:ascii="Arial" w:eastAsia="Times New Roman" w:hAnsi="Arial" w:cs="Arial"/>
                <w:color w:val="000000"/>
                <w:sz w:val="24"/>
                <w:szCs w:val="24"/>
                <w:lang w:eastAsia="en-GB"/>
              </w:rPr>
              <w:t xml:space="preserve">.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14:paraId="062717FD" w14:textId="77777777" w:rsidR="00D22D65" w:rsidRPr="00BD16F1" w:rsidRDefault="00D22D65" w:rsidP="004843C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4CFF983" w14:textId="77777777" w:rsidR="00D22D65" w:rsidRPr="00BD16F1" w:rsidRDefault="00D22D65" w:rsidP="004843C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9A3DDB2" w14:textId="77777777" w:rsidR="00D22D65" w:rsidRPr="00BD16F1" w:rsidRDefault="00D22D65" w:rsidP="004843C3">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BD16F1">
              <w:rPr>
                <w:rFonts w:ascii="Arial" w:eastAsia="Times New Roman" w:hAnsi="Arial" w:cs="Arial"/>
                <w:i/>
                <w:color w:val="000000"/>
                <w:sz w:val="24"/>
                <w:szCs w:val="24"/>
                <w:lang w:eastAsia="en-GB"/>
              </w:rPr>
              <w:t>4000 words</w:t>
            </w:r>
            <w:r w:rsidRPr="00BD16F1">
              <w:rPr>
                <w:rFonts w:ascii="Arial" w:eastAsia="Times New Roman" w:hAnsi="Arial" w:cs="Arial"/>
                <w:color w:val="000000"/>
                <w:sz w:val="24"/>
                <w:szCs w:val="24"/>
                <w:lang w:eastAsia="en-GB"/>
              </w:rPr>
              <w:t xml:space="preserve"> </w:t>
            </w:r>
            <w:r w:rsidRPr="00BD16F1">
              <w:rPr>
                <w:rFonts w:ascii="Arial" w:eastAsia="Times New Roman" w:hAnsi="Arial" w:cs="Arial"/>
                <w:i/>
                <w:color w:val="000000"/>
                <w:sz w:val="24"/>
                <w:szCs w:val="24"/>
                <w:lang w:eastAsia="en-GB"/>
              </w:rPr>
              <w:t>(+/- 10%: include your actual word count at the end of each section).</w:t>
            </w:r>
          </w:p>
          <w:p w14:paraId="7E7CDDF6" w14:textId="77777777" w:rsidR="00D22D65" w:rsidRPr="00BD16F1" w:rsidRDefault="00D22D65" w:rsidP="004843C3">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175C2094" w14:textId="77777777" w:rsidR="00D22D65" w:rsidRPr="00BD16F1" w:rsidRDefault="00D22D65" w:rsidP="004843C3">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445A8B22" w14:textId="77777777" w:rsidR="00D22D65" w:rsidRPr="00BD16F1" w:rsidRDefault="00D22D65" w:rsidP="004843C3">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6098681F" w14:textId="77777777" w:rsidR="00D22D65" w:rsidRDefault="00D22D65" w:rsidP="004843C3">
            <w:pPr>
              <w:spacing w:before="240" w:line="480" w:lineRule="auto"/>
              <w:jc w:val="both"/>
              <w:rPr>
                <w:rFonts w:ascii="Arial" w:hAnsi="Arial" w:cs="Arial"/>
                <w:sz w:val="24"/>
                <w:szCs w:val="24"/>
              </w:rPr>
            </w:pPr>
            <w:r w:rsidRPr="00D91AAC">
              <w:rPr>
                <w:rFonts w:ascii="Arial" w:hAnsi="Arial" w:cs="Arial"/>
                <w:sz w:val="24"/>
                <w:szCs w:val="24"/>
              </w:rPr>
              <w:t xml:space="preserve">This paper will look at a critical reflective case study concerning safeguarding an adult linked to an individual whom I have supported. Consequently, this will establish how the situation is related to, or may be related to, safeguarding laws, policies, strategies, and procedures. According to Social Care Wales (2020), "safeguarding involves the prevention and protection of children and people at risk of abuse or neglect, as well as training others around them to recognise the indications and hazards." Section 7 (131) of the Social Services and Well-being (Wales) Act 2014 (SSWBA) states that persons performing their duties under sections 126 to 128 and 130 must follow the guidelines provided to them regarding promoting wellbeing and safeguarding individuals, and children at risk (Welsh Government, 2022). The Social Services and Wellbeing (Wales) Act 2014 was superseded in 2016 by the Social Services and Wellbeing (Wales) Act 2016, which established a distinct social care </w:t>
            </w:r>
            <w:r w:rsidRPr="00D91AAC">
              <w:rPr>
                <w:rFonts w:ascii="Arial" w:hAnsi="Arial" w:cs="Arial"/>
                <w:sz w:val="24"/>
                <w:szCs w:val="24"/>
              </w:rPr>
              <w:lastRenderedPageBreak/>
              <w:t>legislation for Wales and replaced the Care Act (2014), which is currently in force in England. The Social Services and Well-Being Act of 2014 (SSWBA14) applies to any individual, regardless of age, and their carer(s), and it strives to offer a unified, cohesive social care system. In contrast, the Care Act (2014)</w:t>
            </w:r>
            <w:r>
              <w:rPr>
                <w:rFonts w:ascii="Arial" w:hAnsi="Arial" w:cs="Arial"/>
                <w:sz w:val="24"/>
                <w:szCs w:val="24"/>
              </w:rPr>
              <w:t xml:space="preserve"> in England, </w:t>
            </w:r>
            <w:r w:rsidRPr="00D91AAC">
              <w:rPr>
                <w:rFonts w:ascii="Arial" w:hAnsi="Arial" w:cs="Arial"/>
                <w:sz w:val="24"/>
                <w:szCs w:val="24"/>
              </w:rPr>
              <w:t>is primarily focused with the requirements of adults. The SSWBA14 was developed on the basis of the following essential principles: to promote voice and choice, early detection and intervention; welfare and co-production; and (Social Care Wales, 2017). In addition to this, it integrates international legislation, such as the European Convention of Human Rights (1950), which forbids practises that are unfair and not harmful, as well as the treatment of an individual in a manner that is cruel or humiliating (Social Care Wales, 2017). The associated laws, such as the Mental Capacity Act (2005) and the United Nations Principles of Older People (1991), must also be taken into consideration by professionals. Examples of such legislation include (Wales Safeguarding Procedures, 2019)</w:t>
            </w:r>
            <w:r>
              <w:rPr>
                <w:rFonts w:ascii="Arial" w:hAnsi="Arial" w:cs="Arial"/>
                <w:sz w:val="24"/>
                <w:szCs w:val="24"/>
              </w:rPr>
              <w:t>.</w:t>
            </w:r>
          </w:p>
          <w:p w14:paraId="51DF661F" w14:textId="77777777" w:rsidR="00D22D65" w:rsidRDefault="00D22D65" w:rsidP="004843C3">
            <w:pPr>
              <w:spacing w:before="240" w:line="480" w:lineRule="auto"/>
              <w:jc w:val="both"/>
              <w:rPr>
                <w:rFonts w:ascii="Arial" w:hAnsi="Arial" w:cs="Arial"/>
                <w:sz w:val="24"/>
                <w:szCs w:val="24"/>
              </w:rPr>
            </w:pPr>
            <w:r w:rsidRPr="00D91AAC">
              <w:rPr>
                <w:rFonts w:ascii="Arial" w:hAnsi="Arial" w:cs="Arial"/>
                <w:sz w:val="24"/>
                <w:szCs w:val="24"/>
              </w:rPr>
              <w:t xml:space="preserve"> An adult who is undergoing or is at risk of abuse or neglect, has a need for care and support, and as a result is incapable of protecting themselves against abuse or neglect, or the risks associated, is considered to be an adult who is "at risk" under the Social Services and Wellbeing (Wales) Act 2014 (SSWBA14) as defined by the Social Services and Wellbeing (Wales) Act 2014 (SSWBA14). Under the context of the SSWBA14, the word "at risk" refers to a situation in which practitioners do not need to wait for actual instances of abuse or neglect to occur before taking action to protect an individual who is deemed to be in danger (Wales Safeguarding Procedures, 2019). The XXX Safeguarding board (2022) recognises the following elements as contributors to abuse and neglect: physical, sexual, psychological, </w:t>
            </w:r>
            <w:r w:rsidRPr="00D91AAC">
              <w:rPr>
                <w:rFonts w:ascii="Arial" w:hAnsi="Arial" w:cs="Arial"/>
                <w:sz w:val="24"/>
                <w:szCs w:val="24"/>
              </w:rPr>
              <w:lastRenderedPageBreak/>
              <w:t xml:space="preserve">emotional, and financial. Harmful signs, abuse, or neglect can be physical as well as behavioural, such as a change in personality, a depressed mood, helplessness, or the repeat of injuries that do not have an obvious cause (SCIE, 2015). </w:t>
            </w:r>
          </w:p>
          <w:p w14:paraId="025D8C95" w14:textId="77777777" w:rsidR="00D22D65" w:rsidRDefault="00D22D65" w:rsidP="004843C3">
            <w:pPr>
              <w:spacing w:before="240" w:line="480" w:lineRule="auto"/>
              <w:jc w:val="both"/>
              <w:rPr>
                <w:rFonts w:ascii="Arial" w:hAnsi="Arial" w:cs="Arial"/>
                <w:sz w:val="24"/>
                <w:szCs w:val="24"/>
              </w:rPr>
            </w:pPr>
            <w:r w:rsidRPr="00D91AAC">
              <w:rPr>
                <w:rFonts w:ascii="Arial" w:hAnsi="Arial" w:cs="Arial"/>
                <w:sz w:val="24"/>
                <w:szCs w:val="24"/>
              </w:rPr>
              <w:t xml:space="preserve">The key individuals concerned in this case will be referred to as 4 and 5, in order to maintain confidentiality. Part 1 of the Code of Professional Practice (COPP) states that practitioners should respect the rights, privacy and dignity of individuals we support and their carer and families (Social Care Wales, 2022). 4 is an 80-year-old female who has a diagnosis of dementia and resides in a residential home on a permanent basis due to needing 24-hour care and support that cannot be met in the community. 5 also resides in the residential home permanently. 5 is an 87-year-old male who has a diagnosis of mixed type dementia, which presents symptoms of severe cognitive decline, which can result in agitation and threatening behaviour. 5 has been deemed to lack capacity around his care and support needs by previous social worker (SW), subsequently a best interest decision was made around accommodation and care and support by his former SW, in accordance with the requirement of the Mental Capacity Act, 2005 (Social Care Wales, 2022). This was done in partnership with a family member who has lasting power of attorney for 5’s welfare needs. A lasting power of attorney, also known as an LPA, is legal documentation that gives the donor the ability to designate one or more individuals, also known as "attorneys," to either assist in decision making or choice on behalf of the doner. Hence it offers the doner greater power over what happens in the event they become incapacitated due to an accident or an illness and are unable to make their own decisions, which is the case for 5 (Government UK, 2022). </w:t>
            </w:r>
          </w:p>
          <w:p w14:paraId="59E6D105" w14:textId="77777777" w:rsidR="00D22D65" w:rsidRDefault="00D22D65" w:rsidP="004843C3">
            <w:pPr>
              <w:spacing w:before="240" w:line="480" w:lineRule="auto"/>
              <w:jc w:val="both"/>
              <w:rPr>
                <w:rFonts w:ascii="Arial" w:hAnsi="Arial" w:cs="Arial"/>
                <w:sz w:val="24"/>
                <w:szCs w:val="24"/>
              </w:rPr>
            </w:pPr>
            <w:r w:rsidRPr="00D91AAC">
              <w:rPr>
                <w:rFonts w:ascii="Arial" w:hAnsi="Arial" w:cs="Arial"/>
                <w:sz w:val="24"/>
                <w:szCs w:val="24"/>
              </w:rPr>
              <w:lastRenderedPageBreak/>
              <w:t>The guidelines on the connection of safeguarding and the MCA 2005 are set out in Chapter 13 of the Codes of Practice for Wales of the Mental Health Act 1983, which was later amended in 2016. Establishing that all safeguarding concerns must take the MCA 2005's regulatory principles into account, to include the protections that exists for persons believed to lack the mental capacity to make an informed decision. According to SCIE (2015), when conducting a mental capacity assessment, the first step consists of a diagnostic test, which can establish whether an individual has a long-lasting debility, or a temporary disruption to the mind and brain functions. In the case of person 4, she was deemed to have capacity, as she was able to make decisions around her care and support and she is in early stages of her diagnosis, with moderate cognitive impairment, that does not impair her decision making.</w:t>
            </w:r>
          </w:p>
          <w:p w14:paraId="06EDA30F" w14:textId="77777777" w:rsidR="00D22D65" w:rsidRDefault="00D22D65" w:rsidP="004843C3">
            <w:pPr>
              <w:spacing w:before="240" w:line="480" w:lineRule="auto"/>
              <w:jc w:val="both"/>
              <w:rPr>
                <w:rFonts w:ascii="Arial" w:hAnsi="Arial" w:cs="Arial"/>
                <w:sz w:val="24"/>
                <w:szCs w:val="24"/>
              </w:rPr>
            </w:pPr>
            <w:r w:rsidRPr="00D91AAC">
              <w:rPr>
                <w:rFonts w:ascii="Arial" w:hAnsi="Arial" w:cs="Arial"/>
                <w:sz w:val="24"/>
                <w:szCs w:val="24"/>
              </w:rPr>
              <w:t xml:space="preserve"> I was recently allocated as 5’s new SW to conduct an upcoming review of his care and support, to determine if the placement can still appropriately meet his needs. I was alerted of a safeguarding report involving 5. A Safeguarding of Vulnerable Adults form (SOVA) was forwarded to me by the local Adult Safeguarding Team password protected. Additionally, I received communication via secure email from the residential home manager, in line with the Data Protection Act 2018, which sets out the guidelines pertaining to the safe handling of peoples’ information and data (Government UK, 2022). The report was that 5 had entered 4’s room without invitation or permission, whilst wandering and had physical abused 4. 4 was able to summon for help from staff. Staff were able to quickly de-escalate the situation by escorting 5 from 4’s room, whilst other members of staff comforted and reassured 4 who was shaken by the incident. 4 having capacity was able to describe the situation clearly to staff. Both 4’</w:t>
            </w:r>
            <w:r>
              <w:rPr>
                <w:rFonts w:ascii="Arial" w:hAnsi="Arial" w:cs="Arial"/>
                <w:sz w:val="24"/>
                <w:szCs w:val="24"/>
              </w:rPr>
              <w:t>s</w:t>
            </w:r>
            <w:r w:rsidRPr="00D91AAC">
              <w:rPr>
                <w:rFonts w:ascii="Arial" w:hAnsi="Arial" w:cs="Arial"/>
                <w:sz w:val="24"/>
                <w:szCs w:val="24"/>
              </w:rPr>
              <w:t xml:space="preserve"> and 5’s family members were alerted of the incident. The </w:t>
            </w:r>
            <w:r w:rsidRPr="00D91AAC">
              <w:rPr>
                <w:rFonts w:ascii="Arial" w:hAnsi="Arial" w:cs="Arial"/>
                <w:sz w:val="24"/>
                <w:szCs w:val="24"/>
              </w:rPr>
              <w:lastRenderedPageBreak/>
              <w:t>immediate risk management that was put in place was to offer 4 an alternative room, a separate floor to where 5 resides, as from conversation with 4, she did not want to cross paths with 5. A what matters conversation had with 4 and her family, suggests that her wish was for 5 to be moved to another setting. 4 was reassured by staff and her fami</w:t>
            </w:r>
            <w:r>
              <w:rPr>
                <w:rFonts w:ascii="Arial" w:hAnsi="Arial" w:cs="Arial"/>
                <w:sz w:val="24"/>
                <w:szCs w:val="24"/>
              </w:rPr>
              <w:t>ly also</w:t>
            </w:r>
            <w:r w:rsidRPr="00D91AAC">
              <w:rPr>
                <w:rFonts w:ascii="Arial" w:hAnsi="Arial" w:cs="Arial"/>
                <w:sz w:val="24"/>
                <w:szCs w:val="24"/>
              </w:rPr>
              <w:t xml:space="preserve"> visited to support</w:t>
            </w:r>
            <w:r>
              <w:rPr>
                <w:rFonts w:ascii="Arial" w:hAnsi="Arial" w:cs="Arial"/>
                <w:sz w:val="24"/>
                <w:szCs w:val="24"/>
              </w:rPr>
              <w:t xml:space="preserve"> her</w:t>
            </w:r>
            <w:r w:rsidRPr="00D91AAC">
              <w:rPr>
                <w:rFonts w:ascii="Arial" w:hAnsi="Arial" w:cs="Arial"/>
                <w:sz w:val="24"/>
                <w:szCs w:val="24"/>
              </w:rPr>
              <w:t xml:space="preserve"> following the incident. Staff also alerted 4’s GP, who arranged to conduct a physical review. 4 consented to SOVA and GP referral, 4 had the capacity to consent. Practitioners are required to get agreement from adults, unless it is in the individual's best interest or when the safety of others may be in danger (WSP19). "a person making an informed decision to grant their permission," as specified by the WSP19, </w:t>
            </w:r>
            <w:r>
              <w:rPr>
                <w:rFonts w:ascii="Arial" w:hAnsi="Arial" w:cs="Arial"/>
                <w:sz w:val="24"/>
                <w:szCs w:val="24"/>
              </w:rPr>
              <w:t xml:space="preserve">is the definition </w:t>
            </w:r>
            <w:r w:rsidRPr="00D91AAC">
              <w:rPr>
                <w:rFonts w:ascii="Arial" w:hAnsi="Arial" w:cs="Arial"/>
                <w:sz w:val="24"/>
                <w:szCs w:val="24"/>
              </w:rPr>
              <w:t xml:space="preserve">consent. This pays regard to the core principle of the SSWBA14, which focuses on citizen's rights to voice and control, as well as an individual's freedom rights to make unwise decisions, as defined in the Mental Capacity Act 2015 (MCA 2015). (MCA15). </w:t>
            </w:r>
          </w:p>
          <w:p w14:paraId="659532B1" w14:textId="77777777" w:rsidR="00D22D65" w:rsidRDefault="00D22D65" w:rsidP="004843C3">
            <w:pPr>
              <w:spacing w:before="240" w:line="480" w:lineRule="auto"/>
              <w:jc w:val="both"/>
              <w:rPr>
                <w:rFonts w:ascii="Arial" w:hAnsi="Arial" w:cs="Arial"/>
                <w:sz w:val="24"/>
                <w:szCs w:val="24"/>
              </w:rPr>
            </w:pPr>
            <w:r w:rsidRPr="00D91AAC">
              <w:rPr>
                <w:rFonts w:ascii="Arial" w:hAnsi="Arial" w:cs="Arial"/>
                <w:sz w:val="24"/>
                <w:szCs w:val="24"/>
              </w:rPr>
              <w:t xml:space="preserve"> WSP19 stipulate that the Mental Capacity Act (MCA15) and its essential concepts, such as the presumption that all persons have mental ability unless it can be demonstrated otherwise, should be incorporated in practise in to foster both safeguarding and deliberation (MCA15). In order for an individual's consent to be legally binding, they are required to possess the mental ability to do so under the MCA15. In addition, professionals have a responsibility to acknowledge that an individual's mental competence is unique to a given choice at a particular moment (MCA05). A person must be given all practicable support before anyone treats them as not being able to make their own decisions, as stated in principle 2 of the MCA15. This means that professionals should focus on ensuring that effort</w:t>
            </w:r>
            <w:r>
              <w:rPr>
                <w:rFonts w:ascii="Arial" w:hAnsi="Arial" w:cs="Arial"/>
                <w:sz w:val="24"/>
                <w:szCs w:val="24"/>
              </w:rPr>
              <w:t>s are taken</w:t>
            </w:r>
            <w:r w:rsidRPr="00D91AAC">
              <w:rPr>
                <w:rFonts w:ascii="Arial" w:hAnsi="Arial" w:cs="Arial"/>
                <w:sz w:val="24"/>
                <w:szCs w:val="24"/>
              </w:rPr>
              <w:t xml:space="preserve"> </w:t>
            </w:r>
            <w:r>
              <w:rPr>
                <w:rFonts w:ascii="Arial" w:hAnsi="Arial" w:cs="Arial"/>
                <w:sz w:val="24"/>
                <w:szCs w:val="24"/>
              </w:rPr>
              <w:t>in</w:t>
            </w:r>
            <w:r w:rsidRPr="00D91AAC">
              <w:rPr>
                <w:rFonts w:ascii="Arial" w:hAnsi="Arial" w:cs="Arial"/>
                <w:sz w:val="24"/>
                <w:szCs w:val="24"/>
              </w:rPr>
              <w:t xml:space="preserve"> promot</w:t>
            </w:r>
            <w:r>
              <w:rPr>
                <w:rFonts w:ascii="Arial" w:hAnsi="Arial" w:cs="Arial"/>
                <w:sz w:val="24"/>
                <w:szCs w:val="24"/>
              </w:rPr>
              <w:t>ing</w:t>
            </w:r>
            <w:r w:rsidRPr="00D91AAC">
              <w:rPr>
                <w:rFonts w:ascii="Arial" w:hAnsi="Arial" w:cs="Arial"/>
                <w:sz w:val="24"/>
                <w:szCs w:val="24"/>
              </w:rPr>
              <w:t xml:space="preserve"> and support</w:t>
            </w:r>
            <w:r>
              <w:rPr>
                <w:rFonts w:ascii="Arial" w:hAnsi="Arial" w:cs="Arial"/>
                <w:sz w:val="24"/>
                <w:szCs w:val="24"/>
              </w:rPr>
              <w:t>ing</w:t>
            </w:r>
            <w:r w:rsidRPr="00D91AAC">
              <w:rPr>
                <w:rFonts w:ascii="Arial" w:hAnsi="Arial" w:cs="Arial"/>
                <w:sz w:val="24"/>
                <w:szCs w:val="24"/>
              </w:rPr>
              <w:t xml:space="preserve"> persons to have autonomy over decision making, and that </w:t>
            </w:r>
            <w:r w:rsidRPr="00D91AAC">
              <w:rPr>
                <w:rFonts w:ascii="Arial" w:hAnsi="Arial" w:cs="Arial"/>
                <w:sz w:val="24"/>
                <w:szCs w:val="24"/>
              </w:rPr>
              <w:lastRenderedPageBreak/>
              <w:t xml:space="preserve">they are still engaged in the process wherever possible, even if the individual is deemed to lack capacity (Godefroy, 2015). </w:t>
            </w:r>
          </w:p>
          <w:p w14:paraId="27C68BA4" w14:textId="77777777" w:rsidR="00D22D65" w:rsidRDefault="00D22D65" w:rsidP="004843C3">
            <w:pPr>
              <w:spacing w:before="240" w:line="480" w:lineRule="auto"/>
              <w:jc w:val="both"/>
              <w:rPr>
                <w:rFonts w:ascii="Arial" w:hAnsi="Arial" w:cs="Arial"/>
                <w:sz w:val="24"/>
                <w:szCs w:val="24"/>
              </w:rPr>
            </w:pPr>
            <w:r w:rsidRPr="00D91AAC">
              <w:rPr>
                <w:rFonts w:ascii="Arial" w:hAnsi="Arial" w:cs="Arial"/>
                <w:sz w:val="24"/>
                <w:szCs w:val="24"/>
              </w:rPr>
              <w:t xml:space="preserve">In order to safeguard the safety of citizen 4, a method to crisis response that draws from many disciplines was utilised. Because there are times when things are exceedingly urgent, and practitioners need to act to guarantee immediate safety, crisis intervention may be a beneficial technique when it comes to safeguarding. But anytime crisis intervention is employed, it is equally crucial to afterwards provide space for reflective practise, spending time on case discussions, and utilising supervision to ensure that the work that was carried out matched the values and principles of the optimum social work practise (Turbett, 2014). Section 7 of the SSWBA14 is concerned with safeguarding and specifies professional obligations, such as the responsibility of practitioners to make a report if there is reasonable cause to believe that an individual may be in risk. According to Section 126 of the SSWBA14, the Local Authority has seven working days from receipt of a report to action or to determine whether or not there is reasonable cause to believe the adult is, or may be, in danger, or whether they are undergoing abuse or neglect, whether or not they require care and support, and whether or not they are incapable of protecting themselves from abuse or neglect as a result of their needs. It is a probability that the inquiry may be conducted by a different organisation if it is proven to be required; even so, the local authority has a responsibility to monitor the developments and decide on the outcome of the inquiry (Social Care Wales, 2023). </w:t>
            </w:r>
          </w:p>
          <w:p w14:paraId="06E7D62B" w14:textId="77777777" w:rsidR="00D22D65" w:rsidRDefault="00D22D65" w:rsidP="004843C3">
            <w:pPr>
              <w:spacing w:before="240" w:line="480" w:lineRule="auto"/>
              <w:jc w:val="both"/>
              <w:rPr>
                <w:rFonts w:ascii="Arial" w:hAnsi="Arial" w:cs="Arial"/>
                <w:sz w:val="24"/>
                <w:szCs w:val="24"/>
              </w:rPr>
            </w:pPr>
            <w:r w:rsidRPr="00D91AAC">
              <w:rPr>
                <w:rFonts w:ascii="Arial" w:hAnsi="Arial" w:cs="Arial"/>
                <w:sz w:val="24"/>
                <w:szCs w:val="24"/>
              </w:rPr>
              <w:t xml:space="preserve">A temporary risk management was put in place for 5, whereby 5 would be supervised by staff on a one to one basis. Additionally, a behavioural care plan was prepared and put in place to help staff to manage 5’s behaviour. This measure was </w:t>
            </w:r>
            <w:r w:rsidRPr="00D91AAC">
              <w:rPr>
                <w:rFonts w:ascii="Arial" w:hAnsi="Arial" w:cs="Arial"/>
                <w:sz w:val="24"/>
                <w:szCs w:val="24"/>
              </w:rPr>
              <w:lastRenderedPageBreak/>
              <w:t xml:space="preserve">needed as 5 on several occasions has </w:t>
            </w:r>
            <w:r>
              <w:rPr>
                <w:rFonts w:ascii="Arial" w:hAnsi="Arial" w:cs="Arial"/>
                <w:sz w:val="24"/>
                <w:szCs w:val="24"/>
              </w:rPr>
              <w:t xml:space="preserve">also </w:t>
            </w:r>
            <w:r w:rsidRPr="00D91AAC">
              <w:rPr>
                <w:rFonts w:ascii="Arial" w:hAnsi="Arial" w:cs="Arial"/>
                <w:sz w:val="24"/>
                <w:szCs w:val="24"/>
              </w:rPr>
              <w:t>been physically and verbal abusive to</w:t>
            </w:r>
            <w:r>
              <w:rPr>
                <w:rFonts w:ascii="Arial" w:hAnsi="Arial" w:cs="Arial"/>
                <w:sz w:val="24"/>
                <w:szCs w:val="24"/>
              </w:rPr>
              <w:t>wards</w:t>
            </w:r>
            <w:r w:rsidRPr="00D91AAC">
              <w:rPr>
                <w:rFonts w:ascii="Arial" w:hAnsi="Arial" w:cs="Arial"/>
                <w:sz w:val="24"/>
                <w:szCs w:val="24"/>
              </w:rPr>
              <w:t xml:space="preserve"> staff. These behaviours are said to be sporadic, therefore experienced staff who are able to predict 5’s mood swing was tasked with working in pairs to maintain safety within the setting. 5’s LPA was contacted to inform about the incident and alert of plan for a meeting. Other health professionals involved with 5’s care and support were also alerted and copy of the SOVA report forwarded to them</w:t>
            </w:r>
            <w:r>
              <w:rPr>
                <w:rFonts w:ascii="Arial" w:hAnsi="Arial" w:cs="Arial"/>
                <w:sz w:val="24"/>
                <w:szCs w:val="24"/>
              </w:rPr>
              <w:t xml:space="preserve"> confidentially</w:t>
            </w:r>
            <w:r w:rsidRPr="00D91AAC">
              <w:rPr>
                <w:rFonts w:ascii="Arial" w:hAnsi="Arial" w:cs="Arial"/>
                <w:sz w:val="24"/>
                <w:szCs w:val="24"/>
              </w:rPr>
              <w:t xml:space="preserve">. I was requested to collaborate with health colleagues and conduct a review in view of transferring 5 to an alternate placement. </w:t>
            </w:r>
            <w:r>
              <w:rPr>
                <w:rFonts w:ascii="Arial" w:hAnsi="Arial" w:cs="Arial"/>
                <w:sz w:val="24"/>
                <w:szCs w:val="24"/>
              </w:rPr>
              <w:t>4</w:t>
            </w:r>
            <w:r w:rsidRPr="00D91AAC">
              <w:rPr>
                <w:rFonts w:ascii="Arial" w:hAnsi="Arial" w:cs="Arial"/>
                <w:sz w:val="24"/>
                <w:szCs w:val="24"/>
              </w:rPr>
              <w:t>’s views and wishes about the safeguarding concern, was that she was reassured by temporary measures taken by staff, but was clear on her wishes that she does not wish to encounter 5 again. Since people who have care and support needs may be able to protect themselves from danger and may not desire for any action to be done about a report that is made, it is important to take their wishes into consideration. Maintaining a person-centered approach to safeguarding, ascertaining the named individual's wishes and feelings, and ensuring that voice and control are given the utmost importance when completing enquiries are the tasks that my local authority would carry out here in the course of the "what matters to me" assessment that would be conducted with individuals (Working Together to Safeguard People, 2016). Notwithstanding, the concerns that have been raised could very well impact other people, for instance, if the individual resides in a care home,</w:t>
            </w:r>
            <w:r>
              <w:rPr>
                <w:rFonts w:ascii="Arial" w:hAnsi="Arial" w:cs="Arial"/>
                <w:sz w:val="24"/>
                <w:szCs w:val="24"/>
              </w:rPr>
              <w:t xml:space="preserve"> as in this case,</w:t>
            </w:r>
            <w:r w:rsidRPr="00D91AAC">
              <w:rPr>
                <w:rFonts w:ascii="Arial" w:hAnsi="Arial" w:cs="Arial"/>
                <w:sz w:val="24"/>
                <w:szCs w:val="24"/>
              </w:rPr>
              <w:t xml:space="preserve"> or the named person holds a position of power or trust</w:t>
            </w:r>
            <w:r>
              <w:rPr>
                <w:rFonts w:ascii="Arial" w:hAnsi="Arial" w:cs="Arial"/>
                <w:sz w:val="24"/>
                <w:szCs w:val="24"/>
              </w:rPr>
              <w:t xml:space="preserve">, </w:t>
            </w:r>
            <w:r w:rsidRPr="00D91AAC">
              <w:rPr>
                <w:rFonts w:ascii="Arial" w:hAnsi="Arial" w:cs="Arial"/>
                <w:sz w:val="24"/>
                <w:szCs w:val="24"/>
              </w:rPr>
              <w:t xml:space="preserve">then consideration needs to be given to the potential harm that may be suffered by other individual as a consequence of the information that was included in the interim report. There are situations in which the care and support requirements of certain persons do have an </w:t>
            </w:r>
            <w:r w:rsidRPr="00D91AAC">
              <w:rPr>
                <w:rFonts w:ascii="Arial" w:hAnsi="Arial" w:cs="Arial"/>
                <w:sz w:val="24"/>
                <w:szCs w:val="24"/>
              </w:rPr>
              <w:lastRenderedPageBreak/>
              <w:t>effect on their capacity to defend themselves or to make informed decisions regarding consent.</w:t>
            </w:r>
          </w:p>
          <w:p w14:paraId="070FDCF5" w14:textId="77777777" w:rsidR="00D22D65" w:rsidRDefault="00D22D65" w:rsidP="004843C3">
            <w:pPr>
              <w:spacing w:before="240" w:line="480" w:lineRule="auto"/>
              <w:jc w:val="both"/>
              <w:rPr>
                <w:rFonts w:ascii="Arial" w:hAnsi="Arial" w:cs="Arial"/>
                <w:sz w:val="24"/>
                <w:szCs w:val="24"/>
              </w:rPr>
            </w:pPr>
            <w:r w:rsidRPr="00D91AAC">
              <w:rPr>
                <w:rFonts w:ascii="Arial" w:hAnsi="Arial" w:cs="Arial"/>
                <w:sz w:val="24"/>
                <w:szCs w:val="24"/>
              </w:rPr>
              <w:t xml:space="preserve"> As 5 was jointly funded by health and social services, a professionals meeting was conducted to discuss the plan moving forward. Due to the action that needed to take place, it was essential to use a multiagency approach to determine a suitable way to protect 4 and all involved. This approach may in some instances include the police or the department of health. Any safeguarding measures taken must adhere to the procedure provided in Section 126 of the SSWBA14 and be based on the findings of the investigation and the data acquired. To achieve successful safeguarding, a coordinated, person-centered strategy must be employed, utilising the data possessed by all concerned organisations to determine the individual's outcome (Welsh Government, 2014). In order to foster the greatest knowledge of the person's situation and to stop the need and danger from growing, a multi-agency strategy is also necessary. A</w:t>
            </w:r>
            <w:r>
              <w:rPr>
                <w:rFonts w:ascii="Arial" w:hAnsi="Arial" w:cs="Arial"/>
                <w:sz w:val="24"/>
                <w:szCs w:val="24"/>
              </w:rPr>
              <w:t xml:space="preserve">s a result, a </w:t>
            </w:r>
            <w:r w:rsidRPr="00D91AAC">
              <w:rPr>
                <w:rFonts w:ascii="Arial" w:hAnsi="Arial" w:cs="Arial"/>
                <w:sz w:val="24"/>
                <w:szCs w:val="24"/>
              </w:rPr>
              <w:t xml:space="preserve"> meeting was also held with</w:t>
            </w:r>
            <w:r>
              <w:rPr>
                <w:rFonts w:ascii="Arial" w:hAnsi="Arial" w:cs="Arial"/>
                <w:sz w:val="24"/>
                <w:szCs w:val="24"/>
              </w:rPr>
              <w:t xml:space="preserve"> 5’s</w:t>
            </w:r>
            <w:r w:rsidRPr="00D91AAC">
              <w:rPr>
                <w:rFonts w:ascii="Arial" w:hAnsi="Arial" w:cs="Arial"/>
                <w:sz w:val="24"/>
                <w:szCs w:val="24"/>
              </w:rPr>
              <w:t xml:space="preserve"> LPA, who felt that the current setting was not appropriate for 5. It was agreed in 5’s best interest to be moved to another setting as collectively all involved felt that should 5 remain in his present environment, he would be at risk of neglect, as it appeared the setting was not appropriately stimulating for him, hence could cause further deterioration in his mental wellbeing. Hence 5 was also an adult at risk, and measures must be put in place to also safeguard 5. Additionally, 5 was putting residents and staff at risk. Consequently, a further capacity assessment was conducted with 5 around the change of accommodation, which deemed 5 to still lack capacity around this decision. In this particular situation, the presentation and capacity of 5, as well as the significance of his care and support requirements, were taken into account. Due </w:t>
            </w:r>
            <w:r w:rsidRPr="00D91AAC">
              <w:rPr>
                <w:rFonts w:ascii="Arial" w:hAnsi="Arial" w:cs="Arial"/>
                <w:sz w:val="24"/>
                <w:szCs w:val="24"/>
              </w:rPr>
              <w:lastRenderedPageBreak/>
              <w:t>to the fact that citizen 5 lacked capacity, a multi professional approach was required in terms of safeguarding 5 and 4, as well as all other residents and staff members. As a result, any previous wishes or personal wellbeing outcomes needed to be prioritised when it came to safeguarding requisites.</w:t>
            </w:r>
          </w:p>
          <w:p w14:paraId="069C525D" w14:textId="77777777" w:rsidR="00D22D65" w:rsidRDefault="00D22D65" w:rsidP="004843C3">
            <w:pPr>
              <w:spacing w:before="240" w:line="480" w:lineRule="auto"/>
              <w:jc w:val="both"/>
              <w:rPr>
                <w:rFonts w:ascii="Arial" w:hAnsi="Arial" w:cs="Arial"/>
                <w:sz w:val="24"/>
                <w:szCs w:val="24"/>
              </w:rPr>
            </w:pPr>
            <w:r w:rsidRPr="00D91AAC">
              <w:rPr>
                <w:rFonts w:ascii="Arial" w:hAnsi="Arial" w:cs="Arial"/>
                <w:sz w:val="24"/>
                <w:szCs w:val="24"/>
              </w:rPr>
              <w:t xml:space="preserve"> It is clear that "safeguarding is everyone's business," as stated in the Wales Safeguarding Procedure 2019</w:t>
            </w:r>
            <w:r>
              <w:rPr>
                <w:rFonts w:ascii="Arial" w:hAnsi="Arial" w:cs="Arial"/>
                <w:sz w:val="24"/>
                <w:szCs w:val="24"/>
              </w:rPr>
              <w:t xml:space="preserve"> </w:t>
            </w:r>
            <w:r w:rsidRPr="00F36694">
              <w:rPr>
                <w:rFonts w:ascii="Arial" w:hAnsi="Arial" w:cs="Arial"/>
                <w:sz w:val="24"/>
                <w:szCs w:val="24"/>
              </w:rPr>
              <w:t xml:space="preserve">(WSP). As a consequence of this, it is everyone's responsibility to safeguard individuals from being exposed to potentially unsafe conditions (Social Care Wales, 2019). As a direct result of this, safeguarding must be implemented in line with the notion of the SSWBA, with subsequent attention being given to the thoughts, wants, and feelings of the individual in question, in addition to their rights, autonomy, and advocacy (Safeguarding Wales, 2020). This was reflected in 5's risk assessment, and despite the fact that some of 5's </w:t>
            </w:r>
            <w:r>
              <w:rPr>
                <w:rFonts w:ascii="Arial" w:hAnsi="Arial" w:cs="Arial"/>
                <w:sz w:val="24"/>
                <w:szCs w:val="24"/>
              </w:rPr>
              <w:t xml:space="preserve">previous </w:t>
            </w:r>
            <w:r w:rsidRPr="00F36694">
              <w:rPr>
                <w:rFonts w:ascii="Arial" w:hAnsi="Arial" w:cs="Arial"/>
                <w:sz w:val="24"/>
                <w:szCs w:val="24"/>
              </w:rPr>
              <w:t xml:space="preserve">wishes had to be overridden in order to achieve the goal of safeguarding 5, 4, and other residents and staff members, in ensuring that his wises were taken into consideration, working with 5's </w:t>
            </w:r>
            <w:r>
              <w:rPr>
                <w:rFonts w:ascii="Arial" w:hAnsi="Arial" w:cs="Arial"/>
                <w:sz w:val="24"/>
                <w:szCs w:val="24"/>
              </w:rPr>
              <w:t>LPA</w:t>
            </w:r>
            <w:r w:rsidRPr="00F36694">
              <w:rPr>
                <w:rFonts w:ascii="Arial" w:hAnsi="Arial" w:cs="Arial"/>
                <w:sz w:val="24"/>
                <w:szCs w:val="24"/>
              </w:rPr>
              <w:t xml:space="preserve"> and other professionals co-productively assisted in his outcome, equally facilitated the safeguarding of 4 and all those who were at risk. This was achieved by ensuring that his wishes were taken into consideration, and working with 5 (Social Care Wales, 2020) In order to determine "what matters" to both individuals who are at risk, it is of the utmost importance to engage in collaborative conversation and communicate effectively, using techniques such as the observation of micro moments and empathic listening. This should be done without any bias or interruption, with the goal of engaging in their desired outcomes, and with the intention of focusing on the respective strengths of both </w:t>
            </w:r>
            <w:r w:rsidRPr="00F36694">
              <w:rPr>
                <w:rFonts w:ascii="Arial" w:hAnsi="Arial" w:cs="Arial"/>
                <w:sz w:val="24"/>
                <w:szCs w:val="24"/>
              </w:rPr>
              <w:lastRenderedPageBreak/>
              <w:t>parties in order to assist in the materialisation of those outcomes. (Beckett and Maynard, 2009).</w:t>
            </w:r>
          </w:p>
          <w:p w14:paraId="36106578" w14:textId="77777777" w:rsidR="00D22D65" w:rsidRDefault="00D22D65" w:rsidP="004843C3">
            <w:pPr>
              <w:spacing w:before="240" w:line="480" w:lineRule="auto"/>
              <w:jc w:val="both"/>
              <w:rPr>
                <w:rFonts w:ascii="Arial" w:hAnsi="Arial" w:cs="Arial"/>
                <w:sz w:val="24"/>
                <w:szCs w:val="24"/>
              </w:rPr>
            </w:pPr>
            <w:r w:rsidRPr="00D91AAC">
              <w:rPr>
                <w:rFonts w:ascii="Arial" w:hAnsi="Arial" w:cs="Arial"/>
                <w:sz w:val="24"/>
                <w:szCs w:val="24"/>
              </w:rPr>
              <w:t>It is conceivable for a strategy meeting to follow the result of an inquiry that was conducted under Section 126, and this is especially the case if it is determined that an adult is in danger and needs to be safeguarded. They may take place in a more conventional setting of a face-to-face meeting or via the more modern medium of the telephone. In most instances, they include several different agencies cooperating with one another in order to reach a consensus on how to effectively respond to the findings of the investigations. They are used to disseminate information, review varying degrees of risk and problems that may arise, ensure that assessments are completed, and decide what action will need to be taken in a particular circumstance. It is needed that the adult who is at risk take part in the decision</w:t>
            </w:r>
            <w:r>
              <w:rPr>
                <w:rFonts w:ascii="Arial" w:hAnsi="Arial" w:cs="Arial"/>
                <w:sz w:val="24"/>
                <w:szCs w:val="24"/>
              </w:rPr>
              <w:t>-making</w:t>
            </w:r>
            <w:r w:rsidRPr="00D91AAC">
              <w:rPr>
                <w:rFonts w:ascii="Arial" w:hAnsi="Arial" w:cs="Arial"/>
                <w:sz w:val="24"/>
                <w:szCs w:val="24"/>
              </w:rPr>
              <w:t xml:space="preserve"> process for their safety, either directly or indirectly through advocacy support services if this is more suited. This involvement can take place either directly or indirectly. As was the situation with citizen 4, she possessed the ability to decide on her own outcomes; hence, it was not required to refer her to an Independent Mental Capacity Advocate in order to get citizen 4's preferences and outcomes. 4 was able to make her needs and desires, as well as her feelings, known. On the other hand, in addition to being entrusted with the duty of ensuring the safety of 4, I was also accountable for ensuring that the welfare of 5, as well as his protection, was </w:t>
            </w:r>
            <w:r>
              <w:rPr>
                <w:rFonts w:ascii="Arial" w:hAnsi="Arial" w:cs="Arial"/>
                <w:sz w:val="24"/>
                <w:szCs w:val="24"/>
              </w:rPr>
              <w:t xml:space="preserve">also prioritised. </w:t>
            </w:r>
          </w:p>
          <w:p w14:paraId="2CD75F7C" w14:textId="77777777" w:rsidR="004F59DF" w:rsidRPr="004F59DF" w:rsidRDefault="004F59DF" w:rsidP="004F59DF">
            <w:pPr>
              <w:spacing w:before="240" w:line="480" w:lineRule="auto"/>
              <w:jc w:val="both"/>
              <w:rPr>
                <w:rFonts w:ascii="Arial" w:hAnsi="Arial" w:cs="Arial"/>
                <w:sz w:val="24"/>
                <w:szCs w:val="24"/>
              </w:rPr>
            </w:pPr>
            <w:r w:rsidRPr="004F59DF">
              <w:rPr>
                <w:rFonts w:ascii="Arial" w:hAnsi="Arial" w:cs="Arial"/>
                <w:sz w:val="24"/>
                <w:szCs w:val="24"/>
              </w:rPr>
              <w:t>Consistency is important in the approach to safeguarding adults, and therefore practitioners are responsible for ensuring that interventions are person centred, and service users’ are able to receive holistic efficient services (Thompson, 2016).</w:t>
            </w:r>
          </w:p>
          <w:p w14:paraId="5D76D93C" w14:textId="77777777" w:rsidR="004F59DF" w:rsidRPr="004F59DF" w:rsidRDefault="004F59DF" w:rsidP="004F59DF">
            <w:pPr>
              <w:spacing w:before="240" w:line="480" w:lineRule="auto"/>
              <w:jc w:val="both"/>
              <w:rPr>
                <w:rFonts w:ascii="Arial" w:hAnsi="Arial" w:cs="Arial"/>
                <w:sz w:val="24"/>
                <w:szCs w:val="24"/>
              </w:rPr>
            </w:pPr>
            <w:r w:rsidRPr="004F59DF">
              <w:rPr>
                <w:rFonts w:ascii="Arial" w:hAnsi="Arial" w:cs="Arial"/>
                <w:sz w:val="24"/>
                <w:szCs w:val="24"/>
              </w:rPr>
              <w:lastRenderedPageBreak/>
              <w:t> When it comes to safeguarding protocols, taking a multi-agency approach ensures that all of the professionals who are providing care and support to the adult who is at risk adhere to a unified methodology. Hence, using a multi-agency approach to safeguarding procedures is the only way to ensure that all professionals who provide care for people who are at risk have a unified plan for protecting those people (Working Together to Safeguard People, 2016).</w:t>
            </w:r>
          </w:p>
          <w:p w14:paraId="3378ADB0" w14:textId="77777777" w:rsidR="004F59DF" w:rsidRPr="004F59DF" w:rsidRDefault="004F59DF" w:rsidP="004F59DF">
            <w:pPr>
              <w:spacing w:before="240" w:line="480" w:lineRule="auto"/>
              <w:jc w:val="both"/>
              <w:rPr>
                <w:rFonts w:ascii="Arial" w:hAnsi="Arial" w:cs="Arial"/>
                <w:sz w:val="24"/>
                <w:szCs w:val="24"/>
              </w:rPr>
            </w:pPr>
            <w:r w:rsidRPr="004F59DF">
              <w:rPr>
                <w:rFonts w:ascii="Arial" w:hAnsi="Arial" w:cs="Arial"/>
                <w:sz w:val="24"/>
                <w:szCs w:val="24"/>
              </w:rPr>
              <w:t>Inquiries are not specified in legislation or policy because of their ability to be tailored to individual circumstances. Local authorities are required to keep a record of all the information and evidence that led to an identification, as well as provide a reason, in line with section 7 of the SSWBA (2014). In order to comply with the requirements of Section 3 of the Act, safety investigations must be accompanied by a needs assessment regarding care and support. Local authorities may also investigate alongside other health and welfare agencies to ensure a multi-disciplinary approach to protecting vulnerable populations and may outsource inquiry making to such agencies if it is more suited to the person. Notwithstanding this, the local authorities and/or police, if involved, are obligated to respond swiftly and according to safeguarding rules, regardless of whether or not the task was outsourced. It is also possible for local authorities to launch investigations with other organisations that are involved in the care of citizens. Inquiries do not include police investigations into illegal acts; yet, this may be considered to be the conclusion if support services do not require additional action to be taken. It is possible that investigations will lead local authorities to arrange a meeting to discuss strategy, but this will not be a part of the investigation. In the same vein, multi-agency, multi-disciplinary investigations are not permitted (Social Care Wales, 2022).</w:t>
            </w:r>
          </w:p>
          <w:p w14:paraId="37ABF914" w14:textId="21A1F28D" w:rsidR="004F59DF" w:rsidRPr="004F59DF" w:rsidRDefault="0003626D" w:rsidP="004F59DF">
            <w:pPr>
              <w:spacing w:before="240" w:line="480" w:lineRule="auto"/>
              <w:jc w:val="both"/>
              <w:rPr>
                <w:rFonts w:ascii="Arial" w:hAnsi="Arial" w:cs="Arial"/>
                <w:sz w:val="24"/>
                <w:szCs w:val="24"/>
              </w:rPr>
            </w:pPr>
            <w:r>
              <w:rPr>
                <w:rFonts w:ascii="Arial" w:hAnsi="Arial" w:cs="Arial"/>
                <w:sz w:val="24"/>
                <w:szCs w:val="24"/>
              </w:rPr>
              <w:lastRenderedPageBreak/>
              <w:t>C</w:t>
            </w:r>
            <w:r w:rsidR="004F59DF" w:rsidRPr="004F59DF">
              <w:rPr>
                <w:rFonts w:ascii="Arial" w:hAnsi="Arial" w:cs="Arial"/>
                <w:sz w:val="24"/>
                <w:szCs w:val="24"/>
              </w:rPr>
              <w:t>risis intervention</w:t>
            </w:r>
            <w:r>
              <w:rPr>
                <w:rFonts w:ascii="Arial" w:hAnsi="Arial" w:cs="Arial"/>
                <w:sz w:val="24"/>
                <w:szCs w:val="24"/>
              </w:rPr>
              <w:t xml:space="preserve"> was utilised in terms of safeguarding 4.</w:t>
            </w:r>
            <w:r w:rsidR="004F59DF" w:rsidRPr="004F59DF">
              <w:rPr>
                <w:rFonts w:ascii="Arial" w:hAnsi="Arial" w:cs="Arial"/>
                <w:sz w:val="24"/>
                <w:szCs w:val="24"/>
              </w:rPr>
              <w:t xml:space="preserve"> When it is absolutely necessary for practitioners to react instantly, crisis intervention may be of assistance in providing protection. In order to ensure that the work was performed in accordance with the most stringent social work standards, crisis intervention must be followed by reflective practise, case discussions, and supervision (Turbett, 2014).</w:t>
            </w:r>
          </w:p>
          <w:p w14:paraId="739513B9" w14:textId="77777777" w:rsidR="00D22D65" w:rsidRDefault="00D22D65" w:rsidP="004843C3">
            <w:pPr>
              <w:spacing w:before="240" w:line="480" w:lineRule="auto"/>
              <w:jc w:val="both"/>
              <w:rPr>
                <w:rFonts w:ascii="Arial" w:hAnsi="Arial" w:cs="Arial"/>
                <w:sz w:val="24"/>
                <w:szCs w:val="24"/>
              </w:rPr>
            </w:pPr>
            <w:r w:rsidRPr="006B07B1">
              <w:rPr>
                <w:rFonts w:ascii="Arial" w:hAnsi="Arial" w:cs="Arial"/>
                <w:sz w:val="24"/>
                <w:szCs w:val="24"/>
              </w:rPr>
              <w:t xml:space="preserve">As a result of this, reflection on the issue was achieved through the utilisation of supervision with my manager. It was essential to engage in discussions on best practises, the mitigation of risks, and the accomplishment of outcomes for 4 and 5 during supervision. It is essential for social workers to have adequate access to support and supervision in order for them to be able to practise professionally, thereby protecting themselves, the people they work with, and the organisation for which they work. Although social workers are held accountable for their decisions when acting independently, it is imperative that they have this access in order for them to be able to support individuals, evaluate risks, and ensure that human rights are respected (Beddoe, 2010). The guiding concepts of the SHARE model (Maclean et al., 2018) were carefully taken into consideration. This approach takes into account the conversation that takes place between the social worker and the service user. In this manner, the social worker watches the individual while also taking into account how the individual may see them, the professional. In addition to that, what is being heard, what actions are being made, what the social worker already knows, examples of material that is already there in the case notes, research, and what the overall social work evaluation were all taken into consideration. The interpretation of this input provided by the service user is also taken into consideration by the SW (Maclean, et al, 2018). This strategy made it possible to compile the information </w:t>
            </w:r>
            <w:r w:rsidRPr="006B07B1">
              <w:rPr>
                <w:rFonts w:ascii="Arial" w:hAnsi="Arial" w:cs="Arial"/>
                <w:sz w:val="24"/>
                <w:szCs w:val="24"/>
              </w:rPr>
              <w:lastRenderedPageBreak/>
              <w:t>required to build the plan, which ensured that 4 remained secure while 5 was assisted in relocating to an environment more suitable for his needs. Because of this, outcomes</w:t>
            </w:r>
            <w:r>
              <w:rPr>
                <w:rFonts w:ascii="Arial" w:hAnsi="Arial" w:cs="Arial"/>
                <w:sz w:val="24"/>
                <w:szCs w:val="24"/>
              </w:rPr>
              <w:t xml:space="preserve"> for</w:t>
            </w:r>
            <w:r w:rsidRPr="006B07B1">
              <w:rPr>
                <w:rFonts w:ascii="Arial" w:hAnsi="Arial" w:cs="Arial"/>
                <w:sz w:val="24"/>
                <w:szCs w:val="24"/>
              </w:rPr>
              <w:t xml:space="preserve"> 4 and 5 were able to be satisfied simultaneously (Social Care Wales, 2022).</w:t>
            </w:r>
          </w:p>
          <w:p w14:paraId="392290E6" w14:textId="77777777" w:rsidR="00D22D65" w:rsidRDefault="00D22D65" w:rsidP="004843C3">
            <w:pPr>
              <w:spacing w:before="240" w:line="480" w:lineRule="auto"/>
              <w:jc w:val="both"/>
              <w:rPr>
                <w:rFonts w:ascii="Arial" w:hAnsi="Arial" w:cs="Arial"/>
                <w:sz w:val="24"/>
                <w:szCs w:val="24"/>
              </w:rPr>
            </w:pPr>
            <w:r>
              <w:rPr>
                <w:rFonts w:ascii="Arial" w:hAnsi="Arial" w:cs="Arial"/>
                <w:sz w:val="24"/>
                <w:szCs w:val="24"/>
              </w:rPr>
              <w:t xml:space="preserve">As a result of the </w:t>
            </w:r>
            <w:r w:rsidRPr="00D91AAC">
              <w:rPr>
                <w:rFonts w:ascii="Arial" w:hAnsi="Arial" w:cs="Arial"/>
                <w:sz w:val="24"/>
                <w:szCs w:val="24"/>
              </w:rPr>
              <w:t>specifics surrounding this matter, the decision-making process</w:t>
            </w:r>
            <w:r>
              <w:rPr>
                <w:rFonts w:ascii="Arial" w:hAnsi="Arial" w:cs="Arial"/>
                <w:sz w:val="24"/>
                <w:szCs w:val="24"/>
              </w:rPr>
              <w:t xml:space="preserve">, implementation was concluded in a </w:t>
            </w:r>
            <w:r w:rsidRPr="00D91AAC">
              <w:rPr>
                <w:rFonts w:ascii="Arial" w:hAnsi="Arial" w:cs="Arial"/>
                <w:sz w:val="24"/>
                <w:szCs w:val="24"/>
              </w:rPr>
              <w:t>fairly short time frame. On the other hand, this could not be such an immediate reaction in other forms of safeguarding inquiries.</w:t>
            </w:r>
            <w:r w:rsidRPr="003B6BF4">
              <w:t xml:space="preserve"> </w:t>
            </w:r>
            <w:r w:rsidRPr="003B6BF4">
              <w:rPr>
                <w:rFonts w:ascii="Arial" w:hAnsi="Arial" w:cs="Arial"/>
                <w:sz w:val="24"/>
                <w:szCs w:val="24"/>
              </w:rPr>
              <w:t>One can arrive at one of these three conclusions after conducting safeguarding investigations: either an adult is at risk, in which case additional steps need to be taken to protect them; an adult is not at risk, in which case they may have other requirements for care and support services; or an adult is at risk, in which case immediate protection is required. In the instance of 4, she was taken out of danger as soon as possible, and members of the multi-agency team collaborated to devise and put into action a long-term solution to the problem. Throughout the evaluation process, it was my responsibility to assist health colleagues in finding suitable housing for 5. 5 was given notice to vacate the residential home, and as a result, he was at risk of becoming homeless. Following discussion with 5's legal power of attorney (LPA), other health professionals, and the care provider, it was determined that it would be in 5's best interest to go to an environment where there were a greater number of male residents.</w:t>
            </w:r>
            <w:r w:rsidRPr="00D91AAC">
              <w:rPr>
                <w:rFonts w:ascii="Arial" w:hAnsi="Arial" w:cs="Arial"/>
                <w:sz w:val="24"/>
                <w:szCs w:val="24"/>
              </w:rPr>
              <w:t xml:space="preserve"> It was identified through careful examination of times when 5 was triggered, and conclusions were that 5 was triggered by females, as a result of his lived experience. Since much of preparing what has to be done, as well as preserving, enhancing, and bringing about improvements for persons, is what assessment is all about. I thought on the three models of evaluation that Smale </w:t>
            </w:r>
            <w:r w:rsidRPr="00D91AAC">
              <w:rPr>
                <w:rFonts w:ascii="Arial" w:hAnsi="Arial" w:cs="Arial"/>
                <w:sz w:val="24"/>
                <w:szCs w:val="24"/>
              </w:rPr>
              <w:lastRenderedPageBreak/>
              <w:t>et al (1993) presented: the questioning model, the procedural model, and the exchange model. While it would appear that the exchange model is the model of choice in social work practise (Thompson, 2016), all of these models were merged in the evaluation process with 5 in order to get a conclusion. An assessment is considered to be a continuous process, as stated by Coulshed and Orme (2012). This is due to the fact that individuals co-produce any assessment, which enables practitioners to gain a better understanding of the individual in connection to their environment.</w:t>
            </w:r>
            <w:r>
              <w:rPr>
                <w:rFonts w:ascii="Arial" w:hAnsi="Arial" w:cs="Arial"/>
                <w:sz w:val="24"/>
                <w:szCs w:val="24"/>
              </w:rPr>
              <w:t xml:space="preserve"> Hence the collating of historical and present information of 5, was helpful in supporting to achieve his outcome.</w:t>
            </w:r>
          </w:p>
          <w:p w14:paraId="7E1DA895" w14:textId="2671ACAF" w:rsidR="00D22D65" w:rsidRPr="003C1E8A" w:rsidRDefault="00D22D65" w:rsidP="004843C3">
            <w:pPr>
              <w:spacing w:before="240" w:line="480" w:lineRule="auto"/>
              <w:jc w:val="both"/>
              <w:rPr>
                <w:rFonts w:ascii="Arial" w:eastAsia="Times New Roman" w:hAnsi="Arial" w:cs="Arial"/>
                <w:b/>
                <w:bCs/>
                <w:sz w:val="24"/>
                <w:szCs w:val="24"/>
                <w:lang w:eastAsia="en-GB"/>
              </w:rPr>
            </w:pPr>
            <w:r w:rsidRPr="003C1E8A">
              <w:rPr>
                <w:rFonts w:ascii="Arial" w:hAnsi="Arial" w:cs="Arial"/>
                <w:b/>
                <w:bCs/>
                <w:sz w:val="24"/>
                <w:szCs w:val="24"/>
              </w:rPr>
              <w:t>(4</w:t>
            </w:r>
            <w:r w:rsidR="004F59DF">
              <w:rPr>
                <w:rFonts w:ascii="Arial" w:hAnsi="Arial" w:cs="Arial"/>
                <w:b/>
                <w:bCs/>
                <w:sz w:val="24"/>
                <w:szCs w:val="24"/>
              </w:rPr>
              <w:t>04</w:t>
            </w:r>
            <w:r w:rsidRPr="003C1E8A">
              <w:rPr>
                <w:rFonts w:ascii="Arial" w:hAnsi="Arial" w:cs="Arial"/>
                <w:b/>
                <w:bCs/>
                <w:sz w:val="24"/>
                <w:szCs w:val="24"/>
              </w:rPr>
              <w:t>3 words)</w:t>
            </w:r>
          </w:p>
          <w:p w14:paraId="52D964F2" w14:textId="77777777" w:rsidR="00D22D65" w:rsidRPr="00BD16F1" w:rsidRDefault="00D22D65" w:rsidP="004843C3">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79028BD3" w14:textId="77777777" w:rsidR="00D22D65" w:rsidRPr="00BD16F1" w:rsidRDefault="00D22D65" w:rsidP="004843C3">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71BB1DC7" w14:textId="77777777" w:rsidR="00D22D65" w:rsidRPr="00BD16F1" w:rsidRDefault="00D22D65" w:rsidP="004843C3">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32724C83" w14:textId="77777777" w:rsidR="00D22D65" w:rsidRPr="00BD16F1" w:rsidRDefault="00D22D65" w:rsidP="004843C3">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65EE02BF" w14:textId="77777777" w:rsidR="00D22D65" w:rsidRPr="00BD16F1" w:rsidRDefault="00D22D65" w:rsidP="004843C3">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76EC4C53" w14:textId="77777777" w:rsidR="00D22D65" w:rsidRPr="00BD16F1" w:rsidRDefault="00D22D65" w:rsidP="004843C3">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727D5F87" w14:textId="77777777" w:rsidR="00D22D65" w:rsidRPr="00BD16F1" w:rsidRDefault="00D22D65" w:rsidP="004843C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bl>
    <w:p w14:paraId="679E5428" w14:textId="31BC9771" w:rsidR="00F14DB7" w:rsidRDefault="00F14DB7" w:rsidP="00D22D65"/>
    <w:sectPr w:rsidR="00F14D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D65"/>
    <w:rsid w:val="0003626D"/>
    <w:rsid w:val="004F59DF"/>
    <w:rsid w:val="00D22D65"/>
    <w:rsid w:val="00F14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116CE"/>
  <w15:chartTrackingRefBased/>
  <w15:docId w15:val="{575176F4-AFCD-4FFA-B348-7F602DF60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D6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14</Pages>
  <Words>3852</Words>
  <Characters>21957</Characters>
  <Application>Microsoft Office Word</Application>
  <DocSecurity>0</DocSecurity>
  <Lines>182</Lines>
  <Paragraphs>51</Paragraphs>
  <ScaleCrop>false</ScaleCrop>
  <Company/>
  <LinksUpToDate>false</LinksUpToDate>
  <CharactersWithSpaces>25758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IPHIA PEARCE</dc:creator>
  <cp:keywords/>
  <dc:description/>
  <cp:lastModifiedBy>IPHIA PEARCE</cp:lastModifiedBy>
  <cp:revision>3</cp:revision>
  <dcterms:created xsi:type="dcterms:W3CDTF">2023-02-26T16:13:00Z</dcterms:created>
  <dcterms:modified xsi:type="dcterms:W3CDTF">2023-02-26T16:51:00Z</dcterms:modified>
</cp:coreProperties>
</file>