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5DC1E" w14:textId="6BD491E0" w:rsidR="002877B5" w:rsidRPr="00DE6ED2" w:rsidRDefault="002F6FB3">
      <w:pPr>
        <w:spacing w:line="360" w:lineRule="auto"/>
        <w:jc w:val="both"/>
        <w:rPr>
          <w:rFonts w:ascii="Times New Roman" w:eastAsia="Times New Roman" w:hAnsi="Times New Roman" w:cs="Times New Roman"/>
          <w:b/>
          <w:color w:val="0E101A"/>
          <w:sz w:val="24"/>
          <w:szCs w:val="24"/>
          <w:lang w:val="en-GB"/>
        </w:rPr>
      </w:pPr>
      <w:r>
        <w:rPr>
          <w:rFonts w:ascii="Times New Roman" w:eastAsia="Times New Roman" w:hAnsi="Times New Roman" w:cs="Times New Roman"/>
          <w:b/>
          <w:noProof/>
          <w:color w:val="0E101A"/>
          <w:sz w:val="24"/>
          <w:szCs w:val="24"/>
          <w:lang w:val="en-GB"/>
        </w:rPr>
        <w:drawing>
          <wp:inline distT="0" distB="0" distL="0" distR="0" wp14:anchorId="48223C43" wp14:editId="7C22F2FA">
            <wp:extent cx="2407715" cy="9620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22554" cy="967954"/>
                    </a:xfrm>
                    <a:prstGeom prst="rect">
                      <a:avLst/>
                    </a:prstGeom>
                    <a:noFill/>
                  </pic:spPr>
                </pic:pic>
              </a:graphicData>
            </a:graphic>
          </wp:inline>
        </w:drawing>
      </w:r>
    </w:p>
    <w:p w14:paraId="17FA2D5D" w14:textId="77777777" w:rsidR="002877B5" w:rsidRPr="00DE6ED2" w:rsidRDefault="002877B5">
      <w:pPr>
        <w:spacing w:line="360" w:lineRule="auto"/>
        <w:jc w:val="both"/>
        <w:rPr>
          <w:rFonts w:ascii="Times New Roman" w:eastAsia="Times New Roman" w:hAnsi="Times New Roman" w:cs="Times New Roman"/>
          <w:b/>
          <w:color w:val="0E101A"/>
          <w:sz w:val="24"/>
          <w:szCs w:val="24"/>
          <w:lang w:val="en-GB"/>
        </w:rPr>
      </w:pPr>
    </w:p>
    <w:p w14:paraId="73AB00AE" w14:textId="77777777" w:rsidR="002877B5" w:rsidRPr="00DE6ED2" w:rsidRDefault="002877B5">
      <w:pPr>
        <w:spacing w:line="360" w:lineRule="auto"/>
        <w:jc w:val="both"/>
        <w:rPr>
          <w:rFonts w:ascii="Times New Roman" w:eastAsia="Times New Roman" w:hAnsi="Times New Roman" w:cs="Times New Roman"/>
          <w:b/>
          <w:color w:val="0E101A"/>
          <w:sz w:val="24"/>
          <w:szCs w:val="24"/>
          <w:lang w:val="en-GB"/>
        </w:rPr>
      </w:pPr>
    </w:p>
    <w:p w14:paraId="02460063" w14:textId="77777777" w:rsidR="002877B5" w:rsidRPr="00DE6ED2" w:rsidRDefault="002877B5">
      <w:pPr>
        <w:spacing w:line="360" w:lineRule="auto"/>
        <w:jc w:val="both"/>
        <w:rPr>
          <w:rFonts w:ascii="Times New Roman" w:eastAsia="Times New Roman" w:hAnsi="Times New Roman" w:cs="Times New Roman"/>
          <w:b/>
          <w:color w:val="0E101A"/>
          <w:sz w:val="24"/>
          <w:szCs w:val="24"/>
          <w:lang w:val="en-GB"/>
        </w:rPr>
      </w:pPr>
    </w:p>
    <w:p w14:paraId="3DE5CEA3" w14:textId="77777777" w:rsidR="002F6FB3" w:rsidRPr="002F6FB3" w:rsidRDefault="002F6FB3" w:rsidP="002F6FB3">
      <w:pPr>
        <w:spacing w:line="360" w:lineRule="auto"/>
        <w:jc w:val="both"/>
        <w:rPr>
          <w:rFonts w:ascii="Times New Roman" w:eastAsia="Times New Roman" w:hAnsi="Times New Roman" w:cs="Times New Roman"/>
          <w:b/>
          <w:color w:val="0E101A"/>
          <w:sz w:val="44"/>
          <w:szCs w:val="44"/>
          <w:lang w:val="en-GB"/>
        </w:rPr>
      </w:pPr>
      <w:r w:rsidRPr="002F6FB3">
        <w:rPr>
          <w:rFonts w:ascii="Times New Roman" w:eastAsia="Times New Roman" w:hAnsi="Times New Roman" w:cs="Times New Roman"/>
          <w:bCs/>
          <w:color w:val="0E101A"/>
          <w:sz w:val="44"/>
          <w:szCs w:val="44"/>
          <w:lang w:val="en-GB"/>
        </w:rPr>
        <w:t>Name:</w:t>
      </w:r>
      <w:r w:rsidRPr="002F6FB3">
        <w:rPr>
          <w:rFonts w:ascii="Times New Roman" w:eastAsia="Times New Roman" w:hAnsi="Times New Roman" w:cs="Times New Roman"/>
          <w:b/>
          <w:color w:val="0E101A"/>
          <w:sz w:val="44"/>
          <w:szCs w:val="44"/>
          <w:lang w:val="en-GB"/>
        </w:rPr>
        <w:t xml:space="preserve"> </w:t>
      </w:r>
      <w:r w:rsidRPr="002F6FB3">
        <w:rPr>
          <w:rFonts w:ascii="Times New Roman" w:eastAsia="Times New Roman" w:hAnsi="Times New Roman" w:cs="Times New Roman"/>
          <w:b/>
          <w:color w:val="0E101A"/>
          <w:sz w:val="48"/>
          <w:szCs w:val="48"/>
          <w:lang w:val="en-GB"/>
        </w:rPr>
        <w:t xml:space="preserve">Mihaela </w:t>
      </w:r>
      <w:proofErr w:type="spellStart"/>
      <w:r w:rsidRPr="002F6FB3">
        <w:rPr>
          <w:rFonts w:ascii="Times New Roman" w:eastAsia="Times New Roman" w:hAnsi="Times New Roman" w:cs="Times New Roman"/>
          <w:b/>
          <w:color w:val="0E101A"/>
          <w:sz w:val="48"/>
          <w:szCs w:val="48"/>
          <w:lang w:val="en-GB"/>
        </w:rPr>
        <w:t>Dodoc</w:t>
      </w:r>
      <w:proofErr w:type="spellEnd"/>
      <w:r w:rsidRPr="002F6FB3">
        <w:rPr>
          <w:rFonts w:ascii="Times New Roman" w:eastAsia="Times New Roman" w:hAnsi="Times New Roman" w:cs="Times New Roman"/>
          <w:b/>
          <w:color w:val="0E101A"/>
          <w:sz w:val="44"/>
          <w:szCs w:val="44"/>
          <w:lang w:val="en-GB"/>
        </w:rPr>
        <w:t xml:space="preserve"> </w:t>
      </w:r>
    </w:p>
    <w:p w14:paraId="52897C1A" w14:textId="343527D8" w:rsidR="002877B5" w:rsidRPr="002F6FB3" w:rsidRDefault="002F6FB3" w:rsidP="002F6FB3">
      <w:pPr>
        <w:spacing w:line="360" w:lineRule="auto"/>
        <w:jc w:val="both"/>
        <w:rPr>
          <w:rFonts w:ascii="Times New Roman" w:eastAsia="Times New Roman" w:hAnsi="Times New Roman" w:cs="Times New Roman"/>
          <w:b/>
          <w:color w:val="0E101A"/>
          <w:sz w:val="44"/>
          <w:szCs w:val="44"/>
          <w:lang w:val="en-GB"/>
        </w:rPr>
      </w:pPr>
      <w:r w:rsidRPr="002F6FB3">
        <w:rPr>
          <w:rFonts w:ascii="Times New Roman" w:eastAsia="Times New Roman" w:hAnsi="Times New Roman" w:cs="Times New Roman"/>
          <w:bCs/>
          <w:color w:val="0E101A"/>
          <w:sz w:val="44"/>
          <w:szCs w:val="44"/>
          <w:lang w:val="en-GB"/>
        </w:rPr>
        <w:t>Student ID:</w:t>
      </w:r>
      <w:r w:rsidRPr="002F6FB3">
        <w:rPr>
          <w:rFonts w:ascii="Times New Roman" w:eastAsia="Times New Roman" w:hAnsi="Times New Roman" w:cs="Times New Roman"/>
          <w:b/>
          <w:color w:val="0E101A"/>
          <w:sz w:val="44"/>
          <w:szCs w:val="44"/>
          <w:lang w:val="en-GB"/>
        </w:rPr>
        <w:t xml:space="preserve"> </w:t>
      </w:r>
      <w:r w:rsidRPr="002F6FB3">
        <w:rPr>
          <w:rFonts w:ascii="Times New Roman" w:eastAsia="Times New Roman" w:hAnsi="Times New Roman" w:cs="Times New Roman"/>
          <w:b/>
          <w:color w:val="0E101A"/>
          <w:sz w:val="48"/>
          <w:szCs w:val="48"/>
          <w:lang w:val="en-GB"/>
        </w:rPr>
        <w:t>2022006</w:t>
      </w:r>
    </w:p>
    <w:p w14:paraId="7F6ADCBE" w14:textId="77777777" w:rsidR="002877B5" w:rsidRPr="00DE6ED2" w:rsidRDefault="002877B5">
      <w:pPr>
        <w:spacing w:line="360" w:lineRule="auto"/>
        <w:jc w:val="both"/>
        <w:rPr>
          <w:rFonts w:ascii="Times New Roman" w:eastAsia="Times New Roman" w:hAnsi="Times New Roman" w:cs="Times New Roman"/>
          <w:b/>
          <w:color w:val="0E101A"/>
          <w:sz w:val="24"/>
          <w:szCs w:val="24"/>
          <w:lang w:val="en-GB"/>
        </w:rPr>
      </w:pPr>
    </w:p>
    <w:p w14:paraId="41A35A10" w14:textId="77777777" w:rsidR="002877B5" w:rsidRPr="00DE6ED2" w:rsidRDefault="002877B5">
      <w:pPr>
        <w:spacing w:line="360" w:lineRule="auto"/>
        <w:jc w:val="both"/>
        <w:rPr>
          <w:rFonts w:ascii="Times New Roman" w:eastAsia="Times New Roman" w:hAnsi="Times New Roman" w:cs="Times New Roman"/>
          <w:b/>
          <w:color w:val="0E101A"/>
          <w:sz w:val="24"/>
          <w:szCs w:val="24"/>
          <w:lang w:val="en-GB"/>
        </w:rPr>
      </w:pPr>
    </w:p>
    <w:p w14:paraId="442162A5" w14:textId="77777777" w:rsidR="002877B5" w:rsidRPr="00DE6ED2" w:rsidRDefault="002877B5" w:rsidP="002877B5">
      <w:pPr>
        <w:spacing w:line="360" w:lineRule="auto"/>
        <w:jc w:val="center"/>
        <w:rPr>
          <w:rFonts w:ascii="Times New Roman" w:hAnsi="Times New Roman" w:cs="Times New Roman"/>
          <w:b/>
          <w:bCs/>
          <w:color w:val="000000" w:themeColor="text1"/>
          <w:sz w:val="32"/>
          <w:lang w:val="en-GB"/>
        </w:rPr>
      </w:pPr>
    </w:p>
    <w:p w14:paraId="7A2AF771" w14:textId="34CBC626" w:rsidR="002877B5" w:rsidRPr="002F6FB3" w:rsidRDefault="002877B5" w:rsidP="002877B5">
      <w:pPr>
        <w:spacing w:line="360" w:lineRule="auto"/>
        <w:jc w:val="center"/>
        <w:rPr>
          <w:rFonts w:ascii="Times New Roman" w:eastAsia="Times New Roman" w:hAnsi="Times New Roman" w:cs="Times New Roman"/>
          <w:b/>
          <w:color w:val="000000" w:themeColor="text1"/>
          <w:sz w:val="52"/>
          <w:szCs w:val="52"/>
          <w:lang w:val="en-GB"/>
        </w:rPr>
      </w:pPr>
      <w:r w:rsidRPr="002F6FB3">
        <w:rPr>
          <w:rFonts w:ascii="Times New Roman" w:hAnsi="Times New Roman" w:cs="Times New Roman"/>
          <w:b/>
          <w:bCs/>
          <w:color w:val="000000" w:themeColor="text1"/>
          <w:sz w:val="52"/>
          <w:szCs w:val="52"/>
          <w:lang w:val="en-GB"/>
        </w:rPr>
        <w:t>ACCOUNTING FUNDAMENTALS</w:t>
      </w:r>
    </w:p>
    <w:p w14:paraId="5D63AB4D" w14:textId="77777777" w:rsidR="002877B5" w:rsidRPr="00DE6ED2" w:rsidRDefault="002877B5">
      <w:pPr>
        <w:spacing w:line="360" w:lineRule="auto"/>
        <w:jc w:val="both"/>
        <w:rPr>
          <w:rFonts w:ascii="Times New Roman" w:eastAsia="Times New Roman" w:hAnsi="Times New Roman" w:cs="Times New Roman"/>
          <w:b/>
          <w:color w:val="0E101A"/>
          <w:sz w:val="24"/>
          <w:szCs w:val="24"/>
          <w:lang w:val="en-GB"/>
        </w:rPr>
      </w:pPr>
    </w:p>
    <w:p w14:paraId="53AF8F8C" w14:textId="77777777" w:rsidR="002877B5" w:rsidRPr="00DE6ED2" w:rsidRDefault="002877B5">
      <w:pPr>
        <w:spacing w:line="360" w:lineRule="auto"/>
        <w:jc w:val="both"/>
        <w:rPr>
          <w:rFonts w:ascii="Times New Roman" w:eastAsia="Times New Roman" w:hAnsi="Times New Roman" w:cs="Times New Roman"/>
          <w:b/>
          <w:color w:val="0E101A"/>
          <w:sz w:val="24"/>
          <w:szCs w:val="24"/>
          <w:lang w:val="en-GB"/>
        </w:rPr>
      </w:pPr>
    </w:p>
    <w:p w14:paraId="4C642CA4" w14:textId="77777777" w:rsidR="002877B5" w:rsidRPr="00DE6ED2" w:rsidRDefault="002877B5">
      <w:pPr>
        <w:rPr>
          <w:rFonts w:ascii="Times New Roman" w:eastAsia="Times New Roman" w:hAnsi="Times New Roman" w:cs="Times New Roman"/>
          <w:b/>
          <w:color w:val="0E101A"/>
          <w:sz w:val="24"/>
          <w:szCs w:val="24"/>
          <w:lang w:val="en-GB"/>
        </w:rPr>
      </w:pPr>
      <w:r w:rsidRPr="00DE6ED2">
        <w:rPr>
          <w:rFonts w:ascii="Times New Roman" w:eastAsia="Times New Roman" w:hAnsi="Times New Roman" w:cs="Times New Roman"/>
          <w:b/>
          <w:color w:val="0E101A"/>
          <w:sz w:val="24"/>
          <w:szCs w:val="24"/>
          <w:lang w:val="en-GB"/>
        </w:rPr>
        <w:br w:type="page"/>
      </w:r>
    </w:p>
    <w:p w14:paraId="5037469D" w14:textId="77777777" w:rsidR="00F30477" w:rsidRPr="00F30477" w:rsidRDefault="002877B5" w:rsidP="00F30477">
      <w:pPr>
        <w:spacing w:before="240" w:after="240" w:line="360" w:lineRule="auto"/>
        <w:jc w:val="center"/>
        <w:rPr>
          <w:rFonts w:ascii="Times New Roman" w:hAnsi="Times New Roman" w:cs="Times New Roman"/>
          <w:noProof/>
          <w:sz w:val="24"/>
          <w:szCs w:val="24"/>
        </w:rPr>
      </w:pPr>
      <w:r w:rsidRPr="00F30477">
        <w:rPr>
          <w:rFonts w:ascii="Times New Roman" w:eastAsia="Times New Roman" w:hAnsi="Times New Roman" w:cs="Times New Roman"/>
          <w:b/>
          <w:color w:val="0E101A"/>
          <w:sz w:val="24"/>
          <w:szCs w:val="24"/>
          <w:lang w:val="en-GB"/>
        </w:rPr>
        <w:lastRenderedPageBreak/>
        <w:t>Table of Contents</w:t>
      </w:r>
      <w:r w:rsidR="00E44339" w:rsidRPr="00F30477">
        <w:rPr>
          <w:rFonts w:ascii="Times New Roman" w:eastAsia="Times New Roman" w:hAnsi="Times New Roman" w:cs="Times New Roman"/>
          <w:b/>
          <w:color w:val="0E101A"/>
          <w:sz w:val="24"/>
          <w:szCs w:val="24"/>
          <w:lang w:val="en-GB"/>
        </w:rPr>
        <w:fldChar w:fldCharType="begin"/>
      </w:r>
      <w:r w:rsidR="00E44339" w:rsidRPr="00F30477">
        <w:rPr>
          <w:rFonts w:ascii="Times New Roman" w:eastAsia="Times New Roman" w:hAnsi="Times New Roman" w:cs="Times New Roman"/>
          <w:b/>
          <w:color w:val="0E101A"/>
          <w:sz w:val="24"/>
          <w:szCs w:val="24"/>
          <w:lang w:val="en-GB"/>
        </w:rPr>
        <w:instrText xml:space="preserve"> TOC \o "1-3" \h \z \u </w:instrText>
      </w:r>
      <w:r w:rsidR="00E44339" w:rsidRPr="00F30477">
        <w:rPr>
          <w:rFonts w:ascii="Times New Roman" w:eastAsia="Times New Roman" w:hAnsi="Times New Roman" w:cs="Times New Roman"/>
          <w:b/>
          <w:color w:val="0E101A"/>
          <w:sz w:val="24"/>
          <w:szCs w:val="24"/>
          <w:lang w:val="en-GB"/>
        </w:rPr>
        <w:fldChar w:fldCharType="separate"/>
      </w:r>
    </w:p>
    <w:p w14:paraId="739CC2F5"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05" w:history="1">
        <w:r w:rsidR="00F30477" w:rsidRPr="00F30477">
          <w:rPr>
            <w:rStyle w:val="Hyperlink"/>
            <w:rFonts w:ascii="Times New Roman" w:hAnsi="Times New Roman" w:cs="Times New Roman"/>
            <w:noProof/>
            <w:sz w:val="24"/>
            <w:szCs w:val="24"/>
          </w:rPr>
          <w:t>Introduction</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_Toc80991805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2</w:t>
        </w:r>
        <w:r w:rsidR="00F30477" w:rsidRPr="00F30477">
          <w:rPr>
            <w:rFonts w:ascii="Times New Roman" w:hAnsi="Times New Roman" w:cs="Times New Roman"/>
            <w:noProof/>
            <w:webHidden/>
            <w:sz w:val="24"/>
            <w:szCs w:val="24"/>
          </w:rPr>
          <w:fldChar w:fldCharType="end"/>
        </w:r>
      </w:hyperlink>
    </w:p>
    <w:p w14:paraId="5FF02D9C"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06" w:history="1">
        <w:r w:rsidR="00F30477" w:rsidRPr="00F30477">
          <w:rPr>
            <w:rStyle w:val="Hyperlink"/>
            <w:rFonts w:ascii="Times New Roman" w:hAnsi="Times New Roman" w:cs="Times New Roman"/>
            <w:noProof/>
            <w:sz w:val="24"/>
            <w:szCs w:val="24"/>
          </w:rPr>
          <w:t>Question 1</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_Toc80991806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2</w:t>
        </w:r>
        <w:r w:rsidR="00F30477" w:rsidRPr="00F30477">
          <w:rPr>
            <w:rFonts w:ascii="Times New Roman" w:hAnsi="Times New Roman" w:cs="Times New Roman"/>
            <w:noProof/>
            <w:webHidden/>
            <w:sz w:val="24"/>
            <w:szCs w:val="24"/>
          </w:rPr>
          <w:fldChar w:fldCharType="end"/>
        </w:r>
      </w:hyperlink>
    </w:p>
    <w:p w14:paraId="1C129636"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07" w:history="1">
        <w:r w:rsidR="00F30477" w:rsidRPr="00F30477">
          <w:rPr>
            <w:rStyle w:val="Hyperlink"/>
            <w:rFonts w:ascii="Times New Roman" w:hAnsi="Times New Roman" w:cs="Times New Roman"/>
            <w:noProof/>
            <w:sz w:val="24"/>
            <w:szCs w:val="24"/>
          </w:rPr>
          <w:t>a) Preparation of financial statement of Kedison PLC for year ended 31st December 2020</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_Toc80991807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2</w:t>
        </w:r>
        <w:r w:rsidR="00F30477" w:rsidRPr="00F30477">
          <w:rPr>
            <w:rFonts w:ascii="Times New Roman" w:hAnsi="Times New Roman" w:cs="Times New Roman"/>
            <w:noProof/>
            <w:webHidden/>
            <w:sz w:val="24"/>
            <w:szCs w:val="24"/>
          </w:rPr>
          <w:fldChar w:fldCharType="end"/>
        </w:r>
      </w:hyperlink>
    </w:p>
    <w:p w14:paraId="1019559C"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08" w:history="1">
        <w:r w:rsidR="00F30477" w:rsidRPr="00F30477">
          <w:rPr>
            <w:rStyle w:val="Hyperlink"/>
            <w:rFonts w:ascii="Times New Roman" w:hAnsi="Times New Roman" w:cs="Times New Roman"/>
            <w:noProof/>
            <w:sz w:val="24"/>
            <w:szCs w:val="24"/>
          </w:rPr>
          <w:t>Profit and Loss statement for Kedison Plc</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_Toc80991808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2</w:t>
        </w:r>
        <w:r w:rsidR="00F30477" w:rsidRPr="00F30477">
          <w:rPr>
            <w:rFonts w:ascii="Times New Roman" w:hAnsi="Times New Roman" w:cs="Times New Roman"/>
            <w:noProof/>
            <w:webHidden/>
            <w:sz w:val="24"/>
            <w:szCs w:val="24"/>
          </w:rPr>
          <w:fldChar w:fldCharType="end"/>
        </w:r>
      </w:hyperlink>
    </w:p>
    <w:p w14:paraId="36F5F9CB"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09" w:history="1">
        <w:r w:rsidR="00F30477" w:rsidRPr="00F30477">
          <w:rPr>
            <w:rStyle w:val="Hyperlink"/>
            <w:rFonts w:ascii="Times New Roman" w:hAnsi="Times New Roman" w:cs="Times New Roman"/>
            <w:noProof/>
            <w:sz w:val="24"/>
            <w:szCs w:val="24"/>
          </w:rPr>
          <w:t>Statement of financial position for Kedison Plc</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_Toc80991809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3</w:t>
        </w:r>
        <w:r w:rsidR="00F30477" w:rsidRPr="00F30477">
          <w:rPr>
            <w:rFonts w:ascii="Times New Roman" w:hAnsi="Times New Roman" w:cs="Times New Roman"/>
            <w:noProof/>
            <w:webHidden/>
            <w:sz w:val="24"/>
            <w:szCs w:val="24"/>
          </w:rPr>
          <w:fldChar w:fldCharType="end"/>
        </w:r>
      </w:hyperlink>
    </w:p>
    <w:p w14:paraId="157CBC76"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10" w:history="1">
        <w:r w:rsidR="00F30477" w:rsidRPr="00F30477">
          <w:rPr>
            <w:rStyle w:val="Hyperlink"/>
            <w:rFonts w:ascii="Times New Roman" w:hAnsi="Times New Roman" w:cs="Times New Roman"/>
            <w:noProof/>
            <w:sz w:val="24"/>
            <w:szCs w:val="24"/>
          </w:rPr>
          <w:t>b) Reason behind statement of financial position balance</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_Toc80991810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5</w:t>
        </w:r>
        <w:r w:rsidR="00F30477" w:rsidRPr="00F30477">
          <w:rPr>
            <w:rFonts w:ascii="Times New Roman" w:hAnsi="Times New Roman" w:cs="Times New Roman"/>
            <w:noProof/>
            <w:webHidden/>
            <w:sz w:val="24"/>
            <w:szCs w:val="24"/>
          </w:rPr>
          <w:fldChar w:fldCharType="end"/>
        </w:r>
      </w:hyperlink>
    </w:p>
    <w:p w14:paraId="6D56BAEE"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11" w:history="1">
        <w:r w:rsidR="00F30477" w:rsidRPr="00F30477">
          <w:rPr>
            <w:rStyle w:val="Hyperlink"/>
            <w:rFonts w:ascii="Times New Roman" w:hAnsi="Times New Roman" w:cs="Times New Roman"/>
            <w:noProof/>
            <w:sz w:val="24"/>
            <w:szCs w:val="24"/>
          </w:rPr>
          <w:t>Question 2</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_Toc80991811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5</w:t>
        </w:r>
        <w:r w:rsidR="00F30477" w:rsidRPr="00F30477">
          <w:rPr>
            <w:rFonts w:ascii="Times New Roman" w:hAnsi="Times New Roman" w:cs="Times New Roman"/>
            <w:noProof/>
            <w:webHidden/>
            <w:sz w:val="24"/>
            <w:szCs w:val="24"/>
          </w:rPr>
          <w:fldChar w:fldCharType="end"/>
        </w:r>
      </w:hyperlink>
    </w:p>
    <w:p w14:paraId="334E21EA"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12" w:history="1">
        <w:r w:rsidR="00F30477" w:rsidRPr="00F30477">
          <w:rPr>
            <w:rStyle w:val="Hyperlink"/>
            <w:rFonts w:ascii="Times New Roman" w:hAnsi="Times New Roman" w:cs="Times New Roman"/>
            <w:noProof/>
            <w:sz w:val="24"/>
            <w:szCs w:val="24"/>
          </w:rPr>
          <w:t>a. Calculation of ratios for Chocco Plc for 2020 and 2019</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_Toc80991812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5</w:t>
        </w:r>
        <w:r w:rsidR="00F30477" w:rsidRPr="00F30477">
          <w:rPr>
            <w:rFonts w:ascii="Times New Roman" w:hAnsi="Times New Roman" w:cs="Times New Roman"/>
            <w:noProof/>
            <w:webHidden/>
            <w:sz w:val="24"/>
            <w:szCs w:val="24"/>
          </w:rPr>
          <w:fldChar w:fldCharType="end"/>
        </w:r>
      </w:hyperlink>
    </w:p>
    <w:p w14:paraId="5777E5BF"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13" w:history="1">
        <w:r w:rsidR="00F30477" w:rsidRPr="00F30477">
          <w:rPr>
            <w:rStyle w:val="Hyperlink"/>
            <w:rFonts w:ascii="Times New Roman" w:hAnsi="Times New Roman" w:cs="Times New Roman"/>
            <w:noProof/>
            <w:sz w:val="24"/>
            <w:szCs w:val="24"/>
          </w:rPr>
          <w:t>1- ROCE</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_Toc80991813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5</w:t>
        </w:r>
        <w:r w:rsidR="00F30477" w:rsidRPr="00F30477">
          <w:rPr>
            <w:rFonts w:ascii="Times New Roman" w:hAnsi="Times New Roman" w:cs="Times New Roman"/>
            <w:noProof/>
            <w:webHidden/>
            <w:sz w:val="24"/>
            <w:szCs w:val="24"/>
          </w:rPr>
          <w:fldChar w:fldCharType="end"/>
        </w:r>
      </w:hyperlink>
    </w:p>
    <w:p w14:paraId="2DB5C520"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14" w:history="1">
        <w:r w:rsidR="00F30477" w:rsidRPr="00F30477">
          <w:rPr>
            <w:rStyle w:val="Hyperlink"/>
            <w:rFonts w:ascii="Times New Roman" w:hAnsi="Times New Roman" w:cs="Times New Roman"/>
            <w:noProof/>
            <w:sz w:val="24"/>
            <w:szCs w:val="24"/>
          </w:rPr>
          <w:t>2- ROE</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_Toc80991814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6</w:t>
        </w:r>
        <w:r w:rsidR="00F30477" w:rsidRPr="00F30477">
          <w:rPr>
            <w:rFonts w:ascii="Times New Roman" w:hAnsi="Times New Roman" w:cs="Times New Roman"/>
            <w:noProof/>
            <w:webHidden/>
            <w:sz w:val="24"/>
            <w:szCs w:val="24"/>
          </w:rPr>
          <w:fldChar w:fldCharType="end"/>
        </w:r>
      </w:hyperlink>
    </w:p>
    <w:p w14:paraId="31583651"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15" w:history="1">
        <w:r w:rsidR="00F30477" w:rsidRPr="00F30477">
          <w:rPr>
            <w:rStyle w:val="Hyperlink"/>
            <w:rFonts w:ascii="Times New Roman" w:hAnsi="Times New Roman" w:cs="Times New Roman"/>
            <w:noProof/>
            <w:sz w:val="24"/>
            <w:szCs w:val="24"/>
          </w:rPr>
          <w:t>3- Earnings per share</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_Toc80991815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6</w:t>
        </w:r>
        <w:r w:rsidR="00F30477" w:rsidRPr="00F30477">
          <w:rPr>
            <w:rFonts w:ascii="Times New Roman" w:hAnsi="Times New Roman" w:cs="Times New Roman"/>
            <w:noProof/>
            <w:webHidden/>
            <w:sz w:val="24"/>
            <w:szCs w:val="24"/>
          </w:rPr>
          <w:fldChar w:fldCharType="end"/>
        </w:r>
      </w:hyperlink>
    </w:p>
    <w:p w14:paraId="2028852A"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16" w:history="1">
        <w:r w:rsidR="00F30477" w:rsidRPr="00F30477">
          <w:rPr>
            <w:rStyle w:val="Hyperlink"/>
            <w:rFonts w:ascii="Times New Roman" w:hAnsi="Times New Roman" w:cs="Times New Roman"/>
            <w:noProof/>
            <w:sz w:val="24"/>
            <w:szCs w:val="24"/>
          </w:rPr>
          <w:t>4- Net profit margin</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_Toc80991816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6</w:t>
        </w:r>
        <w:r w:rsidR="00F30477" w:rsidRPr="00F30477">
          <w:rPr>
            <w:rFonts w:ascii="Times New Roman" w:hAnsi="Times New Roman" w:cs="Times New Roman"/>
            <w:noProof/>
            <w:webHidden/>
            <w:sz w:val="24"/>
            <w:szCs w:val="24"/>
          </w:rPr>
          <w:fldChar w:fldCharType="end"/>
        </w:r>
      </w:hyperlink>
    </w:p>
    <w:p w14:paraId="4D895787"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17" w:history="1">
        <w:r w:rsidR="00F30477" w:rsidRPr="00F30477">
          <w:rPr>
            <w:rStyle w:val="Hyperlink"/>
            <w:rFonts w:ascii="Times New Roman" w:hAnsi="Times New Roman" w:cs="Times New Roman"/>
            <w:noProof/>
            <w:sz w:val="24"/>
            <w:szCs w:val="24"/>
          </w:rPr>
          <w:t>5- Asset turnover</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_Toc80991817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7</w:t>
        </w:r>
        <w:r w:rsidR="00F30477" w:rsidRPr="00F30477">
          <w:rPr>
            <w:rFonts w:ascii="Times New Roman" w:hAnsi="Times New Roman" w:cs="Times New Roman"/>
            <w:noProof/>
            <w:webHidden/>
            <w:sz w:val="24"/>
            <w:szCs w:val="24"/>
          </w:rPr>
          <w:fldChar w:fldCharType="end"/>
        </w:r>
      </w:hyperlink>
    </w:p>
    <w:p w14:paraId="28EFA385"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18" w:history="1">
        <w:r w:rsidR="00F30477" w:rsidRPr="00F30477">
          <w:rPr>
            <w:rStyle w:val="Hyperlink"/>
            <w:rFonts w:ascii="Times New Roman" w:hAnsi="Times New Roman" w:cs="Times New Roman"/>
            <w:noProof/>
            <w:sz w:val="24"/>
            <w:szCs w:val="24"/>
          </w:rPr>
          <w:t>6- Stock holding days</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_Toc80991818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7</w:t>
        </w:r>
        <w:r w:rsidR="00F30477" w:rsidRPr="00F30477">
          <w:rPr>
            <w:rFonts w:ascii="Times New Roman" w:hAnsi="Times New Roman" w:cs="Times New Roman"/>
            <w:noProof/>
            <w:webHidden/>
            <w:sz w:val="24"/>
            <w:szCs w:val="24"/>
          </w:rPr>
          <w:fldChar w:fldCharType="end"/>
        </w:r>
      </w:hyperlink>
    </w:p>
    <w:p w14:paraId="0C60F81E"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19" w:history="1">
        <w:r w:rsidR="00F30477" w:rsidRPr="00F30477">
          <w:rPr>
            <w:rStyle w:val="Hyperlink"/>
            <w:rFonts w:ascii="Times New Roman" w:hAnsi="Times New Roman" w:cs="Times New Roman"/>
            <w:noProof/>
            <w:sz w:val="24"/>
            <w:szCs w:val="24"/>
          </w:rPr>
          <w:t>7- Debtors collection period</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_Toc80991819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7</w:t>
        </w:r>
        <w:r w:rsidR="00F30477" w:rsidRPr="00F30477">
          <w:rPr>
            <w:rFonts w:ascii="Times New Roman" w:hAnsi="Times New Roman" w:cs="Times New Roman"/>
            <w:noProof/>
            <w:webHidden/>
            <w:sz w:val="24"/>
            <w:szCs w:val="24"/>
          </w:rPr>
          <w:fldChar w:fldCharType="end"/>
        </w:r>
      </w:hyperlink>
    </w:p>
    <w:p w14:paraId="7F1B3F5B"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20" w:history="1">
        <w:r w:rsidR="00F30477" w:rsidRPr="00F30477">
          <w:rPr>
            <w:rStyle w:val="Hyperlink"/>
            <w:rFonts w:ascii="Times New Roman" w:hAnsi="Times New Roman" w:cs="Times New Roman"/>
            <w:noProof/>
            <w:sz w:val="24"/>
            <w:szCs w:val="24"/>
          </w:rPr>
          <w:t>8- Current ratio</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_Toc80991820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7</w:t>
        </w:r>
        <w:r w:rsidR="00F30477" w:rsidRPr="00F30477">
          <w:rPr>
            <w:rFonts w:ascii="Times New Roman" w:hAnsi="Times New Roman" w:cs="Times New Roman"/>
            <w:noProof/>
            <w:webHidden/>
            <w:sz w:val="24"/>
            <w:szCs w:val="24"/>
          </w:rPr>
          <w:fldChar w:fldCharType="end"/>
        </w:r>
      </w:hyperlink>
    </w:p>
    <w:p w14:paraId="535A898F"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21" w:history="1">
        <w:r w:rsidR="00F30477" w:rsidRPr="00F30477">
          <w:rPr>
            <w:rStyle w:val="Hyperlink"/>
            <w:rFonts w:ascii="Times New Roman" w:hAnsi="Times New Roman" w:cs="Times New Roman"/>
            <w:noProof/>
            <w:sz w:val="24"/>
            <w:szCs w:val="24"/>
          </w:rPr>
          <w:t>9- Gearing ratio</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_Toc80991821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8</w:t>
        </w:r>
        <w:r w:rsidR="00F30477" w:rsidRPr="00F30477">
          <w:rPr>
            <w:rFonts w:ascii="Times New Roman" w:hAnsi="Times New Roman" w:cs="Times New Roman"/>
            <w:noProof/>
            <w:webHidden/>
            <w:sz w:val="24"/>
            <w:szCs w:val="24"/>
          </w:rPr>
          <w:fldChar w:fldCharType="end"/>
        </w:r>
      </w:hyperlink>
    </w:p>
    <w:p w14:paraId="535C0465"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22" w:history="1">
        <w:r w:rsidR="00F30477" w:rsidRPr="00F30477">
          <w:rPr>
            <w:rStyle w:val="Hyperlink"/>
            <w:rFonts w:ascii="Times New Roman" w:hAnsi="Times New Roman" w:cs="Times New Roman"/>
            <w:noProof/>
            <w:sz w:val="24"/>
            <w:szCs w:val="24"/>
          </w:rPr>
          <w:t>10- Interest cover</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_Toc80991822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8</w:t>
        </w:r>
        <w:r w:rsidR="00F30477" w:rsidRPr="00F30477">
          <w:rPr>
            <w:rFonts w:ascii="Times New Roman" w:hAnsi="Times New Roman" w:cs="Times New Roman"/>
            <w:noProof/>
            <w:webHidden/>
            <w:sz w:val="24"/>
            <w:szCs w:val="24"/>
          </w:rPr>
          <w:fldChar w:fldCharType="end"/>
        </w:r>
      </w:hyperlink>
    </w:p>
    <w:p w14:paraId="0C21818B"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23" w:history="1">
        <w:r w:rsidR="00F30477" w:rsidRPr="00F30477">
          <w:rPr>
            <w:rStyle w:val="Hyperlink"/>
            <w:rFonts w:ascii="Times New Roman" w:hAnsi="Times New Roman" w:cs="Times New Roman"/>
            <w:noProof/>
            <w:sz w:val="24"/>
            <w:szCs w:val="24"/>
          </w:rPr>
          <w:t>b. Comment on financial performance and position of Chocco Plc as per information in financial statements and ratios</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_Toc80991823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8</w:t>
        </w:r>
        <w:r w:rsidR="00F30477" w:rsidRPr="00F30477">
          <w:rPr>
            <w:rFonts w:ascii="Times New Roman" w:hAnsi="Times New Roman" w:cs="Times New Roman"/>
            <w:noProof/>
            <w:webHidden/>
            <w:sz w:val="24"/>
            <w:szCs w:val="24"/>
          </w:rPr>
          <w:fldChar w:fldCharType="end"/>
        </w:r>
      </w:hyperlink>
    </w:p>
    <w:p w14:paraId="7C7365B8"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24" w:history="1">
        <w:r w:rsidR="00F30477" w:rsidRPr="00F30477">
          <w:rPr>
            <w:rStyle w:val="Hyperlink"/>
            <w:rFonts w:ascii="Times New Roman" w:hAnsi="Times New Roman" w:cs="Times New Roman"/>
            <w:noProof/>
            <w:sz w:val="24"/>
            <w:szCs w:val="24"/>
          </w:rPr>
          <w:t>Conclusion</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_Toc80991824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9</w:t>
        </w:r>
        <w:r w:rsidR="00F30477" w:rsidRPr="00F30477">
          <w:rPr>
            <w:rFonts w:ascii="Times New Roman" w:hAnsi="Times New Roman" w:cs="Times New Roman"/>
            <w:noProof/>
            <w:webHidden/>
            <w:sz w:val="24"/>
            <w:szCs w:val="24"/>
          </w:rPr>
          <w:fldChar w:fldCharType="end"/>
        </w:r>
      </w:hyperlink>
    </w:p>
    <w:p w14:paraId="721234D5" w14:textId="77777777" w:rsidR="00F30477" w:rsidRPr="00F30477" w:rsidRDefault="007776C9" w:rsidP="004D78DF">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80991825" w:history="1">
        <w:r w:rsidR="00F30477" w:rsidRPr="00F30477">
          <w:rPr>
            <w:rStyle w:val="Hyperlink"/>
            <w:rFonts w:ascii="Times New Roman" w:hAnsi="Times New Roman" w:cs="Times New Roman"/>
            <w:noProof/>
            <w:sz w:val="24"/>
            <w:szCs w:val="24"/>
          </w:rPr>
          <w:t>References</w:t>
        </w:r>
        <w:r w:rsidR="00F30477" w:rsidRPr="00F30477">
          <w:rPr>
            <w:rFonts w:ascii="Times New Roman" w:hAnsi="Times New Roman" w:cs="Times New Roman"/>
            <w:noProof/>
            <w:webHidden/>
            <w:sz w:val="24"/>
            <w:szCs w:val="24"/>
          </w:rPr>
          <w:tab/>
        </w:r>
        <w:r w:rsidR="00F30477" w:rsidRPr="00F30477">
          <w:rPr>
            <w:rFonts w:ascii="Times New Roman" w:hAnsi="Times New Roman" w:cs="Times New Roman"/>
            <w:noProof/>
            <w:webHidden/>
            <w:sz w:val="24"/>
            <w:szCs w:val="24"/>
          </w:rPr>
          <w:fldChar w:fldCharType="begin"/>
        </w:r>
        <w:r w:rsidR="00F30477" w:rsidRPr="00F30477">
          <w:rPr>
            <w:rFonts w:ascii="Times New Roman" w:hAnsi="Times New Roman" w:cs="Times New Roman"/>
            <w:noProof/>
            <w:webHidden/>
            <w:sz w:val="24"/>
            <w:szCs w:val="24"/>
          </w:rPr>
          <w:instrText xml:space="preserve"> PAGEREF _Toc80991825 \h </w:instrText>
        </w:r>
        <w:r w:rsidR="00F30477" w:rsidRPr="00F30477">
          <w:rPr>
            <w:rFonts w:ascii="Times New Roman" w:hAnsi="Times New Roman" w:cs="Times New Roman"/>
            <w:noProof/>
            <w:webHidden/>
            <w:sz w:val="24"/>
            <w:szCs w:val="24"/>
          </w:rPr>
        </w:r>
        <w:r w:rsidR="00F30477" w:rsidRPr="00F30477">
          <w:rPr>
            <w:rFonts w:ascii="Times New Roman" w:hAnsi="Times New Roman" w:cs="Times New Roman"/>
            <w:noProof/>
            <w:webHidden/>
            <w:sz w:val="24"/>
            <w:szCs w:val="24"/>
          </w:rPr>
          <w:fldChar w:fldCharType="separate"/>
        </w:r>
        <w:r w:rsidR="00F30477" w:rsidRPr="00F30477">
          <w:rPr>
            <w:rFonts w:ascii="Times New Roman" w:hAnsi="Times New Roman" w:cs="Times New Roman"/>
            <w:noProof/>
            <w:webHidden/>
            <w:sz w:val="24"/>
            <w:szCs w:val="24"/>
          </w:rPr>
          <w:t>10</w:t>
        </w:r>
        <w:r w:rsidR="00F30477" w:rsidRPr="00F30477">
          <w:rPr>
            <w:rFonts w:ascii="Times New Roman" w:hAnsi="Times New Roman" w:cs="Times New Roman"/>
            <w:noProof/>
            <w:webHidden/>
            <w:sz w:val="24"/>
            <w:szCs w:val="24"/>
          </w:rPr>
          <w:fldChar w:fldCharType="end"/>
        </w:r>
      </w:hyperlink>
    </w:p>
    <w:p w14:paraId="3B9BE16D" w14:textId="0D997831" w:rsidR="002877B5" w:rsidRPr="00DE6ED2" w:rsidRDefault="00E44339" w:rsidP="00F30477">
      <w:pPr>
        <w:spacing w:before="240" w:after="240" w:line="360" w:lineRule="auto"/>
        <w:jc w:val="both"/>
        <w:rPr>
          <w:rFonts w:ascii="Times New Roman" w:eastAsia="Times New Roman" w:hAnsi="Times New Roman" w:cs="Times New Roman"/>
          <w:b/>
          <w:color w:val="0E101A"/>
          <w:sz w:val="24"/>
          <w:szCs w:val="24"/>
          <w:lang w:val="en-GB"/>
        </w:rPr>
      </w:pPr>
      <w:r w:rsidRPr="00F30477">
        <w:rPr>
          <w:rFonts w:ascii="Times New Roman" w:eastAsia="Times New Roman" w:hAnsi="Times New Roman" w:cs="Times New Roman"/>
          <w:b/>
          <w:color w:val="0E101A"/>
          <w:sz w:val="24"/>
          <w:szCs w:val="24"/>
          <w:lang w:val="en-GB"/>
        </w:rPr>
        <w:fldChar w:fldCharType="end"/>
      </w:r>
      <w:r w:rsidR="002877B5" w:rsidRPr="00DE6ED2">
        <w:rPr>
          <w:rFonts w:ascii="Times New Roman" w:eastAsia="Times New Roman" w:hAnsi="Times New Roman" w:cs="Times New Roman"/>
          <w:b/>
          <w:color w:val="0E101A"/>
          <w:sz w:val="24"/>
          <w:szCs w:val="24"/>
          <w:lang w:val="en-GB"/>
        </w:rPr>
        <w:t xml:space="preserve"> </w:t>
      </w:r>
      <w:r w:rsidR="002877B5" w:rsidRPr="00DE6ED2">
        <w:rPr>
          <w:rFonts w:ascii="Times New Roman" w:eastAsia="Times New Roman" w:hAnsi="Times New Roman" w:cs="Times New Roman"/>
          <w:b/>
          <w:color w:val="0E101A"/>
          <w:sz w:val="24"/>
          <w:szCs w:val="24"/>
          <w:lang w:val="en-GB"/>
        </w:rPr>
        <w:br w:type="page"/>
      </w:r>
    </w:p>
    <w:p w14:paraId="0E078104" w14:textId="29C8DC29" w:rsidR="003D514E" w:rsidRDefault="003D514E" w:rsidP="00E44339">
      <w:pPr>
        <w:pStyle w:val="Heading1"/>
      </w:pPr>
      <w:bookmarkStart w:id="0" w:name="_Toc80991805"/>
      <w:r>
        <w:lastRenderedPageBreak/>
        <w:t>Introduction</w:t>
      </w:r>
      <w:bookmarkEnd w:id="0"/>
    </w:p>
    <w:p w14:paraId="33D9135E" w14:textId="5625E53B" w:rsidR="003D514E" w:rsidRPr="003D514E" w:rsidRDefault="003D514E" w:rsidP="003D514E">
      <w:pPr>
        <w:spacing w:before="240" w:after="240" w:line="360" w:lineRule="auto"/>
        <w:jc w:val="both"/>
        <w:rPr>
          <w:lang w:val="en-GB"/>
        </w:rPr>
      </w:pPr>
      <w:r>
        <w:rPr>
          <w:rFonts w:ascii="Times New Roman" w:eastAsia="Times New Roman" w:hAnsi="Times New Roman" w:cs="Times New Roman"/>
          <w:color w:val="0E101A"/>
          <w:sz w:val="24"/>
          <w:szCs w:val="24"/>
          <w:lang w:val="en-GB"/>
        </w:rPr>
        <w:t xml:space="preserve">Accounting fundamentals facilitates </w:t>
      </w:r>
      <w:r w:rsidR="0043544E">
        <w:rPr>
          <w:rFonts w:ascii="Times New Roman" w:eastAsia="Times New Roman" w:hAnsi="Times New Roman" w:cs="Times New Roman"/>
          <w:color w:val="0E101A"/>
          <w:sz w:val="24"/>
          <w:szCs w:val="24"/>
          <w:lang w:val="en-GB"/>
        </w:rPr>
        <w:t xml:space="preserve">maintaining </w:t>
      </w:r>
      <w:r>
        <w:rPr>
          <w:rFonts w:ascii="Times New Roman" w:eastAsia="Times New Roman" w:hAnsi="Times New Roman" w:cs="Times New Roman"/>
          <w:color w:val="0E101A"/>
          <w:sz w:val="24"/>
          <w:szCs w:val="24"/>
          <w:lang w:val="en-GB"/>
        </w:rPr>
        <w:t xml:space="preserve">sound business operations. </w:t>
      </w:r>
      <w:r w:rsidRPr="00DE6ED2">
        <w:rPr>
          <w:rFonts w:ascii="Times New Roman" w:eastAsia="Times New Roman" w:hAnsi="Times New Roman" w:cs="Times New Roman"/>
          <w:color w:val="0E101A"/>
          <w:sz w:val="24"/>
          <w:szCs w:val="24"/>
          <w:lang w:val="en-GB"/>
        </w:rPr>
        <w:t>Financial statement can be defined as a written business record that includes details of business activities and financial performance.</w:t>
      </w:r>
      <w:r>
        <w:rPr>
          <w:rFonts w:ascii="Times New Roman" w:eastAsia="Times New Roman" w:hAnsi="Times New Roman" w:cs="Times New Roman"/>
          <w:color w:val="0E101A"/>
          <w:sz w:val="24"/>
          <w:szCs w:val="24"/>
          <w:lang w:val="en-GB"/>
        </w:rPr>
        <w:t xml:space="preserve"> The study includes </w:t>
      </w:r>
      <w:r w:rsidRPr="00DE6ED2">
        <w:rPr>
          <w:rFonts w:ascii="Times New Roman" w:eastAsia="Times New Roman" w:hAnsi="Times New Roman" w:cs="Times New Roman"/>
          <w:color w:val="0E101A"/>
          <w:sz w:val="24"/>
          <w:szCs w:val="24"/>
          <w:lang w:val="en-GB"/>
        </w:rPr>
        <w:t xml:space="preserve">Income statement </w:t>
      </w:r>
      <w:r>
        <w:rPr>
          <w:rFonts w:ascii="Times New Roman" w:eastAsia="Times New Roman" w:hAnsi="Times New Roman" w:cs="Times New Roman"/>
          <w:color w:val="0E101A"/>
          <w:sz w:val="24"/>
          <w:szCs w:val="24"/>
          <w:lang w:val="en-GB"/>
        </w:rPr>
        <w:t xml:space="preserve">and financial position statement </w:t>
      </w:r>
      <w:r w:rsidRPr="00DE6ED2">
        <w:rPr>
          <w:rFonts w:ascii="Times New Roman" w:eastAsia="Times New Roman" w:hAnsi="Times New Roman" w:cs="Times New Roman"/>
          <w:color w:val="0E101A"/>
          <w:sz w:val="24"/>
          <w:szCs w:val="24"/>
          <w:lang w:val="en-GB"/>
        </w:rPr>
        <w:t>of Kedison Plc for reporting period of 31st December 2020.</w:t>
      </w:r>
      <w:r>
        <w:rPr>
          <w:rFonts w:ascii="Times New Roman" w:eastAsia="Times New Roman" w:hAnsi="Times New Roman" w:cs="Times New Roman"/>
          <w:color w:val="0E101A"/>
          <w:sz w:val="24"/>
          <w:szCs w:val="24"/>
          <w:lang w:val="en-GB"/>
        </w:rPr>
        <w:t xml:space="preserve"> Moreover, accounting ratios of Chocco Plc has been calculated for 2019 and 2020 for assessing financial performance. </w:t>
      </w:r>
      <w:r w:rsidRPr="00DE6ED2">
        <w:rPr>
          <w:rFonts w:ascii="Times New Roman" w:eastAsia="Times New Roman" w:hAnsi="Times New Roman" w:cs="Times New Roman"/>
          <w:color w:val="0E101A"/>
          <w:sz w:val="24"/>
          <w:szCs w:val="24"/>
          <w:lang w:val="en-GB"/>
        </w:rPr>
        <w:t xml:space="preserve"> </w:t>
      </w:r>
      <w:r>
        <w:rPr>
          <w:rFonts w:ascii="Times New Roman" w:eastAsia="Times New Roman" w:hAnsi="Times New Roman" w:cs="Times New Roman"/>
          <w:color w:val="0E101A"/>
          <w:sz w:val="24"/>
          <w:szCs w:val="24"/>
          <w:lang w:val="en-GB"/>
        </w:rPr>
        <w:t xml:space="preserve">     </w:t>
      </w:r>
    </w:p>
    <w:p w14:paraId="00000001" w14:textId="32B3ED1B" w:rsidR="00DE58EB" w:rsidRPr="00DE6ED2" w:rsidRDefault="00AB4518" w:rsidP="00E44339">
      <w:pPr>
        <w:pStyle w:val="Heading1"/>
      </w:pPr>
      <w:bookmarkStart w:id="1" w:name="_Toc80991806"/>
      <w:r w:rsidRPr="00DE6ED2">
        <w:t>Question 1</w:t>
      </w:r>
      <w:bookmarkEnd w:id="1"/>
    </w:p>
    <w:p w14:paraId="00000002" w14:textId="77777777" w:rsidR="00DE58EB" w:rsidRPr="00DE6ED2" w:rsidRDefault="00AB4518" w:rsidP="00E44339">
      <w:pPr>
        <w:pStyle w:val="Heading1"/>
      </w:pPr>
      <w:bookmarkStart w:id="2" w:name="_Toc80991807"/>
      <w:r w:rsidRPr="00DE6ED2">
        <w:t>a) Preparation of financial statement of Kedison PLC for year ended 31st December 2020</w:t>
      </w:r>
      <w:bookmarkEnd w:id="2"/>
      <w:r w:rsidRPr="00DE6ED2">
        <w:t xml:space="preserve"> </w:t>
      </w:r>
    </w:p>
    <w:p w14:paraId="00000003" w14:textId="6B45AAC8"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Organisation maintains financial statements for presenting financial information in a structured manner and in a form that is easy to understand. According to McLaney and Atrill (2016), financial statements are useful for supporting long-term and short-term decisions of stakeholders. Key stakeholders of an organisation are customers, suppliers, debtors, auditors, shareholders, managers, employees, higher executives, financial analysis, investors, debt holding, and governmental agencies. Preparation of financial statement has been made for Kedison Plc. The company has £826,650 sales, £310,000 ordinary shares, and £300000 10% £1 preference shares.   </w:t>
      </w:r>
    </w:p>
    <w:p w14:paraId="00000004" w14:textId="77777777" w:rsidR="00DE58EB" w:rsidRPr="00DE6ED2" w:rsidRDefault="00AB4518" w:rsidP="00E44339">
      <w:pPr>
        <w:pStyle w:val="Heading1"/>
      </w:pPr>
      <w:bookmarkStart w:id="3" w:name="_Toc80991808"/>
      <w:r w:rsidRPr="00DE6ED2">
        <w:t>Profit and Loss statement for Kedison Plc</w:t>
      </w:r>
      <w:bookmarkEnd w:id="3"/>
      <w:r w:rsidRPr="00DE6ED2">
        <w:t xml:space="preserve"> </w:t>
      </w:r>
    </w:p>
    <w:p w14:paraId="00000005" w14:textId="79BAEC1E" w:rsidR="00DE58EB"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Profit &amp; loss statement </w:t>
      </w:r>
      <w:r w:rsidR="001C736E" w:rsidRPr="00DE6ED2">
        <w:rPr>
          <w:rFonts w:ascii="Times New Roman" w:eastAsia="Times New Roman" w:hAnsi="Times New Roman" w:cs="Times New Roman"/>
          <w:color w:val="0E101A"/>
          <w:sz w:val="24"/>
          <w:szCs w:val="24"/>
          <w:lang w:val="en-GB"/>
        </w:rPr>
        <w:t>or an</w:t>
      </w:r>
      <w:r w:rsidRPr="00DE6ED2">
        <w:rPr>
          <w:rFonts w:ascii="Times New Roman" w:eastAsia="Times New Roman" w:hAnsi="Times New Roman" w:cs="Times New Roman"/>
          <w:color w:val="0E101A"/>
          <w:sz w:val="24"/>
          <w:szCs w:val="24"/>
          <w:lang w:val="en-GB"/>
        </w:rPr>
        <w:t xml:space="preserve"> income statement is a financial statement that summarises revenue and expenses of an organisation. It is a helpful approach to determine profitability position of a business during reporting period (</w:t>
      </w:r>
      <w:proofErr w:type="spellStart"/>
      <w:r w:rsidR="002877B5" w:rsidRPr="00DE6ED2">
        <w:rPr>
          <w:rFonts w:ascii="Times New Roman" w:hAnsi="Times New Roman" w:cs="Times New Roman"/>
          <w:color w:val="000000" w:themeColor="text1"/>
          <w:sz w:val="24"/>
          <w:szCs w:val="24"/>
          <w:shd w:val="clear" w:color="auto" w:fill="FFFFFF"/>
          <w:lang w:val="en-GB"/>
        </w:rPr>
        <w:t>Shengdao</w:t>
      </w:r>
      <w:proofErr w:type="spellEnd"/>
      <w:r w:rsidR="002877B5" w:rsidRPr="00DE6ED2">
        <w:rPr>
          <w:rFonts w:ascii="Times New Roman" w:hAnsi="Times New Roman" w:cs="Times New Roman"/>
          <w:color w:val="000000" w:themeColor="text1"/>
          <w:sz w:val="24"/>
          <w:szCs w:val="24"/>
          <w:shd w:val="clear" w:color="auto" w:fill="FFFFFF"/>
          <w:lang w:val="en-GB"/>
        </w:rPr>
        <w:t xml:space="preserve"> </w:t>
      </w:r>
      <w:r w:rsidR="002877B5" w:rsidRPr="00DE6ED2">
        <w:rPr>
          <w:rFonts w:ascii="Times New Roman" w:hAnsi="Times New Roman" w:cs="Times New Roman"/>
          <w:i/>
          <w:color w:val="000000" w:themeColor="text1"/>
          <w:sz w:val="24"/>
          <w:szCs w:val="24"/>
          <w:shd w:val="clear" w:color="auto" w:fill="FFFFFF"/>
          <w:lang w:val="en-GB"/>
        </w:rPr>
        <w:t xml:space="preserve">et al. </w:t>
      </w:r>
      <w:r w:rsidR="002877B5" w:rsidRPr="00DE6ED2">
        <w:rPr>
          <w:rFonts w:ascii="Times New Roman" w:hAnsi="Times New Roman" w:cs="Times New Roman"/>
          <w:color w:val="000000" w:themeColor="text1"/>
          <w:sz w:val="24"/>
          <w:szCs w:val="24"/>
          <w:shd w:val="clear" w:color="auto" w:fill="FFFFFF"/>
          <w:lang w:val="en-GB"/>
        </w:rPr>
        <w:t>2020</w:t>
      </w:r>
      <w:r w:rsidRPr="00DE6ED2">
        <w:rPr>
          <w:rFonts w:ascii="Times New Roman" w:eastAsia="Times New Roman" w:hAnsi="Times New Roman" w:cs="Times New Roman"/>
          <w:color w:val="0E101A"/>
          <w:sz w:val="24"/>
          <w:szCs w:val="24"/>
          <w:lang w:val="en-GB"/>
        </w:rPr>
        <w:t xml:space="preserve">). For Kedison Plc, profit &amp; loss statement has helped in understanding how revenue has been transformed into profit. In company, corporate tax was £68000 for year, commission for sale was £3000 and goods valued at £980 were sent to customers. This amount of goods were sent on 31st December 2020 so, it has not been recorded in ledger account of business. However, amount on behalf of this would be collected on 28th February 2021. So, it would be treated as an outstanding payment for 2021. So, it would be added with sale and cost of goods sold for showing sale and cost of sale of £980 made by Kedison Plc.   </w:t>
      </w:r>
    </w:p>
    <w:tbl>
      <w:tblPr>
        <w:tblW w:w="5439" w:type="dxa"/>
        <w:jc w:val="center"/>
        <w:tblLook w:val="04A0" w:firstRow="1" w:lastRow="0" w:firstColumn="1" w:lastColumn="0" w:noHBand="0" w:noVBand="1"/>
      </w:tblPr>
      <w:tblGrid>
        <w:gridCol w:w="4064"/>
        <w:gridCol w:w="996"/>
        <w:gridCol w:w="996"/>
      </w:tblGrid>
      <w:tr w:rsidR="00AB465C" w:rsidRPr="00625904" w14:paraId="49E60702" w14:textId="77777777" w:rsidTr="00AB465C">
        <w:trPr>
          <w:trHeight w:val="275"/>
          <w:jc w:val="center"/>
        </w:trPr>
        <w:tc>
          <w:tcPr>
            <w:tcW w:w="543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6CB199" w14:textId="77777777" w:rsidR="00AB465C" w:rsidRPr="00625904" w:rsidRDefault="00AB465C" w:rsidP="003336DA">
            <w:pPr>
              <w:spacing w:line="240" w:lineRule="auto"/>
              <w:jc w:val="center"/>
              <w:rPr>
                <w:rFonts w:ascii="Times New Roman" w:eastAsia="Times New Roman" w:hAnsi="Times New Roman" w:cs="Times New Roman"/>
                <w:b/>
                <w:bCs/>
                <w:color w:val="000000"/>
                <w:sz w:val="24"/>
                <w:szCs w:val="24"/>
              </w:rPr>
            </w:pPr>
            <w:r w:rsidRPr="00625904">
              <w:rPr>
                <w:rFonts w:ascii="Times New Roman" w:eastAsia="Times New Roman" w:hAnsi="Times New Roman" w:cs="Times New Roman"/>
                <w:b/>
                <w:bCs/>
                <w:color w:val="000000"/>
                <w:sz w:val="24"/>
                <w:szCs w:val="24"/>
              </w:rPr>
              <w:t>Kedison PLC's Profit and Loss Statement [For 31st December 2020]</w:t>
            </w:r>
          </w:p>
        </w:tc>
      </w:tr>
      <w:tr w:rsidR="00AB465C" w:rsidRPr="00625904" w14:paraId="486BD7E5"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18A7BC0F" w14:textId="77777777" w:rsidR="00AB465C" w:rsidRPr="00625904" w:rsidRDefault="00AB465C" w:rsidP="003336DA">
            <w:pPr>
              <w:spacing w:line="240" w:lineRule="auto"/>
              <w:rPr>
                <w:rFonts w:ascii="Times New Roman" w:eastAsia="Times New Roman" w:hAnsi="Times New Roman" w:cs="Times New Roman"/>
                <w:b/>
                <w:bCs/>
                <w:color w:val="000000"/>
                <w:sz w:val="24"/>
                <w:szCs w:val="24"/>
              </w:rPr>
            </w:pPr>
            <w:r w:rsidRPr="00625904">
              <w:rPr>
                <w:rFonts w:ascii="Times New Roman" w:eastAsia="Times New Roman" w:hAnsi="Times New Roman" w:cs="Times New Roman"/>
                <w:b/>
                <w:bCs/>
                <w:color w:val="000000"/>
                <w:sz w:val="24"/>
                <w:szCs w:val="24"/>
              </w:rPr>
              <w:t>Items</w:t>
            </w:r>
          </w:p>
        </w:tc>
        <w:tc>
          <w:tcPr>
            <w:tcW w:w="687" w:type="dxa"/>
            <w:tcBorders>
              <w:top w:val="nil"/>
              <w:left w:val="nil"/>
              <w:bottom w:val="single" w:sz="4" w:space="0" w:color="auto"/>
              <w:right w:val="single" w:sz="4" w:space="0" w:color="auto"/>
            </w:tcBorders>
            <w:shd w:val="clear" w:color="auto" w:fill="auto"/>
            <w:noWrap/>
            <w:vAlign w:val="bottom"/>
            <w:hideMark/>
          </w:tcPr>
          <w:p w14:paraId="75E6473D" w14:textId="77777777" w:rsidR="00AB465C" w:rsidRPr="00625904" w:rsidRDefault="00AB465C" w:rsidP="003336DA">
            <w:pPr>
              <w:spacing w:line="240" w:lineRule="auto"/>
              <w:rPr>
                <w:rFonts w:ascii="Times New Roman" w:eastAsia="Times New Roman" w:hAnsi="Times New Roman" w:cs="Times New Roman"/>
                <w:b/>
                <w:bCs/>
                <w:color w:val="000000"/>
                <w:sz w:val="24"/>
                <w:szCs w:val="24"/>
              </w:rPr>
            </w:pPr>
            <w:r w:rsidRPr="00625904">
              <w:rPr>
                <w:rFonts w:ascii="Times New Roman" w:eastAsia="Times New Roman" w:hAnsi="Times New Roman" w:cs="Times New Roman"/>
                <w:b/>
                <w:bCs/>
                <w:color w:val="000000"/>
                <w:sz w:val="24"/>
                <w:szCs w:val="24"/>
              </w:rPr>
              <w:t xml:space="preserve"> (£) Sum</w:t>
            </w:r>
          </w:p>
        </w:tc>
        <w:tc>
          <w:tcPr>
            <w:tcW w:w="687" w:type="dxa"/>
            <w:tcBorders>
              <w:top w:val="nil"/>
              <w:left w:val="nil"/>
              <w:bottom w:val="single" w:sz="4" w:space="0" w:color="auto"/>
              <w:right w:val="single" w:sz="4" w:space="0" w:color="auto"/>
            </w:tcBorders>
            <w:shd w:val="clear" w:color="auto" w:fill="auto"/>
            <w:noWrap/>
            <w:vAlign w:val="bottom"/>
            <w:hideMark/>
          </w:tcPr>
          <w:p w14:paraId="1E47ED6B" w14:textId="77777777" w:rsidR="00AB465C" w:rsidRPr="00625904" w:rsidRDefault="00AB465C" w:rsidP="003336DA">
            <w:pPr>
              <w:spacing w:line="240" w:lineRule="auto"/>
              <w:rPr>
                <w:rFonts w:ascii="Times New Roman" w:eastAsia="Times New Roman" w:hAnsi="Times New Roman" w:cs="Times New Roman"/>
                <w:b/>
                <w:bCs/>
                <w:color w:val="000000"/>
                <w:sz w:val="24"/>
                <w:szCs w:val="24"/>
              </w:rPr>
            </w:pPr>
            <w:r w:rsidRPr="00625904">
              <w:rPr>
                <w:rFonts w:ascii="Times New Roman" w:eastAsia="Times New Roman" w:hAnsi="Times New Roman" w:cs="Times New Roman"/>
                <w:b/>
                <w:bCs/>
                <w:color w:val="000000"/>
                <w:sz w:val="24"/>
                <w:szCs w:val="24"/>
              </w:rPr>
              <w:t xml:space="preserve"> (£) Sum</w:t>
            </w:r>
          </w:p>
        </w:tc>
      </w:tr>
      <w:tr w:rsidR="00AB465C" w:rsidRPr="00625904" w14:paraId="3433C5C7"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6C46449B"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xml:space="preserve">Sales revenue </w:t>
            </w:r>
          </w:p>
        </w:tc>
        <w:tc>
          <w:tcPr>
            <w:tcW w:w="687" w:type="dxa"/>
            <w:tcBorders>
              <w:top w:val="nil"/>
              <w:left w:val="nil"/>
              <w:bottom w:val="single" w:sz="4" w:space="0" w:color="auto"/>
              <w:right w:val="single" w:sz="4" w:space="0" w:color="auto"/>
            </w:tcBorders>
            <w:shd w:val="clear" w:color="auto" w:fill="auto"/>
            <w:noWrap/>
            <w:vAlign w:val="bottom"/>
            <w:hideMark/>
          </w:tcPr>
          <w:p w14:paraId="5EC2D509"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c>
          <w:tcPr>
            <w:tcW w:w="687" w:type="dxa"/>
            <w:tcBorders>
              <w:top w:val="nil"/>
              <w:left w:val="nil"/>
              <w:bottom w:val="single" w:sz="4" w:space="0" w:color="auto"/>
              <w:right w:val="single" w:sz="4" w:space="0" w:color="auto"/>
            </w:tcBorders>
            <w:shd w:val="clear" w:color="auto" w:fill="auto"/>
            <w:noWrap/>
            <w:vAlign w:val="bottom"/>
            <w:hideMark/>
          </w:tcPr>
          <w:p w14:paraId="7373954E"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826,650</w:t>
            </w:r>
          </w:p>
        </w:tc>
      </w:tr>
      <w:tr w:rsidR="00AB465C" w:rsidRPr="00625904" w14:paraId="742571E8"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41372142"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(Add) Goods were sent to customers on 31st December 2020</w:t>
            </w:r>
          </w:p>
        </w:tc>
        <w:tc>
          <w:tcPr>
            <w:tcW w:w="687" w:type="dxa"/>
            <w:tcBorders>
              <w:top w:val="nil"/>
              <w:left w:val="nil"/>
              <w:bottom w:val="single" w:sz="4" w:space="0" w:color="auto"/>
              <w:right w:val="single" w:sz="4" w:space="0" w:color="auto"/>
            </w:tcBorders>
            <w:shd w:val="clear" w:color="auto" w:fill="auto"/>
            <w:noWrap/>
            <w:vAlign w:val="bottom"/>
            <w:hideMark/>
          </w:tcPr>
          <w:p w14:paraId="7B03C321"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c>
          <w:tcPr>
            <w:tcW w:w="687" w:type="dxa"/>
            <w:tcBorders>
              <w:top w:val="nil"/>
              <w:left w:val="nil"/>
              <w:bottom w:val="single" w:sz="4" w:space="0" w:color="auto"/>
              <w:right w:val="single" w:sz="4" w:space="0" w:color="auto"/>
            </w:tcBorders>
            <w:shd w:val="clear" w:color="auto" w:fill="auto"/>
            <w:noWrap/>
            <w:vAlign w:val="bottom"/>
            <w:hideMark/>
          </w:tcPr>
          <w:p w14:paraId="5A61C73E"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980</w:t>
            </w:r>
          </w:p>
        </w:tc>
      </w:tr>
      <w:tr w:rsidR="00AB465C" w:rsidRPr="00625904" w14:paraId="362F3F2C"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5B8FD00F"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Sales (Total)</w:t>
            </w:r>
          </w:p>
        </w:tc>
        <w:tc>
          <w:tcPr>
            <w:tcW w:w="687" w:type="dxa"/>
            <w:tcBorders>
              <w:top w:val="nil"/>
              <w:left w:val="nil"/>
              <w:bottom w:val="single" w:sz="4" w:space="0" w:color="auto"/>
              <w:right w:val="single" w:sz="4" w:space="0" w:color="auto"/>
            </w:tcBorders>
            <w:shd w:val="clear" w:color="auto" w:fill="auto"/>
            <w:noWrap/>
            <w:vAlign w:val="bottom"/>
            <w:hideMark/>
          </w:tcPr>
          <w:p w14:paraId="372DB62D"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c>
          <w:tcPr>
            <w:tcW w:w="687" w:type="dxa"/>
            <w:tcBorders>
              <w:top w:val="nil"/>
              <w:left w:val="nil"/>
              <w:bottom w:val="single" w:sz="4" w:space="0" w:color="auto"/>
              <w:right w:val="single" w:sz="4" w:space="0" w:color="auto"/>
            </w:tcBorders>
            <w:shd w:val="clear" w:color="auto" w:fill="auto"/>
            <w:noWrap/>
            <w:vAlign w:val="bottom"/>
            <w:hideMark/>
          </w:tcPr>
          <w:p w14:paraId="6FB2B74F"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827,630</w:t>
            </w:r>
          </w:p>
        </w:tc>
      </w:tr>
      <w:tr w:rsidR="00AB465C" w:rsidRPr="00625904" w14:paraId="49841B3E"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4D973CFF"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lastRenderedPageBreak/>
              <w:t>(Less) Cost of sales</w:t>
            </w:r>
          </w:p>
        </w:tc>
        <w:tc>
          <w:tcPr>
            <w:tcW w:w="687" w:type="dxa"/>
            <w:tcBorders>
              <w:top w:val="nil"/>
              <w:left w:val="nil"/>
              <w:bottom w:val="single" w:sz="4" w:space="0" w:color="auto"/>
              <w:right w:val="single" w:sz="4" w:space="0" w:color="auto"/>
            </w:tcBorders>
            <w:shd w:val="clear" w:color="auto" w:fill="auto"/>
            <w:noWrap/>
            <w:vAlign w:val="bottom"/>
            <w:hideMark/>
          </w:tcPr>
          <w:p w14:paraId="3E0BDD73"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578,650</w:t>
            </w:r>
          </w:p>
        </w:tc>
        <w:tc>
          <w:tcPr>
            <w:tcW w:w="687" w:type="dxa"/>
            <w:tcBorders>
              <w:top w:val="nil"/>
              <w:left w:val="nil"/>
              <w:bottom w:val="single" w:sz="4" w:space="0" w:color="auto"/>
              <w:right w:val="single" w:sz="4" w:space="0" w:color="auto"/>
            </w:tcBorders>
            <w:shd w:val="clear" w:color="auto" w:fill="auto"/>
            <w:noWrap/>
            <w:vAlign w:val="bottom"/>
            <w:hideMark/>
          </w:tcPr>
          <w:p w14:paraId="683B644F"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618E722A"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6C15EC9E"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(Add) Goods were sent to customers on 31st December 2020</w:t>
            </w:r>
          </w:p>
        </w:tc>
        <w:tc>
          <w:tcPr>
            <w:tcW w:w="687" w:type="dxa"/>
            <w:tcBorders>
              <w:top w:val="nil"/>
              <w:left w:val="nil"/>
              <w:bottom w:val="single" w:sz="4" w:space="0" w:color="auto"/>
              <w:right w:val="single" w:sz="4" w:space="0" w:color="auto"/>
            </w:tcBorders>
            <w:shd w:val="clear" w:color="auto" w:fill="auto"/>
            <w:noWrap/>
            <w:vAlign w:val="bottom"/>
            <w:hideMark/>
          </w:tcPr>
          <w:p w14:paraId="20235419"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980</w:t>
            </w:r>
          </w:p>
        </w:tc>
        <w:tc>
          <w:tcPr>
            <w:tcW w:w="687" w:type="dxa"/>
            <w:tcBorders>
              <w:top w:val="nil"/>
              <w:left w:val="nil"/>
              <w:bottom w:val="single" w:sz="4" w:space="0" w:color="auto"/>
              <w:right w:val="single" w:sz="4" w:space="0" w:color="auto"/>
            </w:tcBorders>
            <w:shd w:val="clear" w:color="auto" w:fill="auto"/>
            <w:noWrap/>
            <w:vAlign w:val="bottom"/>
            <w:hideMark/>
          </w:tcPr>
          <w:p w14:paraId="065E0FBD"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2DD40BF5"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30BEB16A"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Cost of sales (Total)</w:t>
            </w:r>
          </w:p>
        </w:tc>
        <w:tc>
          <w:tcPr>
            <w:tcW w:w="687" w:type="dxa"/>
            <w:tcBorders>
              <w:top w:val="nil"/>
              <w:left w:val="nil"/>
              <w:bottom w:val="single" w:sz="4" w:space="0" w:color="auto"/>
              <w:right w:val="single" w:sz="4" w:space="0" w:color="auto"/>
            </w:tcBorders>
            <w:shd w:val="clear" w:color="auto" w:fill="auto"/>
            <w:noWrap/>
            <w:vAlign w:val="bottom"/>
            <w:hideMark/>
          </w:tcPr>
          <w:p w14:paraId="1EA90886"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c>
          <w:tcPr>
            <w:tcW w:w="687" w:type="dxa"/>
            <w:tcBorders>
              <w:top w:val="nil"/>
              <w:left w:val="nil"/>
              <w:bottom w:val="single" w:sz="4" w:space="0" w:color="auto"/>
              <w:right w:val="single" w:sz="4" w:space="0" w:color="auto"/>
            </w:tcBorders>
            <w:shd w:val="clear" w:color="auto" w:fill="auto"/>
            <w:noWrap/>
            <w:vAlign w:val="bottom"/>
            <w:hideMark/>
          </w:tcPr>
          <w:p w14:paraId="55B8CE6D"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579,630</w:t>
            </w:r>
          </w:p>
        </w:tc>
      </w:tr>
      <w:tr w:rsidR="00AB465C" w:rsidRPr="00625904" w14:paraId="7F46003C"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3ADB801C"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xml:space="preserve">Gross Profit </w:t>
            </w:r>
          </w:p>
        </w:tc>
        <w:tc>
          <w:tcPr>
            <w:tcW w:w="687" w:type="dxa"/>
            <w:tcBorders>
              <w:top w:val="nil"/>
              <w:left w:val="nil"/>
              <w:bottom w:val="single" w:sz="4" w:space="0" w:color="auto"/>
              <w:right w:val="single" w:sz="4" w:space="0" w:color="auto"/>
            </w:tcBorders>
            <w:shd w:val="clear" w:color="auto" w:fill="auto"/>
            <w:noWrap/>
            <w:vAlign w:val="bottom"/>
            <w:hideMark/>
          </w:tcPr>
          <w:p w14:paraId="11CE7E4D"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c>
          <w:tcPr>
            <w:tcW w:w="687" w:type="dxa"/>
            <w:tcBorders>
              <w:top w:val="nil"/>
              <w:left w:val="nil"/>
              <w:bottom w:val="single" w:sz="4" w:space="0" w:color="auto"/>
              <w:right w:val="single" w:sz="4" w:space="0" w:color="auto"/>
            </w:tcBorders>
            <w:shd w:val="clear" w:color="auto" w:fill="auto"/>
            <w:noWrap/>
            <w:vAlign w:val="bottom"/>
            <w:hideMark/>
          </w:tcPr>
          <w:p w14:paraId="39D0186E"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248,000</w:t>
            </w:r>
          </w:p>
        </w:tc>
      </w:tr>
      <w:tr w:rsidR="00AB465C" w:rsidRPr="00625904" w14:paraId="4EC1322A"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3B83FA8E"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(Less) Expenses (Administrative)</w:t>
            </w:r>
          </w:p>
        </w:tc>
        <w:tc>
          <w:tcPr>
            <w:tcW w:w="687" w:type="dxa"/>
            <w:tcBorders>
              <w:top w:val="nil"/>
              <w:left w:val="nil"/>
              <w:bottom w:val="single" w:sz="4" w:space="0" w:color="auto"/>
              <w:right w:val="single" w:sz="4" w:space="0" w:color="auto"/>
            </w:tcBorders>
            <w:shd w:val="clear" w:color="auto" w:fill="auto"/>
            <w:noWrap/>
            <w:vAlign w:val="bottom"/>
            <w:hideMark/>
          </w:tcPr>
          <w:p w14:paraId="512FDDB2"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30,000</w:t>
            </w:r>
          </w:p>
        </w:tc>
        <w:tc>
          <w:tcPr>
            <w:tcW w:w="687" w:type="dxa"/>
            <w:tcBorders>
              <w:top w:val="nil"/>
              <w:left w:val="nil"/>
              <w:bottom w:val="single" w:sz="4" w:space="0" w:color="auto"/>
              <w:right w:val="single" w:sz="4" w:space="0" w:color="auto"/>
            </w:tcBorders>
            <w:shd w:val="clear" w:color="auto" w:fill="auto"/>
            <w:noWrap/>
            <w:vAlign w:val="bottom"/>
            <w:hideMark/>
          </w:tcPr>
          <w:p w14:paraId="3458D3C6"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7569B118"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64AE49ED"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(Less) Costs (Distribution)</w:t>
            </w:r>
          </w:p>
        </w:tc>
        <w:tc>
          <w:tcPr>
            <w:tcW w:w="687" w:type="dxa"/>
            <w:tcBorders>
              <w:top w:val="nil"/>
              <w:left w:val="nil"/>
              <w:bottom w:val="single" w:sz="4" w:space="0" w:color="auto"/>
              <w:right w:val="single" w:sz="4" w:space="0" w:color="auto"/>
            </w:tcBorders>
            <w:shd w:val="clear" w:color="auto" w:fill="auto"/>
            <w:noWrap/>
            <w:vAlign w:val="bottom"/>
            <w:hideMark/>
          </w:tcPr>
          <w:p w14:paraId="0D56ECAE"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28000</w:t>
            </w:r>
          </w:p>
        </w:tc>
        <w:tc>
          <w:tcPr>
            <w:tcW w:w="687" w:type="dxa"/>
            <w:tcBorders>
              <w:top w:val="nil"/>
              <w:left w:val="nil"/>
              <w:bottom w:val="single" w:sz="4" w:space="0" w:color="auto"/>
              <w:right w:val="single" w:sz="4" w:space="0" w:color="auto"/>
            </w:tcBorders>
            <w:shd w:val="clear" w:color="auto" w:fill="auto"/>
            <w:noWrap/>
            <w:vAlign w:val="bottom"/>
            <w:hideMark/>
          </w:tcPr>
          <w:p w14:paraId="5AC2920C"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157B796B"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72BBE4A5"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xml:space="preserve">Operating Profit </w:t>
            </w:r>
          </w:p>
        </w:tc>
        <w:tc>
          <w:tcPr>
            <w:tcW w:w="687" w:type="dxa"/>
            <w:tcBorders>
              <w:top w:val="nil"/>
              <w:left w:val="nil"/>
              <w:bottom w:val="single" w:sz="4" w:space="0" w:color="auto"/>
              <w:right w:val="single" w:sz="4" w:space="0" w:color="auto"/>
            </w:tcBorders>
            <w:shd w:val="clear" w:color="auto" w:fill="auto"/>
            <w:noWrap/>
            <w:vAlign w:val="bottom"/>
            <w:hideMark/>
          </w:tcPr>
          <w:p w14:paraId="2D3F82C2"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c>
          <w:tcPr>
            <w:tcW w:w="687" w:type="dxa"/>
            <w:tcBorders>
              <w:top w:val="nil"/>
              <w:left w:val="nil"/>
              <w:bottom w:val="single" w:sz="4" w:space="0" w:color="auto"/>
              <w:right w:val="single" w:sz="4" w:space="0" w:color="auto"/>
            </w:tcBorders>
            <w:shd w:val="clear" w:color="auto" w:fill="auto"/>
            <w:noWrap/>
            <w:vAlign w:val="bottom"/>
            <w:hideMark/>
          </w:tcPr>
          <w:p w14:paraId="788806D8"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190,000</w:t>
            </w:r>
          </w:p>
        </w:tc>
      </w:tr>
      <w:tr w:rsidR="00AB465C" w:rsidRPr="00625904" w14:paraId="4A6BC5B1"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3CEDB58B"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xml:space="preserve">(Less) Commission (Salesmen) </w:t>
            </w:r>
          </w:p>
        </w:tc>
        <w:tc>
          <w:tcPr>
            <w:tcW w:w="687" w:type="dxa"/>
            <w:tcBorders>
              <w:top w:val="nil"/>
              <w:left w:val="nil"/>
              <w:bottom w:val="single" w:sz="4" w:space="0" w:color="auto"/>
              <w:right w:val="single" w:sz="4" w:space="0" w:color="auto"/>
            </w:tcBorders>
            <w:shd w:val="clear" w:color="auto" w:fill="auto"/>
            <w:noWrap/>
            <w:vAlign w:val="bottom"/>
            <w:hideMark/>
          </w:tcPr>
          <w:p w14:paraId="065A6DC4"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3000</w:t>
            </w:r>
          </w:p>
        </w:tc>
        <w:tc>
          <w:tcPr>
            <w:tcW w:w="687" w:type="dxa"/>
            <w:tcBorders>
              <w:top w:val="nil"/>
              <w:left w:val="nil"/>
              <w:bottom w:val="single" w:sz="4" w:space="0" w:color="auto"/>
              <w:right w:val="single" w:sz="4" w:space="0" w:color="auto"/>
            </w:tcBorders>
            <w:shd w:val="clear" w:color="auto" w:fill="auto"/>
            <w:noWrap/>
            <w:vAlign w:val="bottom"/>
            <w:hideMark/>
          </w:tcPr>
          <w:p w14:paraId="5631AAA1"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0C180467"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238C0406"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xml:space="preserve">Profit Before Interest </w:t>
            </w:r>
          </w:p>
        </w:tc>
        <w:tc>
          <w:tcPr>
            <w:tcW w:w="687" w:type="dxa"/>
            <w:tcBorders>
              <w:top w:val="nil"/>
              <w:left w:val="nil"/>
              <w:bottom w:val="single" w:sz="4" w:space="0" w:color="auto"/>
              <w:right w:val="single" w:sz="4" w:space="0" w:color="auto"/>
            </w:tcBorders>
            <w:shd w:val="clear" w:color="auto" w:fill="auto"/>
            <w:noWrap/>
            <w:vAlign w:val="bottom"/>
            <w:hideMark/>
          </w:tcPr>
          <w:p w14:paraId="4D832329"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c>
          <w:tcPr>
            <w:tcW w:w="687" w:type="dxa"/>
            <w:tcBorders>
              <w:top w:val="nil"/>
              <w:left w:val="nil"/>
              <w:bottom w:val="single" w:sz="4" w:space="0" w:color="auto"/>
              <w:right w:val="single" w:sz="4" w:space="0" w:color="auto"/>
            </w:tcBorders>
            <w:shd w:val="clear" w:color="auto" w:fill="auto"/>
            <w:noWrap/>
            <w:vAlign w:val="bottom"/>
            <w:hideMark/>
          </w:tcPr>
          <w:p w14:paraId="3AE8B296"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187,000</w:t>
            </w:r>
          </w:p>
        </w:tc>
      </w:tr>
      <w:tr w:rsidR="00AB465C" w:rsidRPr="00625904" w14:paraId="2D4349FC"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106DAA14"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xml:space="preserve">(Less) Finance Costs </w:t>
            </w:r>
          </w:p>
        </w:tc>
        <w:tc>
          <w:tcPr>
            <w:tcW w:w="687" w:type="dxa"/>
            <w:tcBorders>
              <w:top w:val="nil"/>
              <w:left w:val="nil"/>
              <w:bottom w:val="single" w:sz="4" w:space="0" w:color="auto"/>
              <w:right w:val="single" w:sz="4" w:space="0" w:color="auto"/>
            </w:tcBorders>
            <w:shd w:val="clear" w:color="auto" w:fill="auto"/>
            <w:noWrap/>
            <w:vAlign w:val="bottom"/>
            <w:hideMark/>
          </w:tcPr>
          <w:p w14:paraId="5A227FC1"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c>
          <w:tcPr>
            <w:tcW w:w="687" w:type="dxa"/>
            <w:tcBorders>
              <w:top w:val="nil"/>
              <w:left w:val="nil"/>
              <w:bottom w:val="single" w:sz="4" w:space="0" w:color="auto"/>
              <w:right w:val="single" w:sz="4" w:space="0" w:color="auto"/>
            </w:tcBorders>
            <w:shd w:val="clear" w:color="auto" w:fill="auto"/>
            <w:noWrap/>
            <w:vAlign w:val="bottom"/>
            <w:hideMark/>
          </w:tcPr>
          <w:p w14:paraId="788BFBAE"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33AB2582"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097A011F"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xml:space="preserve">Expenses (Interest) </w:t>
            </w:r>
          </w:p>
        </w:tc>
        <w:tc>
          <w:tcPr>
            <w:tcW w:w="687" w:type="dxa"/>
            <w:tcBorders>
              <w:top w:val="nil"/>
              <w:left w:val="nil"/>
              <w:bottom w:val="single" w:sz="4" w:space="0" w:color="auto"/>
              <w:right w:val="single" w:sz="4" w:space="0" w:color="auto"/>
            </w:tcBorders>
            <w:shd w:val="clear" w:color="auto" w:fill="auto"/>
            <w:noWrap/>
            <w:vAlign w:val="bottom"/>
            <w:hideMark/>
          </w:tcPr>
          <w:p w14:paraId="2889BB0F"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2,000</w:t>
            </w:r>
          </w:p>
        </w:tc>
        <w:tc>
          <w:tcPr>
            <w:tcW w:w="687" w:type="dxa"/>
            <w:tcBorders>
              <w:top w:val="nil"/>
              <w:left w:val="nil"/>
              <w:bottom w:val="single" w:sz="4" w:space="0" w:color="auto"/>
              <w:right w:val="single" w:sz="4" w:space="0" w:color="auto"/>
            </w:tcBorders>
            <w:shd w:val="clear" w:color="auto" w:fill="auto"/>
            <w:noWrap/>
            <w:vAlign w:val="bottom"/>
            <w:hideMark/>
          </w:tcPr>
          <w:p w14:paraId="46D9FC26"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2EE1A2AC"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47CAAEB0"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(Add) Interest (Outstanding)</w:t>
            </w:r>
          </w:p>
        </w:tc>
        <w:tc>
          <w:tcPr>
            <w:tcW w:w="687" w:type="dxa"/>
            <w:tcBorders>
              <w:top w:val="nil"/>
              <w:left w:val="nil"/>
              <w:bottom w:val="single" w:sz="4" w:space="0" w:color="auto"/>
              <w:right w:val="single" w:sz="4" w:space="0" w:color="auto"/>
            </w:tcBorders>
            <w:shd w:val="clear" w:color="auto" w:fill="auto"/>
            <w:noWrap/>
            <w:vAlign w:val="bottom"/>
            <w:hideMark/>
          </w:tcPr>
          <w:p w14:paraId="459C7433"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2000</w:t>
            </w:r>
          </w:p>
        </w:tc>
        <w:tc>
          <w:tcPr>
            <w:tcW w:w="687" w:type="dxa"/>
            <w:tcBorders>
              <w:top w:val="nil"/>
              <w:left w:val="nil"/>
              <w:bottom w:val="single" w:sz="4" w:space="0" w:color="auto"/>
              <w:right w:val="single" w:sz="4" w:space="0" w:color="auto"/>
            </w:tcBorders>
            <w:shd w:val="clear" w:color="auto" w:fill="auto"/>
            <w:noWrap/>
            <w:vAlign w:val="bottom"/>
            <w:hideMark/>
          </w:tcPr>
          <w:p w14:paraId="1E228F56"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1716EBDF"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212A5E74"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xml:space="preserve">Profit Before Tax </w:t>
            </w:r>
          </w:p>
        </w:tc>
        <w:tc>
          <w:tcPr>
            <w:tcW w:w="687" w:type="dxa"/>
            <w:tcBorders>
              <w:top w:val="nil"/>
              <w:left w:val="nil"/>
              <w:bottom w:val="single" w:sz="4" w:space="0" w:color="auto"/>
              <w:right w:val="single" w:sz="4" w:space="0" w:color="auto"/>
            </w:tcBorders>
            <w:shd w:val="clear" w:color="auto" w:fill="auto"/>
            <w:noWrap/>
            <w:vAlign w:val="bottom"/>
            <w:hideMark/>
          </w:tcPr>
          <w:p w14:paraId="717643EE"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c>
          <w:tcPr>
            <w:tcW w:w="687" w:type="dxa"/>
            <w:tcBorders>
              <w:top w:val="nil"/>
              <w:left w:val="nil"/>
              <w:bottom w:val="single" w:sz="4" w:space="0" w:color="auto"/>
              <w:right w:val="single" w:sz="4" w:space="0" w:color="auto"/>
            </w:tcBorders>
            <w:shd w:val="clear" w:color="auto" w:fill="auto"/>
            <w:noWrap/>
            <w:vAlign w:val="bottom"/>
            <w:hideMark/>
          </w:tcPr>
          <w:p w14:paraId="6118FFB7"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183,000</w:t>
            </w:r>
          </w:p>
        </w:tc>
      </w:tr>
      <w:tr w:rsidR="00AB465C" w:rsidRPr="00625904" w14:paraId="16856331"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65637C10"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(Less) Corporation tax</w:t>
            </w:r>
          </w:p>
        </w:tc>
        <w:tc>
          <w:tcPr>
            <w:tcW w:w="687" w:type="dxa"/>
            <w:tcBorders>
              <w:top w:val="nil"/>
              <w:left w:val="nil"/>
              <w:bottom w:val="single" w:sz="4" w:space="0" w:color="auto"/>
              <w:right w:val="single" w:sz="4" w:space="0" w:color="auto"/>
            </w:tcBorders>
            <w:shd w:val="clear" w:color="auto" w:fill="auto"/>
            <w:noWrap/>
            <w:vAlign w:val="bottom"/>
            <w:hideMark/>
          </w:tcPr>
          <w:p w14:paraId="349B588A"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68,000</w:t>
            </w:r>
          </w:p>
        </w:tc>
        <w:tc>
          <w:tcPr>
            <w:tcW w:w="687" w:type="dxa"/>
            <w:tcBorders>
              <w:top w:val="nil"/>
              <w:left w:val="nil"/>
              <w:bottom w:val="single" w:sz="4" w:space="0" w:color="auto"/>
              <w:right w:val="single" w:sz="4" w:space="0" w:color="auto"/>
            </w:tcBorders>
            <w:shd w:val="clear" w:color="auto" w:fill="auto"/>
            <w:noWrap/>
            <w:vAlign w:val="bottom"/>
            <w:hideMark/>
          </w:tcPr>
          <w:p w14:paraId="46A08118"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10293646"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163B10BE"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xml:space="preserve">Net Profit </w:t>
            </w:r>
          </w:p>
        </w:tc>
        <w:tc>
          <w:tcPr>
            <w:tcW w:w="687" w:type="dxa"/>
            <w:tcBorders>
              <w:top w:val="nil"/>
              <w:left w:val="nil"/>
              <w:bottom w:val="single" w:sz="4" w:space="0" w:color="auto"/>
              <w:right w:val="single" w:sz="4" w:space="0" w:color="auto"/>
            </w:tcBorders>
            <w:shd w:val="clear" w:color="auto" w:fill="auto"/>
            <w:noWrap/>
            <w:vAlign w:val="bottom"/>
            <w:hideMark/>
          </w:tcPr>
          <w:p w14:paraId="72FDF681"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c>
          <w:tcPr>
            <w:tcW w:w="687" w:type="dxa"/>
            <w:tcBorders>
              <w:top w:val="nil"/>
              <w:left w:val="nil"/>
              <w:bottom w:val="single" w:sz="4" w:space="0" w:color="auto"/>
              <w:right w:val="single" w:sz="4" w:space="0" w:color="auto"/>
            </w:tcBorders>
            <w:shd w:val="clear" w:color="auto" w:fill="auto"/>
            <w:noWrap/>
            <w:vAlign w:val="bottom"/>
            <w:hideMark/>
          </w:tcPr>
          <w:p w14:paraId="13E69685"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115,000</w:t>
            </w:r>
          </w:p>
        </w:tc>
      </w:tr>
      <w:tr w:rsidR="00AB465C" w:rsidRPr="00625904" w14:paraId="090E5321"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1813D99F"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Dividend paid (Preference)</w:t>
            </w:r>
          </w:p>
        </w:tc>
        <w:tc>
          <w:tcPr>
            <w:tcW w:w="687" w:type="dxa"/>
            <w:tcBorders>
              <w:top w:val="nil"/>
              <w:left w:val="nil"/>
              <w:bottom w:val="single" w:sz="4" w:space="0" w:color="auto"/>
              <w:right w:val="single" w:sz="4" w:space="0" w:color="auto"/>
            </w:tcBorders>
            <w:shd w:val="clear" w:color="auto" w:fill="auto"/>
            <w:noWrap/>
            <w:vAlign w:val="bottom"/>
            <w:hideMark/>
          </w:tcPr>
          <w:p w14:paraId="4C907976"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30,000</w:t>
            </w:r>
          </w:p>
        </w:tc>
        <w:tc>
          <w:tcPr>
            <w:tcW w:w="687" w:type="dxa"/>
            <w:tcBorders>
              <w:top w:val="nil"/>
              <w:left w:val="nil"/>
              <w:bottom w:val="single" w:sz="4" w:space="0" w:color="auto"/>
              <w:right w:val="single" w:sz="4" w:space="0" w:color="auto"/>
            </w:tcBorders>
            <w:shd w:val="clear" w:color="auto" w:fill="auto"/>
            <w:noWrap/>
            <w:vAlign w:val="bottom"/>
            <w:hideMark/>
          </w:tcPr>
          <w:p w14:paraId="5D906F65"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7A2B5670"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0597DFE0"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Dividend paid (Ordinary)</w:t>
            </w:r>
          </w:p>
        </w:tc>
        <w:tc>
          <w:tcPr>
            <w:tcW w:w="687" w:type="dxa"/>
            <w:tcBorders>
              <w:top w:val="nil"/>
              <w:left w:val="nil"/>
              <w:bottom w:val="single" w:sz="4" w:space="0" w:color="auto"/>
              <w:right w:val="single" w:sz="4" w:space="0" w:color="auto"/>
            </w:tcBorders>
            <w:shd w:val="clear" w:color="auto" w:fill="auto"/>
            <w:noWrap/>
            <w:vAlign w:val="bottom"/>
            <w:hideMark/>
          </w:tcPr>
          <w:p w14:paraId="2E744169"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20,000</w:t>
            </w:r>
          </w:p>
        </w:tc>
        <w:tc>
          <w:tcPr>
            <w:tcW w:w="687" w:type="dxa"/>
            <w:tcBorders>
              <w:top w:val="nil"/>
              <w:left w:val="nil"/>
              <w:bottom w:val="single" w:sz="4" w:space="0" w:color="auto"/>
              <w:right w:val="single" w:sz="4" w:space="0" w:color="auto"/>
            </w:tcBorders>
            <w:shd w:val="clear" w:color="auto" w:fill="auto"/>
            <w:noWrap/>
            <w:vAlign w:val="bottom"/>
            <w:hideMark/>
          </w:tcPr>
          <w:p w14:paraId="3CFE12FD"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3F6852FB"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6BA0016B"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Remuneration (Directors)</w:t>
            </w:r>
          </w:p>
        </w:tc>
        <w:tc>
          <w:tcPr>
            <w:tcW w:w="687" w:type="dxa"/>
            <w:tcBorders>
              <w:top w:val="nil"/>
              <w:left w:val="nil"/>
              <w:bottom w:val="single" w:sz="4" w:space="0" w:color="auto"/>
              <w:right w:val="single" w:sz="4" w:space="0" w:color="auto"/>
            </w:tcBorders>
            <w:shd w:val="clear" w:color="auto" w:fill="auto"/>
            <w:noWrap/>
            <w:vAlign w:val="bottom"/>
            <w:hideMark/>
          </w:tcPr>
          <w:p w14:paraId="74635416"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5,000</w:t>
            </w:r>
          </w:p>
        </w:tc>
        <w:tc>
          <w:tcPr>
            <w:tcW w:w="687" w:type="dxa"/>
            <w:tcBorders>
              <w:top w:val="nil"/>
              <w:left w:val="nil"/>
              <w:bottom w:val="single" w:sz="4" w:space="0" w:color="auto"/>
              <w:right w:val="single" w:sz="4" w:space="0" w:color="auto"/>
            </w:tcBorders>
            <w:shd w:val="clear" w:color="auto" w:fill="auto"/>
            <w:noWrap/>
            <w:vAlign w:val="bottom"/>
            <w:hideMark/>
          </w:tcPr>
          <w:p w14:paraId="219DD7B1"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r>
      <w:tr w:rsidR="00AB465C" w:rsidRPr="00625904" w14:paraId="63E9654E" w14:textId="77777777" w:rsidTr="00AB465C">
        <w:trPr>
          <w:trHeight w:val="275"/>
          <w:jc w:val="center"/>
        </w:trPr>
        <w:tc>
          <w:tcPr>
            <w:tcW w:w="4064" w:type="dxa"/>
            <w:tcBorders>
              <w:top w:val="nil"/>
              <w:left w:val="single" w:sz="4" w:space="0" w:color="auto"/>
              <w:bottom w:val="single" w:sz="4" w:space="0" w:color="auto"/>
              <w:right w:val="single" w:sz="4" w:space="0" w:color="auto"/>
            </w:tcBorders>
            <w:shd w:val="clear" w:color="auto" w:fill="auto"/>
            <w:noWrap/>
            <w:vAlign w:val="bottom"/>
            <w:hideMark/>
          </w:tcPr>
          <w:p w14:paraId="20442B12"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xml:space="preserve">Net Gain </w:t>
            </w:r>
          </w:p>
        </w:tc>
        <w:tc>
          <w:tcPr>
            <w:tcW w:w="687" w:type="dxa"/>
            <w:tcBorders>
              <w:top w:val="nil"/>
              <w:left w:val="nil"/>
              <w:bottom w:val="single" w:sz="4" w:space="0" w:color="auto"/>
              <w:right w:val="single" w:sz="4" w:space="0" w:color="auto"/>
            </w:tcBorders>
            <w:shd w:val="clear" w:color="auto" w:fill="auto"/>
            <w:noWrap/>
            <w:vAlign w:val="bottom"/>
            <w:hideMark/>
          </w:tcPr>
          <w:p w14:paraId="72351ABE" w14:textId="77777777" w:rsidR="00AB465C" w:rsidRPr="00625904" w:rsidRDefault="00AB465C" w:rsidP="003336DA">
            <w:pPr>
              <w:spacing w:line="240" w:lineRule="auto"/>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 </w:t>
            </w:r>
          </w:p>
        </w:tc>
        <w:tc>
          <w:tcPr>
            <w:tcW w:w="687" w:type="dxa"/>
            <w:tcBorders>
              <w:top w:val="nil"/>
              <w:left w:val="nil"/>
              <w:bottom w:val="single" w:sz="4" w:space="0" w:color="auto"/>
              <w:right w:val="single" w:sz="4" w:space="0" w:color="auto"/>
            </w:tcBorders>
            <w:shd w:val="clear" w:color="auto" w:fill="auto"/>
            <w:noWrap/>
            <w:vAlign w:val="bottom"/>
            <w:hideMark/>
          </w:tcPr>
          <w:p w14:paraId="7A4FD69E" w14:textId="77777777" w:rsidR="00AB465C" w:rsidRPr="00625904" w:rsidRDefault="00AB465C" w:rsidP="003336DA">
            <w:pPr>
              <w:spacing w:line="240" w:lineRule="auto"/>
              <w:jc w:val="right"/>
              <w:rPr>
                <w:rFonts w:ascii="Times New Roman" w:eastAsia="Times New Roman" w:hAnsi="Times New Roman" w:cs="Times New Roman"/>
                <w:color w:val="000000"/>
                <w:sz w:val="24"/>
                <w:szCs w:val="24"/>
              </w:rPr>
            </w:pPr>
            <w:r w:rsidRPr="00625904">
              <w:rPr>
                <w:rFonts w:ascii="Times New Roman" w:eastAsia="Times New Roman" w:hAnsi="Times New Roman" w:cs="Times New Roman"/>
                <w:color w:val="000000"/>
                <w:sz w:val="24"/>
                <w:szCs w:val="24"/>
              </w:rPr>
              <w:t>60,000</w:t>
            </w:r>
          </w:p>
        </w:tc>
      </w:tr>
    </w:tbl>
    <w:p w14:paraId="00000006" w14:textId="6DAD5F86"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From above table, it can be understood that sales revenue of business is £827630, cost of goods sold is £579630 and gross profit is £248000. Gross profit indicates aggregate profits of business that have been obtained after deducting cost of goods sold from sales (</w:t>
      </w:r>
      <w:proofErr w:type="spellStart"/>
      <w:r w:rsidR="002877B5" w:rsidRPr="00DE6ED2">
        <w:rPr>
          <w:rFonts w:ascii="Times New Roman" w:hAnsi="Times New Roman" w:cs="Times New Roman"/>
          <w:color w:val="000000" w:themeColor="text1"/>
          <w:sz w:val="24"/>
          <w:szCs w:val="24"/>
          <w:shd w:val="clear" w:color="auto" w:fill="FFFFFF"/>
          <w:lang w:val="en-GB"/>
        </w:rPr>
        <w:t>Yudawisastra</w:t>
      </w:r>
      <w:proofErr w:type="spellEnd"/>
      <w:r w:rsidR="002877B5" w:rsidRPr="00DE6ED2">
        <w:rPr>
          <w:rFonts w:ascii="Times New Roman" w:hAnsi="Times New Roman" w:cs="Times New Roman"/>
          <w:color w:val="000000" w:themeColor="text1"/>
          <w:sz w:val="24"/>
          <w:szCs w:val="24"/>
          <w:shd w:val="clear" w:color="auto" w:fill="FFFFFF"/>
          <w:lang w:val="en-GB"/>
        </w:rPr>
        <w:t xml:space="preserve"> </w:t>
      </w:r>
      <w:r w:rsidR="002877B5" w:rsidRPr="00DE6ED2">
        <w:rPr>
          <w:rFonts w:ascii="Times New Roman" w:hAnsi="Times New Roman" w:cs="Times New Roman"/>
          <w:i/>
          <w:color w:val="000000" w:themeColor="text1"/>
          <w:sz w:val="24"/>
          <w:szCs w:val="24"/>
          <w:shd w:val="clear" w:color="auto" w:fill="FFFFFF"/>
          <w:lang w:val="en-GB"/>
        </w:rPr>
        <w:t xml:space="preserve">et al. </w:t>
      </w:r>
      <w:r w:rsidR="002877B5" w:rsidRPr="00DE6ED2">
        <w:rPr>
          <w:rFonts w:ascii="Times New Roman" w:hAnsi="Times New Roman" w:cs="Times New Roman"/>
          <w:color w:val="000000" w:themeColor="text1"/>
          <w:sz w:val="24"/>
          <w:szCs w:val="24"/>
          <w:shd w:val="clear" w:color="auto" w:fill="FFFFFF"/>
          <w:lang w:val="en-GB"/>
        </w:rPr>
        <w:t>2018</w:t>
      </w:r>
      <w:r w:rsidRPr="00DE6ED2">
        <w:rPr>
          <w:rFonts w:ascii="Times New Roman" w:eastAsia="Times New Roman" w:hAnsi="Times New Roman" w:cs="Times New Roman"/>
          <w:color w:val="0E101A"/>
          <w:sz w:val="24"/>
          <w:szCs w:val="24"/>
          <w:lang w:val="en-GB"/>
        </w:rPr>
        <w:t xml:space="preserve">). After deducting corporation tax amounting to £68000 from profit before tax £183000, net profit of £115000 has been calculated for Kedison Plc. Thus, net gain for company after deducting expenses is £60000. Calculation of profit &amp; loss statement indicates sound profitability and a net gain of business. Presence of clear financial information has helped in evaluation of profit &amp; loss statements for reporting period 2020. </w:t>
      </w:r>
    </w:p>
    <w:p w14:paraId="00000007" w14:textId="77777777" w:rsidR="00DE58EB" w:rsidRPr="00DE6ED2" w:rsidRDefault="00AB4518" w:rsidP="00E44339">
      <w:pPr>
        <w:pStyle w:val="Heading1"/>
      </w:pPr>
      <w:bookmarkStart w:id="4" w:name="_Toc80991809"/>
      <w:r w:rsidRPr="00DE6ED2">
        <w:t>Statement of financial position for Kedison Plc</w:t>
      </w:r>
      <w:bookmarkEnd w:id="4"/>
      <w:r w:rsidRPr="00DE6ED2">
        <w:t xml:space="preserve"> </w:t>
      </w:r>
    </w:p>
    <w:p w14:paraId="66F6BE77" w14:textId="4D1D67C5" w:rsidR="00AB465C"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Statement of financial position statement or balance sheet is financial statement of business that specifies assets, liabilities, and equities of business. In Kedison Plc, asset balance includes plants &amp; equipment, stocks, trade debtors, and cash at bank. Besides, liability balance of Kedison Plc includes debentures, trade creditors, outstanding payment, outstanding interest, and sales commission due. Calculation of financial position statements helps in understanding financial stability and performance business (John and Dyson, 2017). For Kedison Plc, evaluating balance sheet helps understand its performan</w:t>
      </w:r>
      <w:r w:rsidR="00AB465C">
        <w:rPr>
          <w:rFonts w:ascii="Times New Roman" w:eastAsia="Times New Roman" w:hAnsi="Times New Roman" w:cs="Times New Roman"/>
          <w:color w:val="0E101A"/>
          <w:sz w:val="24"/>
          <w:szCs w:val="24"/>
          <w:lang w:val="en-GB"/>
        </w:rPr>
        <w:t>ce in reporting period of 2020.</w:t>
      </w:r>
    </w:p>
    <w:p w14:paraId="3F9CB190" w14:textId="77777777" w:rsidR="009E5BB9" w:rsidRDefault="009E5BB9">
      <w:pPr>
        <w:spacing w:line="360" w:lineRule="auto"/>
        <w:jc w:val="both"/>
        <w:rPr>
          <w:rFonts w:ascii="Times New Roman" w:eastAsia="Times New Roman" w:hAnsi="Times New Roman" w:cs="Times New Roman"/>
          <w:color w:val="0E101A"/>
          <w:sz w:val="24"/>
          <w:szCs w:val="24"/>
          <w:lang w:val="en-GB"/>
        </w:rPr>
      </w:pPr>
    </w:p>
    <w:p w14:paraId="7954AF9C" w14:textId="77777777" w:rsidR="009E5BB9" w:rsidRDefault="009E5BB9">
      <w:pPr>
        <w:spacing w:line="360" w:lineRule="auto"/>
        <w:jc w:val="both"/>
        <w:rPr>
          <w:rFonts w:ascii="Times New Roman" w:eastAsia="Times New Roman" w:hAnsi="Times New Roman" w:cs="Times New Roman"/>
          <w:color w:val="0E101A"/>
          <w:sz w:val="24"/>
          <w:szCs w:val="24"/>
          <w:lang w:val="en-GB"/>
        </w:rPr>
      </w:pPr>
    </w:p>
    <w:p w14:paraId="40E1ECC2" w14:textId="77777777" w:rsidR="009E5BB9" w:rsidRPr="00DE6ED2" w:rsidRDefault="009E5BB9">
      <w:pPr>
        <w:spacing w:line="360" w:lineRule="auto"/>
        <w:jc w:val="both"/>
        <w:rPr>
          <w:rFonts w:ascii="Times New Roman" w:eastAsia="Times New Roman" w:hAnsi="Times New Roman" w:cs="Times New Roman"/>
          <w:color w:val="0E101A"/>
          <w:sz w:val="24"/>
          <w:szCs w:val="24"/>
          <w:lang w:val="en-GB"/>
        </w:rPr>
      </w:pPr>
    </w:p>
    <w:tbl>
      <w:tblPr>
        <w:tblW w:w="5743" w:type="dxa"/>
        <w:jc w:val="center"/>
        <w:tblLook w:val="04A0" w:firstRow="1" w:lastRow="0" w:firstColumn="1" w:lastColumn="0" w:noHBand="0" w:noVBand="1"/>
      </w:tblPr>
      <w:tblGrid>
        <w:gridCol w:w="4577"/>
        <w:gridCol w:w="996"/>
        <w:gridCol w:w="1176"/>
      </w:tblGrid>
      <w:tr w:rsidR="00AB465C" w:rsidRPr="00AB465C" w14:paraId="355FB906" w14:textId="77777777" w:rsidTr="00AB465C">
        <w:trPr>
          <w:trHeight w:val="258"/>
          <w:jc w:val="center"/>
        </w:trPr>
        <w:tc>
          <w:tcPr>
            <w:tcW w:w="5743"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FD66DC" w14:textId="77777777" w:rsidR="00AB465C" w:rsidRPr="00AB465C" w:rsidRDefault="00AB465C" w:rsidP="00AB465C">
            <w:pPr>
              <w:spacing w:line="240" w:lineRule="auto"/>
              <w:jc w:val="center"/>
              <w:rPr>
                <w:rFonts w:ascii="Times New Roman" w:eastAsia="Times New Roman" w:hAnsi="Times New Roman" w:cs="Times New Roman"/>
                <w:b/>
                <w:bCs/>
                <w:color w:val="000000"/>
                <w:sz w:val="24"/>
                <w:szCs w:val="24"/>
              </w:rPr>
            </w:pPr>
            <w:r w:rsidRPr="00AB465C">
              <w:rPr>
                <w:rFonts w:ascii="Times New Roman" w:eastAsia="Times New Roman" w:hAnsi="Times New Roman" w:cs="Times New Roman"/>
                <w:b/>
                <w:bCs/>
                <w:color w:val="000000"/>
                <w:sz w:val="24"/>
                <w:szCs w:val="24"/>
              </w:rPr>
              <w:lastRenderedPageBreak/>
              <w:t>Kedison PLC's Financial Position Statement [For 31st December 2020]</w:t>
            </w:r>
          </w:p>
        </w:tc>
      </w:tr>
      <w:tr w:rsidR="00AB465C" w:rsidRPr="00AB465C" w14:paraId="05AE8021"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3449F060" w14:textId="77777777" w:rsidR="00AB465C" w:rsidRPr="00AB465C" w:rsidRDefault="00AB465C" w:rsidP="00AB465C">
            <w:pPr>
              <w:spacing w:line="240" w:lineRule="auto"/>
              <w:rPr>
                <w:rFonts w:ascii="Times New Roman" w:eastAsia="Times New Roman" w:hAnsi="Times New Roman" w:cs="Times New Roman"/>
                <w:b/>
                <w:bCs/>
                <w:color w:val="000000"/>
                <w:sz w:val="24"/>
                <w:szCs w:val="24"/>
              </w:rPr>
            </w:pPr>
            <w:r w:rsidRPr="00AB465C">
              <w:rPr>
                <w:rFonts w:ascii="Times New Roman" w:eastAsia="Times New Roman" w:hAnsi="Times New Roman" w:cs="Times New Roman"/>
                <w:b/>
                <w:bCs/>
                <w:color w:val="000000"/>
                <w:sz w:val="24"/>
                <w:szCs w:val="24"/>
              </w:rPr>
              <w:t>Items</w:t>
            </w:r>
          </w:p>
        </w:tc>
        <w:tc>
          <w:tcPr>
            <w:tcW w:w="535" w:type="dxa"/>
            <w:tcBorders>
              <w:top w:val="nil"/>
              <w:left w:val="nil"/>
              <w:bottom w:val="single" w:sz="4" w:space="0" w:color="auto"/>
              <w:right w:val="single" w:sz="4" w:space="0" w:color="auto"/>
            </w:tcBorders>
            <w:shd w:val="clear" w:color="auto" w:fill="auto"/>
            <w:noWrap/>
            <w:vAlign w:val="bottom"/>
            <w:hideMark/>
          </w:tcPr>
          <w:p w14:paraId="13975A82" w14:textId="77777777" w:rsidR="00AB465C" w:rsidRPr="00AB465C" w:rsidRDefault="00AB465C" w:rsidP="00AB465C">
            <w:pPr>
              <w:spacing w:line="240" w:lineRule="auto"/>
              <w:rPr>
                <w:rFonts w:ascii="Times New Roman" w:eastAsia="Times New Roman" w:hAnsi="Times New Roman" w:cs="Times New Roman"/>
                <w:b/>
                <w:bCs/>
                <w:color w:val="000000"/>
                <w:sz w:val="24"/>
                <w:szCs w:val="24"/>
              </w:rPr>
            </w:pPr>
            <w:r w:rsidRPr="00AB465C">
              <w:rPr>
                <w:rFonts w:ascii="Times New Roman" w:eastAsia="Times New Roman" w:hAnsi="Times New Roman" w:cs="Times New Roman"/>
                <w:b/>
                <w:bCs/>
                <w:color w:val="000000"/>
                <w:sz w:val="24"/>
                <w:szCs w:val="24"/>
              </w:rPr>
              <w:t xml:space="preserve"> (£) Sum</w:t>
            </w:r>
          </w:p>
        </w:tc>
        <w:tc>
          <w:tcPr>
            <w:tcW w:w="631" w:type="dxa"/>
            <w:tcBorders>
              <w:top w:val="nil"/>
              <w:left w:val="nil"/>
              <w:bottom w:val="single" w:sz="4" w:space="0" w:color="auto"/>
              <w:right w:val="single" w:sz="4" w:space="0" w:color="auto"/>
            </w:tcBorders>
            <w:shd w:val="clear" w:color="auto" w:fill="auto"/>
            <w:noWrap/>
            <w:vAlign w:val="bottom"/>
            <w:hideMark/>
          </w:tcPr>
          <w:p w14:paraId="3077F994" w14:textId="77777777" w:rsidR="00AB465C" w:rsidRPr="00AB465C" w:rsidRDefault="00AB465C" w:rsidP="00AB465C">
            <w:pPr>
              <w:spacing w:line="240" w:lineRule="auto"/>
              <w:rPr>
                <w:rFonts w:ascii="Times New Roman" w:eastAsia="Times New Roman" w:hAnsi="Times New Roman" w:cs="Times New Roman"/>
                <w:b/>
                <w:bCs/>
                <w:color w:val="000000"/>
                <w:sz w:val="24"/>
                <w:szCs w:val="24"/>
              </w:rPr>
            </w:pPr>
            <w:r w:rsidRPr="00AB465C">
              <w:rPr>
                <w:rFonts w:ascii="Times New Roman" w:eastAsia="Times New Roman" w:hAnsi="Times New Roman" w:cs="Times New Roman"/>
                <w:b/>
                <w:bCs/>
                <w:color w:val="000000"/>
                <w:sz w:val="24"/>
                <w:szCs w:val="24"/>
              </w:rPr>
              <w:t xml:space="preserve"> (£) Sum</w:t>
            </w:r>
          </w:p>
        </w:tc>
      </w:tr>
      <w:tr w:rsidR="00AB465C" w:rsidRPr="00AB465C" w14:paraId="1851F096"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127631E8"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Assets Balance</w:t>
            </w:r>
          </w:p>
        </w:tc>
        <w:tc>
          <w:tcPr>
            <w:tcW w:w="535" w:type="dxa"/>
            <w:tcBorders>
              <w:top w:val="nil"/>
              <w:left w:val="nil"/>
              <w:bottom w:val="single" w:sz="4" w:space="0" w:color="auto"/>
              <w:right w:val="single" w:sz="4" w:space="0" w:color="auto"/>
            </w:tcBorders>
            <w:shd w:val="clear" w:color="auto" w:fill="auto"/>
            <w:noWrap/>
            <w:vAlign w:val="bottom"/>
            <w:hideMark/>
          </w:tcPr>
          <w:p w14:paraId="5B65426F"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56B27C28"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49DB1A67"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1A876D1B"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Current Assets </w:t>
            </w:r>
          </w:p>
        </w:tc>
        <w:tc>
          <w:tcPr>
            <w:tcW w:w="535" w:type="dxa"/>
            <w:tcBorders>
              <w:top w:val="nil"/>
              <w:left w:val="nil"/>
              <w:bottom w:val="single" w:sz="4" w:space="0" w:color="auto"/>
              <w:right w:val="single" w:sz="4" w:space="0" w:color="auto"/>
            </w:tcBorders>
            <w:shd w:val="clear" w:color="auto" w:fill="auto"/>
            <w:noWrap/>
            <w:vAlign w:val="bottom"/>
            <w:hideMark/>
          </w:tcPr>
          <w:p w14:paraId="58716AA4"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1214FA82"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3B68DD38"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7590BEB3"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Trade Debtors</w:t>
            </w:r>
          </w:p>
        </w:tc>
        <w:tc>
          <w:tcPr>
            <w:tcW w:w="535" w:type="dxa"/>
            <w:tcBorders>
              <w:top w:val="nil"/>
              <w:left w:val="nil"/>
              <w:bottom w:val="single" w:sz="4" w:space="0" w:color="auto"/>
              <w:right w:val="single" w:sz="4" w:space="0" w:color="auto"/>
            </w:tcBorders>
            <w:shd w:val="clear" w:color="auto" w:fill="auto"/>
            <w:noWrap/>
            <w:vAlign w:val="bottom"/>
            <w:hideMark/>
          </w:tcPr>
          <w:p w14:paraId="4CF0DEB3"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170,125</w:t>
            </w:r>
          </w:p>
        </w:tc>
        <w:tc>
          <w:tcPr>
            <w:tcW w:w="631" w:type="dxa"/>
            <w:tcBorders>
              <w:top w:val="nil"/>
              <w:left w:val="nil"/>
              <w:bottom w:val="single" w:sz="4" w:space="0" w:color="auto"/>
              <w:right w:val="single" w:sz="4" w:space="0" w:color="auto"/>
            </w:tcBorders>
            <w:shd w:val="clear" w:color="auto" w:fill="auto"/>
            <w:noWrap/>
            <w:vAlign w:val="bottom"/>
            <w:hideMark/>
          </w:tcPr>
          <w:p w14:paraId="4F9C54AA"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5869FA48"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40FB708E"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Cash and bank</w:t>
            </w:r>
          </w:p>
        </w:tc>
        <w:tc>
          <w:tcPr>
            <w:tcW w:w="535" w:type="dxa"/>
            <w:tcBorders>
              <w:top w:val="nil"/>
              <w:left w:val="nil"/>
              <w:bottom w:val="single" w:sz="4" w:space="0" w:color="auto"/>
              <w:right w:val="single" w:sz="4" w:space="0" w:color="auto"/>
            </w:tcBorders>
            <w:shd w:val="clear" w:color="auto" w:fill="auto"/>
            <w:noWrap/>
            <w:vAlign w:val="bottom"/>
            <w:hideMark/>
          </w:tcPr>
          <w:p w14:paraId="0919CECE"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12,900</w:t>
            </w:r>
          </w:p>
        </w:tc>
        <w:tc>
          <w:tcPr>
            <w:tcW w:w="631" w:type="dxa"/>
            <w:tcBorders>
              <w:top w:val="nil"/>
              <w:left w:val="nil"/>
              <w:bottom w:val="single" w:sz="4" w:space="0" w:color="auto"/>
              <w:right w:val="single" w:sz="4" w:space="0" w:color="auto"/>
            </w:tcBorders>
            <w:shd w:val="clear" w:color="auto" w:fill="auto"/>
            <w:noWrap/>
            <w:vAlign w:val="bottom"/>
            <w:hideMark/>
          </w:tcPr>
          <w:p w14:paraId="3E1F78CC"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5F4BC67C"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74B383A1"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Inventories at 31st December 2020</w:t>
            </w:r>
          </w:p>
        </w:tc>
        <w:tc>
          <w:tcPr>
            <w:tcW w:w="535" w:type="dxa"/>
            <w:tcBorders>
              <w:top w:val="nil"/>
              <w:left w:val="nil"/>
              <w:bottom w:val="single" w:sz="4" w:space="0" w:color="auto"/>
              <w:right w:val="single" w:sz="4" w:space="0" w:color="auto"/>
            </w:tcBorders>
            <w:shd w:val="clear" w:color="auto" w:fill="auto"/>
            <w:noWrap/>
            <w:vAlign w:val="bottom"/>
            <w:hideMark/>
          </w:tcPr>
          <w:p w14:paraId="25CDB1C6"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330,600</w:t>
            </w:r>
          </w:p>
        </w:tc>
        <w:tc>
          <w:tcPr>
            <w:tcW w:w="631" w:type="dxa"/>
            <w:tcBorders>
              <w:top w:val="nil"/>
              <w:left w:val="nil"/>
              <w:bottom w:val="single" w:sz="4" w:space="0" w:color="auto"/>
              <w:right w:val="single" w:sz="4" w:space="0" w:color="auto"/>
            </w:tcBorders>
            <w:shd w:val="clear" w:color="auto" w:fill="auto"/>
            <w:noWrap/>
            <w:vAlign w:val="bottom"/>
            <w:hideMark/>
          </w:tcPr>
          <w:p w14:paraId="5F29BD30"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01B77C55"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790A5A09"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Current Assets (Total) </w:t>
            </w:r>
          </w:p>
        </w:tc>
        <w:tc>
          <w:tcPr>
            <w:tcW w:w="535" w:type="dxa"/>
            <w:tcBorders>
              <w:top w:val="nil"/>
              <w:left w:val="nil"/>
              <w:bottom w:val="single" w:sz="4" w:space="0" w:color="auto"/>
              <w:right w:val="single" w:sz="4" w:space="0" w:color="auto"/>
            </w:tcBorders>
            <w:shd w:val="clear" w:color="auto" w:fill="auto"/>
            <w:noWrap/>
            <w:vAlign w:val="bottom"/>
            <w:hideMark/>
          </w:tcPr>
          <w:p w14:paraId="1D2D070E"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63745A42"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513,625</w:t>
            </w:r>
          </w:p>
        </w:tc>
      </w:tr>
      <w:tr w:rsidR="00AB465C" w:rsidRPr="00AB465C" w14:paraId="2615861E"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772980FF"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Non-Current Assets </w:t>
            </w:r>
          </w:p>
        </w:tc>
        <w:tc>
          <w:tcPr>
            <w:tcW w:w="535" w:type="dxa"/>
            <w:tcBorders>
              <w:top w:val="nil"/>
              <w:left w:val="nil"/>
              <w:bottom w:val="single" w:sz="4" w:space="0" w:color="auto"/>
              <w:right w:val="single" w:sz="4" w:space="0" w:color="auto"/>
            </w:tcBorders>
            <w:shd w:val="clear" w:color="auto" w:fill="auto"/>
            <w:noWrap/>
            <w:vAlign w:val="bottom"/>
            <w:hideMark/>
          </w:tcPr>
          <w:p w14:paraId="0E46B8B8"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4A291B9F"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770BD649"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22C70132"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Equipment &amp; Plant</w:t>
            </w:r>
          </w:p>
        </w:tc>
        <w:tc>
          <w:tcPr>
            <w:tcW w:w="535" w:type="dxa"/>
            <w:tcBorders>
              <w:top w:val="nil"/>
              <w:left w:val="nil"/>
              <w:bottom w:val="single" w:sz="4" w:space="0" w:color="auto"/>
              <w:right w:val="single" w:sz="4" w:space="0" w:color="auto"/>
            </w:tcBorders>
            <w:shd w:val="clear" w:color="auto" w:fill="auto"/>
            <w:noWrap/>
            <w:vAlign w:val="bottom"/>
            <w:hideMark/>
          </w:tcPr>
          <w:p w14:paraId="47859BE7"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632,730</w:t>
            </w:r>
          </w:p>
        </w:tc>
        <w:tc>
          <w:tcPr>
            <w:tcW w:w="631" w:type="dxa"/>
            <w:tcBorders>
              <w:top w:val="nil"/>
              <w:left w:val="nil"/>
              <w:bottom w:val="single" w:sz="4" w:space="0" w:color="auto"/>
              <w:right w:val="single" w:sz="4" w:space="0" w:color="auto"/>
            </w:tcBorders>
            <w:shd w:val="clear" w:color="auto" w:fill="auto"/>
            <w:noWrap/>
            <w:vAlign w:val="bottom"/>
            <w:hideMark/>
          </w:tcPr>
          <w:p w14:paraId="6BBAC45B"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052F1BE6"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1C2898D8"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Non-Current Assets (Total)  </w:t>
            </w:r>
          </w:p>
        </w:tc>
        <w:tc>
          <w:tcPr>
            <w:tcW w:w="535" w:type="dxa"/>
            <w:tcBorders>
              <w:top w:val="nil"/>
              <w:left w:val="nil"/>
              <w:bottom w:val="single" w:sz="4" w:space="0" w:color="auto"/>
              <w:right w:val="single" w:sz="4" w:space="0" w:color="auto"/>
            </w:tcBorders>
            <w:shd w:val="clear" w:color="auto" w:fill="auto"/>
            <w:noWrap/>
            <w:vAlign w:val="bottom"/>
            <w:hideMark/>
          </w:tcPr>
          <w:p w14:paraId="5C7C66B7"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2B7D68ED"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632,730</w:t>
            </w:r>
          </w:p>
        </w:tc>
      </w:tr>
      <w:tr w:rsidR="00AB465C" w:rsidRPr="00AB465C" w14:paraId="11E7FC23"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7B4E0B30"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Assets (Total)</w:t>
            </w:r>
          </w:p>
        </w:tc>
        <w:tc>
          <w:tcPr>
            <w:tcW w:w="535" w:type="dxa"/>
            <w:tcBorders>
              <w:top w:val="nil"/>
              <w:left w:val="nil"/>
              <w:bottom w:val="single" w:sz="4" w:space="0" w:color="auto"/>
              <w:right w:val="single" w:sz="4" w:space="0" w:color="auto"/>
            </w:tcBorders>
            <w:shd w:val="clear" w:color="auto" w:fill="auto"/>
            <w:noWrap/>
            <w:vAlign w:val="bottom"/>
            <w:hideMark/>
          </w:tcPr>
          <w:p w14:paraId="7C1018F6"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109A7E32"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1,146,355</w:t>
            </w:r>
          </w:p>
        </w:tc>
      </w:tr>
      <w:tr w:rsidR="00AB465C" w:rsidRPr="00AB465C" w14:paraId="478AF1BA"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0BC0987E"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Liabilities &amp; equities </w:t>
            </w:r>
          </w:p>
        </w:tc>
        <w:tc>
          <w:tcPr>
            <w:tcW w:w="535" w:type="dxa"/>
            <w:tcBorders>
              <w:top w:val="nil"/>
              <w:left w:val="nil"/>
              <w:bottom w:val="single" w:sz="4" w:space="0" w:color="auto"/>
              <w:right w:val="single" w:sz="4" w:space="0" w:color="auto"/>
            </w:tcBorders>
            <w:shd w:val="clear" w:color="auto" w:fill="auto"/>
            <w:noWrap/>
            <w:vAlign w:val="bottom"/>
            <w:hideMark/>
          </w:tcPr>
          <w:p w14:paraId="76A6E214"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7B3BFDF7"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16F60EA4"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3868564B"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Equities </w:t>
            </w:r>
          </w:p>
        </w:tc>
        <w:tc>
          <w:tcPr>
            <w:tcW w:w="535" w:type="dxa"/>
            <w:tcBorders>
              <w:top w:val="nil"/>
              <w:left w:val="nil"/>
              <w:bottom w:val="single" w:sz="4" w:space="0" w:color="auto"/>
              <w:right w:val="single" w:sz="4" w:space="0" w:color="auto"/>
            </w:tcBorders>
            <w:shd w:val="clear" w:color="auto" w:fill="auto"/>
            <w:noWrap/>
            <w:vAlign w:val="bottom"/>
            <w:hideMark/>
          </w:tcPr>
          <w:p w14:paraId="15C36067"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03560B24"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56B94E75"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789C63A5"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Ordinary shares (£1)</w:t>
            </w:r>
          </w:p>
        </w:tc>
        <w:tc>
          <w:tcPr>
            <w:tcW w:w="535" w:type="dxa"/>
            <w:tcBorders>
              <w:top w:val="nil"/>
              <w:left w:val="nil"/>
              <w:bottom w:val="single" w:sz="4" w:space="0" w:color="auto"/>
              <w:right w:val="single" w:sz="4" w:space="0" w:color="auto"/>
            </w:tcBorders>
            <w:shd w:val="clear" w:color="auto" w:fill="auto"/>
            <w:noWrap/>
            <w:vAlign w:val="bottom"/>
            <w:hideMark/>
          </w:tcPr>
          <w:p w14:paraId="22A7A861"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310,000</w:t>
            </w:r>
          </w:p>
        </w:tc>
        <w:tc>
          <w:tcPr>
            <w:tcW w:w="631" w:type="dxa"/>
            <w:tcBorders>
              <w:top w:val="nil"/>
              <w:left w:val="nil"/>
              <w:bottom w:val="single" w:sz="4" w:space="0" w:color="auto"/>
              <w:right w:val="single" w:sz="4" w:space="0" w:color="auto"/>
            </w:tcBorders>
            <w:shd w:val="clear" w:color="auto" w:fill="auto"/>
            <w:noWrap/>
            <w:vAlign w:val="bottom"/>
            <w:hideMark/>
          </w:tcPr>
          <w:p w14:paraId="14F35966"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22AB189A"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1E03C562"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(Add) Net Profit  </w:t>
            </w:r>
          </w:p>
        </w:tc>
        <w:tc>
          <w:tcPr>
            <w:tcW w:w="535" w:type="dxa"/>
            <w:tcBorders>
              <w:top w:val="nil"/>
              <w:left w:val="nil"/>
              <w:bottom w:val="single" w:sz="4" w:space="0" w:color="auto"/>
              <w:right w:val="single" w:sz="4" w:space="0" w:color="auto"/>
            </w:tcBorders>
            <w:shd w:val="clear" w:color="auto" w:fill="auto"/>
            <w:noWrap/>
            <w:vAlign w:val="bottom"/>
            <w:hideMark/>
          </w:tcPr>
          <w:p w14:paraId="11B80324"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115,000</w:t>
            </w:r>
          </w:p>
        </w:tc>
        <w:tc>
          <w:tcPr>
            <w:tcW w:w="631" w:type="dxa"/>
            <w:tcBorders>
              <w:top w:val="nil"/>
              <w:left w:val="nil"/>
              <w:bottom w:val="single" w:sz="4" w:space="0" w:color="auto"/>
              <w:right w:val="single" w:sz="4" w:space="0" w:color="auto"/>
            </w:tcBorders>
            <w:shd w:val="clear" w:color="auto" w:fill="auto"/>
            <w:noWrap/>
            <w:vAlign w:val="bottom"/>
            <w:hideMark/>
          </w:tcPr>
          <w:p w14:paraId="5B5D3AF1"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3EC8FD3F"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18DB98C0"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(Add)  Preference shares (10% £1)</w:t>
            </w:r>
          </w:p>
        </w:tc>
        <w:tc>
          <w:tcPr>
            <w:tcW w:w="535" w:type="dxa"/>
            <w:tcBorders>
              <w:top w:val="nil"/>
              <w:left w:val="nil"/>
              <w:bottom w:val="single" w:sz="4" w:space="0" w:color="auto"/>
              <w:right w:val="single" w:sz="4" w:space="0" w:color="auto"/>
            </w:tcBorders>
            <w:shd w:val="clear" w:color="auto" w:fill="auto"/>
            <w:noWrap/>
            <w:vAlign w:val="bottom"/>
            <w:hideMark/>
          </w:tcPr>
          <w:p w14:paraId="3B7FB832"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300,000</w:t>
            </w:r>
          </w:p>
        </w:tc>
        <w:tc>
          <w:tcPr>
            <w:tcW w:w="631" w:type="dxa"/>
            <w:tcBorders>
              <w:top w:val="nil"/>
              <w:left w:val="nil"/>
              <w:bottom w:val="single" w:sz="4" w:space="0" w:color="auto"/>
              <w:right w:val="single" w:sz="4" w:space="0" w:color="auto"/>
            </w:tcBorders>
            <w:shd w:val="clear" w:color="auto" w:fill="auto"/>
            <w:noWrap/>
            <w:vAlign w:val="bottom"/>
            <w:hideMark/>
          </w:tcPr>
          <w:p w14:paraId="2DCA23B7"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3CF64546"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3FA82497"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(Add) Profits (Retained) at 1st January 2020</w:t>
            </w:r>
          </w:p>
        </w:tc>
        <w:tc>
          <w:tcPr>
            <w:tcW w:w="535" w:type="dxa"/>
            <w:tcBorders>
              <w:top w:val="nil"/>
              <w:left w:val="nil"/>
              <w:bottom w:val="single" w:sz="4" w:space="0" w:color="auto"/>
              <w:right w:val="single" w:sz="4" w:space="0" w:color="auto"/>
            </w:tcBorders>
            <w:shd w:val="clear" w:color="auto" w:fill="auto"/>
            <w:noWrap/>
            <w:vAlign w:val="bottom"/>
            <w:hideMark/>
          </w:tcPr>
          <w:p w14:paraId="3090925E"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144,020</w:t>
            </w:r>
          </w:p>
        </w:tc>
        <w:tc>
          <w:tcPr>
            <w:tcW w:w="631" w:type="dxa"/>
            <w:tcBorders>
              <w:top w:val="nil"/>
              <w:left w:val="nil"/>
              <w:bottom w:val="single" w:sz="4" w:space="0" w:color="auto"/>
              <w:right w:val="single" w:sz="4" w:space="0" w:color="auto"/>
            </w:tcBorders>
            <w:shd w:val="clear" w:color="auto" w:fill="auto"/>
            <w:noWrap/>
            <w:vAlign w:val="bottom"/>
            <w:hideMark/>
          </w:tcPr>
          <w:p w14:paraId="354BEE00"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67545F32"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4ECC6F03"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Equities (Total)</w:t>
            </w:r>
          </w:p>
        </w:tc>
        <w:tc>
          <w:tcPr>
            <w:tcW w:w="535" w:type="dxa"/>
            <w:tcBorders>
              <w:top w:val="nil"/>
              <w:left w:val="nil"/>
              <w:bottom w:val="single" w:sz="4" w:space="0" w:color="auto"/>
              <w:right w:val="single" w:sz="4" w:space="0" w:color="auto"/>
            </w:tcBorders>
            <w:shd w:val="clear" w:color="auto" w:fill="auto"/>
            <w:noWrap/>
            <w:vAlign w:val="bottom"/>
            <w:hideMark/>
          </w:tcPr>
          <w:p w14:paraId="13CBA51A"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06899637"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869,020</w:t>
            </w:r>
          </w:p>
        </w:tc>
      </w:tr>
      <w:tr w:rsidR="00AB465C" w:rsidRPr="00AB465C" w14:paraId="77E4D124"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2AD4E93E"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Liabilities </w:t>
            </w:r>
          </w:p>
        </w:tc>
        <w:tc>
          <w:tcPr>
            <w:tcW w:w="535" w:type="dxa"/>
            <w:tcBorders>
              <w:top w:val="nil"/>
              <w:left w:val="nil"/>
              <w:bottom w:val="single" w:sz="4" w:space="0" w:color="auto"/>
              <w:right w:val="single" w:sz="4" w:space="0" w:color="auto"/>
            </w:tcBorders>
            <w:shd w:val="clear" w:color="auto" w:fill="auto"/>
            <w:noWrap/>
            <w:vAlign w:val="bottom"/>
            <w:hideMark/>
          </w:tcPr>
          <w:p w14:paraId="4504AE77"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5FA5D4E2"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5A6434C4"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203859A0"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Short-term Liabilities </w:t>
            </w:r>
          </w:p>
        </w:tc>
        <w:tc>
          <w:tcPr>
            <w:tcW w:w="535" w:type="dxa"/>
            <w:tcBorders>
              <w:top w:val="nil"/>
              <w:left w:val="nil"/>
              <w:bottom w:val="single" w:sz="4" w:space="0" w:color="auto"/>
              <w:right w:val="single" w:sz="4" w:space="0" w:color="auto"/>
            </w:tcBorders>
            <w:shd w:val="clear" w:color="auto" w:fill="auto"/>
            <w:noWrap/>
            <w:vAlign w:val="bottom"/>
            <w:hideMark/>
          </w:tcPr>
          <w:p w14:paraId="2CD3193B"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397BB890"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430817EF"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514935D8"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Salesmen commission due </w:t>
            </w:r>
          </w:p>
        </w:tc>
        <w:tc>
          <w:tcPr>
            <w:tcW w:w="535" w:type="dxa"/>
            <w:tcBorders>
              <w:top w:val="nil"/>
              <w:left w:val="nil"/>
              <w:bottom w:val="single" w:sz="4" w:space="0" w:color="auto"/>
              <w:right w:val="single" w:sz="4" w:space="0" w:color="auto"/>
            </w:tcBorders>
            <w:shd w:val="clear" w:color="auto" w:fill="auto"/>
            <w:noWrap/>
            <w:vAlign w:val="bottom"/>
            <w:hideMark/>
          </w:tcPr>
          <w:p w14:paraId="00A375DE"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3000</w:t>
            </w:r>
          </w:p>
        </w:tc>
        <w:tc>
          <w:tcPr>
            <w:tcW w:w="631" w:type="dxa"/>
            <w:tcBorders>
              <w:top w:val="nil"/>
              <w:left w:val="nil"/>
              <w:bottom w:val="single" w:sz="4" w:space="0" w:color="auto"/>
              <w:right w:val="single" w:sz="4" w:space="0" w:color="auto"/>
            </w:tcBorders>
            <w:shd w:val="clear" w:color="auto" w:fill="auto"/>
            <w:noWrap/>
            <w:vAlign w:val="bottom"/>
            <w:hideMark/>
          </w:tcPr>
          <w:p w14:paraId="19ED6353"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6DC96C1B"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288AF452"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Trade creditors</w:t>
            </w:r>
          </w:p>
        </w:tc>
        <w:tc>
          <w:tcPr>
            <w:tcW w:w="535" w:type="dxa"/>
            <w:tcBorders>
              <w:top w:val="nil"/>
              <w:left w:val="nil"/>
              <w:bottom w:val="single" w:sz="4" w:space="0" w:color="auto"/>
              <w:right w:val="single" w:sz="4" w:space="0" w:color="auto"/>
            </w:tcBorders>
            <w:shd w:val="clear" w:color="auto" w:fill="auto"/>
            <w:noWrap/>
            <w:vAlign w:val="bottom"/>
            <w:hideMark/>
          </w:tcPr>
          <w:p w14:paraId="75CBAA54"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171,355</w:t>
            </w:r>
          </w:p>
        </w:tc>
        <w:tc>
          <w:tcPr>
            <w:tcW w:w="631" w:type="dxa"/>
            <w:tcBorders>
              <w:top w:val="nil"/>
              <w:left w:val="nil"/>
              <w:bottom w:val="single" w:sz="4" w:space="0" w:color="auto"/>
              <w:right w:val="single" w:sz="4" w:space="0" w:color="auto"/>
            </w:tcBorders>
            <w:shd w:val="clear" w:color="auto" w:fill="auto"/>
            <w:noWrap/>
            <w:vAlign w:val="bottom"/>
            <w:hideMark/>
          </w:tcPr>
          <w:p w14:paraId="21524FBB"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280D85E1"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63454A55"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Payment outstanding </w:t>
            </w:r>
          </w:p>
        </w:tc>
        <w:tc>
          <w:tcPr>
            <w:tcW w:w="535" w:type="dxa"/>
            <w:tcBorders>
              <w:top w:val="nil"/>
              <w:left w:val="nil"/>
              <w:bottom w:val="single" w:sz="4" w:space="0" w:color="auto"/>
              <w:right w:val="single" w:sz="4" w:space="0" w:color="auto"/>
            </w:tcBorders>
            <w:shd w:val="clear" w:color="auto" w:fill="auto"/>
            <w:noWrap/>
            <w:vAlign w:val="bottom"/>
            <w:hideMark/>
          </w:tcPr>
          <w:p w14:paraId="744188E6"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980</w:t>
            </w:r>
          </w:p>
        </w:tc>
        <w:tc>
          <w:tcPr>
            <w:tcW w:w="631" w:type="dxa"/>
            <w:tcBorders>
              <w:top w:val="nil"/>
              <w:left w:val="nil"/>
              <w:bottom w:val="single" w:sz="4" w:space="0" w:color="auto"/>
              <w:right w:val="single" w:sz="4" w:space="0" w:color="auto"/>
            </w:tcBorders>
            <w:shd w:val="clear" w:color="auto" w:fill="auto"/>
            <w:noWrap/>
            <w:vAlign w:val="bottom"/>
            <w:hideMark/>
          </w:tcPr>
          <w:p w14:paraId="112DE096"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76A92250"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29D5C2BC"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Outstanding interest </w:t>
            </w:r>
          </w:p>
        </w:tc>
        <w:tc>
          <w:tcPr>
            <w:tcW w:w="535" w:type="dxa"/>
            <w:tcBorders>
              <w:top w:val="nil"/>
              <w:left w:val="nil"/>
              <w:bottom w:val="single" w:sz="4" w:space="0" w:color="auto"/>
              <w:right w:val="single" w:sz="4" w:space="0" w:color="auto"/>
            </w:tcBorders>
            <w:shd w:val="clear" w:color="auto" w:fill="auto"/>
            <w:noWrap/>
            <w:vAlign w:val="bottom"/>
            <w:hideMark/>
          </w:tcPr>
          <w:p w14:paraId="089C7068"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2,000</w:t>
            </w:r>
          </w:p>
        </w:tc>
        <w:tc>
          <w:tcPr>
            <w:tcW w:w="631" w:type="dxa"/>
            <w:tcBorders>
              <w:top w:val="nil"/>
              <w:left w:val="nil"/>
              <w:bottom w:val="single" w:sz="4" w:space="0" w:color="auto"/>
              <w:right w:val="single" w:sz="4" w:space="0" w:color="auto"/>
            </w:tcBorders>
            <w:shd w:val="clear" w:color="auto" w:fill="auto"/>
            <w:noWrap/>
            <w:vAlign w:val="bottom"/>
            <w:hideMark/>
          </w:tcPr>
          <w:p w14:paraId="7490EB8B"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1BF41553"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519649C7"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Short-term Liabilities  (Total) </w:t>
            </w:r>
          </w:p>
        </w:tc>
        <w:tc>
          <w:tcPr>
            <w:tcW w:w="535" w:type="dxa"/>
            <w:tcBorders>
              <w:top w:val="nil"/>
              <w:left w:val="nil"/>
              <w:bottom w:val="single" w:sz="4" w:space="0" w:color="auto"/>
              <w:right w:val="single" w:sz="4" w:space="0" w:color="auto"/>
            </w:tcBorders>
            <w:shd w:val="clear" w:color="auto" w:fill="auto"/>
            <w:noWrap/>
            <w:vAlign w:val="bottom"/>
            <w:hideMark/>
          </w:tcPr>
          <w:p w14:paraId="0D9934BB"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4988B0D1"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177,335</w:t>
            </w:r>
          </w:p>
        </w:tc>
      </w:tr>
      <w:tr w:rsidR="00AB465C" w:rsidRPr="00AB465C" w14:paraId="2A455BDA"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7DE2CAFE"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Long-term Liabilities </w:t>
            </w:r>
          </w:p>
        </w:tc>
        <w:tc>
          <w:tcPr>
            <w:tcW w:w="535" w:type="dxa"/>
            <w:tcBorders>
              <w:top w:val="nil"/>
              <w:left w:val="nil"/>
              <w:bottom w:val="single" w:sz="4" w:space="0" w:color="auto"/>
              <w:right w:val="single" w:sz="4" w:space="0" w:color="auto"/>
            </w:tcBorders>
            <w:shd w:val="clear" w:color="auto" w:fill="auto"/>
            <w:noWrap/>
            <w:vAlign w:val="bottom"/>
            <w:hideMark/>
          </w:tcPr>
          <w:p w14:paraId="00927B2C"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0E8BF512"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3093522C"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41E194E5"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 Debentures (4%)</w:t>
            </w:r>
          </w:p>
        </w:tc>
        <w:tc>
          <w:tcPr>
            <w:tcW w:w="535" w:type="dxa"/>
            <w:tcBorders>
              <w:top w:val="nil"/>
              <w:left w:val="nil"/>
              <w:bottom w:val="single" w:sz="4" w:space="0" w:color="auto"/>
              <w:right w:val="single" w:sz="4" w:space="0" w:color="auto"/>
            </w:tcBorders>
            <w:shd w:val="clear" w:color="auto" w:fill="auto"/>
            <w:noWrap/>
            <w:vAlign w:val="bottom"/>
            <w:hideMark/>
          </w:tcPr>
          <w:p w14:paraId="0619FD75"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100,000</w:t>
            </w:r>
          </w:p>
        </w:tc>
        <w:tc>
          <w:tcPr>
            <w:tcW w:w="631" w:type="dxa"/>
            <w:tcBorders>
              <w:top w:val="nil"/>
              <w:left w:val="nil"/>
              <w:bottom w:val="single" w:sz="4" w:space="0" w:color="auto"/>
              <w:right w:val="single" w:sz="4" w:space="0" w:color="auto"/>
            </w:tcBorders>
            <w:shd w:val="clear" w:color="auto" w:fill="auto"/>
            <w:noWrap/>
            <w:vAlign w:val="bottom"/>
            <w:hideMark/>
          </w:tcPr>
          <w:p w14:paraId="2E1D2EA6"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r>
      <w:tr w:rsidR="00AB465C" w:rsidRPr="00AB465C" w14:paraId="4EA13C4E"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1EC440D9"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 Long-term Liabilities (Total) </w:t>
            </w:r>
          </w:p>
        </w:tc>
        <w:tc>
          <w:tcPr>
            <w:tcW w:w="535" w:type="dxa"/>
            <w:tcBorders>
              <w:top w:val="nil"/>
              <w:left w:val="nil"/>
              <w:bottom w:val="single" w:sz="4" w:space="0" w:color="auto"/>
              <w:right w:val="single" w:sz="4" w:space="0" w:color="auto"/>
            </w:tcBorders>
            <w:shd w:val="clear" w:color="auto" w:fill="auto"/>
            <w:noWrap/>
            <w:vAlign w:val="bottom"/>
            <w:hideMark/>
          </w:tcPr>
          <w:p w14:paraId="69F876A8"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7BED0337"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100,000</w:t>
            </w:r>
          </w:p>
        </w:tc>
      </w:tr>
      <w:tr w:rsidR="00AB465C" w:rsidRPr="00AB465C" w14:paraId="4B65C4C4"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1A9368C3"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Liabilities  (Total) </w:t>
            </w:r>
          </w:p>
        </w:tc>
        <w:tc>
          <w:tcPr>
            <w:tcW w:w="535" w:type="dxa"/>
            <w:tcBorders>
              <w:top w:val="nil"/>
              <w:left w:val="nil"/>
              <w:bottom w:val="single" w:sz="4" w:space="0" w:color="auto"/>
              <w:right w:val="single" w:sz="4" w:space="0" w:color="auto"/>
            </w:tcBorders>
            <w:shd w:val="clear" w:color="auto" w:fill="auto"/>
            <w:noWrap/>
            <w:vAlign w:val="bottom"/>
            <w:hideMark/>
          </w:tcPr>
          <w:p w14:paraId="2426ADF3"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7AEC0416"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277,335</w:t>
            </w:r>
          </w:p>
        </w:tc>
      </w:tr>
      <w:tr w:rsidR="00AB465C" w:rsidRPr="00AB465C" w14:paraId="024DA708" w14:textId="77777777" w:rsidTr="00AB465C">
        <w:trPr>
          <w:trHeight w:val="258"/>
          <w:jc w:val="center"/>
        </w:trPr>
        <w:tc>
          <w:tcPr>
            <w:tcW w:w="4577" w:type="dxa"/>
            <w:tcBorders>
              <w:top w:val="nil"/>
              <w:left w:val="single" w:sz="4" w:space="0" w:color="auto"/>
              <w:bottom w:val="single" w:sz="4" w:space="0" w:color="auto"/>
              <w:right w:val="single" w:sz="4" w:space="0" w:color="auto"/>
            </w:tcBorders>
            <w:shd w:val="clear" w:color="auto" w:fill="auto"/>
            <w:noWrap/>
            <w:vAlign w:val="bottom"/>
            <w:hideMark/>
          </w:tcPr>
          <w:p w14:paraId="1A3A67F3"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xml:space="preserve">Equities &amp; Liabilities (Total)  </w:t>
            </w:r>
          </w:p>
        </w:tc>
        <w:tc>
          <w:tcPr>
            <w:tcW w:w="535" w:type="dxa"/>
            <w:tcBorders>
              <w:top w:val="nil"/>
              <w:left w:val="nil"/>
              <w:bottom w:val="single" w:sz="4" w:space="0" w:color="auto"/>
              <w:right w:val="single" w:sz="4" w:space="0" w:color="auto"/>
            </w:tcBorders>
            <w:shd w:val="clear" w:color="auto" w:fill="auto"/>
            <w:noWrap/>
            <w:vAlign w:val="bottom"/>
            <w:hideMark/>
          </w:tcPr>
          <w:p w14:paraId="4DB29976" w14:textId="77777777" w:rsidR="00AB465C" w:rsidRPr="00AB465C" w:rsidRDefault="00AB465C" w:rsidP="00AB465C">
            <w:pPr>
              <w:spacing w:line="240" w:lineRule="auto"/>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 </w:t>
            </w:r>
          </w:p>
        </w:tc>
        <w:tc>
          <w:tcPr>
            <w:tcW w:w="631" w:type="dxa"/>
            <w:tcBorders>
              <w:top w:val="nil"/>
              <w:left w:val="nil"/>
              <w:bottom w:val="single" w:sz="4" w:space="0" w:color="auto"/>
              <w:right w:val="single" w:sz="4" w:space="0" w:color="auto"/>
            </w:tcBorders>
            <w:shd w:val="clear" w:color="auto" w:fill="auto"/>
            <w:noWrap/>
            <w:vAlign w:val="bottom"/>
            <w:hideMark/>
          </w:tcPr>
          <w:p w14:paraId="57B628F2" w14:textId="77777777" w:rsidR="00AB465C" w:rsidRPr="00AB465C" w:rsidRDefault="00AB465C" w:rsidP="00AB465C">
            <w:pPr>
              <w:spacing w:line="240" w:lineRule="auto"/>
              <w:jc w:val="right"/>
              <w:rPr>
                <w:rFonts w:ascii="Times New Roman" w:eastAsia="Times New Roman" w:hAnsi="Times New Roman" w:cs="Times New Roman"/>
                <w:color w:val="000000"/>
                <w:sz w:val="24"/>
                <w:szCs w:val="24"/>
              </w:rPr>
            </w:pPr>
            <w:r w:rsidRPr="00AB465C">
              <w:rPr>
                <w:rFonts w:ascii="Times New Roman" w:eastAsia="Times New Roman" w:hAnsi="Times New Roman" w:cs="Times New Roman"/>
                <w:color w:val="000000"/>
                <w:sz w:val="24"/>
                <w:szCs w:val="24"/>
              </w:rPr>
              <w:t>1,146,355</w:t>
            </w:r>
          </w:p>
        </w:tc>
      </w:tr>
    </w:tbl>
    <w:p w14:paraId="00000009" w14:textId="77777777" w:rsidR="00DE58EB"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From the above table, it can be analysed that Kedison Plc has £plant &amp; equipment amounting to £632730. Trade debtor of company has £170125, inventories at year-end are £330600 and cash at bank is £12900. Thus, the company has total asset accounting of £1146355. Moreover, liability section of Kedison Plc includes 4% debenture £100000, trade creditors £171355, outstanding interest £2000, and outstanding payment of £980. Salesman commission of £3000 and total liability of business is £277335. Equity section of Kedison Plc includes net profit £115000, retained earnings £144020, ordinary shares £310000 and preference shares £30000. Hence, the total equities and liabilities section of Kedison Plc shows a balance of £1146355. </w:t>
      </w:r>
    </w:p>
    <w:p w14:paraId="36449655" w14:textId="77777777" w:rsidR="009E5BB9" w:rsidRDefault="009E5BB9">
      <w:pPr>
        <w:spacing w:line="360" w:lineRule="auto"/>
        <w:jc w:val="both"/>
        <w:rPr>
          <w:rFonts w:ascii="Times New Roman" w:eastAsia="Times New Roman" w:hAnsi="Times New Roman" w:cs="Times New Roman"/>
          <w:color w:val="0E101A"/>
          <w:sz w:val="24"/>
          <w:szCs w:val="24"/>
          <w:lang w:val="en-GB"/>
        </w:rPr>
      </w:pPr>
    </w:p>
    <w:p w14:paraId="00481C24" w14:textId="77777777" w:rsidR="009E5BB9" w:rsidRDefault="009E5BB9">
      <w:pPr>
        <w:spacing w:line="360" w:lineRule="auto"/>
        <w:jc w:val="both"/>
        <w:rPr>
          <w:rFonts w:ascii="Times New Roman" w:eastAsia="Times New Roman" w:hAnsi="Times New Roman" w:cs="Times New Roman"/>
          <w:color w:val="0E101A"/>
          <w:sz w:val="24"/>
          <w:szCs w:val="24"/>
          <w:lang w:val="en-GB"/>
        </w:rPr>
      </w:pPr>
    </w:p>
    <w:p w14:paraId="696C3BB6" w14:textId="77777777" w:rsidR="009E5BB9" w:rsidRPr="00DE6ED2" w:rsidRDefault="009E5BB9">
      <w:pPr>
        <w:spacing w:line="360" w:lineRule="auto"/>
        <w:jc w:val="both"/>
        <w:rPr>
          <w:rFonts w:ascii="Times New Roman" w:eastAsia="Times New Roman" w:hAnsi="Times New Roman" w:cs="Times New Roman"/>
          <w:color w:val="0E101A"/>
          <w:sz w:val="24"/>
          <w:szCs w:val="24"/>
          <w:lang w:val="en-GB"/>
        </w:rPr>
      </w:pPr>
    </w:p>
    <w:p w14:paraId="0000000A" w14:textId="77777777" w:rsidR="00DE58EB" w:rsidRPr="00DE6ED2" w:rsidRDefault="00AB4518" w:rsidP="00E44339">
      <w:pPr>
        <w:pStyle w:val="Heading1"/>
      </w:pPr>
      <w:bookmarkStart w:id="5" w:name="_Toc80991810"/>
      <w:r w:rsidRPr="00DE6ED2">
        <w:lastRenderedPageBreak/>
        <w:t>b) Reason behind statement of financial position balance</w:t>
      </w:r>
      <w:bookmarkEnd w:id="5"/>
      <w:r w:rsidRPr="00DE6ED2">
        <w:t xml:space="preserve"> </w:t>
      </w:r>
    </w:p>
    <w:p w14:paraId="0000000B" w14:textId="336921E8"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Financial position statement or balance sheet acts as a crucial financial statement of a business. Key purpose of a financial position statement is to assess potential risk and financial stability of an organisation (Wood, 2015). As per the double-entry system, each transaction is recorded under two sides. Thus, an amount on credit side always matches with debit side balance. Which makes financial position statement balance. As per Horngren and Forster (2014), a double-entry bookkeeping system is an accounting principle where a corresponding entry is made for every transaction. Due to two parts of each business transaction. It affects both credit and debit sides of ledger accounts. From ledger account, the trial balance is prepared. For instance, if a purchase of £1000 is made by a business on a cash basis, the cash account of the business would also be deducted by £1000 for making an account similar. Similarly, if a company makes a sale of £1000, it would be disclosed in sales account of business. In addition, company would be required to deduct £1000 from its inventory account for showing conversion of inventories into sales. In this way, a double-entry bookkeeping system works. As the financial position statement works on the principles of a double-entry bookkeeping system it is always balanced.    </w:t>
      </w:r>
    </w:p>
    <w:p w14:paraId="0000000C" w14:textId="77777777" w:rsidR="00DE58EB" w:rsidRPr="00DE6ED2" w:rsidRDefault="00AB4518" w:rsidP="00E44339">
      <w:pPr>
        <w:pStyle w:val="Heading1"/>
      </w:pPr>
      <w:bookmarkStart w:id="6" w:name="_Toc80991811"/>
      <w:r w:rsidRPr="00DE6ED2">
        <w:t>Question 2</w:t>
      </w:r>
      <w:bookmarkEnd w:id="6"/>
    </w:p>
    <w:p w14:paraId="0000000D" w14:textId="77777777" w:rsidR="00DE58EB" w:rsidRPr="00DE6ED2" w:rsidRDefault="00AB4518" w:rsidP="00E44339">
      <w:pPr>
        <w:pStyle w:val="Heading1"/>
      </w:pPr>
      <w:bookmarkStart w:id="7" w:name="_Toc80991812"/>
      <w:r w:rsidRPr="00DE6ED2">
        <w:t>a. Calculation of ratios for Chocco Plc for 2020 and 2019</w:t>
      </w:r>
      <w:bookmarkEnd w:id="7"/>
    </w:p>
    <w:p w14:paraId="0000000E" w14:textId="1E7AFC48"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Accounting and financial ratios are used for making comparisons between two or more financial data within a reporting period. It acts as an effective tool for supporting the decision-making of stakeholders. Accounting and financial ratios shed light on business aspects like profitability, efficiency solvency, and liquidity of a business. Accounting and financial ratios are calculated for C</w:t>
      </w:r>
      <w:r w:rsidR="001C736E" w:rsidRPr="00DE6ED2">
        <w:rPr>
          <w:rFonts w:ascii="Times New Roman" w:eastAsia="Times New Roman" w:hAnsi="Times New Roman" w:cs="Times New Roman"/>
          <w:color w:val="0E101A"/>
          <w:sz w:val="24"/>
          <w:szCs w:val="24"/>
          <w:lang w:val="en-GB"/>
        </w:rPr>
        <w:t>h</w:t>
      </w:r>
      <w:r w:rsidRPr="00DE6ED2">
        <w:rPr>
          <w:rFonts w:ascii="Times New Roman" w:eastAsia="Times New Roman" w:hAnsi="Times New Roman" w:cs="Times New Roman"/>
          <w:color w:val="0E101A"/>
          <w:sz w:val="24"/>
          <w:szCs w:val="24"/>
          <w:lang w:val="en-GB"/>
        </w:rPr>
        <w:t xml:space="preserve">occo Plc which is a long-established chocolate and confectionery manufacturer. The company manufactures all products in UK and makes sales worldwide.   </w:t>
      </w:r>
    </w:p>
    <w:p w14:paraId="0000000F" w14:textId="77777777" w:rsidR="00DE58EB" w:rsidRPr="00DE6ED2" w:rsidRDefault="00AB4518" w:rsidP="00E44339">
      <w:pPr>
        <w:pStyle w:val="Heading1"/>
      </w:pPr>
      <w:bookmarkStart w:id="8" w:name="_Toc80991813"/>
      <w:r w:rsidRPr="00DE6ED2">
        <w:t>1- ROCE</w:t>
      </w:r>
      <w:bookmarkEnd w:id="8"/>
    </w:p>
    <w:tbl>
      <w:tblPr>
        <w:tblW w:w="612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15"/>
        <w:gridCol w:w="1260"/>
        <w:gridCol w:w="1449"/>
      </w:tblGrid>
      <w:tr w:rsidR="001C736E" w:rsidRPr="00DE6ED2" w14:paraId="522406F4" w14:textId="77777777" w:rsidTr="003336DA">
        <w:trPr>
          <w:trHeight w:val="230"/>
          <w:jc w:val="center"/>
        </w:trPr>
        <w:tc>
          <w:tcPr>
            <w:tcW w:w="6124" w:type="dxa"/>
            <w:gridSpan w:val="3"/>
            <w:shd w:val="clear" w:color="auto" w:fill="auto"/>
            <w:noWrap/>
            <w:vAlign w:val="bottom"/>
            <w:hideMark/>
          </w:tcPr>
          <w:p w14:paraId="6301ABAD" w14:textId="77777777" w:rsidR="001C736E" w:rsidRPr="00DE6ED2" w:rsidRDefault="001C736E" w:rsidP="003336DA">
            <w:pPr>
              <w:spacing w:line="240" w:lineRule="auto"/>
              <w:jc w:val="center"/>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ROCE of Chocco plc</w:t>
            </w:r>
          </w:p>
        </w:tc>
      </w:tr>
      <w:tr w:rsidR="003336DA" w:rsidRPr="00DE6ED2" w14:paraId="2E022B39" w14:textId="259B482F" w:rsidTr="003336DA">
        <w:trPr>
          <w:trHeight w:val="230"/>
          <w:jc w:val="center"/>
        </w:trPr>
        <w:tc>
          <w:tcPr>
            <w:tcW w:w="3415" w:type="dxa"/>
            <w:shd w:val="clear" w:color="auto" w:fill="auto"/>
            <w:noWrap/>
            <w:vAlign w:val="bottom"/>
            <w:hideMark/>
          </w:tcPr>
          <w:p w14:paraId="4B2BA930" w14:textId="77777777" w:rsidR="003336DA" w:rsidRPr="00DE6ED2" w:rsidRDefault="003336DA" w:rsidP="003336DA">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Items</w:t>
            </w:r>
          </w:p>
        </w:tc>
        <w:tc>
          <w:tcPr>
            <w:tcW w:w="1260" w:type="dxa"/>
            <w:shd w:val="clear" w:color="auto" w:fill="auto"/>
            <w:noWrap/>
            <w:vAlign w:val="bottom"/>
          </w:tcPr>
          <w:p w14:paraId="65067B84" w14:textId="2CFA0C52" w:rsidR="003336DA" w:rsidRPr="00DE6ED2" w:rsidRDefault="003336DA" w:rsidP="003336DA">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2019 </w:t>
            </w:r>
          </w:p>
        </w:tc>
        <w:tc>
          <w:tcPr>
            <w:tcW w:w="1449" w:type="dxa"/>
            <w:shd w:val="clear" w:color="auto" w:fill="auto"/>
            <w:noWrap/>
            <w:vAlign w:val="bottom"/>
          </w:tcPr>
          <w:p w14:paraId="44BD5211" w14:textId="5F2781EB" w:rsidR="003336DA" w:rsidRPr="00DE6ED2" w:rsidRDefault="003336DA" w:rsidP="003336DA">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2020 </w:t>
            </w:r>
          </w:p>
        </w:tc>
      </w:tr>
      <w:tr w:rsidR="003336DA" w:rsidRPr="00DE6ED2" w14:paraId="4BB94659" w14:textId="44913871" w:rsidTr="003336DA">
        <w:trPr>
          <w:trHeight w:val="230"/>
          <w:jc w:val="center"/>
        </w:trPr>
        <w:tc>
          <w:tcPr>
            <w:tcW w:w="3415" w:type="dxa"/>
            <w:shd w:val="clear" w:color="auto" w:fill="auto"/>
            <w:noWrap/>
            <w:vAlign w:val="bottom"/>
            <w:hideMark/>
          </w:tcPr>
          <w:p w14:paraId="2440E367" w14:textId="77777777" w:rsidR="003336DA" w:rsidRPr="00DE6ED2" w:rsidRDefault="003336DA" w:rsidP="003336DA">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 xml:space="preserve">Before Tax &amp; Interest (Earnings) </w:t>
            </w:r>
          </w:p>
        </w:tc>
        <w:tc>
          <w:tcPr>
            <w:tcW w:w="1260" w:type="dxa"/>
            <w:shd w:val="clear" w:color="auto" w:fill="auto"/>
            <w:noWrap/>
            <w:vAlign w:val="bottom"/>
          </w:tcPr>
          <w:p w14:paraId="6860BB03" w14:textId="0FB76AF3"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699</w:t>
            </w:r>
          </w:p>
        </w:tc>
        <w:tc>
          <w:tcPr>
            <w:tcW w:w="1449" w:type="dxa"/>
            <w:shd w:val="clear" w:color="auto" w:fill="auto"/>
            <w:noWrap/>
            <w:vAlign w:val="bottom"/>
          </w:tcPr>
          <w:p w14:paraId="61F33EB3" w14:textId="09AFED2A"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805</w:t>
            </w:r>
          </w:p>
        </w:tc>
      </w:tr>
      <w:tr w:rsidR="003336DA" w:rsidRPr="00DE6ED2" w14:paraId="4C18E3E1" w14:textId="56A53C0F" w:rsidTr="003336DA">
        <w:trPr>
          <w:trHeight w:val="230"/>
          <w:jc w:val="center"/>
        </w:trPr>
        <w:tc>
          <w:tcPr>
            <w:tcW w:w="3415" w:type="dxa"/>
            <w:shd w:val="clear" w:color="auto" w:fill="auto"/>
            <w:noWrap/>
            <w:vAlign w:val="bottom"/>
            <w:hideMark/>
          </w:tcPr>
          <w:p w14:paraId="1DCC9EB3" w14:textId="77777777" w:rsidR="003336DA" w:rsidRPr="00DE6ED2" w:rsidRDefault="003336DA" w:rsidP="003336DA">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(Divide) Employed (Capital)</w:t>
            </w:r>
          </w:p>
        </w:tc>
        <w:tc>
          <w:tcPr>
            <w:tcW w:w="1260" w:type="dxa"/>
            <w:shd w:val="clear" w:color="auto" w:fill="auto"/>
            <w:noWrap/>
            <w:vAlign w:val="bottom"/>
          </w:tcPr>
          <w:p w14:paraId="4DF0EEC0" w14:textId="0A8EB8DC"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7,041</w:t>
            </w:r>
          </w:p>
        </w:tc>
        <w:tc>
          <w:tcPr>
            <w:tcW w:w="1449" w:type="dxa"/>
            <w:shd w:val="clear" w:color="auto" w:fill="auto"/>
            <w:noWrap/>
            <w:vAlign w:val="bottom"/>
          </w:tcPr>
          <w:p w14:paraId="2F041EA8" w14:textId="3D2A211A"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7,225</w:t>
            </w:r>
          </w:p>
        </w:tc>
      </w:tr>
      <w:tr w:rsidR="003336DA" w:rsidRPr="00DE6ED2" w14:paraId="1FF9555A" w14:textId="40F689C9" w:rsidTr="003336DA">
        <w:trPr>
          <w:trHeight w:val="230"/>
          <w:jc w:val="center"/>
        </w:trPr>
        <w:tc>
          <w:tcPr>
            <w:tcW w:w="3415" w:type="dxa"/>
            <w:shd w:val="clear" w:color="auto" w:fill="auto"/>
            <w:noWrap/>
            <w:vAlign w:val="bottom"/>
            <w:hideMark/>
          </w:tcPr>
          <w:p w14:paraId="71EB0833" w14:textId="77777777" w:rsidR="003336DA" w:rsidRPr="00DE6ED2" w:rsidRDefault="003336DA" w:rsidP="003336DA">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Assets (Total)</w:t>
            </w:r>
          </w:p>
        </w:tc>
        <w:tc>
          <w:tcPr>
            <w:tcW w:w="1260" w:type="dxa"/>
            <w:shd w:val="clear" w:color="auto" w:fill="auto"/>
            <w:noWrap/>
            <w:vAlign w:val="bottom"/>
          </w:tcPr>
          <w:p w14:paraId="60A68815" w14:textId="20567577"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10,087</w:t>
            </w:r>
          </w:p>
        </w:tc>
        <w:tc>
          <w:tcPr>
            <w:tcW w:w="1449" w:type="dxa"/>
            <w:shd w:val="clear" w:color="auto" w:fill="auto"/>
            <w:noWrap/>
            <w:vAlign w:val="bottom"/>
          </w:tcPr>
          <w:p w14:paraId="6FBF7BB2" w14:textId="1444A8CE"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9,736</w:t>
            </w:r>
          </w:p>
        </w:tc>
      </w:tr>
      <w:tr w:rsidR="003336DA" w:rsidRPr="00DE6ED2" w14:paraId="08F56FEA" w14:textId="4139C282" w:rsidTr="003336DA">
        <w:trPr>
          <w:trHeight w:val="230"/>
          <w:jc w:val="center"/>
        </w:trPr>
        <w:tc>
          <w:tcPr>
            <w:tcW w:w="3415" w:type="dxa"/>
            <w:shd w:val="clear" w:color="auto" w:fill="auto"/>
            <w:noWrap/>
            <w:vAlign w:val="bottom"/>
            <w:hideMark/>
          </w:tcPr>
          <w:p w14:paraId="3B4C1092" w14:textId="41DF44E6" w:rsidR="003336DA" w:rsidRPr="00DE6ED2" w:rsidRDefault="003336DA" w:rsidP="003336DA">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(Less)  Liabilities (</w:t>
            </w:r>
            <w:r>
              <w:rPr>
                <w:rFonts w:ascii="Times New Roman" w:eastAsia="Times New Roman" w:hAnsi="Times New Roman" w:cs="Times New Roman"/>
                <w:color w:val="000000"/>
                <w:sz w:val="24"/>
                <w:szCs w:val="24"/>
                <w:lang w:val="en-GB"/>
              </w:rPr>
              <w:t>Present</w:t>
            </w:r>
            <w:r w:rsidRPr="00DE6ED2">
              <w:rPr>
                <w:rFonts w:ascii="Times New Roman" w:eastAsia="Times New Roman" w:hAnsi="Times New Roman" w:cs="Times New Roman"/>
                <w:color w:val="000000"/>
                <w:sz w:val="24"/>
                <w:szCs w:val="24"/>
                <w:lang w:val="en-GB"/>
              </w:rPr>
              <w:t>)</w:t>
            </w:r>
          </w:p>
        </w:tc>
        <w:tc>
          <w:tcPr>
            <w:tcW w:w="1260" w:type="dxa"/>
            <w:shd w:val="clear" w:color="auto" w:fill="auto"/>
            <w:noWrap/>
            <w:vAlign w:val="bottom"/>
          </w:tcPr>
          <w:p w14:paraId="702497B0" w14:textId="2FE509C8"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3,046</w:t>
            </w:r>
          </w:p>
        </w:tc>
        <w:tc>
          <w:tcPr>
            <w:tcW w:w="1449" w:type="dxa"/>
            <w:shd w:val="clear" w:color="auto" w:fill="auto"/>
            <w:noWrap/>
            <w:vAlign w:val="bottom"/>
          </w:tcPr>
          <w:p w14:paraId="46DC354C" w14:textId="290CAFD1"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2,511</w:t>
            </w:r>
          </w:p>
        </w:tc>
      </w:tr>
      <w:tr w:rsidR="003336DA" w:rsidRPr="00DE6ED2" w14:paraId="009D9A01" w14:textId="701DB8B4" w:rsidTr="003336DA">
        <w:trPr>
          <w:trHeight w:val="230"/>
          <w:jc w:val="center"/>
        </w:trPr>
        <w:tc>
          <w:tcPr>
            <w:tcW w:w="3415" w:type="dxa"/>
            <w:shd w:val="clear" w:color="auto" w:fill="auto"/>
            <w:noWrap/>
            <w:vAlign w:val="bottom"/>
            <w:hideMark/>
          </w:tcPr>
          <w:p w14:paraId="4AD32C8A" w14:textId="77777777" w:rsidR="003336DA" w:rsidRPr="00DE6ED2" w:rsidRDefault="003336DA" w:rsidP="003336DA">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Return on Capital Employed</w:t>
            </w:r>
          </w:p>
        </w:tc>
        <w:tc>
          <w:tcPr>
            <w:tcW w:w="1260" w:type="dxa"/>
            <w:shd w:val="clear" w:color="auto" w:fill="auto"/>
            <w:noWrap/>
            <w:vAlign w:val="bottom"/>
          </w:tcPr>
          <w:p w14:paraId="22607D61" w14:textId="00B5164D"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10%</w:t>
            </w:r>
          </w:p>
        </w:tc>
        <w:tc>
          <w:tcPr>
            <w:tcW w:w="1449" w:type="dxa"/>
            <w:shd w:val="clear" w:color="auto" w:fill="auto"/>
            <w:noWrap/>
            <w:vAlign w:val="bottom"/>
          </w:tcPr>
          <w:p w14:paraId="6AB6C482" w14:textId="66C1BB9E"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11%</w:t>
            </w:r>
          </w:p>
        </w:tc>
      </w:tr>
    </w:tbl>
    <w:p w14:paraId="00000010" w14:textId="4D022FF0"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ROCE is a financial ratio that indicates </w:t>
      </w:r>
      <w:r w:rsidR="00426B9A" w:rsidRPr="00DE6ED2">
        <w:rPr>
          <w:rFonts w:ascii="Times New Roman" w:eastAsia="Times New Roman" w:hAnsi="Times New Roman" w:cs="Times New Roman"/>
          <w:color w:val="0E101A"/>
          <w:sz w:val="24"/>
          <w:szCs w:val="24"/>
          <w:lang w:val="en-GB"/>
        </w:rPr>
        <w:t>productivity</w:t>
      </w:r>
      <w:r w:rsidRPr="00DE6ED2">
        <w:rPr>
          <w:rFonts w:ascii="Times New Roman" w:eastAsia="Times New Roman" w:hAnsi="Times New Roman" w:cs="Times New Roman"/>
          <w:color w:val="0E101A"/>
          <w:sz w:val="24"/>
          <w:szCs w:val="24"/>
          <w:lang w:val="en-GB"/>
        </w:rPr>
        <w:t xml:space="preserve"> of an organisation by use of capital employed. It can be calculated by dividing operating profit or EBIT by capital employed. As per </w:t>
      </w:r>
      <w:proofErr w:type="spellStart"/>
      <w:r w:rsidR="002877B5" w:rsidRPr="00DE6ED2">
        <w:rPr>
          <w:rFonts w:ascii="Times New Roman" w:hAnsi="Times New Roman" w:cs="Times New Roman"/>
          <w:color w:val="000000" w:themeColor="text1"/>
          <w:sz w:val="24"/>
          <w:szCs w:val="24"/>
          <w:shd w:val="clear" w:color="auto" w:fill="FFFFFF"/>
          <w:lang w:val="en-GB"/>
        </w:rPr>
        <w:t>Jati</w:t>
      </w:r>
      <w:proofErr w:type="spellEnd"/>
      <w:r w:rsidR="002877B5" w:rsidRPr="00DE6ED2">
        <w:rPr>
          <w:rFonts w:ascii="Times New Roman" w:hAnsi="Times New Roman" w:cs="Times New Roman"/>
          <w:color w:val="000000" w:themeColor="text1"/>
          <w:sz w:val="24"/>
          <w:szCs w:val="24"/>
          <w:shd w:val="clear" w:color="auto" w:fill="FFFFFF"/>
          <w:lang w:val="en-GB"/>
        </w:rPr>
        <w:t xml:space="preserve"> (2020)</w:t>
      </w:r>
      <w:r w:rsidRPr="00DE6ED2">
        <w:rPr>
          <w:rFonts w:ascii="Times New Roman" w:eastAsia="Times New Roman" w:hAnsi="Times New Roman" w:cs="Times New Roman"/>
          <w:color w:val="0E101A"/>
          <w:sz w:val="24"/>
          <w:szCs w:val="24"/>
          <w:lang w:val="en-GB"/>
        </w:rPr>
        <w:t xml:space="preserve">, capital employed is total assets minus current liabilities of a business. ROCE of Chocco Plc is 11% in 2020 and 10% in 2019. A 1% increment in profitability of business has taken place even if operating profit and capital employed of business has declined in 2020.  </w:t>
      </w:r>
    </w:p>
    <w:p w14:paraId="00000011" w14:textId="77777777" w:rsidR="00DE58EB" w:rsidRPr="00DE6ED2" w:rsidRDefault="00AB4518" w:rsidP="00E44339">
      <w:pPr>
        <w:pStyle w:val="Heading1"/>
      </w:pPr>
      <w:bookmarkStart w:id="9" w:name="_Toc80991814"/>
      <w:r w:rsidRPr="00DE6ED2">
        <w:lastRenderedPageBreak/>
        <w:t>2- ROE</w:t>
      </w:r>
      <w:bookmarkEnd w:id="9"/>
    </w:p>
    <w:tbl>
      <w:tblPr>
        <w:tblW w:w="6294" w:type="dxa"/>
        <w:jc w:val="center"/>
        <w:tblLook w:val="04A0" w:firstRow="1" w:lastRow="0" w:firstColumn="1" w:lastColumn="0" w:noHBand="0" w:noVBand="1"/>
      </w:tblPr>
      <w:tblGrid>
        <w:gridCol w:w="3393"/>
        <w:gridCol w:w="1449"/>
        <w:gridCol w:w="1452"/>
      </w:tblGrid>
      <w:tr w:rsidR="001C736E" w:rsidRPr="00DE6ED2" w14:paraId="0F041E98" w14:textId="77777777" w:rsidTr="003336DA">
        <w:trPr>
          <w:trHeight w:val="208"/>
          <w:jc w:val="center"/>
        </w:trPr>
        <w:tc>
          <w:tcPr>
            <w:tcW w:w="6294"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CC5C77" w14:textId="77777777" w:rsidR="001C736E" w:rsidRPr="00DE6ED2" w:rsidRDefault="001C736E" w:rsidP="003336DA">
            <w:pPr>
              <w:spacing w:line="240" w:lineRule="auto"/>
              <w:jc w:val="center"/>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ROE of Chocco plc</w:t>
            </w:r>
          </w:p>
        </w:tc>
      </w:tr>
      <w:tr w:rsidR="003336DA" w:rsidRPr="00DE6ED2" w14:paraId="5C5A30CF" w14:textId="20E29775" w:rsidTr="003336DA">
        <w:trPr>
          <w:trHeight w:val="208"/>
          <w:jc w:val="center"/>
        </w:trPr>
        <w:tc>
          <w:tcPr>
            <w:tcW w:w="3393" w:type="dxa"/>
            <w:tcBorders>
              <w:top w:val="nil"/>
              <w:left w:val="single" w:sz="4" w:space="0" w:color="auto"/>
              <w:bottom w:val="single" w:sz="4" w:space="0" w:color="auto"/>
              <w:right w:val="single" w:sz="4" w:space="0" w:color="auto"/>
            </w:tcBorders>
            <w:shd w:val="clear" w:color="auto" w:fill="auto"/>
            <w:noWrap/>
            <w:vAlign w:val="bottom"/>
            <w:hideMark/>
          </w:tcPr>
          <w:p w14:paraId="2C166D22" w14:textId="77777777" w:rsidR="003336DA" w:rsidRPr="00DE6ED2" w:rsidRDefault="003336DA" w:rsidP="003336DA">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Items</w:t>
            </w:r>
          </w:p>
        </w:tc>
        <w:tc>
          <w:tcPr>
            <w:tcW w:w="1449" w:type="dxa"/>
            <w:tcBorders>
              <w:top w:val="nil"/>
              <w:left w:val="nil"/>
              <w:bottom w:val="single" w:sz="4" w:space="0" w:color="auto"/>
              <w:right w:val="single" w:sz="4" w:space="0" w:color="auto"/>
            </w:tcBorders>
            <w:shd w:val="clear" w:color="auto" w:fill="auto"/>
            <w:noWrap/>
            <w:vAlign w:val="bottom"/>
          </w:tcPr>
          <w:p w14:paraId="736588DD" w14:textId="251544A6" w:rsidR="003336DA" w:rsidRPr="00DE6ED2" w:rsidRDefault="003336DA" w:rsidP="003336DA">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2019 </w:t>
            </w:r>
          </w:p>
        </w:tc>
        <w:tc>
          <w:tcPr>
            <w:tcW w:w="1452" w:type="dxa"/>
            <w:tcBorders>
              <w:top w:val="nil"/>
              <w:left w:val="nil"/>
              <w:bottom w:val="single" w:sz="4" w:space="0" w:color="auto"/>
              <w:right w:val="single" w:sz="4" w:space="0" w:color="auto"/>
            </w:tcBorders>
            <w:shd w:val="clear" w:color="auto" w:fill="auto"/>
            <w:noWrap/>
            <w:vAlign w:val="bottom"/>
          </w:tcPr>
          <w:p w14:paraId="19408C7C" w14:textId="023CFD28" w:rsidR="003336DA" w:rsidRPr="00DE6ED2" w:rsidRDefault="003336DA" w:rsidP="003336DA">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2020 </w:t>
            </w:r>
          </w:p>
        </w:tc>
      </w:tr>
      <w:tr w:rsidR="003336DA" w:rsidRPr="00DE6ED2" w14:paraId="6D68029C" w14:textId="3CB61D8B" w:rsidTr="003336DA">
        <w:trPr>
          <w:trHeight w:val="208"/>
          <w:jc w:val="center"/>
        </w:trPr>
        <w:tc>
          <w:tcPr>
            <w:tcW w:w="3393" w:type="dxa"/>
            <w:tcBorders>
              <w:top w:val="nil"/>
              <w:left w:val="single" w:sz="4" w:space="0" w:color="auto"/>
              <w:bottom w:val="single" w:sz="4" w:space="0" w:color="auto"/>
              <w:right w:val="single" w:sz="4" w:space="0" w:color="auto"/>
            </w:tcBorders>
            <w:shd w:val="clear" w:color="auto" w:fill="auto"/>
            <w:noWrap/>
            <w:vAlign w:val="bottom"/>
            <w:hideMark/>
          </w:tcPr>
          <w:p w14:paraId="0B0F6525" w14:textId="1D5EE929" w:rsidR="003336DA" w:rsidRPr="00DE6ED2" w:rsidRDefault="003336DA" w:rsidP="003336DA">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 xml:space="preserve">Profit (Disposable) </w:t>
            </w:r>
          </w:p>
        </w:tc>
        <w:tc>
          <w:tcPr>
            <w:tcW w:w="1449" w:type="dxa"/>
            <w:tcBorders>
              <w:top w:val="nil"/>
              <w:left w:val="nil"/>
              <w:bottom w:val="single" w:sz="4" w:space="0" w:color="auto"/>
              <w:right w:val="single" w:sz="4" w:space="0" w:color="auto"/>
            </w:tcBorders>
            <w:shd w:val="clear" w:color="auto" w:fill="auto"/>
            <w:noWrap/>
            <w:vAlign w:val="bottom"/>
          </w:tcPr>
          <w:p w14:paraId="68A7FE27" w14:textId="3BF75A37"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366</w:t>
            </w:r>
          </w:p>
        </w:tc>
        <w:tc>
          <w:tcPr>
            <w:tcW w:w="1452" w:type="dxa"/>
            <w:tcBorders>
              <w:top w:val="nil"/>
              <w:left w:val="nil"/>
              <w:bottom w:val="single" w:sz="4" w:space="0" w:color="auto"/>
              <w:right w:val="single" w:sz="4" w:space="0" w:color="auto"/>
            </w:tcBorders>
            <w:shd w:val="clear" w:color="auto" w:fill="auto"/>
            <w:noWrap/>
            <w:vAlign w:val="bottom"/>
          </w:tcPr>
          <w:p w14:paraId="0FCE0379" w14:textId="78C893A9"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431</w:t>
            </w:r>
          </w:p>
        </w:tc>
      </w:tr>
      <w:tr w:rsidR="003336DA" w:rsidRPr="00DE6ED2" w14:paraId="7632D752" w14:textId="3666513C" w:rsidTr="003336DA">
        <w:trPr>
          <w:trHeight w:val="208"/>
          <w:jc w:val="center"/>
        </w:trPr>
        <w:tc>
          <w:tcPr>
            <w:tcW w:w="3393" w:type="dxa"/>
            <w:tcBorders>
              <w:top w:val="nil"/>
              <w:left w:val="single" w:sz="4" w:space="0" w:color="auto"/>
              <w:bottom w:val="single" w:sz="4" w:space="0" w:color="auto"/>
              <w:right w:val="single" w:sz="4" w:space="0" w:color="auto"/>
            </w:tcBorders>
            <w:shd w:val="clear" w:color="auto" w:fill="auto"/>
            <w:noWrap/>
            <w:vAlign w:val="bottom"/>
            <w:hideMark/>
          </w:tcPr>
          <w:p w14:paraId="4A3909B7" w14:textId="17BD0DC9" w:rsidR="003336DA" w:rsidRPr="00DE6ED2" w:rsidRDefault="003336DA" w:rsidP="003336DA">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(Divide) Capital value of Equity</w:t>
            </w:r>
          </w:p>
        </w:tc>
        <w:tc>
          <w:tcPr>
            <w:tcW w:w="1449" w:type="dxa"/>
            <w:tcBorders>
              <w:top w:val="nil"/>
              <w:left w:val="nil"/>
              <w:bottom w:val="single" w:sz="4" w:space="0" w:color="auto"/>
              <w:right w:val="single" w:sz="4" w:space="0" w:color="auto"/>
            </w:tcBorders>
            <w:shd w:val="clear" w:color="auto" w:fill="auto"/>
            <w:noWrap/>
            <w:vAlign w:val="bottom"/>
          </w:tcPr>
          <w:p w14:paraId="093692D1" w14:textId="1B4CB584"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2,912</w:t>
            </w:r>
          </w:p>
        </w:tc>
        <w:tc>
          <w:tcPr>
            <w:tcW w:w="1452" w:type="dxa"/>
            <w:tcBorders>
              <w:top w:val="nil"/>
              <w:left w:val="nil"/>
              <w:bottom w:val="single" w:sz="4" w:space="0" w:color="auto"/>
              <w:right w:val="single" w:sz="4" w:space="0" w:color="auto"/>
            </w:tcBorders>
            <w:shd w:val="clear" w:color="auto" w:fill="auto"/>
            <w:noWrap/>
            <w:vAlign w:val="bottom"/>
          </w:tcPr>
          <w:p w14:paraId="0DAB0D88" w14:textId="41D5BA13"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3,088</w:t>
            </w:r>
          </w:p>
        </w:tc>
      </w:tr>
      <w:tr w:rsidR="003336DA" w:rsidRPr="00DE6ED2" w14:paraId="310E52DA" w14:textId="5B495E04" w:rsidTr="003336DA">
        <w:trPr>
          <w:trHeight w:val="208"/>
          <w:jc w:val="center"/>
        </w:trPr>
        <w:tc>
          <w:tcPr>
            <w:tcW w:w="3393" w:type="dxa"/>
            <w:tcBorders>
              <w:top w:val="nil"/>
              <w:left w:val="single" w:sz="4" w:space="0" w:color="auto"/>
              <w:bottom w:val="single" w:sz="4" w:space="0" w:color="auto"/>
              <w:right w:val="single" w:sz="4" w:space="0" w:color="auto"/>
            </w:tcBorders>
            <w:shd w:val="clear" w:color="auto" w:fill="auto"/>
            <w:noWrap/>
            <w:vAlign w:val="bottom"/>
            <w:hideMark/>
          </w:tcPr>
          <w:p w14:paraId="177B587B" w14:textId="77777777" w:rsidR="003336DA" w:rsidRPr="00DE6ED2" w:rsidRDefault="003336DA" w:rsidP="003336DA">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Return on Equity</w:t>
            </w:r>
          </w:p>
        </w:tc>
        <w:tc>
          <w:tcPr>
            <w:tcW w:w="1449" w:type="dxa"/>
            <w:tcBorders>
              <w:top w:val="nil"/>
              <w:left w:val="nil"/>
              <w:bottom w:val="single" w:sz="4" w:space="0" w:color="auto"/>
              <w:right w:val="single" w:sz="4" w:space="0" w:color="auto"/>
            </w:tcBorders>
            <w:shd w:val="clear" w:color="auto" w:fill="auto"/>
            <w:noWrap/>
            <w:vAlign w:val="bottom"/>
            <w:hideMark/>
          </w:tcPr>
          <w:p w14:paraId="71FE2B8A" w14:textId="6742F463"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13%</w:t>
            </w:r>
          </w:p>
        </w:tc>
        <w:tc>
          <w:tcPr>
            <w:tcW w:w="1452" w:type="dxa"/>
            <w:tcBorders>
              <w:top w:val="nil"/>
              <w:left w:val="nil"/>
              <w:bottom w:val="single" w:sz="4" w:space="0" w:color="auto"/>
              <w:right w:val="single" w:sz="4" w:space="0" w:color="auto"/>
            </w:tcBorders>
            <w:shd w:val="clear" w:color="auto" w:fill="auto"/>
            <w:noWrap/>
            <w:vAlign w:val="bottom"/>
          </w:tcPr>
          <w:p w14:paraId="3ED94A90" w14:textId="0DCA145E" w:rsidR="003336DA" w:rsidRPr="00DE6ED2" w:rsidRDefault="003336DA" w:rsidP="003336DA">
            <w:pPr>
              <w:spacing w:line="240" w:lineRule="auto"/>
              <w:jc w:val="right"/>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14%</w:t>
            </w:r>
          </w:p>
        </w:tc>
      </w:tr>
    </w:tbl>
    <w:p w14:paraId="00000012" w14:textId="358DF270"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This ratio signifies efficiency of organisations to employ equity capital for generating higher profitability. Formula of return on equity is net profit divided by revenue from sales. In case of Chocco Plc, return on equity is 14% in 2020 and 13% in 2019. As per </w:t>
      </w:r>
      <w:proofErr w:type="spellStart"/>
      <w:r w:rsidR="002877B5" w:rsidRPr="00DE6ED2">
        <w:rPr>
          <w:rFonts w:ascii="Times New Roman" w:hAnsi="Times New Roman" w:cs="Times New Roman"/>
          <w:color w:val="000000" w:themeColor="text1"/>
          <w:sz w:val="24"/>
          <w:szCs w:val="24"/>
          <w:shd w:val="clear" w:color="auto" w:fill="FFFFFF"/>
          <w:lang w:val="en-GB"/>
        </w:rPr>
        <w:t>Jasman</w:t>
      </w:r>
      <w:proofErr w:type="spellEnd"/>
      <w:r w:rsidR="002877B5" w:rsidRPr="00DE6ED2">
        <w:rPr>
          <w:rFonts w:ascii="Times New Roman" w:hAnsi="Times New Roman" w:cs="Times New Roman"/>
          <w:color w:val="000000" w:themeColor="text1"/>
          <w:sz w:val="24"/>
          <w:szCs w:val="24"/>
          <w:shd w:val="clear" w:color="auto" w:fill="FFFFFF"/>
          <w:lang w:val="en-GB"/>
        </w:rPr>
        <w:t xml:space="preserve"> and </w:t>
      </w:r>
      <w:proofErr w:type="spellStart"/>
      <w:r w:rsidR="002877B5" w:rsidRPr="00DE6ED2">
        <w:rPr>
          <w:rFonts w:ascii="Times New Roman" w:hAnsi="Times New Roman" w:cs="Times New Roman"/>
          <w:color w:val="000000" w:themeColor="text1"/>
          <w:sz w:val="24"/>
          <w:szCs w:val="24"/>
          <w:shd w:val="clear" w:color="auto" w:fill="FFFFFF"/>
          <w:lang w:val="en-GB"/>
        </w:rPr>
        <w:t>Kasran</w:t>
      </w:r>
      <w:proofErr w:type="spellEnd"/>
      <w:r w:rsidR="002877B5" w:rsidRPr="00DE6ED2">
        <w:rPr>
          <w:rFonts w:ascii="Times New Roman" w:hAnsi="Times New Roman" w:cs="Times New Roman"/>
          <w:color w:val="000000" w:themeColor="text1"/>
          <w:sz w:val="24"/>
          <w:szCs w:val="24"/>
          <w:shd w:val="clear" w:color="auto" w:fill="FFFFFF"/>
          <w:lang w:val="en-GB"/>
        </w:rPr>
        <w:t xml:space="preserve"> (2017)</w:t>
      </w:r>
      <w:r w:rsidRPr="00DE6ED2">
        <w:rPr>
          <w:rFonts w:ascii="Times New Roman" w:eastAsia="Times New Roman" w:hAnsi="Times New Roman" w:cs="Times New Roman"/>
          <w:color w:val="0E101A"/>
          <w:sz w:val="24"/>
          <w:szCs w:val="24"/>
          <w:lang w:val="en-GB"/>
        </w:rPr>
        <w:t xml:space="preserve">, effective use of equity balance helps in generating higher revenue. Due to sound use of equity balance, Chocco Plc was able to maintain a 1% increment in return on equity ratio.     </w:t>
      </w:r>
    </w:p>
    <w:p w14:paraId="00000013" w14:textId="77777777" w:rsidR="00DE58EB" w:rsidRPr="00DE6ED2" w:rsidRDefault="00AB4518" w:rsidP="00E44339">
      <w:pPr>
        <w:pStyle w:val="Heading1"/>
      </w:pPr>
      <w:bookmarkStart w:id="10" w:name="_Toc80991815"/>
      <w:r w:rsidRPr="00DE6ED2">
        <w:t>3- Earnings per share</w:t>
      </w:r>
      <w:bookmarkEnd w:id="10"/>
    </w:p>
    <w:tbl>
      <w:tblPr>
        <w:tblW w:w="6440" w:type="dxa"/>
        <w:jc w:val="center"/>
        <w:tblLook w:val="04A0" w:firstRow="1" w:lastRow="0" w:firstColumn="1" w:lastColumn="0" w:noHBand="0" w:noVBand="1"/>
      </w:tblPr>
      <w:tblGrid>
        <w:gridCol w:w="4663"/>
        <w:gridCol w:w="888"/>
        <w:gridCol w:w="889"/>
      </w:tblGrid>
      <w:tr w:rsidR="001C736E" w:rsidRPr="00DE6ED2" w14:paraId="6254B89E" w14:textId="77777777" w:rsidTr="000A41B9">
        <w:trPr>
          <w:trHeight w:val="211"/>
          <w:jc w:val="center"/>
        </w:trPr>
        <w:tc>
          <w:tcPr>
            <w:tcW w:w="64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5FEEB1" w14:textId="77777777" w:rsidR="001C736E" w:rsidRPr="00DE6ED2" w:rsidRDefault="001C736E" w:rsidP="003336DA">
            <w:pPr>
              <w:spacing w:line="240" w:lineRule="auto"/>
              <w:jc w:val="center"/>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Earnings per share of Chocco plc</w:t>
            </w:r>
          </w:p>
        </w:tc>
      </w:tr>
      <w:tr w:rsidR="000A41B9" w:rsidRPr="00DE6ED2" w14:paraId="0CB426DC" w14:textId="5540D268" w:rsidTr="000A41B9">
        <w:trPr>
          <w:trHeight w:val="211"/>
          <w:jc w:val="center"/>
        </w:trPr>
        <w:tc>
          <w:tcPr>
            <w:tcW w:w="4663" w:type="dxa"/>
            <w:tcBorders>
              <w:top w:val="nil"/>
              <w:left w:val="single" w:sz="4" w:space="0" w:color="auto"/>
              <w:bottom w:val="single" w:sz="4" w:space="0" w:color="auto"/>
              <w:right w:val="single" w:sz="4" w:space="0" w:color="auto"/>
            </w:tcBorders>
            <w:shd w:val="clear" w:color="auto" w:fill="auto"/>
            <w:noWrap/>
            <w:vAlign w:val="bottom"/>
            <w:hideMark/>
          </w:tcPr>
          <w:p w14:paraId="673B67B4" w14:textId="77777777"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Items</w:t>
            </w:r>
          </w:p>
        </w:tc>
        <w:tc>
          <w:tcPr>
            <w:tcW w:w="888" w:type="dxa"/>
            <w:tcBorders>
              <w:top w:val="nil"/>
              <w:left w:val="nil"/>
              <w:bottom w:val="single" w:sz="4" w:space="0" w:color="auto"/>
              <w:right w:val="single" w:sz="4" w:space="0" w:color="auto"/>
            </w:tcBorders>
            <w:shd w:val="clear" w:color="auto" w:fill="auto"/>
            <w:noWrap/>
            <w:vAlign w:val="bottom"/>
          </w:tcPr>
          <w:p w14:paraId="6D064A37" w14:textId="19E041FE"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2019 </w:t>
            </w:r>
          </w:p>
        </w:tc>
        <w:tc>
          <w:tcPr>
            <w:tcW w:w="889" w:type="dxa"/>
            <w:tcBorders>
              <w:top w:val="nil"/>
              <w:left w:val="nil"/>
              <w:bottom w:val="single" w:sz="4" w:space="0" w:color="auto"/>
              <w:right w:val="single" w:sz="4" w:space="0" w:color="auto"/>
            </w:tcBorders>
            <w:shd w:val="clear" w:color="auto" w:fill="auto"/>
            <w:noWrap/>
            <w:vAlign w:val="bottom"/>
          </w:tcPr>
          <w:p w14:paraId="255A1A6A" w14:textId="380375BD"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2020 </w:t>
            </w:r>
          </w:p>
        </w:tc>
      </w:tr>
      <w:tr w:rsidR="000A41B9" w:rsidRPr="00DE6ED2" w14:paraId="36E2B354" w14:textId="7F6460D1" w:rsidTr="000A41B9">
        <w:trPr>
          <w:trHeight w:val="211"/>
          <w:jc w:val="center"/>
        </w:trPr>
        <w:tc>
          <w:tcPr>
            <w:tcW w:w="4663" w:type="dxa"/>
            <w:tcBorders>
              <w:top w:val="nil"/>
              <w:left w:val="single" w:sz="4" w:space="0" w:color="auto"/>
              <w:bottom w:val="single" w:sz="4" w:space="0" w:color="auto"/>
              <w:right w:val="single" w:sz="4" w:space="0" w:color="auto"/>
            </w:tcBorders>
            <w:shd w:val="clear" w:color="auto" w:fill="auto"/>
            <w:noWrap/>
            <w:vAlign w:val="bottom"/>
            <w:hideMark/>
          </w:tcPr>
          <w:p w14:paraId="76436AEF" w14:textId="6339973D"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Income (Disposable)</w:t>
            </w:r>
          </w:p>
        </w:tc>
        <w:tc>
          <w:tcPr>
            <w:tcW w:w="888" w:type="dxa"/>
            <w:tcBorders>
              <w:top w:val="nil"/>
              <w:left w:val="nil"/>
              <w:bottom w:val="single" w:sz="4" w:space="0" w:color="auto"/>
              <w:right w:val="single" w:sz="4" w:space="0" w:color="auto"/>
            </w:tcBorders>
            <w:shd w:val="clear" w:color="auto" w:fill="auto"/>
            <w:noWrap/>
            <w:vAlign w:val="bottom"/>
          </w:tcPr>
          <w:p w14:paraId="136A48B1" w14:textId="4B506193"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366</w:t>
            </w:r>
          </w:p>
        </w:tc>
        <w:tc>
          <w:tcPr>
            <w:tcW w:w="889" w:type="dxa"/>
            <w:tcBorders>
              <w:top w:val="nil"/>
              <w:left w:val="nil"/>
              <w:bottom w:val="single" w:sz="4" w:space="0" w:color="auto"/>
              <w:right w:val="single" w:sz="4" w:space="0" w:color="auto"/>
            </w:tcBorders>
            <w:shd w:val="clear" w:color="auto" w:fill="auto"/>
            <w:noWrap/>
            <w:vAlign w:val="bottom"/>
          </w:tcPr>
          <w:p w14:paraId="6F735722" w14:textId="77C8A88D"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431</w:t>
            </w:r>
          </w:p>
        </w:tc>
      </w:tr>
      <w:tr w:rsidR="000A41B9" w:rsidRPr="00DE6ED2" w14:paraId="1A848186" w14:textId="731A0FF4" w:rsidTr="000A41B9">
        <w:trPr>
          <w:trHeight w:val="211"/>
          <w:jc w:val="center"/>
        </w:trPr>
        <w:tc>
          <w:tcPr>
            <w:tcW w:w="4663" w:type="dxa"/>
            <w:tcBorders>
              <w:top w:val="nil"/>
              <w:left w:val="single" w:sz="4" w:space="0" w:color="auto"/>
              <w:bottom w:val="single" w:sz="4" w:space="0" w:color="auto"/>
              <w:right w:val="single" w:sz="4" w:space="0" w:color="auto"/>
            </w:tcBorders>
            <w:shd w:val="clear" w:color="auto" w:fill="auto"/>
            <w:noWrap/>
            <w:vAlign w:val="bottom"/>
            <w:hideMark/>
          </w:tcPr>
          <w:p w14:paraId="320680A6"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 xml:space="preserve">(Less)  Payment of Dividend </w:t>
            </w:r>
          </w:p>
        </w:tc>
        <w:tc>
          <w:tcPr>
            <w:tcW w:w="888" w:type="dxa"/>
            <w:tcBorders>
              <w:top w:val="nil"/>
              <w:left w:val="nil"/>
              <w:bottom w:val="single" w:sz="4" w:space="0" w:color="auto"/>
              <w:right w:val="single" w:sz="4" w:space="0" w:color="auto"/>
            </w:tcBorders>
            <w:shd w:val="clear" w:color="auto" w:fill="auto"/>
            <w:noWrap/>
            <w:vAlign w:val="bottom"/>
          </w:tcPr>
          <w:p w14:paraId="3E821FB2" w14:textId="65BC15FF"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242</w:t>
            </w:r>
          </w:p>
        </w:tc>
        <w:tc>
          <w:tcPr>
            <w:tcW w:w="889" w:type="dxa"/>
            <w:tcBorders>
              <w:top w:val="nil"/>
              <w:left w:val="nil"/>
              <w:bottom w:val="single" w:sz="4" w:space="0" w:color="auto"/>
              <w:right w:val="single" w:sz="4" w:space="0" w:color="auto"/>
            </w:tcBorders>
            <w:shd w:val="clear" w:color="auto" w:fill="auto"/>
            <w:noWrap/>
            <w:vAlign w:val="bottom"/>
          </w:tcPr>
          <w:p w14:paraId="2106BCC4" w14:textId="67F721B5"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255</w:t>
            </w:r>
          </w:p>
        </w:tc>
      </w:tr>
      <w:tr w:rsidR="000A41B9" w:rsidRPr="00DE6ED2" w14:paraId="0F64CF57" w14:textId="50B4F06B" w:rsidTr="000A41B9">
        <w:trPr>
          <w:trHeight w:val="211"/>
          <w:jc w:val="center"/>
        </w:trPr>
        <w:tc>
          <w:tcPr>
            <w:tcW w:w="4663" w:type="dxa"/>
            <w:tcBorders>
              <w:top w:val="nil"/>
              <w:left w:val="single" w:sz="4" w:space="0" w:color="auto"/>
              <w:bottom w:val="single" w:sz="4" w:space="0" w:color="auto"/>
              <w:right w:val="single" w:sz="4" w:space="0" w:color="auto"/>
            </w:tcBorders>
            <w:shd w:val="clear" w:color="auto" w:fill="auto"/>
            <w:noWrap/>
            <w:vAlign w:val="bottom"/>
            <w:hideMark/>
          </w:tcPr>
          <w:p w14:paraId="6869AEBE"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(Divide) 50p shares Weighted Average Share Outstanding</w:t>
            </w:r>
          </w:p>
        </w:tc>
        <w:tc>
          <w:tcPr>
            <w:tcW w:w="888" w:type="dxa"/>
            <w:tcBorders>
              <w:top w:val="nil"/>
              <w:left w:val="nil"/>
              <w:bottom w:val="single" w:sz="4" w:space="0" w:color="auto"/>
              <w:right w:val="single" w:sz="4" w:space="0" w:color="auto"/>
            </w:tcBorders>
            <w:shd w:val="clear" w:color="auto" w:fill="auto"/>
            <w:noWrap/>
            <w:vAlign w:val="bottom"/>
          </w:tcPr>
          <w:p w14:paraId="3961B0A6" w14:textId="7BA4D06B"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600</w:t>
            </w:r>
          </w:p>
        </w:tc>
        <w:tc>
          <w:tcPr>
            <w:tcW w:w="889" w:type="dxa"/>
            <w:tcBorders>
              <w:top w:val="nil"/>
              <w:left w:val="nil"/>
              <w:bottom w:val="single" w:sz="4" w:space="0" w:color="auto"/>
              <w:right w:val="single" w:sz="4" w:space="0" w:color="auto"/>
            </w:tcBorders>
            <w:shd w:val="clear" w:color="auto" w:fill="auto"/>
            <w:noWrap/>
            <w:vAlign w:val="bottom"/>
          </w:tcPr>
          <w:p w14:paraId="73C2B348" w14:textId="0ED4F998"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600</w:t>
            </w:r>
          </w:p>
        </w:tc>
      </w:tr>
      <w:tr w:rsidR="000A41B9" w:rsidRPr="00DE6ED2" w14:paraId="086887D9" w14:textId="09670235" w:rsidTr="000A41B9">
        <w:trPr>
          <w:trHeight w:val="211"/>
          <w:jc w:val="center"/>
        </w:trPr>
        <w:tc>
          <w:tcPr>
            <w:tcW w:w="4663" w:type="dxa"/>
            <w:tcBorders>
              <w:top w:val="nil"/>
              <w:left w:val="single" w:sz="4" w:space="0" w:color="auto"/>
              <w:bottom w:val="single" w:sz="4" w:space="0" w:color="auto"/>
              <w:right w:val="single" w:sz="4" w:space="0" w:color="auto"/>
            </w:tcBorders>
            <w:shd w:val="clear" w:color="auto" w:fill="auto"/>
            <w:noWrap/>
            <w:vAlign w:val="bottom"/>
            <w:hideMark/>
          </w:tcPr>
          <w:p w14:paraId="2972EB96" w14:textId="27676D2A"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P</w:t>
            </w:r>
            <w:r w:rsidRPr="00DE6ED2">
              <w:rPr>
                <w:rFonts w:ascii="Times New Roman" w:eastAsia="Times New Roman" w:hAnsi="Times New Roman" w:cs="Times New Roman"/>
                <w:color w:val="000000"/>
                <w:sz w:val="24"/>
                <w:szCs w:val="24"/>
                <w:lang w:val="en-GB"/>
              </w:rPr>
              <w:t>er share</w:t>
            </w:r>
            <w:r>
              <w:rPr>
                <w:rFonts w:ascii="Times New Roman" w:eastAsia="Times New Roman" w:hAnsi="Times New Roman" w:cs="Times New Roman"/>
                <w:color w:val="000000"/>
                <w:sz w:val="24"/>
                <w:szCs w:val="24"/>
                <w:lang w:val="en-GB"/>
              </w:rPr>
              <w:t xml:space="preserve"> </w:t>
            </w:r>
            <w:r w:rsidRPr="00DE6ED2">
              <w:rPr>
                <w:rFonts w:ascii="Times New Roman" w:eastAsia="Times New Roman" w:hAnsi="Times New Roman" w:cs="Times New Roman"/>
                <w:color w:val="000000"/>
                <w:sz w:val="24"/>
                <w:szCs w:val="24"/>
                <w:lang w:val="en-GB"/>
              </w:rPr>
              <w:t>Earnings</w:t>
            </w:r>
          </w:p>
        </w:tc>
        <w:tc>
          <w:tcPr>
            <w:tcW w:w="888" w:type="dxa"/>
            <w:tcBorders>
              <w:top w:val="nil"/>
              <w:left w:val="nil"/>
              <w:bottom w:val="single" w:sz="4" w:space="0" w:color="auto"/>
              <w:right w:val="single" w:sz="4" w:space="0" w:color="auto"/>
            </w:tcBorders>
            <w:shd w:val="clear" w:color="auto" w:fill="auto"/>
            <w:noWrap/>
            <w:vAlign w:val="bottom"/>
          </w:tcPr>
          <w:p w14:paraId="38C4AF10" w14:textId="7CDC9194"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0.21</w:t>
            </w:r>
          </w:p>
        </w:tc>
        <w:tc>
          <w:tcPr>
            <w:tcW w:w="889" w:type="dxa"/>
            <w:tcBorders>
              <w:top w:val="nil"/>
              <w:left w:val="nil"/>
              <w:bottom w:val="single" w:sz="4" w:space="0" w:color="auto"/>
              <w:right w:val="single" w:sz="4" w:space="0" w:color="auto"/>
            </w:tcBorders>
            <w:shd w:val="clear" w:color="auto" w:fill="auto"/>
            <w:noWrap/>
            <w:vAlign w:val="bottom"/>
          </w:tcPr>
          <w:p w14:paraId="6C7CBCEC" w14:textId="1B77F1B8"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0.29</w:t>
            </w:r>
          </w:p>
        </w:tc>
      </w:tr>
    </w:tbl>
    <w:p w14:paraId="00000014" w14:textId="77777777"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It indicates monetary value of earnings on each outstanding share. Earnings per share of Chocco Plc is £0.29 which was £0.21 in 2020. Calculation of this ratio has been made by deducting dividend payment from net income and dividing it from weighted average share outstanding. The company has a slight improvement in net income and dividend payment that defines sound performance.    </w:t>
      </w:r>
    </w:p>
    <w:p w14:paraId="00000015" w14:textId="77777777" w:rsidR="00DE58EB" w:rsidRPr="00DE6ED2" w:rsidRDefault="00AB4518" w:rsidP="00E44339">
      <w:pPr>
        <w:pStyle w:val="Heading1"/>
      </w:pPr>
      <w:bookmarkStart w:id="11" w:name="_Toc80991816"/>
      <w:r w:rsidRPr="00DE6ED2">
        <w:t>4- Net profit margin</w:t>
      </w:r>
      <w:bookmarkEnd w:id="11"/>
    </w:p>
    <w:tbl>
      <w:tblPr>
        <w:tblW w:w="6196" w:type="dxa"/>
        <w:jc w:val="center"/>
        <w:tblLook w:val="04A0" w:firstRow="1" w:lastRow="0" w:firstColumn="1" w:lastColumn="0" w:noHBand="0" w:noVBand="1"/>
      </w:tblPr>
      <w:tblGrid>
        <w:gridCol w:w="3559"/>
        <w:gridCol w:w="1318"/>
        <w:gridCol w:w="1319"/>
      </w:tblGrid>
      <w:tr w:rsidR="001C736E" w:rsidRPr="00DE6ED2" w14:paraId="09473D7F" w14:textId="77777777" w:rsidTr="000A41B9">
        <w:trPr>
          <w:trHeight w:val="310"/>
          <w:jc w:val="center"/>
        </w:trPr>
        <w:tc>
          <w:tcPr>
            <w:tcW w:w="619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2C8717" w14:textId="77777777" w:rsidR="001C736E" w:rsidRPr="00DE6ED2" w:rsidRDefault="001C736E" w:rsidP="003336DA">
            <w:pPr>
              <w:spacing w:line="240" w:lineRule="auto"/>
              <w:jc w:val="center"/>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Net profit margin of Chocco plc</w:t>
            </w:r>
          </w:p>
        </w:tc>
      </w:tr>
      <w:tr w:rsidR="000A41B9" w:rsidRPr="00DE6ED2" w14:paraId="35670CF4" w14:textId="128F38AF" w:rsidTr="000A41B9">
        <w:trPr>
          <w:trHeight w:val="310"/>
          <w:jc w:val="center"/>
        </w:trPr>
        <w:tc>
          <w:tcPr>
            <w:tcW w:w="3559" w:type="dxa"/>
            <w:tcBorders>
              <w:top w:val="nil"/>
              <w:left w:val="single" w:sz="4" w:space="0" w:color="auto"/>
              <w:bottom w:val="single" w:sz="4" w:space="0" w:color="auto"/>
              <w:right w:val="single" w:sz="4" w:space="0" w:color="auto"/>
            </w:tcBorders>
            <w:shd w:val="clear" w:color="auto" w:fill="auto"/>
            <w:noWrap/>
            <w:vAlign w:val="bottom"/>
            <w:hideMark/>
          </w:tcPr>
          <w:p w14:paraId="0D0EF733" w14:textId="77777777"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Items</w:t>
            </w:r>
          </w:p>
        </w:tc>
        <w:tc>
          <w:tcPr>
            <w:tcW w:w="1318" w:type="dxa"/>
            <w:tcBorders>
              <w:top w:val="nil"/>
              <w:left w:val="nil"/>
              <w:bottom w:val="single" w:sz="4" w:space="0" w:color="auto"/>
              <w:right w:val="single" w:sz="4" w:space="0" w:color="auto"/>
            </w:tcBorders>
            <w:shd w:val="clear" w:color="auto" w:fill="auto"/>
            <w:noWrap/>
            <w:vAlign w:val="bottom"/>
          </w:tcPr>
          <w:p w14:paraId="122E0CA3" w14:textId="5EC726BC"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2019 </w:t>
            </w:r>
          </w:p>
        </w:tc>
        <w:tc>
          <w:tcPr>
            <w:tcW w:w="1319" w:type="dxa"/>
            <w:tcBorders>
              <w:top w:val="nil"/>
              <w:left w:val="nil"/>
              <w:bottom w:val="single" w:sz="4" w:space="0" w:color="auto"/>
              <w:right w:val="single" w:sz="4" w:space="0" w:color="auto"/>
            </w:tcBorders>
            <w:shd w:val="clear" w:color="auto" w:fill="auto"/>
            <w:noWrap/>
            <w:vAlign w:val="bottom"/>
          </w:tcPr>
          <w:p w14:paraId="0BA78A08" w14:textId="2AF503A3"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2020 </w:t>
            </w:r>
          </w:p>
        </w:tc>
      </w:tr>
      <w:tr w:rsidR="000A41B9" w:rsidRPr="00DE6ED2" w14:paraId="2F64E637" w14:textId="71E49603" w:rsidTr="000A41B9">
        <w:trPr>
          <w:trHeight w:val="310"/>
          <w:jc w:val="center"/>
        </w:trPr>
        <w:tc>
          <w:tcPr>
            <w:tcW w:w="3559" w:type="dxa"/>
            <w:tcBorders>
              <w:top w:val="nil"/>
              <w:left w:val="single" w:sz="4" w:space="0" w:color="auto"/>
              <w:bottom w:val="single" w:sz="4" w:space="0" w:color="auto"/>
              <w:right w:val="single" w:sz="4" w:space="0" w:color="auto"/>
            </w:tcBorders>
            <w:shd w:val="clear" w:color="auto" w:fill="auto"/>
            <w:noWrap/>
            <w:vAlign w:val="bottom"/>
            <w:hideMark/>
          </w:tcPr>
          <w:p w14:paraId="4D68C162" w14:textId="69EBDF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 xml:space="preserve">Profit (Disposable) </w:t>
            </w:r>
          </w:p>
        </w:tc>
        <w:tc>
          <w:tcPr>
            <w:tcW w:w="1318" w:type="dxa"/>
            <w:tcBorders>
              <w:top w:val="nil"/>
              <w:left w:val="nil"/>
              <w:bottom w:val="single" w:sz="4" w:space="0" w:color="auto"/>
              <w:right w:val="single" w:sz="4" w:space="0" w:color="auto"/>
            </w:tcBorders>
            <w:shd w:val="clear" w:color="auto" w:fill="auto"/>
            <w:noWrap/>
            <w:vAlign w:val="bottom"/>
          </w:tcPr>
          <w:p w14:paraId="46CFB726" w14:textId="1925D02B"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366</w:t>
            </w:r>
          </w:p>
        </w:tc>
        <w:tc>
          <w:tcPr>
            <w:tcW w:w="1319" w:type="dxa"/>
            <w:tcBorders>
              <w:top w:val="nil"/>
              <w:left w:val="nil"/>
              <w:bottom w:val="single" w:sz="4" w:space="0" w:color="auto"/>
              <w:right w:val="single" w:sz="4" w:space="0" w:color="auto"/>
            </w:tcBorders>
            <w:shd w:val="clear" w:color="auto" w:fill="auto"/>
            <w:noWrap/>
            <w:vAlign w:val="bottom"/>
          </w:tcPr>
          <w:p w14:paraId="29B211E2" w14:textId="14995F08"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431</w:t>
            </w:r>
          </w:p>
        </w:tc>
      </w:tr>
      <w:tr w:rsidR="000A41B9" w:rsidRPr="00DE6ED2" w14:paraId="091E7BBA" w14:textId="273AE732" w:rsidTr="000A41B9">
        <w:trPr>
          <w:trHeight w:val="310"/>
          <w:jc w:val="center"/>
        </w:trPr>
        <w:tc>
          <w:tcPr>
            <w:tcW w:w="3559" w:type="dxa"/>
            <w:tcBorders>
              <w:top w:val="nil"/>
              <w:left w:val="single" w:sz="4" w:space="0" w:color="auto"/>
              <w:bottom w:val="single" w:sz="4" w:space="0" w:color="auto"/>
              <w:right w:val="single" w:sz="4" w:space="0" w:color="auto"/>
            </w:tcBorders>
            <w:shd w:val="clear" w:color="auto" w:fill="auto"/>
            <w:noWrap/>
            <w:vAlign w:val="bottom"/>
            <w:hideMark/>
          </w:tcPr>
          <w:p w14:paraId="4CE0A106"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(Divide) Revenue from Sales</w:t>
            </w:r>
          </w:p>
        </w:tc>
        <w:tc>
          <w:tcPr>
            <w:tcW w:w="1318" w:type="dxa"/>
            <w:tcBorders>
              <w:top w:val="nil"/>
              <w:left w:val="nil"/>
              <w:bottom w:val="single" w:sz="4" w:space="0" w:color="auto"/>
              <w:right w:val="single" w:sz="4" w:space="0" w:color="auto"/>
            </w:tcBorders>
            <w:shd w:val="clear" w:color="auto" w:fill="auto"/>
            <w:noWrap/>
            <w:vAlign w:val="bottom"/>
          </w:tcPr>
          <w:p w14:paraId="608E433C" w14:textId="5AAFBB3D"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6,441</w:t>
            </w:r>
          </w:p>
        </w:tc>
        <w:tc>
          <w:tcPr>
            <w:tcW w:w="1319" w:type="dxa"/>
            <w:tcBorders>
              <w:top w:val="nil"/>
              <w:left w:val="nil"/>
              <w:bottom w:val="single" w:sz="4" w:space="0" w:color="auto"/>
              <w:right w:val="single" w:sz="4" w:space="0" w:color="auto"/>
            </w:tcBorders>
            <w:shd w:val="clear" w:color="auto" w:fill="auto"/>
            <w:noWrap/>
            <w:vAlign w:val="bottom"/>
          </w:tcPr>
          <w:p w14:paraId="4CB64FC1" w14:textId="5ADF6F13"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6,738</w:t>
            </w:r>
          </w:p>
        </w:tc>
      </w:tr>
      <w:tr w:rsidR="000A41B9" w:rsidRPr="00DE6ED2" w14:paraId="42A41A5F" w14:textId="20E14E6F" w:rsidTr="000A41B9">
        <w:trPr>
          <w:trHeight w:val="310"/>
          <w:jc w:val="center"/>
        </w:trPr>
        <w:tc>
          <w:tcPr>
            <w:tcW w:w="3559" w:type="dxa"/>
            <w:tcBorders>
              <w:top w:val="nil"/>
              <w:left w:val="single" w:sz="4" w:space="0" w:color="auto"/>
              <w:bottom w:val="single" w:sz="4" w:space="0" w:color="auto"/>
              <w:right w:val="single" w:sz="4" w:space="0" w:color="auto"/>
            </w:tcBorders>
            <w:shd w:val="clear" w:color="auto" w:fill="auto"/>
            <w:noWrap/>
            <w:vAlign w:val="bottom"/>
            <w:hideMark/>
          </w:tcPr>
          <w:p w14:paraId="717D5586"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Net profit margin</w:t>
            </w:r>
          </w:p>
        </w:tc>
        <w:tc>
          <w:tcPr>
            <w:tcW w:w="1318" w:type="dxa"/>
            <w:tcBorders>
              <w:top w:val="nil"/>
              <w:left w:val="nil"/>
              <w:bottom w:val="single" w:sz="4" w:space="0" w:color="auto"/>
              <w:right w:val="single" w:sz="4" w:space="0" w:color="auto"/>
            </w:tcBorders>
            <w:shd w:val="clear" w:color="auto" w:fill="auto"/>
            <w:noWrap/>
            <w:vAlign w:val="bottom"/>
          </w:tcPr>
          <w:p w14:paraId="7046F667" w14:textId="22AF0727"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w:t>
            </w:r>
          </w:p>
        </w:tc>
        <w:tc>
          <w:tcPr>
            <w:tcW w:w="1319" w:type="dxa"/>
            <w:tcBorders>
              <w:top w:val="nil"/>
              <w:left w:val="nil"/>
              <w:bottom w:val="single" w:sz="4" w:space="0" w:color="auto"/>
              <w:right w:val="single" w:sz="4" w:space="0" w:color="auto"/>
            </w:tcBorders>
            <w:shd w:val="clear" w:color="auto" w:fill="auto"/>
            <w:noWrap/>
            <w:vAlign w:val="bottom"/>
          </w:tcPr>
          <w:p w14:paraId="6D67D004" w14:textId="48B51C72"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w:t>
            </w:r>
          </w:p>
        </w:tc>
      </w:tr>
    </w:tbl>
    <w:p w14:paraId="00000016" w14:textId="607D3B31" w:rsidR="00DE58EB"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This ratio can be </w:t>
      </w:r>
      <w:r w:rsidR="00426B9A">
        <w:rPr>
          <w:rFonts w:ascii="Times New Roman" w:eastAsia="Times New Roman" w:hAnsi="Times New Roman" w:cs="Times New Roman"/>
          <w:color w:val="0E101A"/>
          <w:sz w:val="24"/>
          <w:szCs w:val="24"/>
          <w:lang w:val="en-GB"/>
        </w:rPr>
        <w:t>computed</w:t>
      </w:r>
      <w:r w:rsidRPr="00DE6ED2">
        <w:rPr>
          <w:rFonts w:ascii="Times New Roman" w:eastAsia="Times New Roman" w:hAnsi="Times New Roman" w:cs="Times New Roman"/>
          <w:color w:val="0E101A"/>
          <w:sz w:val="24"/>
          <w:szCs w:val="24"/>
          <w:lang w:val="en-GB"/>
        </w:rPr>
        <w:t xml:space="preserve"> by dividing </w:t>
      </w:r>
      <w:r w:rsidR="00426B9A" w:rsidRPr="00DE6ED2">
        <w:rPr>
          <w:rFonts w:ascii="Times New Roman" w:eastAsia="Times New Roman" w:hAnsi="Times New Roman" w:cs="Times New Roman"/>
          <w:color w:val="0E101A"/>
          <w:sz w:val="24"/>
          <w:szCs w:val="24"/>
          <w:lang w:val="en-GB"/>
        </w:rPr>
        <w:t>disposable</w:t>
      </w:r>
      <w:r w:rsidRPr="00DE6ED2">
        <w:rPr>
          <w:rFonts w:ascii="Times New Roman" w:eastAsia="Times New Roman" w:hAnsi="Times New Roman" w:cs="Times New Roman"/>
          <w:color w:val="0E101A"/>
          <w:sz w:val="24"/>
          <w:szCs w:val="24"/>
          <w:lang w:val="en-GB"/>
        </w:rPr>
        <w:t xml:space="preserve"> profit from </w:t>
      </w:r>
      <w:r w:rsidR="00426B9A" w:rsidRPr="00DE6ED2">
        <w:rPr>
          <w:rFonts w:ascii="Times New Roman" w:eastAsia="Times New Roman" w:hAnsi="Times New Roman" w:cs="Times New Roman"/>
          <w:color w:val="0E101A"/>
          <w:sz w:val="24"/>
          <w:szCs w:val="24"/>
          <w:lang w:val="en-GB"/>
        </w:rPr>
        <w:t>remaining</w:t>
      </w:r>
      <w:r w:rsidRPr="00DE6ED2">
        <w:rPr>
          <w:rFonts w:ascii="Times New Roman" w:eastAsia="Times New Roman" w:hAnsi="Times New Roman" w:cs="Times New Roman"/>
          <w:color w:val="0E101A"/>
          <w:sz w:val="24"/>
          <w:szCs w:val="24"/>
          <w:lang w:val="en-GB"/>
        </w:rPr>
        <w:t xml:space="preserve"> sales. A higher net profit margin indicates better profitability of business (</w:t>
      </w:r>
      <w:proofErr w:type="spellStart"/>
      <w:r w:rsidR="002877B5" w:rsidRPr="00DE6ED2">
        <w:rPr>
          <w:rFonts w:ascii="Times New Roman" w:hAnsi="Times New Roman" w:cs="Times New Roman"/>
          <w:color w:val="000000" w:themeColor="text1"/>
          <w:sz w:val="24"/>
          <w:szCs w:val="24"/>
          <w:shd w:val="clear" w:color="auto" w:fill="FFFFFF"/>
          <w:lang w:val="en-GB"/>
        </w:rPr>
        <w:t>Nariswari</w:t>
      </w:r>
      <w:proofErr w:type="spellEnd"/>
      <w:r w:rsidR="002877B5" w:rsidRPr="00DE6ED2">
        <w:rPr>
          <w:rFonts w:ascii="Times New Roman" w:hAnsi="Times New Roman" w:cs="Times New Roman"/>
          <w:color w:val="000000" w:themeColor="text1"/>
          <w:sz w:val="24"/>
          <w:szCs w:val="24"/>
          <w:shd w:val="clear" w:color="auto" w:fill="FFFFFF"/>
          <w:lang w:val="en-GB"/>
        </w:rPr>
        <w:t xml:space="preserve"> and </w:t>
      </w:r>
      <w:proofErr w:type="spellStart"/>
      <w:r w:rsidR="002877B5" w:rsidRPr="00DE6ED2">
        <w:rPr>
          <w:rFonts w:ascii="Times New Roman" w:hAnsi="Times New Roman" w:cs="Times New Roman"/>
          <w:color w:val="000000" w:themeColor="text1"/>
          <w:sz w:val="24"/>
          <w:szCs w:val="24"/>
          <w:shd w:val="clear" w:color="auto" w:fill="FFFFFF"/>
          <w:lang w:val="en-GB"/>
        </w:rPr>
        <w:t>Nugraha</w:t>
      </w:r>
      <w:proofErr w:type="spellEnd"/>
      <w:r w:rsidR="002877B5" w:rsidRPr="00DE6ED2">
        <w:rPr>
          <w:rFonts w:ascii="Times New Roman" w:hAnsi="Times New Roman" w:cs="Times New Roman"/>
          <w:color w:val="000000" w:themeColor="text1"/>
          <w:sz w:val="24"/>
          <w:szCs w:val="24"/>
          <w:shd w:val="clear" w:color="auto" w:fill="FFFFFF"/>
          <w:lang w:val="en-GB"/>
        </w:rPr>
        <w:t>, 2020</w:t>
      </w:r>
      <w:r w:rsidRPr="00DE6ED2">
        <w:rPr>
          <w:rFonts w:ascii="Times New Roman" w:eastAsia="Times New Roman" w:hAnsi="Times New Roman" w:cs="Times New Roman"/>
          <w:color w:val="0E101A"/>
          <w:sz w:val="24"/>
          <w:szCs w:val="24"/>
          <w:lang w:val="en-GB"/>
        </w:rPr>
        <w:t xml:space="preserve">). In case of Chocco Plc, the net profit margin is 6% in both 2019 and 2020. The company has made higher net profit and sales revenue in 2020. However, presence of slightly higher expenses tends to affect the net profit margin of business. Thus, net profit of Chocco Plc is 6% which is similar to last year.  </w:t>
      </w:r>
    </w:p>
    <w:p w14:paraId="783B9C84" w14:textId="77777777" w:rsidR="009E5BB9" w:rsidRDefault="009E5BB9">
      <w:pPr>
        <w:spacing w:line="360" w:lineRule="auto"/>
        <w:jc w:val="both"/>
        <w:rPr>
          <w:rFonts w:ascii="Times New Roman" w:eastAsia="Times New Roman" w:hAnsi="Times New Roman" w:cs="Times New Roman"/>
          <w:color w:val="0E101A"/>
          <w:sz w:val="24"/>
          <w:szCs w:val="24"/>
          <w:lang w:val="en-GB"/>
        </w:rPr>
      </w:pPr>
    </w:p>
    <w:p w14:paraId="10BC6DF8" w14:textId="77777777" w:rsidR="009E5BB9" w:rsidRPr="00DE6ED2" w:rsidRDefault="009E5BB9">
      <w:pPr>
        <w:spacing w:line="360" w:lineRule="auto"/>
        <w:jc w:val="both"/>
        <w:rPr>
          <w:rFonts w:ascii="Times New Roman" w:eastAsia="Times New Roman" w:hAnsi="Times New Roman" w:cs="Times New Roman"/>
          <w:color w:val="0E101A"/>
          <w:sz w:val="24"/>
          <w:szCs w:val="24"/>
          <w:lang w:val="en-GB"/>
        </w:rPr>
      </w:pPr>
    </w:p>
    <w:p w14:paraId="00000017" w14:textId="77777777" w:rsidR="00DE58EB" w:rsidRPr="00DE6ED2" w:rsidRDefault="00AB4518" w:rsidP="00E44339">
      <w:pPr>
        <w:pStyle w:val="Heading1"/>
      </w:pPr>
      <w:bookmarkStart w:id="12" w:name="_Toc80991817"/>
      <w:r w:rsidRPr="00DE6ED2">
        <w:lastRenderedPageBreak/>
        <w:t>5- Asset turnover</w:t>
      </w:r>
      <w:bookmarkEnd w:id="12"/>
    </w:p>
    <w:tbl>
      <w:tblPr>
        <w:tblW w:w="6345" w:type="dxa"/>
        <w:jc w:val="center"/>
        <w:tblLook w:val="04A0" w:firstRow="1" w:lastRow="0" w:firstColumn="1" w:lastColumn="0" w:noHBand="0" w:noVBand="1"/>
      </w:tblPr>
      <w:tblGrid>
        <w:gridCol w:w="3794"/>
        <w:gridCol w:w="1275"/>
        <w:gridCol w:w="1276"/>
      </w:tblGrid>
      <w:tr w:rsidR="001C736E" w:rsidRPr="00DE6ED2" w14:paraId="153513E0" w14:textId="77777777" w:rsidTr="000A41B9">
        <w:trPr>
          <w:trHeight w:val="234"/>
          <w:jc w:val="center"/>
        </w:trPr>
        <w:tc>
          <w:tcPr>
            <w:tcW w:w="634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50EA31" w14:textId="77777777" w:rsidR="001C736E" w:rsidRPr="00DE6ED2" w:rsidRDefault="001C736E" w:rsidP="003336DA">
            <w:pPr>
              <w:spacing w:line="240" w:lineRule="auto"/>
              <w:jc w:val="center"/>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Asset turnover of Chocco plc</w:t>
            </w:r>
          </w:p>
        </w:tc>
      </w:tr>
      <w:tr w:rsidR="000A41B9" w:rsidRPr="00DE6ED2" w14:paraId="04A5BF23" w14:textId="1C40DE7D" w:rsidTr="000A41B9">
        <w:trPr>
          <w:trHeight w:val="234"/>
          <w:jc w:val="center"/>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30482316" w14:textId="77777777"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Items</w:t>
            </w:r>
          </w:p>
        </w:tc>
        <w:tc>
          <w:tcPr>
            <w:tcW w:w="1275" w:type="dxa"/>
            <w:tcBorders>
              <w:top w:val="nil"/>
              <w:left w:val="nil"/>
              <w:bottom w:val="single" w:sz="4" w:space="0" w:color="auto"/>
              <w:right w:val="single" w:sz="4" w:space="0" w:color="auto"/>
            </w:tcBorders>
            <w:shd w:val="clear" w:color="auto" w:fill="auto"/>
            <w:noWrap/>
            <w:vAlign w:val="bottom"/>
          </w:tcPr>
          <w:p w14:paraId="5A76CAFF" w14:textId="4B6290A4"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2019 </w:t>
            </w:r>
          </w:p>
        </w:tc>
        <w:tc>
          <w:tcPr>
            <w:tcW w:w="1276" w:type="dxa"/>
            <w:tcBorders>
              <w:top w:val="nil"/>
              <w:left w:val="nil"/>
              <w:bottom w:val="single" w:sz="4" w:space="0" w:color="auto"/>
              <w:right w:val="single" w:sz="4" w:space="0" w:color="auto"/>
            </w:tcBorders>
            <w:shd w:val="clear" w:color="auto" w:fill="auto"/>
            <w:noWrap/>
            <w:vAlign w:val="bottom"/>
          </w:tcPr>
          <w:p w14:paraId="1A5687D5" w14:textId="432C0D19"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2020 </w:t>
            </w:r>
          </w:p>
        </w:tc>
      </w:tr>
      <w:tr w:rsidR="000A41B9" w:rsidRPr="00DE6ED2" w14:paraId="1E3A044A" w14:textId="3590A749" w:rsidTr="000A41B9">
        <w:trPr>
          <w:trHeight w:val="234"/>
          <w:jc w:val="center"/>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65A26380" w14:textId="56ACBE12"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Sales (Disposable)</w:t>
            </w:r>
          </w:p>
        </w:tc>
        <w:tc>
          <w:tcPr>
            <w:tcW w:w="1275" w:type="dxa"/>
            <w:tcBorders>
              <w:top w:val="nil"/>
              <w:left w:val="nil"/>
              <w:bottom w:val="single" w:sz="4" w:space="0" w:color="auto"/>
              <w:right w:val="single" w:sz="4" w:space="0" w:color="auto"/>
            </w:tcBorders>
            <w:shd w:val="clear" w:color="auto" w:fill="auto"/>
            <w:noWrap/>
            <w:vAlign w:val="bottom"/>
          </w:tcPr>
          <w:p w14:paraId="21D011C6" w14:textId="1F53C2D0"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6,441</w:t>
            </w:r>
          </w:p>
        </w:tc>
        <w:tc>
          <w:tcPr>
            <w:tcW w:w="1276" w:type="dxa"/>
            <w:tcBorders>
              <w:top w:val="nil"/>
              <w:left w:val="nil"/>
              <w:bottom w:val="single" w:sz="4" w:space="0" w:color="auto"/>
              <w:right w:val="single" w:sz="4" w:space="0" w:color="auto"/>
            </w:tcBorders>
            <w:shd w:val="clear" w:color="auto" w:fill="auto"/>
            <w:noWrap/>
            <w:vAlign w:val="bottom"/>
          </w:tcPr>
          <w:p w14:paraId="46469E77" w14:textId="0BFF5047"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6,738</w:t>
            </w:r>
          </w:p>
        </w:tc>
      </w:tr>
      <w:tr w:rsidR="000A41B9" w:rsidRPr="00DE6ED2" w14:paraId="3ABD4DBD" w14:textId="7E395270" w:rsidTr="000A41B9">
        <w:trPr>
          <w:trHeight w:val="234"/>
          <w:jc w:val="center"/>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32C3422E" w14:textId="4AC7591C"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(Divide)  Total assets (Ordinary)</w:t>
            </w:r>
          </w:p>
        </w:tc>
        <w:tc>
          <w:tcPr>
            <w:tcW w:w="1275" w:type="dxa"/>
            <w:tcBorders>
              <w:top w:val="nil"/>
              <w:left w:val="nil"/>
              <w:bottom w:val="single" w:sz="4" w:space="0" w:color="auto"/>
              <w:right w:val="single" w:sz="4" w:space="0" w:color="auto"/>
            </w:tcBorders>
            <w:shd w:val="clear" w:color="auto" w:fill="auto"/>
            <w:noWrap/>
            <w:vAlign w:val="bottom"/>
          </w:tcPr>
          <w:p w14:paraId="07CEBA80" w14:textId="6B657A3B"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10,087</w:t>
            </w:r>
          </w:p>
        </w:tc>
        <w:tc>
          <w:tcPr>
            <w:tcW w:w="1276" w:type="dxa"/>
            <w:tcBorders>
              <w:top w:val="nil"/>
              <w:left w:val="nil"/>
              <w:bottom w:val="single" w:sz="4" w:space="0" w:color="auto"/>
              <w:right w:val="single" w:sz="4" w:space="0" w:color="auto"/>
            </w:tcBorders>
            <w:shd w:val="clear" w:color="auto" w:fill="auto"/>
            <w:noWrap/>
            <w:vAlign w:val="bottom"/>
          </w:tcPr>
          <w:p w14:paraId="20D58789" w14:textId="5CB75F40"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9,736</w:t>
            </w:r>
          </w:p>
        </w:tc>
      </w:tr>
      <w:tr w:rsidR="000A41B9" w:rsidRPr="00DE6ED2" w14:paraId="22522208" w14:textId="0DD48A36" w:rsidTr="000A41B9">
        <w:trPr>
          <w:trHeight w:val="234"/>
          <w:jc w:val="center"/>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0B5C23A1"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Asset turnover</w:t>
            </w:r>
          </w:p>
        </w:tc>
        <w:tc>
          <w:tcPr>
            <w:tcW w:w="1275" w:type="dxa"/>
            <w:tcBorders>
              <w:top w:val="nil"/>
              <w:left w:val="nil"/>
              <w:bottom w:val="single" w:sz="4" w:space="0" w:color="auto"/>
              <w:right w:val="single" w:sz="4" w:space="0" w:color="auto"/>
            </w:tcBorders>
            <w:shd w:val="clear" w:color="auto" w:fill="auto"/>
            <w:noWrap/>
            <w:vAlign w:val="bottom"/>
          </w:tcPr>
          <w:p w14:paraId="68CF9467" w14:textId="2F0F0D04"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64%</w:t>
            </w:r>
          </w:p>
        </w:tc>
        <w:tc>
          <w:tcPr>
            <w:tcW w:w="1276" w:type="dxa"/>
            <w:tcBorders>
              <w:top w:val="nil"/>
              <w:left w:val="nil"/>
              <w:bottom w:val="single" w:sz="4" w:space="0" w:color="auto"/>
              <w:right w:val="single" w:sz="4" w:space="0" w:color="auto"/>
            </w:tcBorders>
            <w:shd w:val="clear" w:color="auto" w:fill="auto"/>
            <w:noWrap/>
            <w:vAlign w:val="bottom"/>
          </w:tcPr>
          <w:p w14:paraId="7E7D271B" w14:textId="01CE0195"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69%</w:t>
            </w:r>
          </w:p>
        </w:tc>
      </w:tr>
    </w:tbl>
    <w:p w14:paraId="00000018" w14:textId="2BE387DA"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As per asset turnover ratio, the </w:t>
      </w:r>
      <w:r w:rsidR="00426B9A" w:rsidRPr="00DE6ED2">
        <w:rPr>
          <w:rFonts w:ascii="Times New Roman" w:eastAsia="Times New Roman" w:hAnsi="Times New Roman" w:cs="Times New Roman"/>
          <w:color w:val="0E101A"/>
          <w:sz w:val="24"/>
          <w:szCs w:val="24"/>
          <w:lang w:val="en-GB"/>
        </w:rPr>
        <w:t>efficacy</w:t>
      </w:r>
      <w:r w:rsidRPr="00DE6ED2">
        <w:rPr>
          <w:rFonts w:ascii="Times New Roman" w:eastAsia="Times New Roman" w:hAnsi="Times New Roman" w:cs="Times New Roman"/>
          <w:color w:val="0E101A"/>
          <w:sz w:val="24"/>
          <w:szCs w:val="24"/>
          <w:lang w:val="en-GB"/>
        </w:rPr>
        <w:t xml:space="preserve"> of Chocco Plc to use assets for generating profit has increased by 5%. Asset turnover of </w:t>
      </w:r>
      <w:r w:rsidR="00426B9A">
        <w:rPr>
          <w:rFonts w:ascii="Times New Roman" w:eastAsia="Times New Roman" w:hAnsi="Times New Roman" w:cs="Times New Roman"/>
          <w:color w:val="0E101A"/>
          <w:sz w:val="24"/>
          <w:szCs w:val="24"/>
          <w:lang w:val="en-GB"/>
        </w:rPr>
        <w:t>the company</w:t>
      </w:r>
      <w:r w:rsidRPr="00DE6ED2">
        <w:rPr>
          <w:rFonts w:ascii="Times New Roman" w:eastAsia="Times New Roman" w:hAnsi="Times New Roman" w:cs="Times New Roman"/>
          <w:color w:val="0E101A"/>
          <w:sz w:val="24"/>
          <w:szCs w:val="24"/>
          <w:lang w:val="en-GB"/>
        </w:rPr>
        <w:t xml:space="preserve"> was 69% which was 64% in 2019. It has been calculated by dividing net sales from total assets. The company had a significant increment in net sales even when its asset balance had declined in the reporting period.  </w:t>
      </w:r>
    </w:p>
    <w:p w14:paraId="00000019" w14:textId="77777777" w:rsidR="00DE58EB" w:rsidRPr="00DE6ED2" w:rsidRDefault="00AB4518" w:rsidP="00E44339">
      <w:pPr>
        <w:pStyle w:val="Heading1"/>
      </w:pPr>
      <w:bookmarkStart w:id="13" w:name="_Toc80991818"/>
      <w:r w:rsidRPr="00DE6ED2">
        <w:t>6- Stock holding days</w:t>
      </w:r>
      <w:bookmarkEnd w:id="13"/>
    </w:p>
    <w:tbl>
      <w:tblPr>
        <w:tblW w:w="6497" w:type="dxa"/>
        <w:jc w:val="center"/>
        <w:tblLook w:val="04A0" w:firstRow="1" w:lastRow="0" w:firstColumn="1" w:lastColumn="0" w:noHBand="0" w:noVBand="1"/>
      </w:tblPr>
      <w:tblGrid>
        <w:gridCol w:w="4207"/>
        <w:gridCol w:w="1144"/>
        <w:gridCol w:w="1146"/>
      </w:tblGrid>
      <w:tr w:rsidR="001C736E" w:rsidRPr="00DE6ED2" w14:paraId="6CB3FA29" w14:textId="77777777" w:rsidTr="000A41B9">
        <w:trPr>
          <w:trHeight w:val="297"/>
          <w:jc w:val="center"/>
        </w:trPr>
        <w:tc>
          <w:tcPr>
            <w:tcW w:w="6497"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77F30D" w14:textId="77777777" w:rsidR="001C736E" w:rsidRPr="00DE6ED2" w:rsidRDefault="001C736E" w:rsidP="003336DA">
            <w:pPr>
              <w:spacing w:line="240" w:lineRule="auto"/>
              <w:jc w:val="center"/>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Stock holding days of Chocco plc</w:t>
            </w:r>
          </w:p>
        </w:tc>
      </w:tr>
      <w:tr w:rsidR="000A41B9" w:rsidRPr="00DE6ED2" w14:paraId="34806F11" w14:textId="04FEBB3E" w:rsidTr="000A41B9">
        <w:trPr>
          <w:trHeight w:val="297"/>
          <w:jc w:val="center"/>
        </w:trPr>
        <w:tc>
          <w:tcPr>
            <w:tcW w:w="4207" w:type="dxa"/>
            <w:tcBorders>
              <w:top w:val="nil"/>
              <w:left w:val="single" w:sz="4" w:space="0" w:color="auto"/>
              <w:bottom w:val="single" w:sz="4" w:space="0" w:color="auto"/>
              <w:right w:val="single" w:sz="4" w:space="0" w:color="auto"/>
            </w:tcBorders>
            <w:shd w:val="clear" w:color="auto" w:fill="auto"/>
            <w:noWrap/>
            <w:vAlign w:val="bottom"/>
            <w:hideMark/>
          </w:tcPr>
          <w:p w14:paraId="4F90D8D3" w14:textId="77777777"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Items</w:t>
            </w:r>
          </w:p>
        </w:tc>
        <w:tc>
          <w:tcPr>
            <w:tcW w:w="1144" w:type="dxa"/>
            <w:tcBorders>
              <w:top w:val="nil"/>
              <w:left w:val="nil"/>
              <w:bottom w:val="single" w:sz="4" w:space="0" w:color="auto"/>
              <w:right w:val="single" w:sz="4" w:space="0" w:color="auto"/>
            </w:tcBorders>
            <w:shd w:val="clear" w:color="auto" w:fill="auto"/>
            <w:noWrap/>
            <w:vAlign w:val="bottom"/>
          </w:tcPr>
          <w:p w14:paraId="02DB0015" w14:textId="72720AA5"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2019 </w:t>
            </w:r>
          </w:p>
        </w:tc>
        <w:tc>
          <w:tcPr>
            <w:tcW w:w="1146" w:type="dxa"/>
            <w:tcBorders>
              <w:top w:val="nil"/>
              <w:left w:val="nil"/>
              <w:bottom w:val="single" w:sz="4" w:space="0" w:color="auto"/>
              <w:right w:val="single" w:sz="4" w:space="0" w:color="auto"/>
            </w:tcBorders>
            <w:shd w:val="clear" w:color="auto" w:fill="auto"/>
            <w:noWrap/>
            <w:vAlign w:val="bottom"/>
          </w:tcPr>
          <w:p w14:paraId="269EC88C" w14:textId="0091FDF8"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2020 </w:t>
            </w:r>
          </w:p>
        </w:tc>
      </w:tr>
      <w:tr w:rsidR="000A41B9" w:rsidRPr="00DE6ED2" w14:paraId="257132EE" w14:textId="55E24E1E" w:rsidTr="000A41B9">
        <w:trPr>
          <w:trHeight w:val="297"/>
          <w:jc w:val="center"/>
        </w:trPr>
        <w:tc>
          <w:tcPr>
            <w:tcW w:w="4207" w:type="dxa"/>
            <w:tcBorders>
              <w:top w:val="nil"/>
              <w:left w:val="single" w:sz="4" w:space="0" w:color="auto"/>
              <w:bottom w:val="single" w:sz="4" w:space="0" w:color="auto"/>
              <w:right w:val="single" w:sz="4" w:space="0" w:color="auto"/>
            </w:tcBorders>
            <w:shd w:val="clear" w:color="auto" w:fill="auto"/>
            <w:noWrap/>
            <w:vAlign w:val="bottom"/>
            <w:hideMark/>
          </w:tcPr>
          <w:p w14:paraId="3E319F3D"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 xml:space="preserve">Inventory (Ending)   </w:t>
            </w:r>
          </w:p>
        </w:tc>
        <w:tc>
          <w:tcPr>
            <w:tcW w:w="1144" w:type="dxa"/>
            <w:tcBorders>
              <w:top w:val="nil"/>
              <w:left w:val="nil"/>
              <w:bottom w:val="single" w:sz="4" w:space="0" w:color="auto"/>
              <w:right w:val="single" w:sz="4" w:space="0" w:color="auto"/>
            </w:tcBorders>
            <w:shd w:val="clear" w:color="auto" w:fill="auto"/>
            <w:noWrap/>
            <w:vAlign w:val="bottom"/>
          </w:tcPr>
          <w:p w14:paraId="10B6CC9E" w14:textId="1C0F53E7"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659</w:t>
            </w:r>
          </w:p>
        </w:tc>
        <w:tc>
          <w:tcPr>
            <w:tcW w:w="1146" w:type="dxa"/>
            <w:tcBorders>
              <w:top w:val="nil"/>
              <w:left w:val="nil"/>
              <w:bottom w:val="single" w:sz="4" w:space="0" w:color="auto"/>
              <w:right w:val="single" w:sz="4" w:space="0" w:color="auto"/>
            </w:tcBorders>
            <w:shd w:val="clear" w:color="auto" w:fill="auto"/>
            <w:noWrap/>
            <w:vAlign w:val="bottom"/>
          </w:tcPr>
          <w:p w14:paraId="4FD47AA0" w14:textId="7BC8C3F2"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708</w:t>
            </w:r>
          </w:p>
        </w:tc>
      </w:tr>
      <w:tr w:rsidR="000A41B9" w:rsidRPr="00DE6ED2" w14:paraId="150C5031" w14:textId="2A53187C" w:rsidTr="000A41B9">
        <w:trPr>
          <w:trHeight w:val="297"/>
          <w:jc w:val="center"/>
        </w:trPr>
        <w:tc>
          <w:tcPr>
            <w:tcW w:w="4207" w:type="dxa"/>
            <w:tcBorders>
              <w:top w:val="nil"/>
              <w:left w:val="single" w:sz="4" w:space="0" w:color="auto"/>
              <w:bottom w:val="single" w:sz="4" w:space="0" w:color="auto"/>
              <w:right w:val="single" w:sz="4" w:space="0" w:color="auto"/>
            </w:tcBorders>
            <w:shd w:val="clear" w:color="auto" w:fill="auto"/>
            <w:noWrap/>
            <w:vAlign w:val="bottom"/>
            <w:hideMark/>
          </w:tcPr>
          <w:p w14:paraId="02BB9008"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 xml:space="preserve">(Multiply) Days 365 </w:t>
            </w:r>
          </w:p>
        </w:tc>
        <w:tc>
          <w:tcPr>
            <w:tcW w:w="1144" w:type="dxa"/>
            <w:tcBorders>
              <w:top w:val="nil"/>
              <w:left w:val="nil"/>
              <w:bottom w:val="single" w:sz="4" w:space="0" w:color="auto"/>
              <w:right w:val="single" w:sz="4" w:space="0" w:color="auto"/>
            </w:tcBorders>
            <w:shd w:val="clear" w:color="auto" w:fill="auto"/>
            <w:noWrap/>
            <w:vAlign w:val="bottom"/>
          </w:tcPr>
          <w:p w14:paraId="709145E4" w14:textId="1312976B"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240535</w:t>
            </w:r>
          </w:p>
        </w:tc>
        <w:tc>
          <w:tcPr>
            <w:tcW w:w="1146" w:type="dxa"/>
            <w:tcBorders>
              <w:top w:val="nil"/>
              <w:left w:val="nil"/>
              <w:bottom w:val="single" w:sz="4" w:space="0" w:color="auto"/>
              <w:right w:val="single" w:sz="4" w:space="0" w:color="auto"/>
            </w:tcBorders>
            <w:shd w:val="clear" w:color="auto" w:fill="auto"/>
            <w:noWrap/>
            <w:vAlign w:val="bottom"/>
          </w:tcPr>
          <w:p w14:paraId="10332482" w14:textId="6012053D"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258420</w:t>
            </w:r>
          </w:p>
        </w:tc>
      </w:tr>
      <w:tr w:rsidR="000A41B9" w:rsidRPr="00DE6ED2" w14:paraId="77C49E11" w14:textId="22F44812" w:rsidTr="000A41B9">
        <w:trPr>
          <w:trHeight w:val="297"/>
          <w:jc w:val="center"/>
        </w:trPr>
        <w:tc>
          <w:tcPr>
            <w:tcW w:w="4207" w:type="dxa"/>
            <w:tcBorders>
              <w:top w:val="nil"/>
              <w:left w:val="single" w:sz="4" w:space="0" w:color="auto"/>
              <w:bottom w:val="single" w:sz="4" w:space="0" w:color="auto"/>
              <w:right w:val="single" w:sz="4" w:space="0" w:color="auto"/>
            </w:tcBorders>
            <w:shd w:val="clear" w:color="auto" w:fill="auto"/>
            <w:noWrap/>
            <w:vAlign w:val="bottom"/>
            <w:hideMark/>
          </w:tcPr>
          <w:p w14:paraId="146D2DC9" w14:textId="1384DF9E"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 xml:space="preserve">(Divide) </w:t>
            </w:r>
            <w:r>
              <w:rPr>
                <w:rFonts w:ascii="Times New Roman" w:eastAsia="Times New Roman" w:hAnsi="Times New Roman" w:cs="Times New Roman"/>
                <w:color w:val="000000"/>
                <w:sz w:val="24"/>
                <w:szCs w:val="24"/>
                <w:lang w:val="en-GB"/>
              </w:rPr>
              <w:t>S</w:t>
            </w:r>
            <w:r w:rsidRPr="00DE6ED2">
              <w:rPr>
                <w:rFonts w:ascii="Times New Roman" w:eastAsia="Times New Roman" w:hAnsi="Times New Roman" w:cs="Times New Roman"/>
                <w:color w:val="000000"/>
                <w:sz w:val="24"/>
                <w:szCs w:val="24"/>
                <w:lang w:val="en-GB"/>
              </w:rPr>
              <w:t>ales Cost</w:t>
            </w:r>
          </w:p>
        </w:tc>
        <w:tc>
          <w:tcPr>
            <w:tcW w:w="1144" w:type="dxa"/>
            <w:tcBorders>
              <w:top w:val="nil"/>
              <w:left w:val="nil"/>
              <w:bottom w:val="single" w:sz="4" w:space="0" w:color="auto"/>
              <w:right w:val="single" w:sz="4" w:space="0" w:color="auto"/>
            </w:tcBorders>
            <w:shd w:val="clear" w:color="auto" w:fill="auto"/>
            <w:noWrap/>
            <w:vAlign w:val="bottom"/>
          </w:tcPr>
          <w:p w14:paraId="3B824486" w14:textId="4B4796D2"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3,096</w:t>
            </w:r>
          </w:p>
        </w:tc>
        <w:tc>
          <w:tcPr>
            <w:tcW w:w="1146" w:type="dxa"/>
            <w:tcBorders>
              <w:top w:val="nil"/>
              <w:left w:val="nil"/>
              <w:bottom w:val="single" w:sz="4" w:space="0" w:color="auto"/>
              <w:right w:val="single" w:sz="4" w:space="0" w:color="auto"/>
            </w:tcBorders>
            <w:shd w:val="clear" w:color="auto" w:fill="auto"/>
            <w:noWrap/>
            <w:vAlign w:val="bottom"/>
          </w:tcPr>
          <w:p w14:paraId="0F8B8D9E" w14:textId="2E5FD0F3"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3,235</w:t>
            </w:r>
          </w:p>
        </w:tc>
      </w:tr>
      <w:tr w:rsidR="000A41B9" w:rsidRPr="00DE6ED2" w14:paraId="7D7AFF04" w14:textId="637980D1" w:rsidTr="000A41B9">
        <w:trPr>
          <w:trHeight w:val="297"/>
          <w:jc w:val="center"/>
        </w:trPr>
        <w:tc>
          <w:tcPr>
            <w:tcW w:w="4207" w:type="dxa"/>
            <w:tcBorders>
              <w:top w:val="nil"/>
              <w:left w:val="single" w:sz="4" w:space="0" w:color="auto"/>
              <w:bottom w:val="single" w:sz="4" w:space="0" w:color="auto"/>
              <w:right w:val="single" w:sz="4" w:space="0" w:color="auto"/>
            </w:tcBorders>
            <w:shd w:val="clear" w:color="auto" w:fill="auto"/>
            <w:noWrap/>
            <w:vAlign w:val="bottom"/>
            <w:hideMark/>
          </w:tcPr>
          <w:p w14:paraId="4CF0F0CE"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Stock holding days</w:t>
            </w:r>
          </w:p>
        </w:tc>
        <w:tc>
          <w:tcPr>
            <w:tcW w:w="1144" w:type="dxa"/>
            <w:tcBorders>
              <w:top w:val="nil"/>
              <w:left w:val="nil"/>
              <w:bottom w:val="single" w:sz="4" w:space="0" w:color="auto"/>
              <w:right w:val="single" w:sz="4" w:space="0" w:color="auto"/>
            </w:tcBorders>
            <w:shd w:val="clear" w:color="auto" w:fill="auto"/>
            <w:noWrap/>
            <w:vAlign w:val="bottom"/>
          </w:tcPr>
          <w:p w14:paraId="5252E7C6" w14:textId="1471E3EA"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78</w:t>
            </w:r>
          </w:p>
        </w:tc>
        <w:tc>
          <w:tcPr>
            <w:tcW w:w="1146" w:type="dxa"/>
            <w:tcBorders>
              <w:top w:val="nil"/>
              <w:left w:val="nil"/>
              <w:bottom w:val="single" w:sz="4" w:space="0" w:color="auto"/>
              <w:right w:val="single" w:sz="4" w:space="0" w:color="auto"/>
            </w:tcBorders>
            <w:shd w:val="clear" w:color="auto" w:fill="auto"/>
            <w:noWrap/>
            <w:vAlign w:val="bottom"/>
          </w:tcPr>
          <w:p w14:paraId="51928812" w14:textId="2CDFC150"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80</w:t>
            </w:r>
          </w:p>
        </w:tc>
      </w:tr>
    </w:tbl>
    <w:p w14:paraId="0000001A" w14:textId="71EA577D"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Stock turnover days for Chocco Plc have been calculated by multiplying closing inventories with total days of operation and dividing the amount by the cost of goods sold. Stock holding days of </w:t>
      </w:r>
      <w:r w:rsidR="00426B9A">
        <w:rPr>
          <w:rFonts w:ascii="Times New Roman" w:eastAsia="Times New Roman" w:hAnsi="Times New Roman" w:cs="Times New Roman"/>
          <w:color w:val="0E101A"/>
          <w:sz w:val="24"/>
          <w:szCs w:val="24"/>
          <w:lang w:val="en-GB"/>
        </w:rPr>
        <w:t>the company</w:t>
      </w:r>
      <w:r w:rsidRPr="00DE6ED2">
        <w:rPr>
          <w:rFonts w:ascii="Times New Roman" w:eastAsia="Times New Roman" w:hAnsi="Times New Roman" w:cs="Times New Roman"/>
          <w:color w:val="0E101A"/>
          <w:sz w:val="24"/>
          <w:szCs w:val="24"/>
          <w:lang w:val="en-GB"/>
        </w:rPr>
        <w:t xml:space="preserve"> is 80 days in 2020 and 78 days in 2019. It means efficiency of the company has declined as it is taking 2 days extra for converting inventories into sales.   </w:t>
      </w:r>
    </w:p>
    <w:p w14:paraId="0000001B" w14:textId="77777777" w:rsidR="00DE58EB" w:rsidRPr="00DE6ED2" w:rsidRDefault="00AB4518" w:rsidP="00E44339">
      <w:pPr>
        <w:pStyle w:val="Heading1"/>
      </w:pPr>
      <w:bookmarkStart w:id="14" w:name="_Toc80991819"/>
      <w:r w:rsidRPr="00DE6ED2">
        <w:t>7- Debtors collection period</w:t>
      </w:r>
      <w:bookmarkEnd w:id="14"/>
    </w:p>
    <w:tbl>
      <w:tblPr>
        <w:tblW w:w="6286" w:type="dxa"/>
        <w:jc w:val="center"/>
        <w:tblLook w:val="04A0" w:firstRow="1" w:lastRow="0" w:firstColumn="1" w:lastColumn="0" w:noHBand="0" w:noVBand="1"/>
      </w:tblPr>
      <w:tblGrid>
        <w:gridCol w:w="3611"/>
        <w:gridCol w:w="1337"/>
        <w:gridCol w:w="1338"/>
      </w:tblGrid>
      <w:tr w:rsidR="001C736E" w:rsidRPr="00DE6ED2" w14:paraId="4849C632" w14:textId="77777777" w:rsidTr="000A41B9">
        <w:trPr>
          <w:trHeight w:val="260"/>
          <w:jc w:val="center"/>
        </w:trPr>
        <w:tc>
          <w:tcPr>
            <w:tcW w:w="628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9CED56" w14:textId="77777777" w:rsidR="001C736E" w:rsidRPr="00DE6ED2" w:rsidRDefault="001C736E" w:rsidP="003336DA">
            <w:pPr>
              <w:spacing w:line="240" w:lineRule="auto"/>
              <w:jc w:val="center"/>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Debtors collection period of Chocco plc</w:t>
            </w:r>
          </w:p>
        </w:tc>
      </w:tr>
      <w:tr w:rsidR="000A41B9" w:rsidRPr="00DE6ED2" w14:paraId="21AC2E9E" w14:textId="36EDDCE7" w:rsidTr="000A41B9">
        <w:trPr>
          <w:trHeight w:val="260"/>
          <w:jc w:val="center"/>
        </w:trPr>
        <w:tc>
          <w:tcPr>
            <w:tcW w:w="3611" w:type="dxa"/>
            <w:tcBorders>
              <w:top w:val="nil"/>
              <w:left w:val="single" w:sz="4" w:space="0" w:color="auto"/>
              <w:bottom w:val="single" w:sz="4" w:space="0" w:color="auto"/>
              <w:right w:val="single" w:sz="4" w:space="0" w:color="auto"/>
            </w:tcBorders>
            <w:shd w:val="clear" w:color="auto" w:fill="auto"/>
            <w:noWrap/>
            <w:vAlign w:val="bottom"/>
            <w:hideMark/>
          </w:tcPr>
          <w:p w14:paraId="514550B8" w14:textId="77777777"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Items</w:t>
            </w:r>
          </w:p>
        </w:tc>
        <w:tc>
          <w:tcPr>
            <w:tcW w:w="1337" w:type="dxa"/>
            <w:tcBorders>
              <w:top w:val="nil"/>
              <w:left w:val="nil"/>
              <w:bottom w:val="single" w:sz="4" w:space="0" w:color="auto"/>
              <w:right w:val="single" w:sz="4" w:space="0" w:color="auto"/>
            </w:tcBorders>
            <w:shd w:val="clear" w:color="auto" w:fill="auto"/>
            <w:noWrap/>
            <w:vAlign w:val="bottom"/>
          </w:tcPr>
          <w:p w14:paraId="6B36738A" w14:textId="049BDD01"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2019 </w:t>
            </w:r>
          </w:p>
        </w:tc>
        <w:tc>
          <w:tcPr>
            <w:tcW w:w="1338" w:type="dxa"/>
            <w:tcBorders>
              <w:top w:val="nil"/>
              <w:left w:val="nil"/>
              <w:bottom w:val="single" w:sz="4" w:space="0" w:color="auto"/>
              <w:right w:val="single" w:sz="4" w:space="0" w:color="auto"/>
            </w:tcBorders>
            <w:shd w:val="clear" w:color="auto" w:fill="auto"/>
            <w:noWrap/>
            <w:vAlign w:val="bottom"/>
          </w:tcPr>
          <w:p w14:paraId="22FB6707" w14:textId="732E40D6"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2020 </w:t>
            </w:r>
          </w:p>
        </w:tc>
      </w:tr>
      <w:tr w:rsidR="000A41B9" w:rsidRPr="00DE6ED2" w14:paraId="7C7AD27D" w14:textId="4ACEBE3F" w:rsidTr="000A41B9">
        <w:trPr>
          <w:trHeight w:val="260"/>
          <w:jc w:val="center"/>
        </w:trPr>
        <w:tc>
          <w:tcPr>
            <w:tcW w:w="3611" w:type="dxa"/>
            <w:tcBorders>
              <w:top w:val="nil"/>
              <w:left w:val="single" w:sz="4" w:space="0" w:color="auto"/>
              <w:bottom w:val="single" w:sz="4" w:space="0" w:color="auto"/>
              <w:right w:val="single" w:sz="4" w:space="0" w:color="auto"/>
            </w:tcBorders>
            <w:shd w:val="clear" w:color="auto" w:fill="auto"/>
            <w:noWrap/>
            <w:vAlign w:val="bottom"/>
            <w:hideMark/>
          </w:tcPr>
          <w:p w14:paraId="65852A47"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 xml:space="preserve">Receivables (Trade) </w:t>
            </w:r>
          </w:p>
        </w:tc>
        <w:tc>
          <w:tcPr>
            <w:tcW w:w="1337" w:type="dxa"/>
            <w:tcBorders>
              <w:top w:val="nil"/>
              <w:left w:val="nil"/>
              <w:bottom w:val="single" w:sz="4" w:space="0" w:color="auto"/>
              <w:right w:val="single" w:sz="4" w:space="0" w:color="auto"/>
            </w:tcBorders>
            <w:shd w:val="clear" w:color="auto" w:fill="auto"/>
            <w:noWrap/>
            <w:vAlign w:val="bottom"/>
          </w:tcPr>
          <w:p w14:paraId="40B3DF8D" w14:textId="6A7A2755"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1,287</w:t>
            </w:r>
          </w:p>
        </w:tc>
        <w:tc>
          <w:tcPr>
            <w:tcW w:w="1338" w:type="dxa"/>
            <w:tcBorders>
              <w:top w:val="nil"/>
              <w:left w:val="nil"/>
              <w:bottom w:val="single" w:sz="4" w:space="0" w:color="auto"/>
              <w:right w:val="single" w:sz="4" w:space="0" w:color="auto"/>
            </w:tcBorders>
            <w:shd w:val="clear" w:color="auto" w:fill="auto"/>
            <w:noWrap/>
            <w:vAlign w:val="bottom"/>
          </w:tcPr>
          <w:p w14:paraId="4F94046E" w14:textId="507A47E7"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1,249</w:t>
            </w:r>
          </w:p>
        </w:tc>
      </w:tr>
      <w:tr w:rsidR="000A41B9" w:rsidRPr="00DE6ED2" w14:paraId="5D52F4A5" w14:textId="3470903E" w:rsidTr="000A41B9">
        <w:trPr>
          <w:trHeight w:val="260"/>
          <w:jc w:val="center"/>
        </w:trPr>
        <w:tc>
          <w:tcPr>
            <w:tcW w:w="3611" w:type="dxa"/>
            <w:tcBorders>
              <w:top w:val="nil"/>
              <w:left w:val="single" w:sz="4" w:space="0" w:color="auto"/>
              <w:bottom w:val="single" w:sz="4" w:space="0" w:color="auto"/>
              <w:right w:val="single" w:sz="4" w:space="0" w:color="auto"/>
            </w:tcBorders>
            <w:shd w:val="clear" w:color="auto" w:fill="auto"/>
            <w:noWrap/>
            <w:vAlign w:val="bottom"/>
            <w:hideMark/>
          </w:tcPr>
          <w:p w14:paraId="0EEA0025"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 xml:space="preserve">(Multiply) Days 365 </w:t>
            </w:r>
          </w:p>
        </w:tc>
        <w:tc>
          <w:tcPr>
            <w:tcW w:w="1337" w:type="dxa"/>
            <w:tcBorders>
              <w:top w:val="nil"/>
              <w:left w:val="nil"/>
              <w:bottom w:val="single" w:sz="4" w:space="0" w:color="auto"/>
              <w:right w:val="single" w:sz="4" w:space="0" w:color="auto"/>
            </w:tcBorders>
            <w:shd w:val="clear" w:color="auto" w:fill="auto"/>
            <w:noWrap/>
            <w:vAlign w:val="bottom"/>
          </w:tcPr>
          <w:p w14:paraId="4214534C" w14:textId="6B43DC04"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469755</w:t>
            </w:r>
          </w:p>
        </w:tc>
        <w:tc>
          <w:tcPr>
            <w:tcW w:w="1338" w:type="dxa"/>
            <w:tcBorders>
              <w:top w:val="nil"/>
              <w:left w:val="nil"/>
              <w:bottom w:val="single" w:sz="4" w:space="0" w:color="auto"/>
              <w:right w:val="single" w:sz="4" w:space="0" w:color="auto"/>
            </w:tcBorders>
            <w:shd w:val="clear" w:color="auto" w:fill="auto"/>
            <w:noWrap/>
            <w:vAlign w:val="bottom"/>
          </w:tcPr>
          <w:p w14:paraId="20CC6BDE" w14:textId="7E2553FD"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455885</w:t>
            </w:r>
          </w:p>
        </w:tc>
      </w:tr>
      <w:tr w:rsidR="000A41B9" w:rsidRPr="00DE6ED2" w14:paraId="4D0F4735" w14:textId="64C58170" w:rsidTr="000A41B9">
        <w:trPr>
          <w:trHeight w:val="260"/>
          <w:jc w:val="center"/>
        </w:trPr>
        <w:tc>
          <w:tcPr>
            <w:tcW w:w="3611" w:type="dxa"/>
            <w:tcBorders>
              <w:top w:val="nil"/>
              <w:left w:val="single" w:sz="4" w:space="0" w:color="auto"/>
              <w:bottom w:val="single" w:sz="4" w:space="0" w:color="auto"/>
              <w:right w:val="single" w:sz="4" w:space="0" w:color="auto"/>
            </w:tcBorders>
            <w:shd w:val="clear" w:color="auto" w:fill="auto"/>
            <w:noWrap/>
            <w:vAlign w:val="bottom"/>
            <w:hideMark/>
          </w:tcPr>
          <w:p w14:paraId="52804557"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(Divide) Revenue from Sales</w:t>
            </w:r>
          </w:p>
        </w:tc>
        <w:tc>
          <w:tcPr>
            <w:tcW w:w="1337" w:type="dxa"/>
            <w:tcBorders>
              <w:top w:val="nil"/>
              <w:left w:val="nil"/>
              <w:bottom w:val="single" w:sz="4" w:space="0" w:color="auto"/>
              <w:right w:val="single" w:sz="4" w:space="0" w:color="auto"/>
            </w:tcBorders>
            <w:shd w:val="clear" w:color="auto" w:fill="auto"/>
            <w:noWrap/>
            <w:vAlign w:val="bottom"/>
          </w:tcPr>
          <w:p w14:paraId="1DF10DEC" w14:textId="255C7420"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6,441</w:t>
            </w:r>
          </w:p>
        </w:tc>
        <w:tc>
          <w:tcPr>
            <w:tcW w:w="1338" w:type="dxa"/>
            <w:tcBorders>
              <w:top w:val="nil"/>
              <w:left w:val="nil"/>
              <w:bottom w:val="single" w:sz="4" w:space="0" w:color="auto"/>
              <w:right w:val="single" w:sz="4" w:space="0" w:color="auto"/>
            </w:tcBorders>
            <w:shd w:val="clear" w:color="auto" w:fill="auto"/>
            <w:noWrap/>
            <w:vAlign w:val="bottom"/>
          </w:tcPr>
          <w:p w14:paraId="43AFDF1D" w14:textId="79140066"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6,738</w:t>
            </w:r>
          </w:p>
        </w:tc>
      </w:tr>
      <w:tr w:rsidR="000A41B9" w:rsidRPr="00DE6ED2" w14:paraId="2DC0BBE5" w14:textId="01C4AC93" w:rsidTr="000A41B9">
        <w:trPr>
          <w:trHeight w:val="260"/>
          <w:jc w:val="center"/>
        </w:trPr>
        <w:tc>
          <w:tcPr>
            <w:tcW w:w="3611" w:type="dxa"/>
            <w:tcBorders>
              <w:top w:val="nil"/>
              <w:left w:val="single" w:sz="4" w:space="0" w:color="auto"/>
              <w:bottom w:val="single" w:sz="4" w:space="0" w:color="auto"/>
              <w:right w:val="single" w:sz="4" w:space="0" w:color="auto"/>
            </w:tcBorders>
            <w:shd w:val="clear" w:color="auto" w:fill="auto"/>
            <w:noWrap/>
            <w:vAlign w:val="bottom"/>
            <w:hideMark/>
          </w:tcPr>
          <w:p w14:paraId="5E2B96C4"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Debtors collection period</w:t>
            </w:r>
          </w:p>
        </w:tc>
        <w:tc>
          <w:tcPr>
            <w:tcW w:w="1337" w:type="dxa"/>
            <w:tcBorders>
              <w:top w:val="nil"/>
              <w:left w:val="nil"/>
              <w:bottom w:val="single" w:sz="4" w:space="0" w:color="auto"/>
              <w:right w:val="single" w:sz="4" w:space="0" w:color="auto"/>
            </w:tcBorders>
            <w:shd w:val="clear" w:color="auto" w:fill="auto"/>
            <w:noWrap/>
            <w:vAlign w:val="bottom"/>
          </w:tcPr>
          <w:p w14:paraId="4943C73A" w14:textId="66DFAE0A"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73</w:t>
            </w:r>
          </w:p>
        </w:tc>
        <w:tc>
          <w:tcPr>
            <w:tcW w:w="1338" w:type="dxa"/>
            <w:tcBorders>
              <w:top w:val="nil"/>
              <w:left w:val="nil"/>
              <w:bottom w:val="single" w:sz="4" w:space="0" w:color="auto"/>
              <w:right w:val="single" w:sz="4" w:space="0" w:color="auto"/>
            </w:tcBorders>
            <w:shd w:val="clear" w:color="auto" w:fill="auto"/>
            <w:noWrap/>
            <w:vAlign w:val="bottom"/>
          </w:tcPr>
          <w:p w14:paraId="483ED6BC" w14:textId="0F60540D"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68</w:t>
            </w:r>
          </w:p>
        </w:tc>
      </w:tr>
    </w:tbl>
    <w:p w14:paraId="0000001C" w14:textId="3F2F3038"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Debtor collection period for Chocco Plc has been calculated by multiplying trade debtors with total days of </w:t>
      </w:r>
      <w:r w:rsidR="00426B9A">
        <w:rPr>
          <w:rFonts w:ascii="Times New Roman" w:eastAsia="Times New Roman" w:hAnsi="Times New Roman" w:cs="Times New Roman"/>
          <w:color w:val="0E101A"/>
          <w:sz w:val="24"/>
          <w:szCs w:val="24"/>
          <w:lang w:val="en-GB"/>
        </w:rPr>
        <w:t>production</w:t>
      </w:r>
      <w:r w:rsidRPr="00DE6ED2">
        <w:rPr>
          <w:rFonts w:ascii="Times New Roman" w:eastAsia="Times New Roman" w:hAnsi="Times New Roman" w:cs="Times New Roman"/>
          <w:color w:val="0E101A"/>
          <w:sz w:val="24"/>
          <w:szCs w:val="24"/>
          <w:lang w:val="en-GB"/>
        </w:rPr>
        <w:t xml:space="preserve"> and dividing the amount by sales. Debtor collection period of </w:t>
      </w:r>
      <w:r w:rsidR="00426B9A">
        <w:rPr>
          <w:rFonts w:ascii="Times New Roman" w:eastAsia="Times New Roman" w:hAnsi="Times New Roman" w:cs="Times New Roman"/>
          <w:color w:val="0E101A"/>
          <w:sz w:val="24"/>
          <w:szCs w:val="24"/>
          <w:lang w:val="en-GB"/>
        </w:rPr>
        <w:t>the company</w:t>
      </w:r>
      <w:r w:rsidRPr="00DE6ED2">
        <w:rPr>
          <w:rFonts w:ascii="Times New Roman" w:eastAsia="Times New Roman" w:hAnsi="Times New Roman" w:cs="Times New Roman"/>
          <w:color w:val="0E101A"/>
          <w:sz w:val="24"/>
          <w:szCs w:val="24"/>
          <w:lang w:val="en-GB"/>
        </w:rPr>
        <w:t xml:space="preserve"> is 68 days in 2020 and 73 days in 2019. It means the efficiency of company has increased as it is taking 5 days less for collecting dues from customers.   </w:t>
      </w:r>
    </w:p>
    <w:p w14:paraId="0000001D" w14:textId="77777777" w:rsidR="00DE58EB" w:rsidRPr="00DE6ED2" w:rsidRDefault="00AB4518" w:rsidP="00E44339">
      <w:pPr>
        <w:pStyle w:val="Heading1"/>
      </w:pPr>
      <w:bookmarkStart w:id="15" w:name="_Toc80991820"/>
      <w:r w:rsidRPr="00DE6ED2">
        <w:t>8- Current ratio</w:t>
      </w:r>
      <w:bookmarkEnd w:id="15"/>
    </w:p>
    <w:tbl>
      <w:tblPr>
        <w:tblW w:w="6368" w:type="dxa"/>
        <w:jc w:val="center"/>
        <w:tblLook w:val="04A0" w:firstRow="1" w:lastRow="0" w:firstColumn="1" w:lastColumn="0" w:noHBand="0" w:noVBand="1"/>
      </w:tblPr>
      <w:tblGrid>
        <w:gridCol w:w="3655"/>
        <w:gridCol w:w="1356"/>
        <w:gridCol w:w="1357"/>
      </w:tblGrid>
      <w:tr w:rsidR="001C736E" w:rsidRPr="00DE6ED2" w14:paraId="22D654B4" w14:textId="77777777" w:rsidTr="000A41B9">
        <w:trPr>
          <w:trHeight w:val="238"/>
          <w:jc w:val="center"/>
        </w:trPr>
        <w:tc>
          <w:tcPr>
            <w:tcW w:w="6368"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7DCAB6" w14:textId="77777777" w:rsidR="001C736E" w:rsidRPr="00DE6ED2" w:rsidRDefault="001C736E" w:rsidP="003336DA">
            <w:pPr>
              <w:spacing w:line="240" w:lineRule="auto"/>
              <w:jc w:val="center"/>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Current ratio of Chocco plc</w:t>
            </w:r>
          </w:p>
        </w:tc>
      </w:tr>
      <w:tr w:rsidR="000A41B9" w:rsidRPr="00DE6ED2" w14:paraId="6D61D7D7" w14:textId="2C291BE1" w:rsidTr="000A41B9">
        <w:trPr>
          <w:trHeight w:val="238"/>
          <w:jc w:val="center"/>
        </w:trPr>
        <w:tc>
          <w:tcPr>
            <w:tcW w:w="3655" w:type="dxa"/>
            <w:tcBorders>
              <w:top w:val="nil"/>
              <w:left w:val="single" w:sz="4" w:space="0" w:color="auto"/>
              <w:bottom w:val="single" w:sz="4" w:space="0" w:color="auto"/>
              <w:right w:val="single" w:sz="4" w:space="0" w:color="auto"/>
            </w:tcBorders>
            <w:shd w:val="clear" w:color="auto" w:fill="auto"/>
            <w:noWrap/>
            <w:vAlign w:val="bottom"/>
            <w:hideMark/>
          </w:tcPr>
          <w:p w14:paraId="137C33CB" w14:textId="77777777"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Items</w:t>
            </w:r>
          </w:p>
        </w:tc>
        <w:tc>
          <w:tcPr>
            <w:tcW w:w="1356" w:type="dxa"/>
            <w:tcBorders>
              <w:top w:val="nil"/>
              <w:left w:val="nil"/>
              <w:bottom w:val="single" w:sz="4" w:space="0" w:color="auto"/>
              <w:right w:val="single" w:sz="4" w:space="0" w:color="auto"/>
            </w:tcBorders>
            <w:shd w:val="clear" w:color="auto" w:fill="auto"/>
            <w:noWrap/>
            <w:vAlign w:val="bottom"/>
          </w:tcPr>
          <w:p w14:paraId="1EDBA147" w14:textId="0D4C3471"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2019 </w:t>
            </w:r>
          </w:p>
        </w:tc>
        <w:tc>
          <w:tcPr>
            <w:tcW w:w="1357" w:type="dxa"/>
            <w:tcBorders>
              <w:top w:val="nil"/>
              <w:left w:val="nil"/>
              <w:bottom w:val="single" w:sz="4" w:space="0" w:color="auto"/>
              <w:right w:val="single" w:sz="4" w:space="0" w:color="auto"/>
            </w:tcBorders>
            <w:shd w:val="clear" w:color="auto" w:fill="auto"/>
            <w:noWrap/>
            <w:vAlign w:val="bottom"/>
          </w:tcPr>
          <w:p w14:paraId="6AC6F2E9" w14:textId="677CE60F"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2020 </w:t>
            </w:r>
          </w:p>
        </w:tc>
      </w:tr>
      <w:tr w:rsidR="000A41B9" w:rsidRPr="00DE6ED2" w14:paraId="242AC3B7" w14:textId="031E1739" w:rsidTr="000A41B9">
        <w:trPr>
          <w:trHeight w:val="238"/>
          <w:jc w:val="center"/>
        </w:trPr>
        <w:tc>
          <w:tcPr>
            <w:tcW w:w="3655" w:type="dxa"/>
            <w:tcBorders>
              <w:top w:val="nil"/>
              <w:left w:val="single" w:sz="4" w:space="0" w:color="auto"/>
              <w:bottom w:val="single" w:sz="4" w:space="0" w:color="auto"/>
              <w:right w:val="single" w:sz="4" w:space="0" w:color="auto"/>
            </w:tcBorders>
            <w:shd w:val="clear" w:color="auto" w:fill="auto"/>
            <w:noWrap/>
            <w:vAlign w:val="bottom"/>
            <w:hideMark/>
          </w:tcPr>
          <w:p w14:paraId="5DA25567"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Assets (Current)</w:t>
            </w:r>
          </w:p>
        </w:tc>
        <w:tc>
          <w:tcPr>
            <w:tcW w:w="1356" w:type="dxa"/>
            <w:tcBorders>
              <w:top w:val="nil"/>
              <w:left w:val="nil"/>
              <w:bottom w:val="single" w:sz="4" w:space="0" w:color="auto"/>
              <w:right w:val="single" w:sz="4" w:space="0" w:color="auto"/>
            </w:tcBorders>
            <w:shd w:val="clear" w:color="auto" w:fill="auto"/>
            <w:noWrap/>
            <w:vAlign w:val="bottom"/>
          </w:tcPr>
          <w:p w14:paraId="37B34BD3" w14:textId="3F849A9C"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2,355</w:t>
            </w:r>
          </w:p>
        </w:tc>
        <w:tc>
          <w:tcPr>
            <w:tcW w:w="1357" w:type="dxa"/>
            <w:tcBorders>
              <w:top w:val="nil"/>
              <w:left w:val="nil"/>
              <w:bottom w:val="single" w:sz="4" w:space="0" w:color="auto"/>
              <w:right w:val="single" w:sz="4" w:space="0" w:color="auto"/>
            </w:tcBorders>
            <w:shd w:val="clear" w:color="auto" w:fill="auto"/>
            <w:noWrap/>
            <w:vAlign w:val="bottom"/>
          </w:tcPr>
          <w:p w14:paraId="7470BDB5" w14:textId="3D92B646"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2,303</w:t>
            </w:r>
          </w:p>
        </w:tc>
      </w:tr>
      <w:tr w:rsidR="000A41B9" w:rsidRPr="00DE6ED2" w14:paraId="228E5E18" w14:textId="255ADA82" w:rsidTr="000A41B9">
        <w:trPr>
          <w:trHeight w:val="238"/>
          <w:jc w:val="center"/>
        </w:trPr>
        <w:tc>
          <w:tcPr>
            <w:tcW w:w="3655" w:type="dxa"/>
            <w:tcBorders>
              <w:top w:val="nil"/>
              <w:left w:val="single" w:sz="4" w:space="0" w:color="auto"/>
              <w:bottom w:val="single" w:sz="4" w:space="0" w:color="auto"/>
              <w:right w:val="single" w:sz="4" w:space="0" w:color="auto"/>
            </w:tcBorders>
            <w:shd w:val="clear" w:color="auto" w:fill="auto"/>
            <w:noWrap/>
            <w:vAlign w:val="bottom"/>
            <w:hideMark/>
          </w:tcPr>
          <w:p w14:paraId="17A2F9CE"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(Divide) Liabilities (Current)</w:t>
            </w:r>
          </w:p>
        </w:tc>
        <w:tc>
          <w:tcPr>
            <w:tcW w:w="1356" w:type="dxa"/>
            <w:tcBorders>
              <w:top w:val="nil"/>
              <w:left w:val="nil"/>
              <w:bottom w:val="single" w:sz="4" w:space="0" w:color="auto"/>
              <w:right w:val="single" w:sz="4" w:space="0" w:color="auto"/>
            </w:tcBorders>
            <w:shd w:val="clear" w:color="auto" w:fill="auto"/>
            <w:noWrap/>
            <w:vAlign w:val="bottom"/>
          </w:tcPr>
          <w:p w14:paraId="625621C2" w14:textId="5D2C180E"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3,046</w:t>
            </w:r>
          </w:p>
        </w:tc>
        <w:tc>
          <w:tcPr>
            <w:tcW w:w="1357" w:type="dxa"/>
            <w:tcBorders>
              <w:top w:val="nil"/>
              <w:left w:val="nil"/>
              <w:bottom w:val="single" w:sz="4" w:space="0" w:color="auto"/>
              <w:right w:val="single" w:sz="4" w:space="0" w:color="auto"/>
            </w:tcBorders>
            <w:shd w:val="clear" w:color="auto" w:fill="auto"/>
            <w:noWrap/>
            <w:vAlign w:val="bottom"/>
          </w:tcPr>
          <w:p w14:paraId="1D5A0C16" w14:textId="406779B1"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2,511</w:t>
            </w:r>
          </w:p>
        </w:tc>
      </w:tr>
      <w:tr w:rsidR="000A41B9" w:rsidRPr="00DE6ED2" w14:paraId="7057B594" w14:textId="0618C112" w:rsidTr="000A41B9">
        <w:trPr>
          <w:trHeight w:val="238"/>
          <w:jc w:val="center"/>
        </w:trPr>
        <w:tc>
          <w:tcPr>
            <w:tcW w:w="3655" w:type="dxa"/>
            <w:tcBorders>
              <w:top w:val="nil"/>
              <w:left w:val="single" w:sz="4" w:space="0" w:color="auto"/>
              <w:bottom w:val="single" w:sz="4" w:space="0" w:color="auto"/>
              <w:right w:val="single" w:sz="4" w:space="0" w:color="auto"/>
            </w:tcBorders>
            <w:shd w:val="clear" w:color="auto" w:fill="auto"/>
            <w:noWrap/>
            <w:vAlign w:val="bottom"/>
            <w:hideMark/>
          </w:tcPr>
          <w:p w14:paraId="4ABC77BD"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Current ratio</w:t>
            </w:r>
          </w:p>
        </w:tc>
        <w:tc>
          <w:tcPr>
            <w:tcW w:w="1356" w:type="dxa"/>
            <w:tcBorders>
              <w:top w:val="nil"/>
              <w:left w:val="nil"/>
              <w:bottom w:val="single" w:sz="4" w:space="0" w:color="auto"/>
              <w:right w:val="single" w:sz="4" w:space="0" w:color="auto"/>
            </w:tcBorders>
            <w:shd w:val="clear" w:color="auto" w:fill="auto"/>
            <w:noWrap/>
            <w:vAlign w:val="bottom"/>
          </w:tcPr>
          <w:p w14:paraId="3B4A7044" w14:textId="7FA3B290"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0.77</w:t>
            </w:r>
          </w:p>
        </w:tc>
        <w:tc>
          <w:tcPr>
            <w:tcW w:w="1357" w:type="dxa"/>
            <w:tcBorders>
              <w:top w:val="nil"/>
              <w:left w:val="nil"/>
              <w:bottom w:val="single" w:sz="4" w:space="0" w:color="auto"/>
              <w:right w:val="single" w:sz="4" w:space="0" w:color="auto"/>
            </w:tcBorders>
            <w:shd w:val="clear" w:color="auto" w:fill="auto"/>
            <w:noWrap/>
            <w:vAlign w:val="bottom"/>
          </w:tcPr>
          <w:p w14:paraId="31C1BC0B" w14:textId="5CB4421B"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0.92</w:t>
            </w:r>
          </w:p>
        </w:tc>
      </w:tr>
    </w:tbl>
    <w:p w14:paraId="39F41A9B" w14:textId="27D36E54" w:rsidR="00B879DB" w:rsidRPr="009E5BB9"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lastRenderedPageBreak/>
        <w:t>Current ratio is sufficient for understanding liquidity position of the business (</w:t>
      </w:r>
      <w:proofErr w:type="spellStart"/>
      <w:r w:rsidR="002877B5" w:rsidRPr="00DE6ED2">
        <w:rPr>
          <w:rFonts w:ascii="Times New Roman" w:hAnsi="Times New Roman" w:cs="Times New Roman"/>
          <w:color w:val="000000" w:themeColor="text1"/>
          <w:sz w:val="24"/>
          <w:szCs w:val="24"/>
          <w:shd w:val="clear" w:color="auto" w:fill="FFFFFF"/>
          <w:lang w:val="en-GB"/>
        </w:rPr>
        <w:t>Irman</w:t>
      </w:r>
      <w:proofErr w:type="spellEnd"/>
      <w:r w:rsidR="002877B5" w:rsidRPr="00DE6ED2">
        <w:rPr>
          <w:rFonts w:ascii="Times New Roman" w:hAnsi="Times New Roman" w:cs="Times New Roman"/>
          <w:color w:val="000000" w:themeColor="text1"/>
          <w:sz w:val="24"/>
          <w:szCs w:val="24"/>
          <w:shd w:val="clear" w:color="auto" w:fill="FFFFFF"/>
          <w:lang w:val="en-GB"/>
        </w:rPr>
        <w:t xml:space="preserve"> and </w:t>
      </w:r>
      <w:proofErr w:type="spellStart"/>
      <w:r w:rsidR="002877B5" w:rsidRPr="00DE6ED2">
        <w:rPr>
          <w:rFonts w:ascii="Times New Roman" w:hAnsi="Times New Roman" w:cs="Times New Roman"/>
          <w:color w:val="000000" w:themeColor="text1"/>
          <w:sz w:val="24"/>
          <w:szCs w:val="24"/>
          <w:shd w:val="clear" w:color="auto" w:fill="FFFFFF"/>
          <w:lang w:val="en-GB"/>
        </w:rPr>
        <w:t>Purwati</w:t>
      </w:r>
      <w:proofErr w:type="spellEnd"/>
      <w:r w:rsidR="002877B5" w:rsidRPr="00DE6ED2">
        <w:rPr>
          <w:rFonts w:ascii="Times New Roman" w:hAnsi="Times New Roman" w:cs="Times New Roman"/>
          <w:color w:val="000000" w:themeColor="text1"/>
          <w:sz w:val="24"/>
          <w:szCs w:val="24"/>
          <w:shd w:val="clear" w:color="auto" w:fill="FFFFFF"/>
          <w:lang w:val="en-GB"/>
        </w:rPr>
        <w:t>, 2020</w:t>
      </w:r>
      <w:r w:rsidRPr="00DE6ED2">
        <w:rPr>
          <w:rFonts w:ascii="Times New Roman" w:eastAsia="Times New Roman" w:hAnsi="Times New Roman" w:cs="Times New Roman"/>
          <w:color w:val="0E101A"/>
          <w:sz w:val="24"/>
          <w:szCs w:val="24"/>
          <w:lang w:val="en-GB"/>
        </w:rPr>
        <w:t xml:space="preserve">). It can be calculated by dividing current assets by current liabilities. Chocco Plc has 0.92 times current ratio in 2020 and 0.77 times in 2019. Ratio analysis indicates a slight reduction in current assets and current abilities of 2020 </w:t>
      </w:r>
      <w:r w:rsidR="001C736E" w:rsidRPr="00DE6ED2">
        <w:rPr>
          <w:rFonts w:ascii="Times New Roman" w:eastAsia="Times New Roman" w:hAnsi="Times New Roman" w:cs="Times New Roman"/>
          <w:color w:val="0E101A"/>
          <w:sz w:val="24"/>
          <w:szCs w:val="24"/>
          <w:lang w:val="en-GB"/>
        </w:rPr>
        <w:t>and</w:t>
      </w:r>
      <w:r w:rsidRPr="00DE6ED2">
        <w:rPr>
          <w:rFonts w:ascii="Times New Roman" w:eastAsia="Times New Roman" w:hAnsi="Times New Roman" w:cs="Times New Roman"/>
          <w:color w:val="0E101A"/>
          <w:sz w:val="24"/>
          <w:szCs w:val="24"/>
          <w:lang w:val="en-GB"/>
        </w:rPr>
        <w:t xml:space="preserve"> compared to 2019 which is good for the company.  </w:t>
      </w:r>
    </w:p>
    <w:p w14:paraId="0000001F" w14:textId="77777777" w:rsidR="00DE58EB" w:rsidRPr="00DE6ED2" w:rsidRDefault="00AB4518" w:rsidP="00E44339">
      <w:pPr>
        <w:pStyle w:val="Heading1"/>
      </w:pPr>
      <w:bookmarkStart w:id="16" w:name="_Toc80991821"/>
      <w:r w:rsidRPr="00DE6ED2">
        <w:t>9- Gearing ratio</w:t>
      </w:r>
      <w:bookmarkEnd w:id="16"/>
    </w:p>
    <w:tbl>
      <w:tblPr>
        <w:tblW w:w="6482" w:type="dxa"/>
        <w:jc w:val="center"/>
        <w:tblLook w:val="04A0" w:firstRow="1" w:lastRow="0" w:firstColumn="1" w:lastColumn="0" w:noHBand="0" w:noVBand="1"/>
      </w:tblPr>
      <w:tblGrid>
        <w:gridCol w:w="4503"/>
        <w:gridCol w:w="989"/>
        <w:gridCol w:w="990"/>
      </w:tblGrid>
      <w:tr w:rsidR="001C736E" w:rsidRPr="00DE6ED2" w14:paraId="472CE769" w14:textId="77777777" w:rsidTr="000A41B9">
        <w:trPr>
          <w:trHeight w:val="289"/>
          <w:jc w:val="center"/>
        </w:trPr>
        <w:tc>
          <w:tcPr>
            <w:tcW w:w="6482"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9D14A0" w14:textId="77777777" w:rsidR="001C736E" w:rsidRPr="00DE6ED2" w:rsidRDefault="001C736E" w:rsidP="003336DA">
            <w:pPr>
              <w:spacing w:line="240" w:lineRule="auto"/>
              <w:jc w:val="center"/>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Gearing ratio of Chocco plc</w:t>
            </w:r>
          </w:p>
        </w:tc>
      </w:tr>
      <w:tr w:rsidR="000A41B9" w:rsidRPr="00DE6ED2" w14:paraId="3C08193E" w14:textId="39BAEC66" w:rsidTr="000A41B9">
        <w:trPr>
          <w:trHeight w:val="289"/>
          <w:jc w:val="center"/>
        </w:trPr>
        <w:tc>
          <w:tcPr>
            <w:tcW w:w="4503" w:type="dxa"/>
            <w:tcBorders>
              <w:top w:val="nil"/>
              <w:left w:val="single" w:sz="4" w:space="0" w:color="auto"/>
              <w:bottom w:val="single" w:sz="4" w:space="0" w:color="auto"/>
              <w:right w:val="single" w:sz="4" w:space="0" w:color="auto"/>
            </w:tcBorders>
            <w:shd w:val="clear" w:color="auto" w:fill="auto"/>
            <w:noWrap/>
            <w:vAlign w:val="bottom"/>
            <w:hideMark/>
          </w:tcPr>
          <w:p w14:paraId="20B68435" w14:textId="77777777"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Items</w:t>
            </w:r>
          </w:p>
        </w:tc>
        <w:tc>
          <w:tcPr>
            <w:tcW w:w="989" w:type="dxa"/>
            <w:tcBorders>
              <w:top w:val="nil"/>
              <w:left w:val="nil"/>
              <w:bottom w:val="single" w:sz="4" w:space="0" w:color="auto"/>
              <w:right w:val="single" w:sz="4" w:space="0" w:color="auto"/>
            </w:tcBorders>
            <w:shd w:val="clear" w:color="auto" w:fill="auto"/>
            <w:noWrap/>
            <w:vAlign w:val="bottom"/>
          </w:tcPr>
          <w:p w14:paraId="14FAAFA9" w14:textId="175F7983"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2019 </w:t>
            </w:r>
          </w:p>
        </w:tc>
        <w:tc>
          <w:tcPr>
            <w:tcW w:w="990" w:type="dxa"/>
            <w:tcBorders>
              <w:top w:val="nil"/>
              <w:left w:val="nil"/>
              <w:bottom w:val="single" w:sz="4" w:space="0" w:color="auto"/>
              <w:right w:val="single" w:sz="4" w:space="0" w:color="auto"/>
            </w:tcBorders>
            <w:shd w:val="clear" w:color="auto" w:fill="auto"/>
            <w:noWrap/>
            <w:vAlign w:val="bottom"/>
          </w:tcPr>
          <w:p w14:paraId="7031A807" w14:textId="5605991D"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2020 </w:t>
            </w:r>
          </w:p>
        </w:tc>
      </w:tr>
      <w:tr w:rsidR="000A41B9" w:rsidRPr="00DE6ED2" w14:paraId="53A4E20C" w14:textId="7A1C5C33" w:rsidTr="000A41B9">
        <w:trPr>
          <w:trHeight w:val="289"/>
          <w:jc w:val="center"/>
        </w:trPr>
        <w:tc>
          <w:tcPr>
            <w:tcW w:w="4503" w:type="dxa"/>
            <w:tcBorders>
              <w:top w:val="nil"/>
              <w:left w:val="single" w:sz="4" w:space="0" w:color="auto"/>
              <w:bottom w:val="single" w:sz="4" w:space="0" w:color="auto"/>
              <w:right w:val="single" w:sz="4" w:space="0" w:color="auto"/>
            </w:tcBorders>
            <w:shd w:val="clear" w:color="auto" w:fill="auto"/>
            <w:noWrap/>
            <w:vAlign w:val="bottom"/>
            <w:hideMark/>
          </w:tcPr>
          <w:p w14:paraId="1DBD2D60"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Capital (Debt)</w:t>
            </w:r>
          </w:p>
        </w:tc>
        <w:tc>
          <w:tcPr>
            <w:tcW w:w="989" w:type="dxa"/>
            <w:tcBorders>
              <w:top w:val="nil"/>
              <w:left w:val="nil"/>
              <w:bottom w:val="single" w:sz="4" w:space="0" w:color="auto"/>
              <w:right w:val="single" w:sz="4" w:space="0" w:color="auto"/>
            </w:tcBorders>
            <w:shd w:val="clear" w:color="auto" w:fill="auto"/>
            <w:noWrap/>
            <w:vAlign w:val="bottom"/>
          </w:tcPr>
          <w:p w14:paraId="7D828B25" w14:textId="44C56484"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7175</w:t>
            </w:r>
          </w:p>
        </w:tc>
        <w:tc>
          <w:tcPr>
            <w:tcW w:w="990" w:type="dxa"/>
            <w:tcBorders>
              <w:top w:val="nil"/>
              <w:left w:val="nil"/>
              <w:bottom w:val="single" w:sz="4" w:space="0" w:color="auto"/>
              <w:right w:val="single" w:sz="4" w:space="0" w:color="auto"/>
            </w:tcBorders>
            <w:shd w:val="clear" w:color="auto" w:fill="auto"/>
            <w:noWrap/>
            <w:vAlign w:val="bottom"/>
          </w:tcPr>
          <w:p w14:paraId="14211164" w14:textId="2FCFCBA5"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6648</w:t>
            </w:r>
          </w:p>
        </w:tc>
      </w:tr>
      <w:tr w:rsidR="000A41B9" w:rsidRPr="00DE6ED2" w14:paraId="5F813894" w14:textId="0C8CD80D" w:rsidTr="000A41B9">
        <w:trPr>
          <w:trHeight w:val="289"/>
          <w:jc w:val="center"/>
        </w:trPr>
        <w:tc>
          <w:tcPr>
            <w:tcW w:w="4503" w:type="dxa"/>
            <w:tcBorders>
              <w:top w:val="nil"/>
              <w:left w:val="single" w:sz="4" w:space="0" w:color="auto"/>
              <w:bottom w:val="single" w:sz="4" w:space="0" w:color="auto"/>
              <w:right w:val="single" w:sz="4" w:space="0" w:color="auto"/>
            </w:tcBorders>
            <w:shd w:val="clear" w:color="auto" w:fill="auto"/>
            <w:noWrap/>
            <w:vAlign w:val="bottom"/>
            <w:hideMark/>
          </w:tcPr>
          <w:p w14:paraId="7780D374"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(Divide) Capital (Equity)</w:t>
            </w:r>
          </w:p>
        </w:tc>
        <w:tc>
          <w:tcPr>
            <w:tcW w:w="989" w:type="dxa"/>
            <w:tcBorders>
              <w:top w:val="nil"/>
              <w:left w:val="nil"/>
              <w:bottom w:val="single" w:sz="4" w:space="0" w:color="auto"/>
              <w:right w:val="single" w:sz="4" w:space="0" w:color="auto"/>
            </w:tcBorders>
            <w:shd w:val="clear" w:color="auto" w:fill="auto"/>
            <w:noWrap/>
            <w:vAlign w:val="bottom"/>
          </w:tcPr>
          <w:p w14:paraId="243CF4F7" w14:textId="63ADF232"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2,912</w:t>
            </w:r>
          </w:p>
        </w:tc>
        <w:tc>
          <w:tcPr>
            <w:tcW w:w="990" w:type="dxa"/>
            <w:tcBorders>
              <w:top w:val="nil"/>
              <w:left w:val="nil"/>
              <w:bottom w:val="single" w:sz="4" w:space="0" w:color="auto"/>
              <w:right w:val="single" w:sz="4" w:space="0" w:color="auto"/>
            </w:tcBorders>
            <w:shd w:val="clear" w:color="auto" w:fill="auto"/>
            <w:noWrap/>
            <w:vAlign w:val="bottom"/>
          </w:tcPr>
          <w:p w14:paraId="518E69E4" w14:textId="51C4582D"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3,088</w:t>
            </w:r>
          </w:p>
        </w:tc>
      </w:tr>
      <w:tr w:rsidR="000A41B9" w:rsidRPr="00DE6ED2" w14:paraId="4A728ABC" w14:textId="62B0A8BB" w:rsidTr="000A41B9">
        <w:trPr>
          <w:trHeight w:val="289"/>
          <w:jc w:val="center"/>
        </w:trPr>
        <w:tc>
          <w:tcPr>
            <w:tcW w:w="4503" w:type="dxa"/>
            <w:tcBorders>
              <w:top w:val="nil"/>
              <w:left w:val="single" w:sz="4" w:space="0" w:color="auto"/>
              <w:bottom w:val="single" w:sz="4" w:space="0" w:color="auto"/>
              <w:right w:val="single" w:sz="4" w:space="0" w:color="auto"/>
            </w:tcBorders>
            <w:shd w:val="clear" w:color="auto" w:fill="auto"/>
            <w:noWrap/>
            <w:vAlign w:val="bottom"/>
            <w:hideMark/>
          </w:tcPr>
          <w:p w14:paraId="7B645D0E"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Gearing ratio</w:t>
            </w:r>
          </w:p>
        </w:tc>
        <w:tc>
          <w:tcPr>
            <w:tcW w:w="989" w:type="dxa"/>
            <w:tcBorders>
              <w:top w:val="nil"/>
              <w:left w:val="nil"/>
              <w:bottom w:val="single" w:sz="4" w:space="0" w:color="auto"/>
              <w:right w:val="single" w:sz="4" w:space="0" w:color="auto"/>
            </w:tcBorders>
            <w:shd w:val="clear" w:color="auto" w:fill="auto"/>
            <w:noWrap/>
            <w:vAlign w:val="bottom"/>
          </w:tcPr>
          <w:p w14:paraId="5452D360" w14:textId="233144A1"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2.46</w:t>
            </w:r>
          </w:p>
        </w:tc>
        <w:tc>
          <w:tcPr>
            <w:tcW w:w="990" w:type="dxa"/>
            <w:tcBorders>
              <w:top w:val="nil"/>
              <w:left w:val="nil"/>
              <w:bottom w:val="single" w:sz="4" w:space="0" w:color="auto"/>
              <w:right w:val="single" w:sz="4" w:space="0" w:color="auto"/>
            </w:tcBorders>
            <w:shd w:val="clear" w:color="auto" w:fill="auto"/>
            <w:noWrap/>
            <w:vAlign w:val="bottom"/>
          </w:tcPr>
          <w:p w14:paraId="0883FC4B" w14:textId="74778B04"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2.15</w:t>
            </w:r>
          </w:p>
        </w:tc>
      </w:tr>
    </w:tbl>
    <w:p w14:paraId="00000020" w14:textId="2043E92A"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 xml:space="preserve">Gearing ratio is debt capital dividend by equity capital. As per </w:t>
      </w:r>
      <w:proofErr w:type="spellStart"/>
      <w:r w:rsidR="002877B5" w:rsidRPr="00DE6ED2">
        <w:rPr>
          <w:rFonts w:ascii="Times New Roman" w:hAnsi="Times New Roman" w:cs="Times New Roman"/>
          <w:color w:val="000000" w:themeColor="text1"/>
          <w:sz w:val="24"/>
          <w:szCs w:val="24"/>
          <w:shd w:val="clear" w:color="auto" w:fill="FFFFFF"/>
          <w:lang w:val="en-GB"/>
        </w:rPr>
        <w:t>Sagala</w:t>
      </w:r>
      <w:proofErr w:type="spellEnd"/>
      <w:r w:rsidR="002877B5" w:rsidRPr="00DE6ED2">
        <w:rPr>
          <w:rFonts w:ascii="Times New Roman" w:hAnsi="Times New Roman" w:cs="Times New Roman"/>
          <w:color w:val="000000" w:themeColor="text1"/>
          <w:sz w:val="24"/>
          <w:szCs w:val="24"/>
          <w:shd w:val="clear" w:color="auto" w:fill="FFFFFF"/>
          <w:lang w:val="en-GB"/>
        </w:rPr>
        <w:t xml:space="preserve"> (2019)</w:t>
      </w:r>
      <w:r w:rsidRPr="00DE6ED2">
        <w:rPr>
          <w:rFonts w:ascii="Times New Roman" w:eastAsia="Times New Roman" w:hAnsi="Times New Roman" w:cs="Times New Roman"/>
          <w:color w:val="0E101A"/>
          <w:sz w:val="24"/>
          <w:szCs w:val="24"/>
          <w:lang w:val="en-GB"/>
        </w:rPr>
        <w:t xml:space="preserve">, a higher debt capital in capital structure increases regarding position of business. However, a higher gearing position means a potential leverage risk factor in business. In </w:t>
      </w:r>
      <w:r w:rsidR="001C0ED6">
        <w:rPr>
          <w:rFonts w:ascii="Times New Roman" w:eastAsia="Times New Roman" w:hAnsi="Times New Roman" w:cs="Times New Roman"/>
          <w:color w:val="0E101A"/>
          <w:sz w:val="24"/>
          <w:szCs w:val="24"/>
          <w:lang w:val="en-GB"/>
        </w:rPr>
        <w:t xml:space="preserve">the </w:t>
      </w:r>
      <w:r w:rsidR="001C0ED6" w:rsidRPr="00DE6ED2">
        <w:rPr>
          <w:rFonts w:ascii="Times New Roman" w:eastAsia="Times New Roman" w:hAnsi="Times New Roman" w:cs="Times New Roman"/>
          <w:color w:val="0E101A"/>
          <w:sz w:val="24"/>
          <w:szCs w:val="24"/>
          <w:lang w:val="en-GB"/>
        </w:rPr>
        <w:t>venture</w:t>
      </w:r>
      <w:r w:rsidRPr="00DE6ED2">
        <w:rPr>
          <w:rFonts w:ascii="Times New Roman" w:eastAsia="Times New Roman" w:hAnsi="Times New Roman" w:cs="Times New Roman"/>
          <w:color w:val="0E101A"/>
          <w:sz w:val="24"/>
          <w:szCs w:val="24"/>
          <w:lang w:val="en-GB"/>
        </w:rPr>
        <w:t xml:space="preserve">, gearing ratio is 2.15 times which is 2.46 times in 2019. It means performance of business has been improved due to a reduction in debt balance. </w:t>
      </w:r>
    </w:p>
    <w:p w14:paraId="00000021" w14:textId="77777777" w:rsidR="00DE58EB" w:rsidRPr="00DE6ED2" w:rsidRDefault="00AB4518" w:rsidP="00E44339">
      <w:pPr>
        <w:pStyle w:val="Heading1"/>
      </w:pPr>
      <w:bookmarkStart w:id="17" w:name="_Toc80991822"/>
      <w:r w:rsidRPr="00DE6ED2">
        <w:t>10- Interest cover</w:t>
      </w:r>
      <w:bookmarkEnd w:id="17"/>
    </w:p>
    <w:tbl>
      <w:tblPr>
        <w:tblW w:w="6304" w:type="dxa"/>
        <w:jc w:val="center"/>
        <w:tblLook w:val="04A0" w:firstRow="1" w:lastRow="0" w:firstColumn="1" w:lastColumn="0" w:noHBand="0" w:noVBand="1"/>
      </w:tblPr>
      <w:tblGrid>
        <w:gridCol w:w="3813"/>
        <w:gridCol w:w="1245"/>
        <w:gridCol w:w="1246"/>
      </w:tblGrid>
      <w:tr w:rsidR="001C736E" w:rsidRPr="00DE6ED2" w14:paraId="11B6DF23" w14:textId="77777777" w:rsidTr="000A41B9">
        <w:trPr>
          <w:trHeight w:val="220"/>
          <w:jc w:val="center"/>
        </w:trPr>
        <w:tc>
          <w:tcPr>
            <w:tcW w:w="6304"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71EDA7" w14:textId="77777777" w:rsidR="001C736E" w:rsidRPr="00DE6ED2" w:rsidRDefault="001C736E" w:rsidP="003336DA">
            <w:pPr>
              <w:spacing w:line="240" w:lineRule="auto"/>
              <w:jc w:val="center"/>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Interest cover of Chocco plc</w:t>
            </w:r>
          </w:p>
        </w:tc>
      </w:tr>
      <w:tr w:rsidR="000A41B9" w:rsidRPr="00DE6ED2" w14:paraId="39312DF2" w14:textId="43C3460B" w:rsidTr="000A41B9">
        <w:trPr>
          <w:trHeight w:val="220"/>
          <w:jc w:val="center"/>
        </w:trPr>
        <w:tc>
          <w:tcPr>
            <w:tcW w:w="3813" w:type="dxa"/>
            <w:tcBorders>
              <w:top w:val="nil"/>
              <w:left w:val="single" w:sz="4" w:space="0" w:color="auto"/>
              <w:bottom w:val="single" w:sz="4" w:space="0" w:color="auto"/>
              <w:right w:val="single" w:sz="4" w:space="0" w:color="auto"/>
            </w:tcBorders>
            <w:shd w:val="clear" w:color="auto" w:fill="auto"/>
            <w:noWrap/>
            <w:vAlign w:val="bottom"/>
            <w:hideMark/>
          </w:tcPr>
          <w:p w14:paraId="2F9AEF6C" w14:textId="77777777"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Items</w:t>
            </w:r>
          </w:p>
        </w:tc>
        <w:tc>
          <w:tcPr>
            <w:tcW w:w="1245" w:type="dxa"/>
            <w:tcBorders>
              <w:top w:val="nil"/>
              <w:left w:val="nil"/>
              <w:bottom w:val="single" w:sz="4" w:space="0" w:color="auto"/>
              <w:right w:val="single" w:sz="4" w:space="0" w:color="auto"/>
            </w:tcBorders>
            <w:shd w:val="clear" w:color="auto" w:fill="auto"/>
            <w:noWrap/>
            <w:vAlign w:val="bottom"/>
          </w:tcPr>
          <w:p w14:paraId="65DFD46E" w14:textId="0333F1BD"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2019 </w:t>
            </w:r>
          </w:p>
        </w:tc>
        <w:tc>
          <w:tcPr>
            <w:tcW w:w="1246" w:type="dxa"/>
            <w:tcBorders>
              <w:top w:val="nil"/>
              <w:left w:val="nil"/>
              <w:bottom w:val="single" w:sz="4" w:space="0" w:color="auto"/>
              <w:right w:val="single" w:sz="4" w:space="0" w:color="auto"/>
            </w:tcBorders>
            <w:shd w:val="clear" w:color="auto" w:fill="auto"/>
            <w:noWrap/>
            <w:vAlign w:val="bottom"/>
          </w:tcPr>
          <w:p w14:paraId="56E563C4" w14:textId="15C01DE3" w:rsidR="000A41B9" w:rsidRPr="00DE6ED2" w:rsidRDefault="000A41B9" w:rsidP="000A41B9">
            <w:pPr>
              <w:spacing w:line="240" w:lineRule="auto"/>
              <w:rPr>
                <w:rFonts w:ascii="Times New Roman" w:eastAsia="Times New Roman" w:hAnsi="Times New Roman" w:cs="Times New Roman"/>
                <w:b/>
                <w:bCs/>
                <w:color w:val="000000"/>
                <w:sz w:val="24"/>
                <w:szCs w:val="24"/>
                <w:lang w:val="en-GB"/>
              </w:rPr>
            </w:pPr>
            <w:r w:rsidRPr="00DE6ED2">
              <w:rPr>
                <w:rFonts w:ascii="Times New Roman" w:eastAsia="Times New Roman" w:hAnsi="Times New Roman" w:cs="Times New Roman"/>
                <w:b/>
                <w:bCs/>
                <w:color w:val="000000"/>
                <w:sz w:val="24"/>
                <w:szCs w:val="24"/>
                <w:lang w:val="en-GB"/>
              </w:rPr>
              <w:t xml:space="preserve">(£m) 2020 </w:t>
            </w:r>
          </w:p>
        </w:tc>
      </w:tr>
      <w:tr w:rsidR="000A41B9" w:rsidRPr="00DE6ED2" w14:paraId="71196658" w14:textId="0FBF00DD" w:rsidTr="000A41B9">
        <w:trPr>
          <w:trHeight w:val="220"/>
          <w:jc w:val="center"/>
        </w:trPr>
        <w:tc>
          <w:tcPr>
            <w:tcW w:w="3813" w:type="dxa"/>
            <w:tcBorders>
              <w:top w:val="nil"/>
              <w:left w:val="single" w:sz="4" w:space="0" w:color="auto"/>
              <w:bottom w:val="single" w:sz="4" w:space="0" w:color="auto"/>
              <w:right w:val="single" w:sz="4" w:space="0" w:color="auto"/>
            </w:tcBorders>
            <w:shd w:val="clear" w:color="auto" w:fill="auto"/>
            <w:noWrap/>
            <w:vAlign w:val="bottom"/>
            <w:hideMark/>
          </w:tcPr>
          <w:p w14:paraId="2EBC6B4A"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 xml:space="preserve">Before Tax &amp; Interest (Earnings) </w:t>
            </w:r>
          </w:p>
        </w:tc>
        <w:tc>
          <w:tcPr>
            <w:tcW w:w="1245" w:type="dxa"/>
            <w:tcBorders>
              <w:top w:val="nil"/>
              <w:left w:val="nil"/>
              <w:bottom w:val="single" w:sz="4" w:space="0" w:color="auto"/>
              <w:right w:val="single" w:sz="4" w:space="0" w:color="auto"/>
            </w:tcBorders>
            <w:shd w:val="clear" w:color="auto" w:fill="auto"/>
            <w:noWrap/>
            <w:vAlign w:val="bottom"/>
          </w:tcPr>
          <w:p w14:paraId="0D6CCF93" w14:textId="7ACD8532"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699</w:t>
            </w:r>
          </w:p>
        </w:tc>
        <w:tc>
          <w:tcPr>
            <w:tcW w:w="1246" w:type="dxa"/>
            <w:tcBorders>
              <w:top w:val="nil"/>
              <w:left w:val="nil"/>
              <w:bottom w:val="single" w:sz="4" w:space="0" w:color="auto"/>
              <w:right w:val="single" w:sz="4" w:space="0" w:color="auto"/>
            </w:tcBorders>
            <w:shd w:val="clear" w:color="auto" w:fill="auto"/>
            <w:noWrap/>
            <w:vAlign w:val="bottom"/>
          </w:tcPr>
          <w:p w14:paraId="2263FE24" w14:textId="064759F8"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805</w:t>
            </w:r>
          </w:p>
        </w:tc>
      </w:tr>
      <w:tr w:rsidR="000A41B9" w:rsidRPr="00DE6ED2" w14:paraId="21BCD4BB" w14:textId="318925B3" w:rsidTr="000A41B9">
        <w:trPr>
          <w:trHeight w:val="220"/>
          <w:jc w:val="center"/>
        </w:trPr>
        <w:tc>
          <w:tcPr>
            <w:tcW w:w="3813" w:type="dxa"/>
            <w:tcBorders>
              <w:top w:val="nil"/>
              <w:left w:val="single" w:sz="4" w:space="0" w:color="auto"/>
              <w:bottom w:val="single" w:sz="4" w:space="0" w:color="auto"/>
              <w:right w:val="single" w:sz="4" w:space="0" w:color="auto"/>
            </w:tcBorders>
            <w:shd w:val="clear" w:color="auto" w:fill="auto"/>
            <w:noWrap/>
            <w:vAlign w:val="bottom"/>
            <w:hideMark/>
          </w:tcPr>
          <w:p w14:paraId="767831CE"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(Divide) Payment of Interest</w:t>
            </w:r>
          </w:p>
        </w:tc>
        <w:tc>
          <w:tcPr>
            <w:tcW w:w="1245" w:type="dxa"/>
            <w:tcBorders>
              <w:top w:val="nil"/>
              <w:left w:val="nil"/>
              <w:bottom w:val="single" w:sz="4" w:space="0" w:color="auto"/>
              <w:right w:val="single" w:sz="4" w:space="0" w:color="auto"/>
            </w:tcBorders>
            <w:shd w:val="clear" w:color="auto" w:fill="auto"/>
            <w:noWrap/>
            <w:vAlign w:val="bottom"/>
          </w:tcPr>
          <w:p w14:paraId="7C1BA524" w14:textId="397BCF72"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181</w:t>
            </w:r>
          </w:p>
        </w:tc>
        <w:tc>
          <w:tcPr>
            <w:tcW w:w="1246" w:type="dxa"/>
            <w:tcBorders>
              <w:top w:val="nil"/>
              <w:left w:val="nil"/>
              <w:bottom w:val="single" w:sz="4" w:space="0" w:color="auto"/>
              <w:right w:val="single" w:sz="4" w:space="0" w:color="auto"/>
            </w:tcBorders>
            <w:shd w:val="clear" w:color="auto" w:fill="auto"/>
            <w:noWrap/>
            <w:vAlign w:val="bottom"/>
          </w:tcPr>
          <w:p w14:paraId="4B9B5947" w14:textId="7A534406"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226</w:t>
            </w:r>
          </w:p>
        </w:tc>
      </w:tr>
      <w:tr w:rsidR="000A41B9" w:rsidRPr="00DE6ED2" w14:paraId="3313014A" w14:textId="5E6E77C9" w:rsidTr="000A41B9">
        <w:trPr>
          <w:trHeight w:val="220"/>
          <w:jc w:val="center"/>
        </w:trPr>
        <w:tc>
          <w:tcPr>
            <w:tcW w:w="3813" w:type="dxa"/>
            <w:tcBorders>
              <w:top w:val="nil"/>
              <w:left w:val="single" w:sz="4" w:space="0" w:color="auto"/>
              <w:bottom w:val="single" w:sz="4" w:space="0" w:color="auto"/>
              <w:right w:val="single" w:sz="4" w:space="0" w:color="auto"/>
            </w:tcBorders>
            <w:shd w:val="clear" w:color="auto" w:fill="auto"/>
            <w:noWrap/>
            <w:vAlign w:val="bottom"/>
            <w:hideMark/>
          </w:tcPr>
          <w:p w14:paraId="6439DEE7" w14:textId="77777777" w:rsidR="000A41B9" w:rsidRPr="00DE6ED2" w:rsidRDefault="000A41B9" w:rsidP="000A41B9">
            <w:pPr>
              <w:spacing w:line="240" w:lineRule="auto"/>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Interest cover</w:t>
            </w:r>
          </w:p>
        </w:tc>
        <w:tc>
          <w:tcPr>
            <w:tcW w:w="1245" w:type="dxa"/>
            <w:tcBorders>
              <w:top w:val="nil"/>
              <w:left w:val="nil"/>
              <w:bottom w:val="single" w:sz="4" w:space="0" w:color="auto"/>
              <w:right w:val="single" w:sz="4" w:space="0" w:color="auto"/>
            </w:tcBorders>
            <w:shd w:val="clear" w:color="auto" w:fill="auto"/>
            <w:noWrap/>
            <w:vAlign w:val="bottom"/>
          </w:tcPr>
          <w:p w14:paraId="1B291D03" w14:textId="5DD211C4"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3.86</w:t>
            </w:r>
          </w:p>
        </w:tc>
        <w:tc>
          <w:tcPr>
            <w:tcW w:w="1246" w:type="dxa"/>
            <w:tcBorders>
              <w:top w:val="nil"/>
              <w:left w:val="nil"/>
              <w:bottom w:val="single" w:sz="4" w:space="0" w:color="auto"/>
              <w:right w:val="single" w:sz="4" w:space="0" w:color="auto"/>
            </w:tcBorders>
            <w:shd w:val="clear" w:color="auto" w:fill="auto"/>
            <w:noWrap/>
            <w:vAlign w:val="bottom"/>
          </w:tcPr>
          <w:p w14:paraId="134AAE72" w14:textId="67659E93" w:rsidR="000A41B9" w:rsidRPr="00DE6ED2" w:rsidRDefault="000A41B9" w:rsidP="000A41B9">
            <w:pPr>
              <w:spacing w:line="240" w:lineRule="auto"/>
              <w:jc w:val="right"/>
              <w:rPr>
                <w:rFonts w:ascii="Times New Roman" w:eastAsia="Times New Roman" w:hAnsi="Times New Roman" w:cs="Times New Roman"/>
                <w:color w:val="000000"/>
                <w:sz w:val="24"/>
                <w:szCs w:val="24"/>
                <w:lang w:val="en-GB"/>
              </w:rPr>
            </w:pPr>
            <w:r w:rsidRPr="00DE6ED2">
              <w:rPr>
                <w:rFonts w:ascii="Times New Roman" w:eastAsia="Times New Roman" w:hAnsi="Times New Roman" w:cs="Times New Roman"/>
                <w:color w:val="000000"/>
                <w:sz w:val="24"/>
                <w:szCs w:val="24"/>
                <w:lang w:val="en-GB"/>
              </w:rPr>
              <w:t>3.56</w:t>
            </w:r>
          </w:p>
        </w:tc>
      </w:tr>
    </w:tbl>
    <w:p w14:paraId="00000022" w14:textId="4C60479C" w:rsidR="00DE58EB" w:rsidRPr="00DE6ED2"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This ratio indicates the ability of businesses to pay interest expenses</w:t>
      </w:r>
      <w:r w:rsidR="002877B5" w:rsidRPr="00DE6ED2">
        <w:rPr>
          <w:rFonts w:ascii="Times New Roman" w:eastAsia="Times New Roman" w:hAnsi="Times New Roman" w:cs="Times New Roman"/>
          <w:color w:val="0E101A"/>
          <w:sz w:val="24"/>
          <w:szCs w:val="24"/>
          <w:lang w:val="en-GB"/>
        </w:rPr>
        <w:t xml:space="preserve"> (</w:t>
      </w:r>
      <w:r w:rsidR="002877B5" w:rsidRPr="00DE6ED2">
        <w:rPr>
          <w:rFonts w:ascii="Times New Roman" w:hAnsi="Times New Roman" w:cs="Times New Roman"/>
          <w:color w:val="000000" w:themeColor="text1"/>
          <w:sz w:val="24"/>
          <w:szCs w:val="24"/>
          <w:shd w:val="clear" w:color="auto" w:fill="FFFFFF"/>
          <w:lang w:val="en-GB"/>
        </w:rPr>
        <w:t>Ji, 2019)</w:t>
      </w:r>
      <w:r w:rsidRPr="00DE6ED2">
        <w:rPr>
          <w:rFonts w:ascii="Times New Roman" w:eastAsia="Times New Roman" w:hAnsi="Times New Roman" w:cs="Times New Roman"/>
          <w:color w:val="0E101A"/>
          <w:sz w:val="24"/>
          <w:szCs w:val="24"/>
          <w:lang w:val="en-GB"/>
        </w:rPr>
        <w:t xml:space="preserve">. It is calculated by dividing EBIT by interest payment. </w:t>
      </w:r>
      <w:r w:rsidR="001C0ED6">
        <w:rPr>
          <w:rFonts w:ascii="Times New Roman" w:eastAsia="Times New Roman" w:hAnsi="Times New Roman" w:cs="Times New Roman"/>
          <w:color w:val="0E101A"/>
          <w:sz w:val="24"/>
          <w:szCs w:val="24"/>
          <w:lang w:val="en-GB"/>
        </w:rPr>
        <w:t>The venture</w:t>
      </w:r>
      <w:r w:rsidRPr="00DE6ED2">
        <w:rPr>
          <w:rFonts w:ascii="Times New Roman" w:eastAsia="Times New Roman" w:hAnsi="Times New Roman" w:cs="Times New Roman"/>
          <w:color w:val="0E101A"/>
          <w:sz w:val="24"/>
          <w:szCs w:val="24"/>
          <w:lang w:val="en-GB"/>
        </w:rPr>
        <w:t xml:space="preserve"> has 3.56 times interest cover in 2020 which was 3.86 times in 2019. So, ability to honour debt and interest payment has declined in the company which is not good for its performance. </w:t>
      </w:r>
    </w:p>
    <w:p w14:paraId="00000023" w14:textId="77777777" w:rsidR="00DE58EB" w:rsidRPr="00DE6ED2" w:rsidRDefault="00AB4518" w:rsidP="00E44339">
      <w:pPr>
        <w:pStyle w:val="Heading1"/>
      </w:pPr>
      <w:bookmarkStart w:id="18" w:name="_Toc80991823"/>
      <w:r w:rsidRPr="00DE6ED2">
        <w:t>b. Comment on financial performance and position of Chocco Plc as per information in financial statements and ratios</w:t>
      </w:r>
      <w:bookmarkEnd w:id="18"/>
      <w:r w:rsidRPr="00DE6ED2">
        <w:t xml:space="preserve"> </w:t>
      </w:r>
    </w:p>
    <w:p w14:paraId="65DF5910" w14:textId="40C6BFC9" w:rsidR="003D514E" w:rsidRDefault="00AB4518">
      <w:pPr>
        <w:spacing w:line="360" w:lineRule="auto"/>
        <w:jc w:val="both"/>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t>Financial ratio of Chocco Plc indicates a 1% improvement in ROCE, 6% net profitability, 68 days debtor collection period, and 3.56 interest c</w:t>
      </w:r>
      <w:r w:rsidR="001C736E" w:rsidRPr="00DE6ED2">
        <w:rPr>
          <w:rFonts w:ascii="Times New Roman" w:eastAsia="Times New Roman" w:hAnsi="Times New Roman" w:cs="Times New Roman"/>
          <w:color w:val="0E101A"/>
          <w:sz w:val="24"/>
          <w:szCs w:val="24"/>
          <w:lang w:val="en-GB"/>
        </w:rPr>
        <w:t>over ratio in 2020. Besides, ROC</w:t>
      </w:r>
      <w:r w:rsidRPr="00DE6ED2">
        <w:rPr>
          <w:rFonts w:ascii="Times New Roman" w:eastAsia="Times New Roman" w:hAnsi="Times New Roman" w:cs="Times New Roman"/>
          <w:color w:val="0E101A"/>
          <w:sz w:val="24"/>
          <w:szCs w:val="24"/>
          <w:lang w:val="en-GB"/>
        </w:rPr>
        <w:t xml:space="preserve">E has 1% improvement, asset turnover has 5% improvement, current ratio increased by 0.15 times than 2019 and EPS increased to £0.29. Gearing ratio indicates a slight improvement in capital structure due to reduction in debt balance and stock holding period increase reduction on efficiency by 2 days. So, financial ratio indicates good performance of Chocco Plc. Presence of strong profitability and asset position helps in sound financial performance of the business. For Chocco Plc, data from financial statements can be used for determining its financial </w:t>
      </w:r>
      <w:r w:rsidRPr="00DE6ED2">
        <w:rPr>
          <w:rFonts w:ascii="Times New Roman" w:eastAsia="Times New Roman" w:hAnsi="Times New Roman" w:cs="Times New Roman"/>
          <w:color w:val="0E101A"/>
          <w:sz w:val="24"/>
          <w:szCs w:val="24"/>
          <w:lang w:val="en-GB"/>
        </w:rPr>
        <w:lastRenderedPageBreak/>
        <w:t xml:space="preserve">performance. Considering asset size of the business, presence of higher long-term assets has been found as compared to current assets. However, the company has £299m lower assets in 2020 as compared to 2019. Besides, operating profit of Chocco Plc has been assessed as £805 which was £699m in 2019. The company has also made a profit on the sale of assets, which was a loss of £5m in 2019. The company has a £330600 closing inventory which looks quite high. Presence of high closing inventory means inability of Chocco Plc to sell them quickly. Besides, the company has a reduction in long-term liabilities which may decrease potential risk factors from the business. As per the current liabilities of Chocco Plc, a lower proportion of short-term obligations can be assessed. This could help boost the working capital position of a company. Thus, analysis of financial statements' information indicates satisfactory financial position along with potential risk factors in </w:t>
      </w:r>
      <w:r w:rsidR="00B879DB" w:rsidRPr="00DE6ED2">
        <w:rPr>
          <w:rFonts w:ascii="Times New Roman" w:eastAsia="Times New Roman" w:hAnsi="Times New Roman" w:cs="Times New Roman"/>
          <w:color w:val="0E101A"/>
          <w:sz w:val="24"/>
          <w:szCs w:val="24"/>
          <w:lang w:val="en-GB"/>
        </w:rPr>
        <w:t xml:space="preserve">Chocco </w:t>
      </w:r>
      <w:r w:rsidRPr="00DE6ED2">
        <w:rPr>
          <w:rFonts w:ascii="Times New Roman" w:eastAsia="Times New Roman" w:hAnsi="Times New Roman" w:cs="Times New Roman"/>
          <w:color w:val="0E101A"/>
          <w:sz w:val="24"/>
          <w:szCs w:val="24"/>
          <w:lang w:val="en-GB"/>
        </w:rPr>
        <w:t xml:space="preserve">Plc.  </w:t>
      </w:r>
    </w:p>
    <w:p w14:paraId="36C36B22" w14:textId="77777777" w:rsidR="003D514E" w:rsidRDefault="003D514E" w:rsidP="009E5BB9">
      <w:pPr>
        <w:pStyle w:val="Heading1"/>
      </w:pPr>
      <w:bookmarkStart w:id="19" w:name="_Toc80991824"/>
      <w:r w:rsidRPr="003D514E">
        <w:t>Conclusion</w:t>
      </w:r>
      <w:bookmarkEnd w:id="19"/>
      <w:r w:rsidRPr="003D514E">
        <w:t xml:space="preserve"> </w:t>
      </w:r>
    </w:p>
    <w:p w14:paraId="2F369C01" w14:textId="729D591C" w:rsidR="003D514E" w:rsidRDefault="003D514E">
      <w:pPr>
        <w:spacing w:line="360" w:lineRule="auto"/>
        <w:jc w:val="both"/>
        <w:rPr>
          <w:rFonts w:ascii="Times New Roman" w:eastAsia="Times New Roman" w:hAnsi="Times New Roman" w:cs="Times New Roman"/>
          <w:b/>
          <w:color w:val="0E101A"/>
          <w:sz w:val="24"/>
          <w:szCs w:val="24"/>
          <w:lang w:val="en-GB"/>
        </w:rPr>
      </w:pPr>
      <w:r w:rsidRPr="00DE6ED2">
        <w:rPr>
          <w:rFonts w:ascii="Times New Roman" w:eastAsia="Times New Roman" w:hAnsi="Times New Roman" w:cs="Times New Roman"/>
          <w:color w:val="0E101A"/>
          <w:sz w:val="24"/>
          <w:szCs w:val="24"/>
          <w:lang w:val="en-GB"/>
        </w:rPr>
        <w:t>As per financial information of Kedison Plc, £30000 dividends are paid to preference shareholders, £20000 dividends are paid to ordinary shareholders, and remuneration to director is £5000.</w:t>
      </w:r>
      <w:r>
        <w:rPr>
          <w:rFonts w:ascii="Times New Roman" w:eastAsia="Times New Roman" w:hAnsi="Times New Roman" w:cs="Times New Roman"/>
          <w:color w:val="0E101A"/>
          <w:sz w:val="24"/>
          <w:szCs w:val="24"/>
          <w:lang w:val="en-GB"/>
        </w:rPr>
        <w:t xml:space="preserve"> </w:t>
      </w:r>
      <w:r w:rsidRPr="00DE6ED2">
        <w:rPr>
          <w:rFonts w:ascii="Times New Roman" w:eastAsia="Times New Roman" w:hAnsi="Times New Roman" w:cs="Times New Roman"/>
          <w:color w:val="0E101A"/>
          <w:sz w:val="24"/>
          <w:szCs w:val="24"/>
          <w:lang w:val="en-GB"/>
        </w:rPr>
        <w:t>Key reason that a balance sheet is all the time balanced is accounting principle of double entry.</w:t>
      </w:r>
      <w:r>
        <w:rPr>
          <w:rFonts w:ascii="Times New Roman" w:eastAsia="Times New Roman" w:hAnsi="Times New Roman" w:cs="Times New Roman"/>
          <w:color w:val="0E101A"/>
          <w:sz w:val="24"/>
          <w:szCs w:val="24"/>
          <w:lang w:val="en-GB"/>
        </w:rPr>
        <w:t xml:space="preserve"> </w:t>
      </w:r>
      <w:r w:rsidRPr="00DE6ED2">
        <w:rPr>
          <w:rFonts w:ascii="Times New Roman" w:eastAsia="Times New Roman" w:hAnsi="Times New Roman" w:cs="Times New Roman"/>
          <w:color w:val="0E101A"/>
          <w:sz w:val="24"/>
          <w:szCs w:val="24"/>
          <w:lang w:val="en-GB"/>
        </w:rPr>
        <w:t>Equity balance of company consists of ordinary shares, preference shares, retained earnings, and net profit for reporting period of 2020.</w:t>
      </w:r>
      <w:r>
        <w:rPr>
          <w:rFonts w:ascii="Times New Roman" w:eastAsia="Times New Roman" w:hAnsi="Times New Roman" w:cs="Times New Roman"/>
          <w:color w:val="0E101A"/>
          <w:sz w:val="24"/>
          <w:szCs w:val="24"/>
          <w:lang w:val="en-GB"/>
        </w:rPr>
        <w:t xml:space="preserve"> </w:t>
      </w:r>
      <w:r w:rsidRPr="00DE6ED2">
        <w:rPr>
          <w:rFonts w:ascii="Times New Roman" w:eastAsia="Times New Roman" w:hAnsi="Times New Roman" w:cs="Times New Roman"/>
          <w:color w:val="0E101A"/>
          <w:sz w:val="24"/>
          <w:szCs w:val="24"/>
          <w:lang w:val="en-GB"/>
        </w:rPr>
        <w:t>Profit before tax of Chocco Plc is £620m, taxation was £189m and net profit was £431m. Presence of higher closing inventories has been found in the company which may harm the working capital position of the business.</w:t>
      </w:r>
    </w:p>
    <w:p w14:paraId="00000024" w14:textId="01F1CAE7" w:rsidR="00B879DB" w:rsidRPr="003D514E" w:rsidRDefault="00AB4518">
      <w:pPr>
        <w:spacing w:line="360" w:lineRule="auto"/>
        <w:jc w:val="both"/>
        <w:rPr>
          <w:rFonts w:ascii="Times New Roman" w:eastAsia="Times New Roman" w:hAnsi="Times New Roman" w:cs="Times New Roman"/>
          <w:b/>
          <w:color w:val="0E101A"/>
          <w:sz w:val="24"/>
          <w:szCs w:val="24"/>
          <w:lang w:val="en-GB"/>
        </w:rPr>
      </w:pPr>
      <w:r w:rsidRPr="003D514E">
        <w:rPr>
          <w:rFonts w:ascii="Times New Roman" w:eastAsia="Times New Roman" w:hAnsi="Times New Roman" w:cs="Times New Roman"/>
          <w:b/>
          <w:color w:val="0E101A"/>
          <w:sz w:val="24"/>
          <w:szCs w:val="24"/>
          <w:lang w:val="en-GB"/>
        </w:rPr>
        <w:t xml:space="preserve">  </w:t>
      </w:r>
    </w:p>
    <w:p w14:paraId="730E2E10" w14:textId="77777777" w:rsidR="00B879DB" w:rsidRPr="00DE6ED2" w:rsidRDefault="00B879DB">
      <w:pPr>
        <w:rPr>
          <w:rFonts w:ascii="Times New Roman" w:eastAsia="Times New Roman" w:hAnsi="Times New Roman" w:cs="Times New Roman"/>
          <w:color w:val="0E101A"/>
          <w:sz w:val="24"/>
          <w:szCs w:val="24"/>
          <w:lang w:val="en-GB"/>
        </w:rPr>
      </w:pPr>
      <w:r w:rsidRPr="00DE6ED2">
        <w:rPr>
          <w:rFonts w:ascii="Times New Roman" w:eastAsia="Times New Roman" w:hAnsi="Times New Roman" w:cs="Times New Roman"/>
          <w:color w:val="0E101A"/>
          <w:sz w:val="24"/>
          <w:szCs w:val="24"/>
          <w:lang w:val="en-GB"/>
        </w:rPr>
        <w:br w:type="page"/>
      </w:r>
    </w:p>
    <w:p w14:paraId="7033EF25" w14:textId="7BD9D34A" w:rsidR="00DE58EB" w:rsidRPr="00DE6ED2" w:rsidRDefault="00B879DB" w:rsidP="00E44339">
      <w:pPr>
        <w:pStyle w:val="Heading1"/>
      </w:pPr>
      <w:bookmarkStart w:id="20" w:name="_Toc80991825"/>
      <w:r w:rsidRPr="00DE6ED2">
        <w:lastRenderedPageBreak/>
        <w:t>References</w:t>
      </w:r>
      <w:bookmarkEnd w:id="20"/>
      <w:r w:rsidRPr="00DE6ED2">
        <w:t xml:space="preserve"> </w:t>
      </w:r>
    </w:p>
    <w:p w14:paraId="3141D325" w14:textId="77777777" w:rsidR="00806853" w:rsidRPr="00DE6ED2" w:rsidRDefault="00806853" w:rsidP="00806853">
      <w:pPr>
        <w:pStyle w:val="Default"/>
        <w:spacing w:before="240" w:after="240" w:line="360" w:lineRule="auto"/>
        <w:jc w:val="both"/>
        <w:rPr>
          <w:rFonts w:ascii="Times New Roman" w:hAnsi="Times New Roman" w:cs="Times New Roman"/>
          <w:lang w:val="en-GB"/>
        </w:rPr>
      </w:pPr>
      <w:r w:rsidRPr="00DE6ED2">
        <w:rPr>
          <w:rFonts w:ascii="Times New Roman" w:hAnsi="Times New Roman" w:cs="Times New Roman"/>
          <w:lang w:val="en-GB"/>
        </w:rPr>
        <w:t xml:space="preserve">Horngren C., and Forster, G., (2014). Cost Accounting, a managerial emphasis, 15th Edition, London: Prentice Hall International </w:t>
      </w:r>
    </w:p>
    <w:p w14:paraId="454E0B02" w14:textId="4E558833" w:rsidR="00806853" w:rsidRPr="00DE6ED2" w:rsidRDefault="00806853" w:rsidP="00806853">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DE6ED2">
        <w:rPr>
          <w:rFonts w:ascii="Times New Roman" w:hAnsi="Times New Roman" w:cs="Times New Roman"/>
          <w:color w:val="000000" w:themeColor="text1"/>
          <w:sz w:val="24"/>
          <w:szCs w:val="24"/>
          <w:shd w:val="clear" w:color="auto" w:fill="FFFFFF"/>
          <w:lang w:val="en-GB"/>
        </w:rPr>
        <w:t>Irman</w:t>
      </w:r>
      <w:proofErr w:type="spellEnd"/>
      <w:r w:rsidRPr="00DE6ED2">
        <w:rPr>
          <w:rFonts w:ascii="Times New Roman" w:hAnsi="Times New Roman" w:cs="Times New Roman"/>
          <w:color w:val="000000" w:themeColor="text1"/>
          <w:sz w:val="24"/>
          <w:szCs w:val="24"/>
          <w:shd w:val="clear" w:color="auto" w:fill="FFFFFF"/>
          <w:lang w:val="en-GB"/>
        </w:rPr>
        <w:t xml:space="preserve">, M. and </w:t>
      </w:r>
      <w:proofErr w:type="spellStart"/>
      <w:r w:rsidRPr="00DE6ED2">
        <w:rPr>
          <w:rFonts w:ascii="Times New Roman" w:hAnsi="Times New Roman" w:cs="Times New Roman"/>
          <w:color w:val="000000" w:themeColor="text1"/>
          <w:sz w:val="24"/>
          <w:szCs w:val="24"/>
          <w:shd w:val="clear" w:color="auto" w:fill="FFFFFF"/>
          <w:lang w:val="en-GB"/>
        </w:rPr>
        <w:t>Purwati</w:t>
      </w:r>
      <w:proofErr w:type="spellEnd"/>
      <w:r w:rsidRPr="00DE6ED2">
        <w:rPr>
          <w:rFonts w:ascii="Times New Roman" w:hAnsi="Times New Roman" w:cs="Times New Roman"/>
          <w:color w:val="000000" w:themeColor="text1"/>
          <w:sz w:val="24"/>
          <w:szCs w:val="24"/>
          <w:shd w:val="clear" w:color="auto" w:fill="FFFFFF"/>
          <w:lang w:val="en-GB"/>
        </w:rPr>
        <w:t xml:space="preserve">, A.A., (2020). Analysis </w:t>
      </w:r>
      <w:r w:rsidR="00D425C6" w:rsidRPr="00DE6ED2">
        <w:rPr>
          <w:rFonts w:ascii="Times New Roman" w:hAnsi="Times New Roman" w:cs="Times New Roman"/>
          <w:color w:val="000000" w:themeColor="text1"/>
          <w:sz w:val="24"/>
          <w:szCs w:val="24"/>
          <w:shd w:val="clear" w:color="auto" w:fill="FFFFFF"/>
          <w:lang w:val="en-GB"/>
        </w:rPr>
        <w:t>on</w:t>
      </w:r>
      <w:r w:rsidRPr="00DE6ED2">
        <w:rPr>
          <w:rFonts w:ascii="Times New Roman" w:hAnsi="Times New Roman" w:cs="Times New Roman"/>
          <w:color w:val="000000" w:themeColor="text1"/>
          <w:sz w:val="24"/>
          <w:szCs w:val="24"/>
          <w:shd w:val="clear" w:color="auto" w:fill="FFFFFF"/>
          <w:lang w:val="en-GB"/>
        </w:rPr>
        <w:t xml:space="preserve"> </w:t>
      </w:r>
      <w:r w:rsidR="00D425C6" w:rsidRPr="00DE6ED2">
        <w:rPr>
          <w:rFonts w:ascii="Times New Roman" w:hAnsi="Times New Roman" w:cs="Times New Roman"/>
          <w:color w:val="000000" w:themeColor="text1"/>
          <w:sz w:val="24"/>
          <w:szCs w:val="24"/>
          <w:shd w:val="clear" w:color="auto" w:fill="FFFFFF"/>
          <w:lang w:val="en-GB"/>
        </w:rPr>
        <w:t>the</w:t>
      </w:r>
      <w:r w:rsidRPr="00DE6ED2">
        <w:rPr>
          <w:rFonts w:ascii="Times New Roman" w:hAnsi="Times New Roman" w:cs="Times New Roman"/>
          <w:color w:val="000000" w:themeColor="text1"/>
          <w:sz w:val="24"/>
          <w:szCs w:val="24"/>
          <w:shd w:val="clear" w:color="auto" w:fill="FFFFFF"/>
          <w:lang w:val="en-GB"/>
        </w:rPr>
        <w:t xml:space="preserve"> Influence </w:t>
      </w:r>
      <w:r w:rsidR="00D425C6" w:rsidRPr="00DE6ED2">
        <w:rPr>
          <w:rFonts w:ascii="Times New Roman" w:hAnsi="Times New Roman" w:cs="Times New Roman"/>
          <w:color w:val="000000" w:themeColor="text1"/>
          <w:sz w:val="24"/>
          <w:szCs w:val="24"/>
          <w:shd w:val="clear" w:color="auto" w:fill="FFFFFF"/>
          <w:lang w:val="en-GB"/>
        </w:rPr>
        <w:t>of</w:t>
      </w:r>
      <w:r w:rsidRPr="00DE6ED2">
        <w:rPr>
          <w:rFonts w:ascii="Times New Roman" w:hAnsi="Times New Roman" w:cs="Times New Roman"/>
          <w:color w:val="000000" w:themeColor="text1"/>
          <w:sz w:val="24"/>
          <w:szCs w:val="24"/>
          <w:shd w:val="clear" w:color="auto" w:fill="FFFFFF"/>
          <w:lang w:val="en-GB"/>
        </w:rPr>
        <w:t xml:space="preserve"> Current Ratio, Debt to Equity Ratio and Total Asset Turnover </w:t>
      </w:r>
      <w:r w:rsidR="00D425C6" w:rsidRPr="00DE6ED2">
        <w:rPr>
          <w:rFonts w:ascii="Times New Roman" w:hAnsi="Times New Roman" w:cs="Times New Roman"/>
          <w:color w:val="000000" w:themeColor="text1"/>
          <w:sz w:val="24"/>
          <w:szCs w:val="24"/>
          <w:shd w:val="clear" w:color="auto" w:fill="FFFFFF"/>
          <w:lang w:val="en-GB"/>
        </w:rPr>
        <w:t>toward</w:t>
      </w:r>
      <w:r w:rsidRPr="00DE6ED2">
        <w:rPr>
          <w:rFonts w:ascii="Times New Roman" w:hAnsi="Times New Roman" w:cs="Times New Roman"/>
          <w:color w:val="000000" w:themeColor="text1"/>
          <w:sz w:val="24"/>
          <w:szCs w:val="24"/>
          <w:shd w:val="clear" w:color="auto" w:fill="FFFFFF"/>
          <w:lang w:val="en-GB"/>
        </w:rPr>
        <w:t xml:space="preserve"> Return </w:t>
      </w:r>
      <w:r w:rsidR="00D425C6" w:rsidRPr="00DE6ED2">
        <w:rPr>
          <w:rFonts w:ascii="Times New Roman" w:hAnsi="Times New Roman" w:cs="Times New Roman"/>
          <w:color w:val="000000" w:themeColor="text1"/>
          <w:sz w:val="24"/>
          <w:szCs w:val="24"/>
          <w:shd w:val="clear" w:color="auto" w:fill="FFFFFF"/>
          <w:lang w:val="en-GB"/>
        </w:rPr>
        <w:t>on</w:t>
      </w:r>
      <w:r w:rsidRPr="00DE6ED2">
        <w:rPr>
          <w:rFonts w:ascii="Times New Roman" w:hAnsi="Times New Roman" w:cs="Times New Roman"/>
          <w:color w:val="000000" w:themeColor="text1"/>
          <w:sz w:val="24"/>
          <w:szCs w:val="24"/>
          <w:shd w:val="clear" w:color="auto" w:fill="FFFFFF"/>
          <w:lang w:val="en-GB"/>
        </w:rPr>
        <w:t xml:space="preserve"> Assets </w:t>
      </w:r>
      <w:r w:rsidR="00D425C6" w:rsidRPr="00DE6ED2">
        <w:rPr>
          <w:rFonts w:ascii="Times New Roman" w:hAnsi="Times New Roman" w:cs="Times New Roman"/>
          <w:color w:val="000000" w:themeColor="text1"/>
          <w:sz w:val="24"/>
          <w:szCs w:val="24"/>
          <w:shd w:val="clear" w:color="auto" w:fill="FFFFFF"/>
          <w:lang w:val="en-GB"/>
        </w:rPr>
        <w:t>on</w:t>
      </w:r>
      <w:r w:rsidRPr="00DE6ED2">
        <w:rPr>
          <w:rFonts w:ascii="Times New Roman" w:hAnsi="Times New Roman" w:cs="Times New Roman"/>
          <w:color w:val="000000" w:themeColor="text1"/>
          <w:sz w:val="24"/>
          <w:szCs w:val="24"/>
          <w:shd w:val="clear" w:color="auto" w:fill="FFFFFF"/>
          <w:lang w:val="en-GB"/>
        </w:rPr>
        <w:t xml:space="preserve"> </w:t>
      </w:r>
      <w:r w:rsidR="00D425C6" w:rsidRPr="00DE6ED2">
        <w:rPr>
          <w:rFonts w:ascii="Times New Roman" w:hAnsi="Times New Roman" w:cs="Times New Roman"/>
          <w:color w:val="000000" w:themeColor="text1"/>
          <w:sz w:val="24"/>
          <w:szCs w:val="24"/>
          <w:shd w:val="clear" w:color="auto" w:fill="FFFFFF"/>
          <w:lang w:val="en-GB"/>
        </w:rPr>
        <w:t>the</w:t>
      </w:r>
      <w:r w:rsidRPr="00DE6ED2">
        <w:rPr>
          <w:rFonts w:ascii="Times New Roman" w:hAnsi="Times New Roman" w:cs="Times New Roman"/>
          <w:color w:val="000000" w:themeColor="text1"/>
          <w:sz w:val="24"/>
          <w:szCs w:val="24"/>
          <w:shd w:val="clear" w:color="auto" w:fill="FFFFFF"/>
          <w:lang w:val="en-GB"/>
        </w:rPr>
        <w:t xml:space="preserve"> </w:t>
      </w:r>
      <w:proofErr w:type="spellStart"/>
      <w:r w:rsidRPr="00DE6ED2">
        <w:rPr>
          <w:rFonts w:ascii="Times New Roman" w:hAnsi="Times New Roman" w:cs="Times New Roman"/>
          <w:color w:val="000000" w:themeColor="text1"/>
          <w:sz w:val="24"/>
          <w:szCs w:val="24"/>
          <w:shd w:val="clear" w:color="auto" w:fill="FFFFFF"/>
          <w:lang w:val="en-GB"/>
        </w:rPr>
        <w:t>Otomotive</w:t>
      </w:r>
      <w:proofErr w:type="spellEnd"/>
      <w:r w:rsidRPr="00DE6ED2">
        <w:rPr>
          <w:rFonts w:ascii="Times New Roman" w:hAnsi="Times New Roman" w:cs="Times New Roman"/>
          <w:color w:val="000000" w:themeColor="text1"/>
          <w:sz w:val="24"/>
          <w:szCs w:val="24"/>
          <w:shd w:val="clear" w:color="auto" w:fill="FFFFFF"/>
          <w:lang w:val="en-GB"/>
        </w:rPr>
        <w:t xml:space="preserve"> and Component Company That Has Been Registered In Indonesia Stock Exchange </w:t>
      </w:r>
      <w:r w:rsidR="00D425C6" w:rsidRPr="00DE6ED2">
        <w:rPr>
          <w:rFonts w:ascii="Times New Roman" w:hAnsi="Times New Roman" w:cs="Times New Roman"/>
          <w:color w:val="000000" w:themeColor="text1"/>
          <w:sz w:val="24"/>
          <w:szCs w:val="24"/>
          <w:shd w:val="clear" w:color="auto" w:fill="FFFFFF"/>
          <w:lang w:val="en-GB"/>
        </w:rPr>
        <w:t>within</w:t>
      </w:r>
      <w:r w:rsidRPr="00DE6ED2">
        <w:rPr>
          <w:rFonts w:ascii="Times New Roman" w:hAnsi="Times New Roman" w:cs="Times New Roman"/>
          <w:color w:val="000000" w:themeColor="text1"/>
          <w:sz w:val="24"/>
          <w:szCs w:val="24"/>
          <w:shd w:val="clear" w:color="auto" w:fill="FFFFFF"/>
          <w:lang w:val="en-GB"/>
        </w:rPr>
        <w:t xml:space="preserve"> 2011-(2017). </w:t>
      </w:r>
      <w:r w:rsidRPr="00DE6ED2">
        <w:rPr>
          <w:rFonts w:ascii="Times New Roman" w:hAnsi="Times New Roman" w:cs="Times New Roman"/>
          <w:i/>
          <w:iCs/>
          <w:color w:val="000000" w:themeColor="text1"/>
          <w:sz w:val="24"/>
          <w:szCs w:val="24"/>
          <w:shd w:val="clear" w:color="auto" w:fill="FFFFFF"/>
          <w:lang w:val="en-GB"/>
        </w:rPr>
        <w:t>International Journal of Economics Development Research (IJEDR)</w:t>
      </w:r>
      <w:r w:rsidRPr="00DE6ED2">
        <w:rPr>
          <w:rFonts w:ascii="Times New Roman" w:hAnsi="Times New Roman" w:cs="Times New Roman"/>
          <w:color w:val="000000" w:themeColor="text1"/>
          <w:sz w:val="24"/>
          <w:szCs w:val="24"/>
          <w:shd w:val="clear" w:color="auto" w:fill="FFFFFF"/>
          <w:lang w:val="en-GB"/>
        </w:rPr>
        <w:t>, </w:t>
      </w:r>
      <w:r w:rsidRPr="00DE6ED2">
        <w:rPr>
          <w:rFonts w:ascii="Times New Roman" w:hAnsi="Times New Roman" w:cs="Times New Roman"/>
          <w:i/>
          <w:iCs/>
          <w:color w:val="000000" w:themeColor="text1"/>
          <w:sz w:val="24"/>
          <w:szCs w:val="24"/>
          <w:shd w:val="clear" w:color="auto" w:fill="FFFFFF"/>
          <w:lang w:val="en-GB"/>
        </w:rPr>
        <w:t>1</w:t>
      </w:r>
      <w:r w:rsidRPr="00DE6ED2">
        <w:rPr>
          <w:rFonts w:ascii="Times New Roman" w:hAnsi="Times New Roman" w:cs="Times New Roman"/>
          <w:color w:val="000000" w:themeColor="text1"/>
          <w:sz w:val="24"/>
          <w:szCs w:val="24"/>
          <w:shd w:val="clear" w:color="auto" w:fill="FFFFFF"/>
          <w:lang w:val="en-GB"/>
        </w:rPr>
        <w:t>(1), pp.36-44.</w:t>
      </w:r>
    </w:p>
    <w:p w14:paraId="5E091A06" w14:textId="77777777" w:rsidR="00806853" w:rsidRPr="00DE6ED2" w:rsidRDefault="00806853" w:rsidP="00806853">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DE6ED2">
        <w:rPr>
          <w:rFonts w:ascii="Times New Roman" w:hAnsi="Times New Roman" w:cs="Times New Roman"/>
          <w:color w:val="000000" w:themeColor="text1"/>
          <w:sz w:val="24"/>
          <w:szCs w:val="24"/>
          <w:shd w:val="clear" w:color="auto" w:fill="FFFFFF"/>
          <w:lang w:val="en-GB"/>
        </w:rPr>
        <w:t>Jasman</w:t>
      </w:r>
      <w:proofErr w:type="spellEnd"/>
      <w:r w:rsidRPr="00DE6ED2">
        <w:rPr>
          <w:rFonts w:ascii="Times New Roman" w:hAnsi="Times New Roman" w:cs="Times New Roman"/>
          <w:color w:val="000000" w:themeColor="text1"/>
          <w:sz w:val="24"/>
          <w:szCs w:val="24"/>
          <w:shd w:val="clear" w:color="auto" w:fill="FFFFFF"/>
          <w:lang w:val="en-GB"/>
        </w:rPr>
        <w:t xml:space="preserve">, J. and </w:t>
      </w:r>
      <w:proofErr w:type="spellStart"/>
      <w:r w:rsidRPr="00DE6ED2">
        <w:rPr>
          <w:rFonts w:ascii="Times New Roman" w:hAnsi="Times New Roman" w:cs="Times New Roman"/>
          <w:color w:val="000000" w:themeColor="text1"/>
          <w:sz w:val="24"/>
          <w:szCs w:val="24"/>
          <w:shd w:val="clear" w:color="auto" w:fill="FFFFFF"/>
          <w:lang w:val="en-GB"/>
        </w:rPr>
        <w:t>Kasran</w:t>
      </w:r>
      <w:proofErr w:type="spellEnd"/>
      <w:r w:rsidRPr="00DE6ED2">
        <w:rPr>
          <w:rFonts w:ascii="Times New Roman" w:hAnsi="Times New Roman" w:cs="Times New Roman"/>
          <w:color w:val="000000" w:themeColor="text1"/>
          <w:sz w:val="24"/>
          <w:szCs w:val="24"/>
          <w:shd w:val="clear" w:color="auto" w:fill="FFFFFF"/>
          <w:lang w:val="en-GB"/>
        </w:rPr>
        <w:t>, M., (2017). Profitability, earnings per share on stock return with size as moderation. </w:t>
      </w:r>
      <w:proofErr w:type="spellStart"/>
      <w:r w:rsidRPr="00DE6ED2">
        <w:rPr>
          <w:rFonts w:ascii="Times New Roman" w:hAnsi="Times New Roman" w:cs="Times New Roman"/>
          <w:i/>
          <w:iCs/>
          <w:color w:val="000000" w:themeColor="text1"/>
          <w:sz w:val="24"/>
          <w:szCs w:val="24"/>
          <w:shd w:val="clear" w:color="auto" w:fill="FFFFFF"/>
          <w:lang w:val="en-GB"/>
        </w:rPr>
        <w:t>Trikonomika</w:t>
      </w:r>
      <w:proofErr w:type="spellEnd"/>
      <w:r w:rsidRPr="00DE6ED2">
        <w:rPr>
          <w:rFonts w:ascii="Times New Roman" w:hAnsi="Times New Roman" w:cs="Times New Roman"/>
          <w:color w:val="000000" w:themeColor="text1"/>
          <w:sz w:val="24"/>
          <w:szCs w:val="24"/>
          <w:shd w:val="clear" w:color="auto" w:fill="FFFFFF"/>
          <w:lang w:val="en-GB"/>
        </w:rPr>
        <w:t>, </w:t>
      </w:r>
      <w:r w:rsidRPr="00DE6ED2">
        <w:rPr>
          <w:rFonts w:ascii="Times New Roman" w:hAnsi="Times New Roman" w:cs="Times New Roman"/>
          <w:i/>
          <w:iCs/>
          <w:color w:val="000000" w:themeColor="text1"/>
          <w:sz w:val="24"/>
          <w:szCs w:val="24"/>
          <w:shd w:val="clear" w:color="auto" w:fill="FFFFFF"/>
          <w:lang w:val="en-GB"/>
        </w:rPr>
        <w:t>16</w:t>
      </w:r>
      <w:r w:rsidRPr="00DE6ED2">
        <w:rPr>
          <w:rFonts w:ascii="Times New Roman" w:hAnsi="Times New Roman" w:cs="Times New Roman"/>
          <w:color w:val="000000" w:themeColor="text1"/>
          <w:sz w:val="24"/>
          <w:szCs w:val="24"/>
          <w:shd w:val="clear" w:color="auto" w:fill="FFFFFF"/>
          <w:lang w:val="en-GB"/>
        </w:rPr>
        <w:t>(2), pp.88-94.</w:t>
      </w:r>
    </w:p>
    <w:p w14:paraId="1E385144" w14:textId="77777777" w:rsidR="00806853" w:rsidRPr="00DE6ED2" w:rsidRDefault="00806853" w:rsidP="00806853">
      <w:pPr>
        <w:spacing w:before="240" w:after="240" w:line="360" w:lineRule="auto"/>
        <w:jc w:val="both"/>
        <w:rPr>
          <w:rFonts w:ascii="Times New Roman" w:hAnsi="Times New Roman" w:cs="Times New Roman"/>
          <w:color w:val="000000" w:themeColor="text1"/>
          <w:sz w:val="24"/>
          <w:szCs w:val="24"/>
          <w:lang w:val="en-GB"/>
        </w:rPr>
      </w:pPr>
      <w:proofErr w:type="spellStart"/>
      <w:r w:rsidRPr="00DE6ED2">
        <w:rPr>
          <w:rFonts w:ascii="Times New Roman" w:hAnsi="Times New Roman" w:cs="Times New Roman"/>
          <w:color w:val="000000" w:themeColor="text1"/>
          <w:sz w:val="24"/>
          <w:szCs w:val="24"/>
          <w:shd w:val="clear" w:color="auto" w:fill="FFFFFF"/>
          <w:lang w:val="en-GB"/>
        </w:rPr>
        <w:t>Jati</w:t>
      </w:r>
      <w:proofErr w:type="spellEnd"/>
      <w:r w:rsidRPr="00DE6ED2">
        <w:rPr>
          <w:rFonts w:ascii="Times New Roman" w:hAnsi="Times New Roman" w:cs="Times New Roman"/>
          <w:color w:val="000000" w:themeColor="text1"/>
          <w:sz w:val="24"/>
          <w:szCs w:val="24"/>
          <w:shd w:val="clear" w:color="auto" w:fill="FFFFFF"/>
          <w:lang w:val="en-GB"/>
        </w:rPr>
        <w:t xml:space="preserve">, W., (2020). Effect of Current Ratio and Return on Equity on Dividend </w:t>
      </w:r>
      <w:proofErr w:type="spellStart"/>
      <w:r w:rsidRPr="00DE6ED2">
        <w:rPr>
          <w:rFonts w:ascii="Times New Roman" w:hAnsi="Times New Roman" w:cs="Times New Roman"/>
          <w:color w:val="000000" w:themeColor="text1"/>
          <w:sz w:val="24"/>
          <w:szCs w:val="24"/>
          <w:shd w:val="clear" w:color="auto" w:fill="FFFFFF"/>
          <w:lang w:val="en-GB"/>
        </w:rPr>
        <w:t>Payout</w:t>
      </w:r>
      <w:proofErr w:type="spellEnd"/>
      <w:r w:rsidRPr="00DE6ED2">
        <w:rPr>
          <w:rFonts w:ascii="Times New Roman" w:hAnsi="Times New Roman" w:cs="Times New Roman"/>
          <w:color w:val="000000" w:themeColor="text1"/>
          <w:sz w:val="24"/>
          <w:szCs w:val="24"/>
          <w:shd w:val="clear" w:color="auto" w:fill="FFFFFF"/>
          <w:lang w:val="en-GB"/>
        </w:rPr>
        <w:t xml:space="preserve"> Ratio Policy, </w:t>
      </w:r>
      <w:r w:rsidRPr="00DE6ED2">
        <w:rPr>
          <w:rFonts w:ascii="Times New Roman" w:hAnsi="Times New Roman" w:cs="Times New Roman"/>
          <w:i/>
          <w:iCs/>
          <w:color w:val="000000" w:themeColor="text1"/>
          <w:sz w:val="24"/>
          <w:szCs w:val="24"/>
          <w:shd w:val="clear" w:color="auto" w:fill="FFFFFF"/>
          <w:lang w:val="en-GB"/>
        </w:rPr>
        <w:t>10</w:t>
      </w:r>
      <w:r w:rsidRPr="00DE6ED2">
        <w:rPr>
          <w:rFonts w:ascii="Times New Roman" w:hAnsi="Times New Roman" w:cs="Times New Roman"/>
          <w:color w:val="000000" w:themeColor="text1"/>
          <w:sz w:val="24"/>
          <w:szCs w:val="24"/>
          <w:shd w:val="clear" w:color="auto" w:fill="FFFFFF"/>
          <w:lang w:val="en-GB"/>
        </w:rPr>
        <w:t>(1), pp.63-74.</w:t>
      </w:r>
    </w:p>
    <w:p w14:paraId="7192658F" w14:textId="77777777" w:rsidR="00806853" w:rsidRPr="00DE6ED2" w:rsidRDefault="00806853" w:rsidP="00806853">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DE6ED2">
        <w:rPr>
          <w:rFonts w:ascii="Times New Roman" w:hAnsi="Times New Roman" w:cs="Times New Roman"/>
          <w:color w:val="000000" w:themeColor="text1"/>
          <w:sz w:val="24"/>
          <w:szCs w:val="24"/>
          <w:shd w:val="clear" w:color="auto" w:fill="FFFFFF"/>
          <w:lang w:val="en-GB"/>
        </w:rPr>
        <w:t>Ji, H., (2019). The Impact of interest coverage ratio on value relevance of reported earnings. </w:t>
      </w:r>
      <w:r w:rsidRPr="00DE6ED2">
        <w:rPr>
          <w:rFonts w:ascii="Times New Roman" w:hAnsi="Times New Roman" w:cs="Times New Roman"/>
          <w:i/>
          <w:iCs/>
          <w:color w:val="000000" w:themeColor="text1"/>
          <w:sz w:val="24"/>
          <w:szCs w:val="24"/>
          <w:shd w:val="clear" w:color="auto" w:fill="FFFFFF"/>
          <w:lang w:val="en-GB"/>
        </w:rPr>
        <w:t>Sustainability</w:t>
      </w:r>
      <w:r w:rsidRPr="00DE6ED2">
        <w:rPr>
          <w:rFonts w:ascii="Times New Roman" w:hAnsi="Times New Roman" w:cs="Times New Roman"/>
          <w:color w:val="000000" w:themeColor="text1"/>
          <w:sz w:val="24"/>
          <w:szCs w:val="24"/>
          <w:shd w:val="clear" w:color="auto" w:fill="FFFFFF"/>
          <w:lang w:val="en-GB"/>
        </w:rPr>
        <w:t>, </w:t>
      </w:r>
      <w:r w:rsidRPr="00DE6ED2">
        <w:rPr>
          <w:rFonts w:ascii="Times New Roman" w:hAnsi="Times New Roman" w:cs="Times New Roman"/>
          <w:i/>
          <w:iCs/>
          <w:color w:val="000000" w:themeColor="text1"/>
          <w:sz w:val="24"/>
          <w:szCs w:val="24"/>
          <w:shd w:val="clear" w:color="auto" w:fill="FFFFFF"/>
          <w:lang w:val="en-GB"/>
        </w:rPr>
        <w:t>11</w:t>
      </w:r>
      <w:r w:rsidRPr="00DE6ED2">
        <w:rPr>
          <w:rFonts w:ascii="Times New Roman" w:hAnsi="Times New Roman" w:cs="Times New Roman"/>
          <w:color w:val="000000" w:themeColor="text1"/>
          <w:sz w:val="24"/>
          <w:szCs w:val="24"/>
          <w:shd w:val="clear" w:color="auto" w:fill="FFFFFF"/>
          <w:lang w:val="en-GB"/>
        </w:rPr>
        <w:t>(24), pp.71-73.</w:t>
      </w:r>
    </w:p>
    <w:p w14:paraId="184F0035" w14:textId="77777777" w:rsidR="00806853" w:rsidRPr="00DE6ED2" w:rsidRDefault="00806853" w:rsidP="00806853">
      <w:pPr>
        <w:pStyle w:val="Default"/>
        <w:spacing w:before="240" w:after="240" w:line="360" w:lineRule="auto"/>
        <w:jc w:val="both"/>
        <w:rPr>
          <w:rFonts w:ascii="Times New Roman" w:hAnsi="Times New Roman" w:cs="Times New Roman"/>
          <w:lang w:val="en-GB"/>
        </w:rPr>
      </w:pPr>
      <w:r w:rsidRPr="00DE6ED2">
        <w:rPr>
          <w:rFonts w:ascii="Times New Roman" w:hAnsi="Times New Roman" w:cs="Times New Roman"/>
          <w:lang w:val="en-GB"/>
        </w:rPr>
        <w:t xml:space="preserve">John R. and Dyson (2017). Accounting for non-accounting students, 8th edition, Financial Times Prentice Hall. </w:t>
      </w:r>
    </w:p>
    <w:p w14:paraId="29C7C267" w14:textId="77777777" w:rsidR="00806853" w:rsidRPr="00DE6ED2" w:rsidRDefault="00806853" w:rsidP="00806853">
      <w:pPr>
        <w:pStyle w:val="Default"/>
        <w:spacing w:before="240" w:after="240" w:line="360" w:lineRule="auto"/>
        <w:jc w:val="both"/>
        <w:rPr>
          <w:rFonts w:ascii="Times New Roman" w:hAnsi="Times New Roman" w:cs="Times New Roman"/>
          <w:lang w:val="en-GB"/>
        </w:rPr>
      </w:pPr>
      <w:r w:rsidRPr="00DE6ED2">
        <w:rPr>
          <w:rFonts w:ascii="Times New Roman" w:hAnsi="Times New Roman" w:cs="Times New Roman"/>
          <w:lang w:val="en-GB"/>
        </w:rPr>
        <w:t xml:space="preserve">McLaney and Atrill, (2016). Financial accounting for decision makers, 10th edition, FT Prentice Hall. </w:t>
      </w:r>
    </w:p>
    <w:p w14:paraId="6F79B864" w14:textId="77777777" w:rsidR="00806853" w:rsidRPr="00DE6ED2" w:rsidRDefault="00806853" w:rsidP="00806853">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DE6ED2">
        <w:rPr>
          <w:rFonts w:ascii="Times New Roman" w:hAnsi="Times New Roman" w:cs="Times New Roman"/>
          <w:color w:val="000000" w:themeColor="text1"/>
          <w:sz w:val="24"/>
          <w:szCs w:val="24"/>
          <w:shd w:val="clear" w:color="auto" w:fill="FFFFFF"/>
          <w:lang w:val="en-GB"/>
        </w:rPr>
        <w:t>Nariswari</w:t>
      </w:r>
      <w:proofErr w:type="spellEnd"/>
      <w:r w:rsidRPr="00DE6ED2">
        <w:rPr>
          <w:rFonts w:ascii="Times New Roman" w:hAnsi="Times New Roman" w:cs="Times New Roman"/>
          <w:color w:val="000000" w:themeColor="text1"/>
          <w:sz w:val="24"/>
          <w:szCs w:val="24"/>
          <w:shd w:val="clear" w:color="auto" w:fill="FFFFFF"/>
          <w:lang w:val="en-GB"/>
        </w:rPr>
        <w:t xml:space="preserve">, T.N. and </w:t>
      </w:r>
      <w:proofErr w:type="spellStart"/>
      <w:r w:rsidRPr="00DE6ED2">
        <w:rPr>
          <w:rFonts w:ascii="Times New Roman" w:hAnsi="Times New Roman" w:cs="Times New Roman"/>
          <w:color w:val="000000" w:themeColor="text1"/>
          <w:sz w:val="24"/>
          <w:szCs w:val="24"/>
          <w:shd w:val="clear" w:color="auto" w:fill="FFFFFF"/>
          <w:lang w:val="en-GB"/>
        </w:rPr>
        <w:t>Nugraha</w:t>
      </w:r>
      <w:proofErr w:type="spellEnd"/>
      <w:r w:rsidRPr="00DE6ED2">
        <w:rPr>
          <w:rFonts w:ascii="Times New Roman" w:hAnsi="Times New Roman" w:cs="Times New Roman"/>
          <w:color w:val="000000" w:themeColor="text1"/>
          <w:sz w:val="24"/>
          <w:szCs w:val="24"/>
          <w:shd w:val="clear" w:color="auto" w:fill="FFFFFF"/>
          <w:lang w:val="en-GB"/>
        </w:rPr>
        <w:t xml:space="preserve">, N.M., (2020). Profit Growth: Impact of Net Profit Margin, Gross Profit Margin and Total </w:t>
      </w:r>
      <w:proofErr w:type="spellStart"/>
      <w:r w:rsidRPr="00DE6ED2">
        <w:rPr>
          <w:rFonts w:ascii="Times New Roman" w:hAnsi="Times New Roman" w:cs="Times New Roman"/>
          <w:color w:val="000000" w:themeColor="text1"/>
          <w:sz w:val="24"/>
          <w:szCs w:val="24"/>
          <w:shd w:val="clear" w:color="auto" w:fill="FFFFFF"/>
          <w:lang w:val="en-GB"/>
        </w:rPr>
        <w:t>Assests</w:t>
      </w:r>
      <w:proofErr w:type="spellEnd"/>
      <w:r w:rsidRPr="00DE6ED2">
        <w:rPr>
          <w:rFonts w:ascii="Times New Roman" w:hAnsi="Times New Roman" w:cs="Times New Roman"/>
          <w:color w:val="000000" w:themeColor="text1"/>
          <w:sz w:val="24"/>
          <w:szCs w:val="24"/>
          <w:shd w:val="clear" w:color="auto" w:fill="FFFFFF"/>
          <w:lang w:val="en-GB"/>
        </w:rPr>
        <w:t xml:space="preserve"> Turnover. </w:t>
      </w:r>
      <w:r w:rsidRPr="00DE6ED2">
        <w:rPr>
          <w:rFonts w:ascii="Times New Roman" w:hAnsi="Times New Roman" w:cs="Times New Roman"/>
          <w:i/>
          <w:iCs/>
          <w:color w:val="000000" w:themeColor="text1"/>
          <w:sz w:val="24"/>
          <w:szCs w:val="24"/>
          <w:shd w:val="clear" w:color="auto" w:fill="FFFFFF"/>
          <w:lang w:val="en-GB"/>
        </w:rPr>
        <w:t>International Journal of Finance &amp; Banking Studies (2147-4486)</w:t>
      </w:r>
      <w:r w:rsidRPr="00DE6ED2">
        <w:rPr>
          <w:rFonts w:ascii="Times New Roman" w:hAnsi="Times New Roman" w:cs="Times New Roman"/>
          <w:color w:val="000000" w:themeColor="text1"/>
          <w:sz w:val="24"/>
          <w:szCs w:val="24"/>
          <w:shd w:val="clear" w:color="auto" w:fill="FFFFFF"/>
          <w:lang w:val="en-GB"/>
        </w:rPr>
        <w:t>, </w:t>
      </w:r>
      <w:r w:rsidRPr="00DE6ED2">
        <w:rPr>
          <w:rFonts w:ascii="Times New Roman" w:hAnsi="Times New Roman" w:cs="Times New Roman"/>
          <w:i/>
          <w:iCs/>
          <w:color w:val="000000" w:themeColor="text1"/>
          <w:sz w:val="24"/>
          <w:szCs w:val="24"/>
          <w:shd w:val="clear" w:color="auto" w:fill="FFFFFF"/>
          <w:lang w:val="en-GB"/>
        </w:rPr>
        <w:t>9</w:t>
      </w:r>
      <w:r w:rsidRPr="00DE6ED2">
        <w:rPr>
          <w:rFonts w:ascii="Times New Roman" w:hAnsi="Times New Roman" w:cs="Times New Roman"/>
          <w:color w:val="000000" w:themeColor="text1"/>
          <w:sz w:val="24"/>
          <w:szCs w:val="24"/>
          <w:shd w:val="clear" w:color="auto" w:fill="FFFFFF"/>
          <w:lang w:val="en-GB"/>
        </w:rPr>
        <w:t>(4), pp.87-96.</w:t>
      </w:r>
    </w:p>
    <w:p w14:paraId="2BA3BF67" w14:textId="77777777" w:rsidR="00806853" w:rsidRPr="00DE6ED2" w:rsidRDefault="00806853" w:rsidP="00806853">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DE6ED2">
        <w:rPr>
          <w:rFonts w:ascii="Times New Roman" w:hAnsi="Times New Roman" w:cs="Times New Roman"/>
          <w:color w:val="000000" w:themeColor="text1"/>
          <w:sz w:val="24"/>
          <w:szCs w:val="24"/>
          <w:shd w:val="clear" w:color="auto" w:fill="FFFFFF"/>
          <w:lang w:val="en-GB"/>
        </w:rPr>
        <w:t>Sagala</w:t>
      </w:r>
      <w:proofErr w:type="spellEnd"/>
      <w:r w:rsidRPr="00DE6ED2">
        <w:rPr>
          <w:rFonts w:ascii="Times New Roman" w:hAnsi="Times New Roman" w:cs="Times New Roman"/>
          <w:color w:val="000000" w:themeColor="text1"/>
          <w:sz w:val="24"/>
          <w:szCs w:val="24"/>
          <w:shd w:val="clear" w:color="auto" w:fill="FFFFFF"/>
          <w:lang w:val="en-GB"/>
        </w:rPr>
        <w:t xml:space="preserve">, D.A.P.H., (2019), October. Effect of Current Ratio, Debt </w:t>
      </w:r>
      <w:proofErr w:type="gramStart"/>
      <w:r w:rsidRPr="00DE6ED2">
        <w:rPr>
          <w:rFonts w:ascii="Times New Roman" w:hAnsi="Times New Roman" w:cs="Times New Roman"/>
          <w:color w:val="000000" w:themeColor="text1"/>
          <w:sz w:val="24"/>
          <w:szCs w:val="24"/>
          <w:shd w:val="clear" w:color="auto" w:fill="FFFFFF"/>
          <w:lang w:val="en-GB"/>
        </w:rPr>
        <w:t>To</w:t>
      </w:r>
      <w:proofErr w:type="gramEnd"/>
      <w:r w:rsidRPr="00DE6ED2">
        <w:rPr>
          <w:rFonts w:ascii="Times New Roman" w:hAnsi="Times New Roman" w:cs="Times New Roman"/>
          <w:color w:val="000000" w:themeColor="text1"/>
          <w:sz w:val="24"/>
          <w:szCs w:val="24"/>
          <w:shd w:val="clear" w:color="auto" w:fill="FFFFFF"/>
          <w:lang w:val="en-GB"/>
        </w:rPr>
        <w:t xml:space="preserve"> Equity Ratio, Net Profit Margin, and Total Asset Turnover on Earning Per Share. In </w:t>
      </w:r>
      <w:r w:rsidRPr="00DE6ED2">
        <w:rPr>
          <w:rFonts w:ascii="Times New Roman" w:hAnsi="Times New Roman" w:cs="Times New Roman"/>
          <w:i/>
          <w:iCs/>
          <w:color w:val="000000" w:themeColor="text1"/>
          <w:sz w:val="24"/>
          <w:szCs w:val="24"/>
          <w:shd w:val="clear" w:color="auto" w:fill="FFFFFF"/>
          <w:lang w:val="en-GB"/>
        </w:rPr>
        <w:t>International Conference on Global Education</w:t>
      </w:r>
      <w:r w:rsidRPr="00DE6ED2">
        <w:rPr>
          <w:rFonts w:ascii="Times New Roman" w:hAnsi="Times New Roman" w:cs="Times New Roman"/>
          <w:color w:val="000000" w:themeColor="text1"/>
          <w:sz w:val="24"/>
          <w:szCs w:val="24"/>
          <w:shd w:val="clear" w:color="auto" w:fill="FFFFFF"/>
          <w:lang w:val="en-GB"/>
        </w:rPr>
        <w:t>, 2(3), pp. 1507-1521.</w:t>
      </w:r>
    </w:p>
    <w:p w14:paraId="43F29B9F" w14:textId="2507EB53" w:rsidR="00806853" w:rsidRPr="00DE6ED2" w:rsidRDefault="00806853" w:rsidP="00806853">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DE6ED2">
        <w:rPr>
          <w:rFonts w:ascii="Times New Roman" w:hAnsi="Times New Roman" w:cs="Times New Roman"/>
          <w:color w:val="000000" w:themeColor="text1"/>
          <w:sz w:val="24"/>
          <w:szCs w:val="24"/>
          <w:shd w:val="clear" w:color="auto" w:fill="FFFFFF"/>
          <w:lang w:val="en-GB"/>
        </w:rPr>
        <w:t>Shengdao</w:t>
      </w:r>
      <w:proofErr w:type="spellEnd"/>
      <w:r w:rsidRPr="00DE6ED2">
        <w:rPr>
          <w:rFonts w:ascii="Times New Roman" w:hAnsi="Times New Roman" w:cs="Times New Roman"/>
          <w:color w:val="000000" w:themeColor="text1"/>
          <w:sz w:val="24"/>
          <w:szCs w:val="24"/>
          <w:shd w:val="clear" w:color="auto" w:fill="FFFFFF"/>
          <w:lang w:val="en-GB"/>
        </w:rPr>
        <w:t xml:space="preserve">, G., </w:t>
      </w:r>
      <w:proofErr w:type="spellStart"/>
      <w:r w:rsidRPr="00DE6ED2">
        <w:rPr>
          <w:rFonts w:ascii="Times New Roman" w:hAnsi="Times New Roman" w:cs="Times New Roman"/>
          <w:color w:val="000000" w:themeColor="text1"/>
          <w:sz w:val="24"/>
          <w:szCs w:val="24"/>
          <w:shd w:val="clear" w:color="auto" w:fill="FFFFFF"/>
          <w:lang w:val="en-GB"/>
        </w:rPr>
        <w:t>Qingying</w:t>
      </w:r>
      <w:proofErr w:type="spellEnd"/>
      <w:r w:rsidRPr="00DE6ED2">
        <w:rPr>
          <w:rFonts w:ascii="Times New Roman" w:hAnsi="Times New Roman" w:cs="Times New Roman"/>
          <w:color w:val="000000" w:themeColor="text1"/>
          <w:sz w:val="24"/>
          <w:szCs w:val="24"/>
          <w:shd w:val="clear" w:color="auto" w:fill="FFFFFF"/>
          <w:lang w:val="en-GB"/>
        </w:rPr>
        <w:t xml:space="preserve">, W. and </w:t>
      </w:r>
      <w:proofErr w:type="spellStart"/>
      <w:r w:rsidRPr="00DE6ED2">
        <w:rPr>
          <w:rFonts w:ascii="Times New Roman" w:hAnsi="Times New Roman" w:cs="Times New Roman"/>
          <w:color w:val="000000" w:themeColor="text1"/>
          <w:sz w:val="24"/>
          <w:szCs w:val="24"/>
          <w:shd w:val="clear" w:color="auto" w:fill="FFFFFF"/>
          <w:lang w:val="en-GB"/>
        </w:rPr>
        <w:t>Qiya</w:t>
      </w:r>
      <w:proofErr w:type="spellEnd"/>
      <w:r w:rsidRPr="00DE6ED2">
        <w:rPr>
          <w:rFonts w:ascii="Times New Roman" w:hAnsi="Times New Roman" w:cs="Times New Roman"/>
          <w:color w:val="000000" w:themeColor="text1"/>
          <w:sz w:val="24"/>
          <w:szCs w:val="24"/>
          <w:shd w:val="clear" w:color="auto" w:fill="FFFFFF"/>
          <w:lang w:val="en-GB"/>
        </w:rPr>
        <w:t>, Z., (2020). Impact of Financialization on Operating Profit of Manufacturing Listed Companies. In</w:t>
      </w:r>
      <w:r w:rsidR="0059413D" w:rsidRPr="00DE6ED2">
        <w:rPr>
          <w:rFonts w:ascii="Times New Roman" w:hAnsi="Times New Roman" w:cs="Times New Roman"/>
          <w:color w:val="000000" w:themeColor="text1"/>
          <w:sz w:val="24"/>
          <w:szCs w:val="24"/>
          <w:shd w:val="clear" w:color="auto" w:fill="FFFFFF"/>
          <w:lang w:val="en-GB"/>
        </w:rPr>
        <w:t> </w:t>
      </w:r>
      <w:r w:rsidR="0059413D" w:rsidRPr="00DE6ED2">
        <w:rPr>
          <w:rFonts w:ascii="Times New Roman" w:hAnsi="Times New Roman" w:cs="Times New Roman"/>
          <w:i/>
          <w:iCs/>
          <w:color w:val="000000" w:themeColor="text1"/>
          <w:sz w:val="24"/>
          <w:szCs w:val="24"/>
          <w:shd w:val="clear" w:color="auto" w:fill="FFFFFF"/>
          <w:lang w:val="en-GB"/>
        </w:rPr>
        <w:t>Web</w:t>
      </w:r>
      <w:r w:rsidRPr="00DE6ED2">
        <w:rPr>
          <w:rFonts w:ascii="Times New Roman" w:hAnsi="Times New Roman" w:cs="Times New Roman"/>
          <w:i/>
          <w:iCs/>
          <w:color w:val="000000" w:themeColor="text1"/>
          <w:sz w:val="24"/>
          <w:szCs w:val="24"/>
          <w:shd w:val="clear" w:color="auto" w:fill="FFFFFF"/>
          <w:lang w:val="en-GB"/>
        </w:rPr>
        <w:t xml:space="preserve"> of Conferences</w:t>
      </w:r>
      <w:r w:rsidRPr="00DE6ED2">
        <w:rPr>
          <w:rFonts w:ascii="Times New Roman" w:hAnsi="Times New Roman" w:cs="Times New Roman"/>
          <w:color w:val="000000" w:themeColor="text1"/>
          <w:sz w:val="24"/>
          <w:szCs w:val="24"/>
          <w:shd w:val="clear" w:color="auto" w:fill="FFFFFF"/>
          <w:lang w:val="en-GB"/>
        </w:rPr>
        <w:t xml:space="preserve">, </w:t>
      </w:r>
      <w:r w:rsidRPr="00DE6ED2">
        <w:rPr>
          <w:rFonts w:ascii="Times New Roman" w:hAnsi="Times New Roman" w:cs="Times New Roman"/>
          <w:i/>
          <w:color w:val="000000" w:themeColor="text1"/>
          <w:sz w:val="24"/>
          <w:szCs w:val="24"/>
          <w:shd w:val="clear" w:color="auto" w:fill="FFFFFF"/>
          <w:lang w:val="en-GB"/>
        </w:rPr>
        <w:t>2</w:t>
      </w:r>
      <w:r w:rsidRPr="00DE6ED2">
        <w:rPr>
          <w:rFonts w:ascii="Times New Roman" w:hAnsi="Times New Roman" w:cs="Times New Roman"/>
          <w:color w:val="000000" w:themeColor="text1"/>
          <w:sz w:val="24"/>
          <w:szCs w:val="24"/>
          <w:shd w:val="clear" w:color="auto" w:fill="FFFFFF"/>
          <w:lang w:val="en-GB"/>
        </w:rPr>
        <w:t>(4), pp.26-27.</w:t>
      </w:r>
    </w:p>
    <w:p w14:paraId="4D490E5C" w14:textId="77777777" w:rsidR="00806853" w:rsidRPr="00DE6ED2" w:rsidRDefault="00806853" w:rsidP="00806853">
      <w:pPr>
        <w:pStyle w:val="Default"/>
        <w:spacing w:before="240" w:after="240" w:line="360" w:lineRule="auto"/>
        <w:jc w:val="both"/>
        <w:rPr>
          <w:rFonts w:ascii="Times New Roman" w:hAnsi="Times New Roman" w:cs="Times New Roman"/>
          <w:lang w:val="en-GB"/>
        </w:rPr>
      </w:pPr>
      <w:r w:rsidRPr="00DE6ED2">
        <w:rPr>
          <w:rFonts w:ascii="Times New Roman" w:hAnsi="Times New Roman" w:cs="Times New Roman"/>
          <w:lang w:val="en-GB"/>
        </w:rPr>
        <w:t xml:space="preserve">Wood, F., (2015). Frank Wood's Business Accounting, 13th Edition. Pearson Education Limited. </w:t>
      </w:r>
    </w:p>
    <w:p w14:paraId="06B8B2F9" w14:textId="77777777" w:rsidR="00806853" w:rsidRPr="00DE6ED2" w:rsidRDefault="00806853" w:rsidP="00806853">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DE6ED2">
        <w:rPr>
          <w:rFonts w:ascii="Times New Roman" w:hAnsi="Times New Roman" w:cs="Times New Roman"/>
          <w:color w:val="000000" w:themeColor="text1"/>
          <w:sz w:val="24"/>
          <w:szCs w:val="24"/>
          <w:shd w:val="clear" w:color="auto" w:fill="FFFFFF"/>
          <w:lang w:val="en-GB"/>
        </w:rPr>
        <w:lastRenderedPageBreak/>
        <w:t>Yudawisastra</w:t>
      </w:r>
      <w:proofErr w:type="spellEnd"/>
      <w:r w:rsidRPr="00DE6ED2">
        <w:rPr>
          <w:rFonts w:ascii="Times New Roman" w:hAnsi="Times New Roman" w:cs="Times New Roman"/>
          <w:color w:val="000000" w:themeColor="text1"/>
          <w:sz w:val="24"/>
          <w:szCs w:val="24"/>
          <w:shd w:val="clear" w:color="auto" w:fill="FFFFFF"/>
          <w:lang w:val="en-GB"/>
        </w:rPr>
        <w:t xml:space="preserve">, H.G., </w:t>
      </w:r>
      <w:proofErr w:type="spellStart"/>
      <w:r w:rsidRPr="00DE6ED2">
        <w:rPr>
          <w:rFonts w:ascii="Times New Roman" w:hAnsi="Times New Roman" w:cs="Times New Roman"/>
          <w:color w:val="000000" w:themeColor="text1"/>
          <w:sz w:val="24"/>
          <w:szCs w:val="24"/>
          <w:shd w:val="clear" w:color="auto" w:fill="FFFFFF"/>
          <w:lang w:val="en-GB"/>
        </w:rPr>
        <w:t>Manurung</w:t>
      </w:r>
      <w:proofErr w:type="spellEnd"/>
      <w:r w:rsidRPr="00DE6ED2">
        <w:rPr>
          <w:rFonts w:ascii="Times New Roman" w:hAnsi="Times New Roman" w:cs="Times New Roman"/>
          <w:color w:val="000000" w:themeColor="text1"/>
          <w:sz w:val="24"/>
          <w:szCs w:val="24"/>
          <w:shd w:val="clear" w:color="auto" w:fill="FFFFFF"/>
          <w:lang w:val="en-GB"/>
        </w:rPr>
        <w:t xml:space="preserve">, D.T. and </w:t>
      </w:r>
      <w:proofErr w:type="spellStart"/>
      <w:r w:rsidRPr="00DE6ED2">
        <w:rPr>
          <w:rFonts w:ascii="Times New Roman" w:hAnsi="Times New Roman" w:cs="Times New Roman"/>
          <w:color w:val="000000" w:themeColor="text1"/>
          <w:sz w:val="24"/>
          <w:szCs w:val="24"/>
          <w:shd w:val="clear" w:color="auto" w:fill="FFFFFF"/>
          <w:lang w:val="en-GB"/>
        </w:rPr>
        <w:t>Husnatarina</w:t>
      </w:r>
      <w:proofErr w:type="spellEnd"/>
      <w:r w:rsidRPr="00DE6ED2">
        <w:rPr>
          <w:rFonts w:ascii="Times New Roman" w:hAnsi="Times New Roman" w:cs="Times New Roman"/>
          <w:color w:val="000000" w:themeColor="text1"/>
          <w:sz w:val="24"/>
          <w:szCs w:val="24"/>
          <w:shd w:val="clear" w:color="auto" w:fill="FFFFFF"/>
          <w:lang w:val="en-GB"/>
        </w:rPr>
        <w:t>, F., (2018). Relationship between value added capital employed, value added human capital, structural capital value added and financial performance. </w:t>
      </w:r>
      <w:r w:rsidRPr="00DE6ED2">
        <w:rPr>
          <w:rFonts w:ascii="Times New Roman" w:hAnsi="Times New Roman" w:cs="Times New Roman"/>
          <w:i/>
          <w:iCs/>
          <w:color w:val="000000" w:themeColor="text1"/>
          <w:sz w:val="24"/>
          <w:szCs w:val="24"/>
          <w:shd w:val="clear" w:color="auto" w:fill="FFFFFF"/>
          <w:lang w:val="en-GB"/>
        </w:rPr>
        <w:t>Investment management and financial innovations</w:t>
      </w:r>
      <w:r w:rsidRPr="00DE6ED2">
        <w:rPr>
          <w:rFonts w:ascii="Times New Roman" w:hAnsi="Times New Roman" w:cs="Times New Roman"/>
          <w:color w:val="000000" w:themeColor="text1"/>
          <w:sz w:val="24"/>
          <w:szCs w:val="24"/>
          <w:shd w:val="clear" w:color="auto" w:fill="FFFFFF"/>
          <w:lang w:val="en-GB"/>
        </w:rPr>
        <w:t xml:space="preserve">, </w:t>
      </w:r>
      <w:r w:rsidRPr="00DE6ED2">
        <w:rPr>
          <w:rFonts w:ascii="Times New Roman" w:hAnsi="Times New Roman" w:cs="Times New Roman"/>
          <w:i/>
          <w:color w:val="000000" w:themeColor="text1"/>
          <w:sz w:val="24"/>
          <w:szCs w:val="24"/>
          <w:shd w:val="clear" w:color="auto" w:fill="FFFFFF"/>
          <w:lang w:val="en-GB"/>
        </w:rPr>
        <w:t>15</w:t>
      </w:r>
      <w:r w:rsidRPr="00DE6ED2">
        <w:rPr>
          <w:rFonts w:ascii="Times New Roman" w:hAnsi="Times New Roman" w:cs="Times New Roman"/>
          <w:color w:val="000000" w:themeColor="text1"/>
          <w:sz w:val="24"/>
          <w:szCs w:val="24"/>
          <w:shd w:val="clear" w:color="auto" w:fill="FFFFFF"/>
          <w:lang w:val="en-GB"/>
        </w:rPr>
        <w:t>(2), pp.222-231.</w:t>
      </w:r>
    </w:p>
    <w:p w14:paraId="3AF3AD10" w14:textId="77777777" w:rsidR="00806853" w:rsidRPr="00DE6ED2" w:rsidRDefault="00806853" w:rsidP="00806853">
      <w:pPr>
        <w:spacing w:before="240" w:after="240" w:line="360" w:lineRule="auto"/>
        <w:jc w:val="both"/>
        <w:rPr>
          <w:rFonts w:ascii="Times New Roman" w:hAnsi="Times New Roman" w:cs="Times New Roman"/>
          <w:sz w:val="24"/>
          <w:szCs w:val="24"/>
          <w:lang w:val="en-GB"/>
        </w:rPr>
      </w:pPr>
    </w:p>
    <w:p w14:paraId="779FCBED" w14:textId="77777777" w:rsidR="00806853" w:rsidRPr="00DE6ED2" w:rsidRDefault="00806853">
      <w:pPr>
        <w:spacing w:line="360" w:lineRule="auto"/>
        <w:jc w:val="both"/>
        <w:rPr>
          <w:rFonts w:ascii="Times New Roman" w:eastAsia="Times New Roman" w:hAnsi="Times New Roman" w:cs="Times New Roman"/>
          <w:b/>
          <w:color w:val="0E101A"/>
          <w:sz w:val="24"/>
          <w:szCs w:val="24"/>
          <w:lang w:val="en-GB"/>
        </w:rPr>
      </w:pPr>
    </w:p>
    <w:p w14:paraId="00000025" w14:textId="77777777" w:rsidR="00DE58EB" w:rsidRPr="00DE6ED2" w:rsidRDefault="00DE58EB">
      <w:pPr>
        <w:spacing w:line="360" w:lineRule="auto"/>
        <w:jc w:val="both"/>
        <w:rPr>
          <w:rFonts w:ascii="Times New Roman" w:eastAsia="Times New Roman" w:hAnsi="Times New Roman" w:cs="Times New Roman"/>
          <w:color w:val="0E101A"/>
          <w:sz w:val="24"/>
          <w:szCs w:val="24"/>
          <w:lang w:val="en-GB"/>
        </w:rPr>
      </w:pPr>
    </w:p>
    <w:p w14:paraId="00000026" w14:textId="77777777" w:rsidR="00DE58EB" w:rsidRPr="00DE6ED2" w:rsidRDefault="00DE58EB">
      <w:pPr>
        <w:spacing w:line="360" w:lineRule="auto"/>
        <w:jc w:val="both"/>
        <w:rPr>
          <w:rFonts w:ascii="Times New Roman" w:eastAsia="Times New Roman" w:hAnsi="Times New Roman" w:cs="Times New Roman"/>
          <w:color w:val="0E101A"/>
          <w:sz w:val="24"/>
          <w:szCs w:val="24"/>
          <w:lang w:val="en-GB"/>
        </w:rPr>
      </w:pPr>
    </w:p>
    <w:p w14:paraId="00000027" w14:textId="77777777" w:rsidR="00DE58EB" w:rsidRPr="00DE6ED2" w:rsidRDefault="00DE58EB">
      <w:pPr>
        <w:spacing w:line="360" w:lineRule="auto"/>
        <w:jc w:val="both"/>
        <w:rPr>
          <w:rFonts w:ascii="Times New Roman" w:eastAsia="Times New Roman" w:hAnsi="Times New Roman" w:cs="Times New Roman"/>
          <w:color w:val="0E101A"/>
          <w:sz w:val="24"/>
          <w:szCs w:val="24"/>
          <w:lang w:val="en-GB"/>
        </w:rPr>
      </w:pPr>
    </w:p>
    <w:p w14:paraId="00000028" w14:textId="77777777" w:rsidR="00DE58EB" w:rsidRPr="00DE6ED2" w:rsidRDefault="00DE58EB">
      <w:pPr>
        <w:spacing w:line="360" w:lineRule="auto"/>
        <w:jc w:val="both"/>
        <w:rPr>
          <w:rFonts w:ascii="Times New Roman" w:eastAsia="Times New Roman" w:hAnsi="Times New Roman" w:cs="Times New Roman"/>
          <w:color w:val="0E101A"/>
          <w:sz w:val="24"/>
          <w:szCs w:val="24"/>
          <w:lang w:val="en-GB"/>
        </w:rPr>
      </w:pPr>
    </w:p>
    <w:p w14:paraId="00000029" w14:textId="77777777" w:rsidR="00DE58EB" w:rsidRPr="00DE6ED2" w:rsidRDefault="00DE58EB">
      <w:pPr>
        <w:spacing w:before="200" w:after="200" w:line="360" w:lineRule="auto"/>
        <w:jc w:val="both"/>
        <w:rPr>
          <w:rFonts w:ascii="Times New Roman" w:eastAsia="Times New Roman" w:hAnsi="Times New Roman" w:cs="Times New Roman"/>
          <w:color w:val="0E101A"/>
          <w:sz w:val="24"/>
          <w:szCs w:val="24"/>
          <w:lang w:val="en-GB"/>
        </w:rPr>
      </w:pPr>
    </w:p>
    <w:p w14:paraId="0000002A" w14:textId="77777777" w:rsidR="00DE58EB" w:rsidRPr="00DE6ED2" w:rsidRDefault="00DE58EB">
      <w:pPr>
        <w:spacing w:before="200" w:after="200" w:line="360" w:lineRule="auto"/>
        <w:jc w:val="both"/>
        <w:rPr>
          <w:rFonts w:ascii="Times New Roman" w:eastAsia="Times New Roman" w:hAnsi="Times New Roman" w:cs="Times New Roman"/>
          <w:sz w:val="24"/>
          <w:szCs w:val="24"/>
          <w:lang w:val="en-GB"/>
        </w:rPr>
      </w:pPr>
    </w:p>
    <w:sectPr w:rsidR="00DE58EB" w:rsidRPr="00DE6ED2" w:rsidSect="00E44339">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DD37F" w14:textId="77777777" w:rsidR="007776C9" w:rsidRDefault="007776C9" w:rsidP="001C736E">
      <w:pPr>
        <w:spacing w:line="240" w:lineRule="auto"/>
      </w:pPr>
      <w:r>
        <w:separator/>
      </w:r>
    </w:p>
  </w:endnote>
  <w:endnote w:type="continuationSeparator" w:id="0">
    <w:p w14:paraId="2337A10D" w14:textId="77777777" w:rsidR="007776C9" w:rsidRDefault="007776C9" w:rsidP="001C73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8046874"/>
      <w:docPartObj>
        <w:docPartGallery w:val="Page Numbers (Bottom of Page)"/>
        <w:docPartUnique/>
      </w:docPartObj>
    </w:sdtPr>
    <w:sdtEndPr>
      <w:rPr>
        <w:noProof/>
      </w:rPr>
    </w:sdtEndPr>
    <w:sdtContent>
      <w:p w14:paraId="6BAEFCA6" w14:textId="572B0DA1" w:rsidR="003336DA" w:rsidRDefault="003336DA">
        <w:pPr>
          <w:pStyle w:val="Footer"/>
          <w:jc w:val="right"/>
        </w:pPr>
        <w:r>
          <w:fldChar w:fldCharType="begin"/>
        </w:r>
        <w:r>
          <w:instrText xml:space="preserve"> PAGE   \* MERGEFORMAT </w:instrText>
        </w:r>
        <w:r>
          <w:fldChar w:fldCharType="separate"/>
        </w:r>
        <w:r w:rsidR="004D78DF">
          <w:rPr>
            <w:noProof/>
          </w:rPr>
          <w:t>0</w:t>
        </w:r>
        <w:r>
          <w:rPr>
            <w:noProof/>
          </w:rPr>
          <w:fldChar w:fldCharType="end"/>
        </w:r>
      </w:p>
    </w:sdtContent>
  </w:sdt>
  <w:p w14:paraId="091B88BD" w14:textId="77777777" w:rsidR="003336DA" w:rsidRDefault="003336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570E9" w14:textId="77777777" w:rsidR="007776C9" w:rsidRDefault="007776C9" w:rsidP="001C736E">
      <w:pPr>
        <w:spacing w:line="240" w:lineRule="auto"/>
      </w:pPr>
      <w:r>
        <w:separator/>
      </w:r>
    </w:p>
  </w:footnote>
  <w:footnote w:type="continuationSeparator" w:id="0">
    <w:p w14:paraId="5153EB2A" w14:textId="77777777" w:rsidR="007776C9" w:rsidRDefault="007776C9" w:rsidP="001C736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8EB"/>
    <w:rsid w:val="000A41B9"/>
    <w:rsid w:val="000A77EB"/>
    <w:rsid w:val="001240B7"/>
    <w:rsid w:val="001C0ED6"/>
    <w:rsid w:val="001C736E"/>
    <w:rsid w:val="002440B9"/>
    <w:rsid w:val="002877B5"/>
    <w:rsid w:val="002A6BFA"/>
    <w:rsid w:val="002E647C"/>
    <w:rsid w:val="002F6FB3"/>
    <w:rsid w:val="003126B5"/>
    <w:rsid w:val="003336DA"/>
    <w:rsid w:val="00356727"/>
    <w:rsid w:val="003D1375"/>
    <w:rsid w:val="003D514E"/>
    <w:rsid w:val="00426B9A"/>
    <w:rsid w:val="0043544E"/>
    <w:rsid w:val="00473696"/>
    <w:rsid w:val="004D78DF"/>
    <w:rsid w:val="0059413D"/>
    <w:rsid w:val="00621429"/>
    <w:rsid w:val="00714F9F"/>
    <w:rsid w:val="0071563A"/>
    <w:rsid w:val="007400EC"/>
    <w:rsid w:val="007776C9"/>
    <w:rsid w:val="0078703F"/>
    <w:rsid w:val="00806853"/>
    <w:rsid w:val="00901941"/>
    <w:rsid w:val="00935CB4"/>
    <w:rsid w:val="009E5BB9"/>
    <w:rsid w:val="00A47252"/>
    <w:rsid w:val="00AB4518"/>
    <w:rsid w:val="00AB465C"/>
    <w:rsid w:val="00B879DB"/>
    <w:rsid w:val="00D425C6"/>
    <w:rsid w:val="00D57914"/>
    <w:rsid w:val="00DE58EB"/>
    <w:rsid w:val="00DE6ED2"/>
    <w:rsid w:val="00E44339"/>
    <w:rsid w:val="00E63A3A"/>
    <w:rsid w:val="00E775A3"/>
    <w:rsid w:val="00F30477"/>
    <w:rsid w:val="00F53E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44339"/>
    <w:pPr>
      <w:spacing w:line="360" w:lineRule="auto"/>
      <w:jc w:val="both"/>
      <w:outlineLvl w:val="0"/>
    </w:pPr>
    <w:rPr>
      <w:rFonts w:ascii="Times New Roman" w:eastAsia="Times New Roman" w:hAnsi="Times New Roman" w:cs="Times New Roman"/>
      <w:b/>
      <w:color w:val="0E101A"/>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C736E"/>
    <w:pPr>
      <w:tabs>
        <w:tab w:val="center" w:pos="4680"/>
        <w:tab w:val="right" w:pos="9360"/>
      </w:tabs>
      <w:spacing w:line="240" w:lineRule="auto"/>
    </w:pPr>
  </w:style>
  <w:style w:type="character" w:customStyle="1" w:styleId="HeaderChar">
    <w:name w:val="Header Char"/>
    <w:basedOn w:val="DefaultParagraphFont"/>
    <w:link w:val="Header"/>
    <w:uiPriority w:val="99"/>
    <w:rsid w:val="001C736E"/>
  </w:style>
  <w:style w:type="paragraph" w:styleId="Footer">
    <w:name w:val="footer"/>
    <w:basedOn w:val="Normal"/>
    <w:link w:val="FooterChar"/>
    <w:uiPriority w:val="99"/>
    <w:unhideWhenUsed/>
    <w:rsid w:val="001C736E"/>
    <w:pPr>
      <w:tabs>
        <w:tab w:val="center" w:pos="4680"/>
        <w:tab w:val="right" w:pos="9360"/>
      </w:tabs>
      <w:spacing w:line="240" w:lineRule="auto"/>
    </w:pPr>
  </w:style>
  <w:style w:type="character" w:customStyle="1" w:styleId="FooterChar">
    <w:name w:val="Footer Char"/>
    <w:basedOn w:val="DefaultParagraphFont"/>
    <w:link w:val="Footer"/>
    <w:uiPriority w:val="99"/>
    <w:rsid w:val="001C736E"/>
  </w:style>
  <w:style w:type="paragraph" w:styleId="ListParagraph">
    <w:name w:val="List Paragraph"/>
    <w:basedOn w:val="Normal"/>
    <w:uiPriority w:val="34"/>
    <w:qFormat/>
    <w:rsid w:val="001C736E"/>
    <w:pPr>
      <w:ind w:left="720"/>
      <w:contextualSpacing/>
    </w:pPr>
  </w:style>
  <w:style w:type="paragraph" w:customStyle="1" w:styleId="Default">
    <w:name w:val="Default"/>
    <w:rsid w:val="002877B5"/>
    <w:pPr>
      <w:autoSpaceDE w:val="0"/>
      <w:autoSpaceDN w:val="0"/>
      <w:adjustRightInd w:val="0"/>
      <w:spacing w:line="240" w:lineRule="auto"/>
    </w:pPr>
    <w:rPr>
      <w:color w:val="000000"/>
      <w:sz w:val="24"/>
      <w:szCs w:val="24"/>
    </w:rPr>
  </w:style>
  <w:style w:type="paragraph" w:styleId="TOC1">
    <w:name w:val="toc 1"/>
    <w:basedOn w:val="Normal"/>
    <w:next w:val="Normal"/>
    <w:autoRedefine/>
    <w:uiPriority w:val="39"/>
    <w:unhideWhenUsed/>
    <w:rsid w:val="00E44339"/>
    <w:pPr>
      <w:spacing w:after="100"/>
    </w:pPr>
  </w:style>
  <w:style w:type="character" w:styleId="Hyperlink">
    <w:name w:val="Hyperlink"/>
    <w:basedOn w:val="DefaultParagraphFont"/>
    <w:uiPriority w:val="99"/>
    <w:unhideWhenUsed/>
    <w:rsid w:val="00E4433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4128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4629CC-EB05-4EEB-AB2E-E8516F18B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3104</Words>
  <Characters>17699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2021-08-30T23:50:00Z</dcterms:created>
  <dcterms:modified xsi:type="dcterms:W3CDTF">2021-08-30T23:50:00Z</dcterms:modified>
</cp:coreProperties>
</file>