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7D6C" w:rsidRDefault="00811EC8" w:rsidP="00811EC8">
      <w:pPr>
        <w:jc w:val="center"/>
        <w:rPr>
          <w:rFonts w:ascii="Times New Roman" w:hAnsi="Times New Roman" w:cs="Times New Roman"/>
          <w:b/>
          <w:sz w:val="32"/>
          <w:u w:val="single"/>
        </w:rPr>
      </w:pPr>
      <w:r>
        <w:rPr>
          <w:rFonts w:ascii="Times New Roman" w:hAnsi="Times New Roman" w:cs="Times New Roman"/>
          <w:b/>
          <w:sz w:val="28"/>
          <w:u w:val="single"/>
        </w:rPr>
        <w:t>Herodotus 5.51 Gobbet</w:t>
      </w:r>
    </w:p>
    <w:p w:rsidR="00811EC8" w:rsidRDefault="00811EC8" w:rsidP="00811EC8">
      <w:pPr>
        <w:jc w:val="center"/>
        <w:rPr>
          <w:rFonts w:ascii="Times New Roman" w:hAnsi="Times New Roman" w:cs="Times New Roman"/>
          <w:b/>
          <w:sz w:val="32"/>
          <w:u w:val="single"/>
        </w:rPr>
      </w:pPr>
    </w:p>
    <w:p w:rsidR="00811EC8" w:rsidRDefault="00A74F87" w:rsidP="00811EC8">
      <w:pPr>
        <w:rPr>
          <w:rFonts w:ascii="Times New Roman" w:hAnsi="Times New Roman" w:cs="Times New Roman"/>
          <w:sz w:val="24"/>
        </w:rPr>
      </w:pPr>
      <w:r>
        <w:rPr>
          <w:rFonts w:ascii="Times New Roman" w:hAnsi="Times New Roman" w:cs="Times New Roman"/>
          <w:sz w:val="24"/>
        </w:rPr>
        <w:t>Herodotus 5.51 continues from the subject that began in Herodotus 5.49, which centres around the encounter between the Milesian tyrant Aristagoras and Cleomenes, the Spartan king.</w:t>
      </w:r>
      <w:r w:rsidR="00935DDB">
        <w:rPr>
          <w:rFonts w:ascii="Times New Roman" w:hAnsi="Times New Roman" w:cs="Times New Roman"/>
          <w:sz w:val="24"/>
        </w:rPr>
        <w:t xml:space="preserve"> This encounter is for the purpose of Aristagoras seeking military aid from the Spartan king for the Ionian revolt</w:t>
      </w:r>
      <w:r w:rsidR="00647B06">
        <w:rPr>
          <w:rFonts w:ascii="Times New Roman" w:hAnsi="Times New Roman" w:cs="Times New Roman"/>
          <w:sz w:val="24"/>
        </w:rPr>
        <w:t>. Herodotus 5.51, however, is primarily about Aristagoras begging Cleomenes to listen to him, and pleading for his aid, offering large sums of talents. With this encounter ending due to the counsel of Cleomenes’ daughter, stating, “Father, the stranger will corrupt you, unless you leave him and go away” (Herodotus 5.51).</w:t>
      </w:r>
    </w:p>
    <w:p w:rsidR="007C0856" w:rsidRDefault="001C066A">
      <w:pPr>
        <w:rPr>
          <w:rFonts w:ascii="Times New Roman" w:hAnsi="Times New Roman" w:cs="Times New Roman"/>
          <w:sz w:val="24"/>
        </w:rPr>
      </w:pPr>
      <w:r>
        <w:rPr>
          <w:rFonts w:ascii="Times New Roman" w:hAnsi="Times New Roman" w:cs="Times New Roman"/>
          <w:sz w:val="24"/>
        </w:rPr>
        <w:t>Herodotus is considered to be the world’s first historian, ‘in the proper sense’ (</w:t>
      </w:r>
      <w:r w:rsidR="00AC1660" w:rsidRPr="00AC1660">
        <w:rPr>
          <w:rFonts w:ascii="Times New Roman" w:hAnsi="Times New Roman" w:cs="Times New Roman"/>
          <w:sz w:val="24"/>
        </w:rPr>
        <w:t>Croix</w:t>
      </w:r>
      <w:r w:rsidR="00AC1660">
        <w:rPr>
          <w:rFonts w:ascii="Times New Roman" w:hAnsi="Times New Roman" w:cs="Times New Roman"/>
          <w:sz w:val="24"/>
        </w:rPr>
        <w:t>, 1977, pp. 130).</w:t>
      </w:r>
      <w:r w:rsidR="005D70D2">
        <w:rPr>
          <w:rFonts w:ascii="Times New Roman" w:hAnsi="Times New Roman" w:cs="Times New Roman"/>
          <w:sz w:val="24"/>
        </w:rPr>
        <w:t xml:space="preserve"> Herodotus’ work is surrounded by suspicion and doubt, largely due to the often fantastical nature of his writings, leading to much uncertainty about the accuracy of his histories. Herodotus is, however, considered to have used effective and useful research methodologies. Much of his research coming from his travels and first-hand accounts from those that he spoke to.</w:t>
      </w:r>
      <w:r w:rsidR="00F71374">
        <w:rPr>
          <w:rFonts w:ascii="Times New Roman" w:hAnsi="Times New Roman" w:cs="Times New Roman"/>
          <w:sz w:val="24"/>
        </w:rPr>
        <w:t xml:space="preserve"> A big question into his work, however, is that of moral didacticism, with many scholars separated into two separate groups on the thought, with the one group of ‘those who are content to see some moral aspect to the Histories, and those who apparently believe that admitting such an aspect to the work denies it the title of history’ (Hau, L. 2016, pp. 172).</w:t>
      </w:r>
    </w:p>
    <w:p w:rsidR="0013616C" w:rsidRDefault="007C0856">
      <w:pPr>
        <w:rPr>
          <w:rFonts w:ascii="Times New Roman" w:hAnsi="Times New Roman" w:cs="Times New Roman"/>
          <w:sz w:val="24"/>
        </w:rPr>
      </w:pPr>
      <w:r>
        <w:rPr>
          <w:rFonts w:ascii="Times New Roman" w:hAnsi="Times New Roman" w:cs="Times New Roman"/>
          <w:sz w:val="24"/>
        </w:rPr>
        <w:t>What we can learn from Herodotus about Cleomenes and his reign is in effect very little, as the account given by Herodotus about Cleomenes is ‘very far from being a systematic account of his reign’ (Cawkwell, G. 1993, pp. 506).</w:t>
      </w:r>
      <w:r w:rsidR="00894902">
        <w:rPr>
          <w:rFonts w:ascii="Times New Roman" w:hAnsi="Times New Roman" w:cs="Times New Roman"/>
          <w:sz w:val="24"/>
        </w:rPr>
        <w:t xml:space="preserve"> One example of this, given by George L. Cawkwell is on the subject of Cleomenes’ madness and the reasons behind it, ‘in accounting for his madness he gives the Spartan version, that it was caused by excessive potation with hard drinking Scyths who came to Sparta to propose a joint attack on Persia’ (Cawkwell, G. 1993, pp. 506).</w:t>
      </w:r>
      <w:r w:rsidR="00067D8E">
        <w:rPr>
          <w:rFonts w:ascii="Times New Roman" w:hAnsi="Times New Roman" w:cs="Times New Roman"/>
          <w:sz w:val="24"/>
        </w:rPr>
        <w:t xml:space="preserve"> </w:t>
      </w:r>
      <w:r w:rsidR="00382E75">
        <w:rPr>
          <w:rFonts w:ascii="Times New Roman" w:hAnsi="Times New Roman" w:cs="Times New Roman"/>
          <w:sz w:val="24"/>
        </w:rPr>
        <w:t>Herodotus leaves out much of the important detail in much of his Histories, ‘He does not give an account of how the embassy was received or indeed the precise circumstances of it’s coming, and we are left guessing about almost everything including Cleomenes’ part in the affair’ (Cawkwell, G. 1993, pp. 506-527).</w:t>
      </w:r>
    </w:p>
    <w:p w:rsidR="00583F46" w:rsidRDefault="0013616C">
      <w:pPr>
        <w:rPr>
          <w:rFonts w:ascii="Times New Roman" w:hAnsi="Times New Roman" w:cs="Times New Roman"/>
          <w:sz w:val="24"/>
        </w:rPr>
      </w:pPr>
      <w:r>
        <w:rPr>
          <w:rFonts w:ascii="Times New Roman" w:hAnsi="Times New Roman" w:cs="Times New Roman"/>
          <w:sz w:val="24"/>
        </w:rPr>
        <w:t xml:space="preserve">Much of the themes revolving around Herodotus 5.51 is of the Ionian revolt, being unsuccessfully led by the tyrant Aristagoras. </w:t>
      </w:r>
      <w:r w:rsidR="00C02DF2">
        <w:rPr>
          <w:rFonts w:ascii="Times New Roman" w:hAnsi="Times New Roman" w:cs="Times New Roman"/>
          <w:sz w:val="24"/>
        </w:rPr>
        <w:t xml:space="preserve">It is clear to see that the Ionian revolt was a failure largely </w:t>
      </w:r>
      <w:r w:rsidR="00C863B0">
        <w:rPr>
          <w:rFonts w:ascii="Times New Roman" w:hAnsi="Times New Roman" w:cs="Times New Roman"/>
          <w:sz w:val="24"/>
        </w:rPr>
        <w:t>due to the fact that they were unable to obtain enough support for their revolt to have been successful, ‘Athens, petitioned by Aristagoras, and Eretria supplied limited support for the revolt’ (Manville, P. B. 1977, pp. 80).</w:t>
      </w:r>
      <w:r w:rsidR="0022050A">
        <w:rPr>
          <w:rFonts w:ascii="Times New Roman" w:hAnsi="Times New Roman" w:cs="Times New Roman"/>
          <w:sz w:val="24"/>
        </w:rPr>
        <w:t xml:space="preserve"> The decision made by Cleomenes to not support Aristagoras’s cause in the Ionian revolt appears to have been, according to Jakob Larsen, due largely to the setback in prestige that Cleomenes himself along with Sparta had received, ‘the appeal of Aristagoras came at a time when the prestige of Cleomenes, and with him that of Sparta, had suffered a setback from which it was not to recover before several years had passed’ (Larsen, J. 1932, pp. 139).</w:t>
      </w:r>
      <w:r w:rsidR="00230266">
        <w:rPr>
          <w:rFonts w:ascii="Times New Roman" w:hAnsi="Times New Roman" w:cs="Times New Roman"/>
          <w:sz w:val="24"/>
        </w:rPr>
        <w:t xml:space="preserve"> This setback had come from Cleomenes’ attempts to interfere with the affairs of Athens and his failure to do so, ‘The loss of prestige was due to the humiliation suffered by Cleomenes when he attempted to interfere in the internal affairs of Athens and to the failure of his subsequent plans for military intervention’ (Larsen, J. 1932, pp. 139).</w:t>
      </w:r>
      <w:r w:rsidR="00413774">
        <w:rPr>
          <w:rFonts w:ascii="Times New Roman" w:hAnsi="Times New Roman" w:cs="Times New Roman"/>
          <w:sz w:val="24"/>
        </w:rPr>
        <w:t xml:space="preserve"> This resulted in Cleomenes’ decision to ultimately turn down </w:t>
      </w:r>
      <w:r w:rsidR="00413774">
        <w:rPr>
          <w:rFonts w:ascii="Times New Roman" w:hAnsi="Times New Roman" w:cs="Times New Roman"/>
          <w:sz w:val="24"/>
        </w:rPr>
        <w:lastRenderedPageBreak/>
        <w:t>Aristagoras’ request, as it is believed that Sparta’s position was very shaken and could not embark on any adventurous foreign policy, ‘the position of Sparta may well have been so shaken that if she had embarked on any adventurous foreign policy, she would have met with opposition even in the Peloponnesus’ (Larsen, J. 1932, pp. 139).</w:t>
      </w:r>
    </w:p>
    <w:p w:rsidR="00F40C23" w:rsidRDefault="00583F46">
      <w:pPr>
        <w:rPr>
          <w:rFonts w:ascii="Times New Roman" w:hAnsi="Times New Roman" w:cs="Times New Roman"/>
          <w:sz w:val="24"/>
        </w:rPr>
      </w:pPr>
      <w:r>
        <w:rPr>
          <w:rFonts w:ascii="Times New Roman" w:hAnsi="Times New Roman" w:cs="Times New Roman"/>
          <w:sz w:val="24"/>
        </w:rPr>
        <w:t>This chapter from Herodotus’ Histories is centred on the Ionian revolt and Aristagoras’ plea to Cleomenes for aid in the revolt. Much of this encounters reliability as a source, however, can come into question due to Herodotus, as he often contrasted and compared himself to Aristagoras, eventually leading to Aristagoras eventually taking on many of the characteristics of Herodotus himself.</w:t>
      </w:r>
      <w:bookmarkStart w:id="0" w:name="_GoBack"/>
      <w:bookmarkEnd w:id="0"/>
      <w:r w:rsidR="00F40C23">
        <w:rPr>
          <w:rFonts w:ascii="Times New Roman" w:hAnsi="Times New Roman" w:cs="Times New Roman"/>
          <w:sz w:val="24"/>
        </w:rPr>
        <w:br w:type="page"/>
      </w:r>
    </w:p>
    <w:p w:rsidR="00F40C23" w:rsidRDefault="00F40C23" w:rsidP="00F40C23">
      <w:pPr>
        <w:jc w:val="center"/>
        <w:rPr>
          <w:rFonts w:ascii="Times New Roman" w:hAnsi="Times New Roman" w:cs="Times New Roman"/>
          <w:b/>
          <w:sz w:val="32"/>
          <w:u w:val="single"/>
        </w:rPr>
      </w:pPr>
      <w:r w:rsidRPr="00F40C23">
        <w:rPr>
          <w:rFonts w:ascii="Times New Roman" w:hAnsi="Times New Roman" w:cs="Times New Roman"/>
          <w:b/>
          <w:sz w:val="32"/>
          <w:u w:val="single"/>
        </w:rPr>
        <w:lastRenderedPageBreak/>
        <w:t>Bibliography</w:t>
      </w:r>
    </w:p>
    <w:p w:rsidR="00F40C23" w:rsidRDefault="00F40C23" w:rsidP="00F40C23">
      <w:pPr>
        <w:jc w:val="center"/>
        <w:rPr>
          <w:rFonts w:ascii="Times New Roman" w:hAnsi="Times New Roman" w:cs="Times New Roman"/>
          <w:b/>
          <w:sz w:val="32"/>
          <w:u w:val="single"/>
        </w:rPr>
      </w:pPr>
    </w:p>
    <w:p w:rsidR="00F40C23" w:rsidRDefault="00F40C23" w:rsidP="00F40C23">
      <w:pPr>
        <w:rPr>
          <w:rFonts w:ascii="Times New Roman" w:hAnsi="Times New Roman" w:cs="Times New Roman"/>
          <w:sz w:val="24"/>
        </w:rPr>
      </w:pPr>
      <w:r w:rsidRPr="00F40C23">
        <w:rPr>
          <w:rFonts w:ascii="Times New Roman" w:hAnsi="Times New Roman" w:cs="Times New Roman"/>
          <w:sz w:val="24"/>
        </w:rPr>
        <w:t>Herodotus, with an English translation by A. D. Godley. Cambridge. Harvard University Press. 1920.</w:t>
      </w:r>
    </w:p>
    <w:p w:rsidR="00F40C23" w:rsidRDefault="00F40C23" w:rsidP="00F40C23">
      <w:pPr>
        <w:rPr>
          <w:rFonts w:ascii="Times New Roman" w:hAnsi="Times New Roman" w:cs="Times New Roman"/>
          <w:sz w:val="24"/>
        </w:rPr>
      </w:pPr>
      <w:r w:rsidRPr="00F40C23">
        <w:rPr>
          <w:rFonts w:ascii="Times New Roman" w:hAnsi="Times New Roman" w:cs="Times New Roman"/>
          <w:sz w:val="24"/>
        </w:rPr>
        <w:t xml:space="preserve">Branscome, David. “Herodotus and the Map of Aristagoras.” Classical Antiquity, vol. 29, no. 1, 2010, pp. 1–44. JSTOR, </w:t>
      </w:r>
      <w:hyperlink r:id="rId4" w:history="1">
        <w:r w:rsidRPr="00946F18">
          <w:rPr>
            <w:rStyle w:val="Hyperlink"/>
            <w:rFonts w:ascii="Times New Roman" w:hAnsi="Times New Roman" w:cs="Times New Roman"/>
            <w:sz w:val="24"/>
          </w:rPr>
          <w:t>www.jstor.org/stable/10.1525/ca.2010.29.1.1</w:t>
        </w:r>
      </w:hyperlink>
      <w:r w:rsidRPr="00F40C23">
        <w:rPr>
          <w:rFonts w:ascii="Times New Roman" w:hAnsi="Times New Roman" w:cs="Times New Roman"/>
          <w:sz w:val="24"/>
        </w:rPr>
        <w:t>.</w:t>
      </w:r>
    </w:p>
    <w:p w:rsidR="00F40C23" w:rsidRDefault="00F40C23" w:rsidP="00F40C23">
      <w:pPr>
        <w:rPr>
          <w:rFonts w:ascii="Times New Roman" w:hAnsi="Times New Roman" w:cs="Times New Roman"/>
          <w:sz w:val="24"/>
        </w:rPr>
      </w:pPr>
      <w:r w:rsidRPr="00F40C23">
        <w:rPr>
          <w:rFonts w:ascii="Times New Roman" w:hAnsi="Times New Roman" w:cs="Times New Roman"/>
          <w:sz w:val="24"/>
        </w:rPr>
        <w:t xml:space="preserve">“Herodotus.” Moral History from Herodotus to Diodorus Siculus, by Lisa Irene Hau, Edinburgh University Press, Edinburgh, 2016, pp. 172–193. JSTOR, </w:t>
      </w:r>
      <w:hyperlink r:id="rId5" w:history="1">
        <w:r w:rsidRPr="00946F18">
          <w:rPr>
            <w:rStyle w:val="Hyperlink"/>
            <w:rFonts w:ascii="Times New Roman" w:hAnsi="Times New Roman" w:cs="Times New Roman"/>
            <w:sz w:val="24"/>
          </w:rPr>
          <w:t>www.jstor.org/stable/10.3366/j.ctt1bh2hwv.9</w:t>
        </w:r>
      </w:hyperlink>
      <w:r w:rsidRPr="00F40C23">
        <w:rPr>
          <w:rFonts w:ascii="Times New Roman" w:hAnsi="Times New Roman" w:cs="Times New Roman"/>
          <w:sz w:val="24"/>
        </w:rPr>
        <w:t>.</w:t>
      </w:r>
    </w:p>
    <w:p w:rsidR="00F40C23" w:rsidRDefault="00F40C23" w:rsidP="00F40C23">
      <w:pPr>
        <w:rPr>
          <w:rFonts w:ascii="Times New Roman" w:hAnsi="Times New Roman" w:cs="Times New Roman"/>
          <w:sz w:val="24"/>
        </w:rPr>
      </w:pPr>
      <w:r w:rsidRPr="00F40C23">
        <w:rPr>
          <w:rFonts w:ascii="Times New Roman" w:hAnsi="Times New Roman" w:cs="Times New Roman"/>
          <w:sz w:val="24"/>
        </w:rPr>
        <w:t xml:space="preserve">George L. Cawkwell. “Cleomenes.” Mnemosyne, vol. 46, no. 4, 1993, pp. 506–527. JSTOR, </w:t>
      </w:r>
      <w:hyperlink r:id="rId6" w:history="1">
        <w:r w:rsidRPr="00946F18">
          <w:rPr>
            <w:rStyle w:val="Hyperlink"/>
            <w:rFonts w:ascii="Times New Roman" w:hAnsi="Times New Roman" w:cs="Times New Roman"/>
            <w:sz w:val="24"/>
          </w:rPr>
          <w:t>www.jstor.org/stable/4432294</w:t>
        </w:r>
      </w:hyperlink>
      <w:r w:rsidRPr="00F40C23">
        <w:rPr>
          <w:rFonts w:ascii="Times New Roman" w:hAnsi="Times New Roman" w:cs="Times New Roman"/>
          <w:sz w:val="24"/>
        </w:rPr>
        <w:t>.</w:t>
      </w:r>
    </w:p>
    <w:p w:rsidR="00F40C23" w:rsidRDefault="00F40C23" w:rsidP="00F40C23">
      <w:pPr>
        <w:rPr>
          <w:rFonts w:ascii="Times New Roman" w:hAnsi="Times New Roman" w:cs="Times New Roman"/>
          <w:sz w:val="24"/>
        </w:rPr>
      </w:pPr>
      <w:r w:rsidRPr="00F40C23">
        <w:rPr>
          <w:rFonts w:ascii="Times New Roman" w:hAnsi="Times New Roman" w:cs="Times New Roman"/>
          <w:sz w:val="24"/>
        </w:rPr>
        <w:t xml:space="preserve">Evans, J. A. S. “Herodotus and the Ionian Revolt.” Historia: Zeitschrift Für Alte Geschichte, vol. 25, no. 1, 1976, pp. 31–37. JSTOR, </w:t>
      </w:r>
      <w:hyperlink r:id="rId7" w:history="1">
        <w:r w:rsidR="001C066A" w:rsidRPr="00946F18">
          <w:rPr>
            <w:rStyle w:val="Hyperlink"/>
            <w:rFonts w:ascii="Times New Roman" w:hAnsi="Times New Roman" w:cs="Times New Roman"/>
            <w:sz w:val="24"/>
          </w:rPr>
          <w:t>www.jstor.org/stable/4435483</w:t>
        </w:r>
      </w:hyperlink>
      <w:r w:rsidRPr="00F40C23">
        <w:rPr>
          <w:rFonts w:ascii="Times New Roman" w:hAnsi="Times New Roman" w:cs="Times New Roman"/>
          <w:sz w:val="24"/>
        </w:rPr>
        <w:t>.</w:t>
      </w:r>
    </w:p>
    <w:p w:rsidR="001C066A" w:rsidRDefault="001C066A" w:rsidP="00F40C23">
      <w:pPr>
        <w:rPr>
          <w:rFonts w:ascii="Times New Roman" w:hAnsi="Times New Roman" w:cs="Times New Roman"/>
          <w:sz w:val="24"/>
        </w:rPr>
      </w:pPr>
      <w:r w:rsidRPr="001C066A">
        <w:rPr>
          <w:rFonts w:ascii="Times New Roman" w:hAnsi="Times New Roman" w:cs="Times New Roman"/>
          <w:sz w:val="24"/>
        </w:rPr>
        <w:t xml:space="preserve">“Herodotus.” Moral History from Herodotus to Diodorus Siculus, by Lisa Irene Hau, Edinburgh University Press, Edinburgh, 2016, pp. 172–193. JSTOR, </w:t>
      </w:r>
      <w:hyperlink r:id="rId8" w:history="1">
        <w:r w:rsidRPr="00946F18">
          <w:rPr>
            <w:rStyle w:val="Hyperlink"/>
            <w:rFonts w:ascii="Times New Roman" w:hAnsi="Times New Roman" w:cs="Times New Roman"/>
            <w:sz w:val="24"/>
          </w:rPr>
          <w:t>www.jstor.org/stable/10.3366/j.ctt1bh2hwv.9</w:t>
        </w:r>
      </w:hyperlink>
      <w:r w:rsidRPr="001C066A">
        <w:rPr>
          <w:rFonts w:ascii="Times New Roman" w:hAnsi="Times New Roman" w:cs="Times New Roman"/>
          <w:sz w:val="24"/>
        </w:rPr>
        <w:t>.</w:t>
      </w:r>
    </w:p>
    <w:p w:rsidR="001C066A" w:rsidRDefault="001C066A" w:rsidP="00F40C23">
      <w:pPr>
        <w:rPr>
          <w:rFonts w:ascii="Times New Roman" w:hAnsi="Times New Roman" w:cs="Times New Roman"/>
          <w:sz w:val="24"/>
        </w:rPr>
      </w:pPr>
      <w:r w:rsidRPr="001C066A">
        <w:rPr>
          <w:rFonts w:ascii="Times New Roman" w:hAnsi="Times New Roman" w:cs="Times New Roman"/>
          <w:sz w:val="24"/>
        </w:rPr>
        <w:t xml:space="preserve">G. E. M. De Ste. Croix. “Herodotus.” Greece &amp; Rome, vol. 24, no. 2, 1977, pp. 130–148. JSTOR, </w:t>
      </w:r>
      <w:hyperlink r:id="rId9" w:history="1">
        <w:r w:rsidR="00E02A78" w:rsidRPr="00946F18">
          <w:rPr>
            <w:rStyle w:val="Hyperlink"/>
            <w:rFonts w:ascii="Times New Roman" w:hAnsi="Times New Roman" w:cs="Times New Roman"/>
            <w:sz w:val="24"/>
          </w:rPr>
          <w:t>www.jstor.org/stable/642699</w:t>
        </w:r>
      </w:hyperlink>
      <w:r w:rsidRPr="001C066A">
        <w:rPr>
          <w:rFonts w:ascii="Times New Roman" w:hAnsi="Times New Roman" w:cs="Times New Roman"/>
          <w:sz w:val="24"/>
        </w:rPr>
        <w:t>.</w:t>
      </w:r>
    </w:p>
    <w:p w:rsidR="00E02A78" w:rsidRDefault="00E02A78" w:rsidP="00F40C23">
      <w:pPr>
        <w:rPr>
          <w:rFonts w:ascii="Times New Roman" w:hAnsi="Times New Roman" w:cs="Times New Roman"/>
          <w:sz w:val="24"/>
        </w:rPr>
      </w:pPr>
      <w:r w:rsidRPr="00E02A78">
        <w:rPr>
          <w:rFonts w:ascii="Times New Roman" w:hAnsi="Times New Roman" w:cs="Times New Roman"/>
          <w:sz w:val="24"/>
        </w:rPr>
        <w:t xml:space="preserve">Manville, P. B. “Aristagoras and Histiaios: The Leadership Struggle in the Ionian Revolt.” The Classical Quarterly, vol. 27, no. 1, 1977, pp. 80–91. JSTOR, </w:t>
      </w:r>
      <w:hyperlink r:id="rId10" w:history="1">
        <w:r w:rsidR="00D51CC7" w:rsidRPr="00946F18">
          <w:rPr>
            <w:rStyle w:val="Hyperlink"/>
            <w:rFonts w:ascii="Times New Roman" w:hAnsi="Times New Roman" w:cs="Times New Roman"/>
            <w:sz w:val="24"/>
          </w:rPr>
          <w:t>www.jstor.org/stable/638371</w:t>
        </w:r>
      </w:hyperlink>
      <w:r w:rsidRPr="00E02A78">
        <w:rPr>
          <w:rFonts w:ascii="Times New Roman" w:hAnsi="Times New Roman" w:cs="Times New Roman"/>
          <w:sz w:val="24"/>
        </w:rPr>
        <w:t>.</w:t>
      </w:r>
    </w:p>
    <w:p w:rsidR="00D51CC7" w:rsidRPr="00F40C23" w:rsidRDefault="00D51CC7" w:rsidP="00F40C23">
      <w:pPr>
        <w:rPr>
          <w:rFonts w:ascii="Times New Roman" w:hAnsi="Times New Roman" w:cs="Times New Roman"/>
          <w:sz w:val="24"/>
        </w:rPr>
      </w:pPr>
      <w:r w:rsidRPr="00D51CC7">
        <w:rPr>
          <w:rFonts w:ascii="Times New Roman" w:hAnsi="Times New Roman" w:cs="Times New Roman"/>
          <w:sz w:val="24"/>
        </w:rPr>
        <w:t>Jakob A. O. Larsen. “Sparta and the Ionian Revolt: A Study of Spartan Foreign Policy and the Genesis of the Peloponnesian League.” Classical Philology, vol. 27, no. 2, 1932, pp. 136–150. JSTOR, www.jstor.org/stable/265322.</w:t>
      </w:r>
    </w:p>
    <w:sectPr w:rsidR="00D51CC7" w:rsidRPr="00F40C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7F8"/>
    <w:rsid w:val="00067D8E"/>
    <w:rsid w:val="0013616C"/>
    <w:rsid w:val="001C066A"/>
    <w:rsid w:val="0022050A"/>
    <w:rsid w:val="00230266"/>
    <w:rsid w:val="00382E75"/>
    <w:rsid w:val="003F23CC"/>
    <w:rsid w:val="00413774"/>
    <w:rsid w:val="00583F46"/>
    <w:rsid w:val="005D70D2"/>
    <w:rsid w:val="00647B06"/>
    <w:rsid w:val="007467F8"/>
    <w:rsid w:val="007C0856"/>
    <w:rsid w:val="00811EC8"/>
    <w:rsid w:val="00894902"/>
    <w:rsid w:val="008A5A65"/>
    <w:rsid w:val="00935DDB"/>
    <w:rsid w:val="00A74F87"/>
    <w:rsid w:val="00AC1660"/>
    <w:rsid w:val="00C02DF2"/>
    <w:rsid w:val="00C57D6C"/>
    <w:rsid w:val="00C863B0"/>
    <w:rsid w:val="00D51CC7"/>
    <w:rsid w:val="00DF1C0C"/>
    <w:rsid w:val="00E02A78"/>
    <w:rsid w:val="00F40C23"/>
    <w:rsid w:val="00F71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DDAB03-5D2B-4189-94C0-CFB070B7E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0C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10.3366/j.ctt1bh2hwv.9" TargetMode="External"/><Relationship Id="rId3" Type="http://schemas.openxmlformats.org/officeDocument/2006/relationships/webSettings" Target="webSettings.xml"/><Relationship Id="rId7" Type="http://schemas.openxmlformats.org/officeDocument/2006/relationships/hyperlink" Target="http://www.jstor.org/stable/4435483"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4432294" TargetMode="External"/><Relationship Id="rId11" Type="http://schemas.openxmlformats.org/officeDocument/2006/relationships/fontTable" Target="fontTable.xml"/><Relationship Id="rId5" Type="http://schemas.openxmlformats.org/officeDocument/2006/relationships/hyperlink" Target="http://www.jstor.org/stable/10.3366/j.ctt1bh2hwv.9" TargetMode="External"/><Relationship Id="rId10" Type="http://schemas.openxmlformats.org/officeDocument/2006/relationships/hyperlink" Target="http://www.jstor.org/stable/638371" TargetMode="External"/><Relationship Id="rId4" Type="http://schemas.openxmlformats.org/officeDocument/2006/relationships/hyperlink" Target="http://www.jstor.org/stable/10.1525/ca.2010.29.1.1" TargetMode="External"/><Relationship Id="rId9" Type="http://schemas.openxmlformats.org/officeDocument/2006/relationships/hyperlink" Target="http://www.jstor.org/stable/6426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3</Pages>
  <Words>929</Words>
  <Characters>5300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Constable (1600782)</dc:creator>
  <cp:keywords/>
  <dc:description/>
  <cp:lastModifiedBy>Harry Constable (1600782)</cp:lastModifiedBy>
  <cp:revision>22</cp:revision>
  <dcterms:created xsi:type="dcterms:W3CDTF">2019-02-25T22:00:00Z</dcterms:created>
  <dcterms:modified xsi:type="dcterms:W3CDTF">2019-02-25T23:51:00Z</dcterms:modified>
</cp:coreProperties>
</file>