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546B50" w14:textId="1C8E85E8" w:rsidR="001653C5" w:rsidRDefault="00D82319" w:rsidP="001653C5">
      <w:pPr>
        <w:pStyle w:val="Heading1"/>
        <w:rPr>
          <w:rFonts w:eastAsia="Times New Roman" w:cs="Times New Roman"/>
          <w:bCs/>
          <w:color w:val="auto"/>
          <w:kern w:val="36"/>
          <w:sz w:val="48"/>
          <w:szCs w:val="48"/>
          <w:lang w:eastAsia="en-GB"/>
          <w14:ligatures w14:val="none"/>
        </w:rPr>
      </w:pPr>
      <w:r>
        <w:rPr>
          <w:rFonts w:eastAsia="Times New Roman" w:cs="Times New Roman"/>
          <w:bCs/>
          <w:noProof/>
          <w:color w:val="auto"/>
          <w:kern w:val="36"/>
          <w:sz w:val="48"/>
          <w:szCs w:val="48"/>
          <w:lang w:eastAsia="en-GB"/>
          <w14:ligatures w14:val="none"/>
        </w:rPr>
        <w:drawing>
          <wp:inline distT="0" distB="0" distL="0" distR="0" wp14:anchorId="4AA7FD02" wp14:editId="700FE533">
            <wp:extent cx="5943600" cy="3299460"/>
            <wp:effectExtent l="133350" t="114300" r="114300" b="148590"/>
            <wp:docPr id="7581857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2994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A5A950" w14:textId="77777777" w:rsidR="001653C5" w:rsidRDefault="001653C5" w:rsidP="001653C5">
      <w:pPr>
        <w:rPr>
          <w:lang w:eastAsia="en-GB"/>
        </w:rPr>
      </w:pPr>
    </w:p>
    <w:p w14:paraId="155D4652" w14:textId="77777777" w:rsidR="001653C5" w:rsidRDefault="001653C5" w:rsidP="001653C5">
      <w:pPr>
        <w:rPr>
          <w:lang w:eastAsia="en-GB"/>
        </w:rPr>
      </w:pPr>
    </w:p>
    <w:p w14:paraId="365F6C9D" w14:textId="77777777" w:rsidR="001653C5" w:rsidRPr="001653C5" w:rsidRDefault="001653C5" w:rsidP="001653C5">
      <w:pPr>
        <w:rPr>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64"/>
        <w:gridCol w:w="7286"/>
      </w:tblGrid>
      <w:tr w:rsidR="001653C5" w:rsidRPr="00DD3345" w14:paraId="46411794" w14:textId="77777777" w:rsidTr="00CC68FD">
        <w:tc>
          <w:tcPr>
            <w:tcW w:w="1104" w:type="pct"/>
            <w:tcBorders>
              <w:top w:val="single" w:sz="4" w:space="0" w:color="auto"/>
              <w:left w:val="single" w:sz="4" w:space="0" w:color="auto"/>
              <w:bottom w:val="single" w:sz="4" w:space="0" w:color="auto"/>
              <w:right w:val="single" w:sz="4" w:space="0" w:color="auto"/>
            </w:tcBorders>
            <w:hideMark/>
          </w:tcPr>
          <w:p w14:paraId="05D69F0D" w14:textId="77777777" w:rsidR="001653C5" w:rsidRPr="00DD3345" w:rsidRDefault="001653C5" w:rsidP="00CC68FD">
            <w:pPr>
              <w:rPr>
                <w:rFonts w:cs="Times New Roman"/>
                <w:sz w:val="22"/>
              </w:rPr>
            </w:pPr>
            <w:r w:rsidRPr="00DD3345">
              <w:rPr>
                <w:rFonts w:cs="Times New Roman"/>
              </w:rPr>
              <w:t>Module</w:t>
            </w:r>
          </w:p>
        </w:tc>
        <w:tc>
          <w:tcPr>
            <w:tcW w:w="3896" w:type="pct"/>
            <w:tcBorders>
              <w:top w:val="single" w:sz="4" w:space="0" w:color="auto"/>
              <w:left w:val="single" w:sz="4" w:space="0" w:color="auto"/>
              <w:bottom w:val="single" w:sz="4" w:space="0" w:color="auto"/>
              <w:right w:val="single" w:sz="4" w:space="0" w:color="auto"/>
            </w:tcBorders>
          </w:tcPr>
          <w:p w14:paraId="15A06B4D" w14:textId="77777777" w:rsidR="001653C5" w:rsidRPr="00DD3345" w:rsidRDefault="001653C5" w:rsidP="00CC68FD">
            <w:pPr>
              <w:rPr>
                <w:rFonts w:cs="Times New Roman"/>
              </w:rPr>
            </w:pPr>
            <w:r w:rsidRPr="001653C5">
              <w:rPr>
                <w:rFonts w:cs="Times New Roman"/>
              </w:rPr>
              <w:t>Marketing Management</w:t>
            </w:r>
          </w:p>
        </w:tc>
      </w:tr>
      <w:tr w:rsidR="001653C5" w:rsidRPr="00DD3345" w14:paraId="141544AB" w14:textId="77777777" w:rsidTr="00CC68FD">
        <w:tc>
          <w:tcPr>
            <w:tcW w:w="1104" w:type="pct"/>
            <w:tcBorders>
              <w:top w:val="single" w:sz="4" w:space="0" w:color="auto"/>
              <w:left w:val="single" w:sz="4" w:space="0" w:color="auto"/>
              <w:bottom w:val="single" w:sz="4" w:space="0" w:color="auto"/>
              <w:right w:val="single" w:sz="4" w:space="0" w:color="auto"/>
            </w:tcBorders>
            <w:hideMark/>
          </w:tcPr>
          <w:p w14:paraId="4A3261DB" w14:textId="77777777" w:rsidR="001653C5" w:rsidRPr="00DD3345" w:rsidRDefault="001653C5" w:rsidP="00CC68FD">
            <w:pPr>
              <w:rPr>
                <w:rFonts w:cs="Times New Roman"/>
              </w:rPr>
            </w:pPr>
            <w:r w:rsidRPr="00DD3345">
              <w:rPr>
                <w:rFonts w:cs="Times New Roman"/>
              </w:rPr>
              <w:t>Module Code</w:t>
            </w:r>
          </w:p>
        </w:tc>
        <w:tc>
          <w:tcPr>
            <w:tcW w:w="3896" w:type="pct"/>
            <w:tcBorders>
              <w:top w:val="single" w:sz="4" w:space="0" w:color="auto"/>
              <w:left w:val="single" w:sz="4" w:space="0" w:color="auto"/>
              <w:bottom w:val="single" w:sz="4" w:space="0" w:color="auto"/>
              <w:right w:val="single" w:sz="4" w:space="0" w:color="auto"/>
            </w:tcBorders>
          </w:tcPr>
          <w:p w14:paraId="09E0E747" w14:textId="77777777" w:rsidR="001653C5" w:rsidRPr="00DD3345" w:rsidRDefault="001653C5" w:rsidP="00CC68FD">
            <w:pPr>
              <w:rPr>
                <w:rFonts w:cs="Times New Roman"/>
              </w:rPr>
            </w:pPr>
            <w:r w:rsidRPr="001653C5">
              <w:rPr>
                <w:rFonts w:cs="Times New Roman"/>
              </w:rPr>
              <w:t>LCMB7024</w:t>
            </w:r>
          </w:p>
        </w:tc>
      </w:tr>
      <w:tr w:rsidR="001653C5" w:rsidRPr="00DD3345" w14:paraId="1AC67570" w14:textId="77777777" w:rsidTr="00CC68FD">
        <w:tc>
          <w:tcPr>
            <w:tcW w:w="1104" w:type="pct"/>
            <w:tcBorders>
              <w:top w:val="single" w:sz="4" w:space="0" w:color="auto"/>
              <w:left w:val="single" w:sz="4" w:space="0" w:color="auto"/>
              <w:bottom w:val="single" w:sz="4" w:space="0" w:color="auto"/>
              <w:right w:val="single" w:sz="4" w:space="0" w:color="auto"/>
            </w:tcBorders>
            <w:hideMark/>
          </w:tcPr>
          <w:p w14:paraId="0EF81E9A" w14:textId="77777777" w:rsidR="001653C5" w:rsidRPr="00DD3345" w:rsidRDefault="001653C5" w:rsidP="00CC68FD">
            <w:pPr>
              <w:rPr>
                <w:rFonts w:cs="Times New Roman"/>
              </w:rPr>
            </w:pPr>
            <w:r w:rsidRPr="00DD3345">
              <w:rPr>
                <w:rFonts w:cs="Times New Roman"/>
              </w:rPr>
              <w:t xml:space="preserve">Student Name/ ID </w:t>
            </w:r>
          </w:p>
        </w:tc>
        <w:tc>
          <w:tcPr>
            <w:tcW w:w="3896" w:type="pct"/>
            <w:tcBorders>
              <w:top w:val="single" w:sz="4" w:space="0" w:color="auto"/>
              <w:left w:val="single" w:sz="4" w:space="0" w:color="auto"/>
              <w:bottom w:val="single" w:sz="4" w:space="0" w:color="auto"/>
              <w:right w:val="single" w:sz="4" w:space="0" w:color="auto"/>
            </w:tcBorders>
          </w:tcPr>
          <w:p w14:paraId="5FBAC28D" w14:textId="5B338D23" w:rsidR="001653C5" w:rsidRPr="00DD3345" w:rsidRDefault="00D82319" w:rsidP="00CC68FD">
            <w:pPr>
              <w:rPr>
                <w:rFonts w:cs="Times New Roman"/>
              </w:rPr>
            </w:pPr>
            <w:r>
              <w:rPr>
                <w:rFonts w:cs="Times New Roman"/>
              </w:rPr>
              <w:t>Kishan Sangani / 2527211</w:t>
            </w:r>
          </w:p>
        </w:tc>
      </w:tr>
      <w:tr w:rsidR="001653C5" w:rsidRPr="00DD3345" w14:paraId="342F95ED" w14:textId="77777777" w:rsidTr="00CC68FD">
        <w:tc>
          <w:tcPr>
            <w:tcW w:w="1104" w:type="pct"/>
            <w:tcBorders>
              <w:top w:val="single" w:sz="4" w:space="0" w:color="auto"/>
              <w:left w:val="single" w:sz="4" w:space="0" w:color="auto"/>
              <w:bottom w:val="single" w:sz="4" w:space="0" w:color="auto"/>
              <w:right w:val="single" w:sz="4" w:space="0" w:color="auto"/>
            </w:tcBorders>
            <w:hideMark/>
          </w:tcPr>
          <w:p w14:paraId="4A9417D6" w14:textId="77777777" w:rsidR="001653C5" w:rsidRPr="00DD3345" w:rsidRDefault="001653C5" w:rsidP="00CC68FD">
            <w:pPr>
              <w:rPr>
                <w:rFonts w:cs="Times New Roman"/>
              </w:rPr>
            </w:pPr>
            <w:r w:rsidRPr="00DD3345">
              <w:rPr>
                <w:rFonts w:cs="Times New Roman"/>
              </w:rPr>
              <w:t>Assignment Title</w:t>
            </w:r>
          </w:p>
        </w:tc>
        <w:tc>
          <w:tcPr>
            <w:tcW w:w="3896" w:type="pct"/>
            <w:tcBorders>
              <w:top w:val="single" w:sz="4" w:space="0" w:color="auto"/>
              <w:left w:val="single" w:sz="4" w:space="0" w:color="auto"/>
              <w:bottom w:val="single" w:sz="4" w:space="0" w:color="auto"/>
              <w:right w:val="single" w:sz="4" w:space="0" w:color="auto"/>
            </w:tcBorders>
          </w:tcPr>
          <w:p w14:paraId="2E6357E4" w14:textId="77777777" w:rsidR="001653C5" w:rsidRPr="00DD3345" w:rsidRDefault="001653C5" w:rsidP="00CC68FD">
            <w:pPr>
              <w:rPr>
                <w:rFonts w:cs="Times New Roman"/>
              </w:rPr>
            </w:pPr>
            <w:r w:rsidRPr="001653C5">
              <w:rPr>
                <w:rFonts w:cs="Times New Roman"/>
              </w:rPr>
              <w:t>Marketing Environment</w:t>
            </w:r>
            <w:r>
              <w:rPr>
                <w:rFonts w:cs="Times New Roman"/>
              </w:rPr>
              <w:t xml:space="preserve"> </w:t>
            </w:r>
            <w:r w:rsidRPr="001653C5">
              <w:rPr>
                <w:rFonts w:cs="Times New Roman"/>
              </w:rPr>
              <w:t>Analysis</w:t>
            </w:r>
          </w:p>
        </w:tc>
      </w:tr>
      <w:tr w:rsidR="001653C5" w:rsidRPr="00DD3345" w14:paraId="01093796" w14:textId="77777777" w:rsidTr="00CC68FD">
        <w:tc>
          <w:tcPr>
            <w:tcW w:w="1104" w:type="pct"/>
            <w:tcBorders>
              <w:top w:val="single" w:sz="4" w:space="0" w:color="auto"/>
              <w:left w:val="single" w:sz="4" w:space="0" w:color="auto"/>
              <w:bottom w:val="single" w:sz="4" w:space="0" w:color="auto"/>
              <w:right w:val="single" w:sz="4" w:space="0" w:color="auto"/>
            </w:tcBorders>
            <w:hideMark/>
          </w:tcPr>
          <w:p w14:paraId="2097859C" w14:textId="77777777" w:rsidR="001653C5" w:rsidRPr="00DD3345" w:rsidRDefault="001653C5" w:rsidP="00CC68FD">
            <w:pPr>
              <w:rPr>
                <w:rFonts w:cs="Times New Roman"/>
              </w:rPr>
            </w:pPr>
            <w:r w:rsidRPr="00DD3345">
              <w:rPr>
                <w:rFonts w:cs="Times New Roman"/>
              </w:rPr>
              <w:t>Submission Date</w:t>
            </w:r>
          </w:p>
        </w:tc>
        <w:tc>
          <w:tcPr>
            <w:tcW w:w="3896" w:type="pct"/>
            <w:tcBorders>
              <w:top w:val="single" w:sz="4" w:space="0" w:color="auto"/>
              <w:left w:val="single" w:sz="4" w:space="0" w:color="auto"/>
              <w:bottom w:val="single" w:sz="4" w:space="0" w:color="auto"/>
              <w:right w:val="single" w:sz="4" w:space="0" w:color="auto"/>
            </w:tcBorders>
          </w:tcPr>
          <w:p w14:paraId="6FED6359" w14:textId="67C3BFF2" w:rsidR="001653C5" w:rsidRPr="00DD3345" w:rsidRDefault="00D82319" w:rsidP="00CC68FD">
            <w:pPr>
              <w:rPr>
                <w:rFonts w:cs="Times New Roman"/>
              </w:rPr>
            </w:pPr>
            <w:r>
              <w:rPr>
                <w:rFonts w:cs="Times New Roman"/>
              </w:rPr>
              <w:t>21/07/2026</w:t>
            </w:r>
          </w:p>
        </w:tc>
      </w:tr>
    </w:tbl>
    <w:p w14:paraId="59A6187C" w14:textId="77777777" w:rsidR="001653C5" w:rsidRPr="001653C5" w:rsidRDefault="001653C5" w:rsidP="001653C5">
      <w:pPr>
        <w:rPr>
          <w:lang w:eastAsia="en-GB"/>
        </w:rPr>
      </w:pPr>
    </w:p>
    <w:p w14:paraId="54062038" w14:textId="77777777" w:rsidR="001653C5" w:rsidRDefault="001653C5" w:rsidP="001653C5"/>
    <w:p w14:paraId="0A0EDB1D" w14:textId="77777777" w:rsidR="00D200C3" w:rsidRDefault="00D200C3" w:rsidP="001653C5"/>
    <w:p w14:paraId="76F8A80C" w14:textId="77777777" w:rsidR="00D200C3" w:rsidRDefault="00D200C3" w:rsidP="001653C5"/>
    <w:p w14:paraId="3C53BD42" w14:textId="77777777" w:rsidR="00D200C3" w:rsidRDefault="00D200C3" w:rsidP="001653C5"/>
    <w:p w14:paraId="73907234" w14:textId="77777777" w:rsidR="00D200C3" w:rsidRDefault="00D200C3" w:rsidP="001653C5"/>
    <w:p w14:paraId="077A1DF2" w14:textId="77777777" w:rsidR="00D200C3" w:rsidRDefault="00D200C3" w:rsidP="001653C5"/>
    <w:p w14:paraId="72DB7380" w14:textId="77777777" w:rsidR="00D200C3" w:rsidRDefault="00D200C3" w:rsidP="001653C5"/>
    <w:p w14:paraId="67EAE43E" w14:textId="77777777" w:rsidR="00D200C3" w:rsidRDefault="00D200C3" w:rsidP="001653C5"/>
    <w:p w14:paraId="39430A59" w14:textId="77777777" w:rsidR="00D200C3" w:rsidRDefault="00D200C3" w:rsidP="001653C5"/>
    <w:p w14:paraId="5BF0BA6B" w14:textId="77777777" w:rsidR="00D200C3" w:rsidRDefault="00D200C3" w:rsidP="001653C5"/>
    <w:p w14:paraId="3D2C7CA7" w14:textId="77777777" w:rsidR="00D200C3" w:rsidRPr="001653C5" w:rsidRDefault="00D200C3" w:rsidP="001653C5"/>
    <w:sdt>
      <w:sdtPr>
        <w:rPr>
          <w:rFonts w:eastAsiaTheme="minorHAnsi" w:cstheme="minorBidi"/>
          <w:b w:val="0"/>
          <w:caps w:val="0"/>
          <w:color w:val="auto"/>
          <w:sz w:val="24"/>
          <w:szCs w:val="22"/>
          <w:lang w:val="en-GB"/>
        </w:rPr>
        <w:id w:val="700518940"/>
        <w:docPartObj>
          <w:docPartGallery w:val="Table of Contents"/>
          <w:docPartUnique/>
        </w:docPartObj>
      </w:sdtPr>
      <w:sdtEndPr>
        <w:rPr>
          <w:bCs/>
          <w:noProof/>
        </w:rPr>
      </w:sdtEndPr>
      <w:sdtContent>
        <w:p w14:paraId="6EB6EE14" w14:textId="77777777" w:rsidR="00D200C3" w:rsidRDefault="00D200C3">
          <w:pPr>
            <w:pStyle w:val="TOCHeading"/>
          </w:pPr>
          <w:r>
            <w:t>Table of Contents</w:t>
          </w:r>
        </w:p>
        <w:p w14:paraId="7AD8662E" w14:textId="77777777" w:rsidR="00796216" w:rsidRDefault="00D200C3">
          <w:pPr>
            <w:pStyle w:val="TOC1"/>
            <w:tabs>
              <w:tab w:val="right" w:leader="dot" w:pos="9350"/>
            </w:tabs>
            <w:rPr>
              <w:rFonts w:asciiTheme="minorHAnsi" w:eastAsiaTheme="minorEastAsia" w:hAnsiTheme="minorHAnsi"/>
              <w:noProof/>
              <w:kern w:val="0"/>
              <w:sz w:val="22"/>
              <w:lang w:eastAsia="en-GB"/>
              <w14:ligatures w14:val="none"/>
            </w:rPr>
          </w:pPr>
          <w:r>
            <w:fldChar w:fldCharType="begin"/>
          </w:r>
          <w:r>
            <w:instrText xml:space="preserve"> TOC \o "1-3" \h \z \u </w:instrText>
          </w:r>
          <w:r>
            <w:fldChar w:fldCharType="separate"/>
          </w:r>
          <w:hyperlink w:anchor="_Toc235453837" w:history="1">
            <w:r w:rsidR="00796216" w:rsidRPr="00C630E6">
              <w:rPr>
                <w:rStyle w:val="Hyperlink"/>
                <w:noProof/>
              </w:rPr>
              <w:t>INTRODUCTION</w:t>
            </w:r>
            <w:r w:rsidR="00796216">
              <w:rPr>
                <w:noProof/>
                <w:webHidden/>
              </w:rPr>
              <w:tab/>
            </w:r>
            <w:r w:rsidR="00796216">
              <w:rPr>
                <w:noProof/>
                <w:webHidden/>
              </w:rPr>
              <w:fldChar w:fldCharType="begin"/>
            </w:r>
            <w:r w:rsidR="00796216">
              <w:rPr>
                <w:noProof/>
                <w:webHidden/>
              </w:rPr>
              <w:instrText xml:space="preserve"> PAGEREF _Toc235453837 \h </w:instrText>
            </w:r>
            <w:r w:rsidR="00796216">
              <w:rPr>
                <w:noProof/>
                <w:webHidden/>
              </w:rPr>
            </w:r>
            <w:r w:rsidR="00796216">
              <w:rPr>
                <w:noProof/>
                <w:webHidden/>
              </w:rPr>
              <w:fldChar w:fldCharType="separate"/>
            </w:r>
            <w:r w:rsidR="00796216">
              <w:rPr>
                <w:noProof/>
                <w:webHidden/>
              </w:rPr>
              <w:t>3</w:t>
            </w:r>
            <w:r w:rsidR="00796216">
              <w:rPr>
                <w:noProof/>
                <w:webHidden/>
              </w:rPr>
              <w:fldChar w:fldCharType="end"/>
            </w:r>
          </w:hyperlink>
        </w:p>
        <w:p w14:paraId="5AD4E8B9" w14:textId="77777777" w:rsidR="00796216" w:rsidRDefault="00796216">
          <w:pPr>
            <w:pStyle w:val="TOC2"/>
            <w:tabs>
              <w:tab w:val="right" w:leader="dot" w:pos="9350"/>
            </w:tabs>
            <w:rPr>
              <w:rFonts w:asciiTheme="minorHAnsi" w:eastAsiaTheme="minorEastAsia" w:hAnsiTheme="minorHAnsi"/>
              <w:noProof/>
              <w:kern w:val="0"/>
              <w:sz w:val="22"/>
              <w:lang w:eastAsia="en-GB"/>
              <w14:ligatures w14:val="none"/>
            </w:rPr>
          </w:pPr>
          <w:hyperlink w:anchor="_Toc235453838" w:history="1">
            <w:r w:rsidRPr="00C630E6">
              <w:rPr>
                <w:rStyle w:val="Hyperlink"/>
                <w:noProof/>
              </w:rPr>
              <w:t>Task 1: Marketing Environment Analysis</w:t>
            </w:r>
            <w:r>
              <w:rPr>
                <w:noProof/>
                <w:webHidden/>
              </w:rPr>
              <w:tab/>
            </w:r>
            <w:r>
              <w:rPr>
                <w:noProof/>
                <w:webHidden/>
              </w:rPr>
              <w:fldChar w:fldCharType="begin"/>
            </w:r>
            <w:r>
              <w:rPr>
                <w:noProof/>
                <w:webHidden/>
              </w:rPr>
              <w:instrText xml:space="preserve"> PAGEREF _Toc235453838 \h </w:instrText>
            </w:r>
            <w:r>
              <w:rPr>
                <w:noProof/>
                <w:webHidden/>
              </w:rPr>
            </w:r>
            <w:r>
              <w:rPr>
                <w:noProof/>
                <w:webHidden/>
              </w:rPr>
              <w:fldChar w:fldCharType="separate"/>
            </w:r>
            <w:r>
              <w:rPr>
                <w:noProof/>
                <w:webHidden/>
              </w:rPr>
              <w:t>3</w:t>
            </w:r>
            <w:r>
              <w:rPr>
                <w:noProof/>
                <w:webHidden/>
              </w:rPr>
              <w:fldChar w:fldCharType="end"/>
            </w:r>
          </w:hyperlink>
        </w:p>
        <w:p w14:paraId="34F0DE58" w14:textId="77777777" w:rsidR="00796216" w:rsidRDefault="00796216">
          <w:pPr>
            <w:pStyle w:val="TOC3"/>
            <w:tabs>
              <w:tab w:val="right" w:leader="dot" w:pos="9350"/>
            </w:tabs>
            <w:rPr>
              <w:rFonts w:asciiTheme="minorHAnsi" w:eastAsiaTheme="minorEastAsia" w:hAnsiTheme="minorHAnsi"/>
              <w:noProof/>
              <w:kern w:val="0"/>
              <w:sz w:val="22"/>
              <w:lang w:eastAsia="en-GB"/>
              <w14:ligatures w14:val="none"/>
            </w:rPr>
          </w:pPr>
          <w:hyperlink w:anchor="_Toc235453839" w:history="1">
            <w:r w:rsidRPr="00C630E6">
              <w:rPr>
                <w:rStyle w:val="Hyperlink"/>
                <w:noProof/>
              </w:rPr>
              <w:t>1.1 Company Background</w:t>
            </w:r>
            <w:r>
              <w:rPr>
                <w:noProof/>
                <w:webHidden/>
              </w:rPr>
              <w:tab/>
            </w:r>
            <w:r>
              <w:rPr>
                <w:noProof/>
                <w:webHidden/>
              </w:rPr>
              <w:fldChar w:fldCharType="begin"/>
            </w:r>
            <w:r>
              <w:rPr>
                <w:noProof/>
                <w:webHidden/>
              </w:rPr>
              <w:instrText xml:space="preserve"> PAGEREF _Toc235453839 \h </w:instrText>
            </w:r>
            <w:r>
              <w:rPr>
                <w:noProof/>
                <w:webHidden/>
              </w:rPr>
            </w:r>
            <w:r>
              <w:rPr>
                <w:noProof/>
                <w:webHidden/>
              </w:rPr>
              <w:fldChar w:fldCharType="separate"/>
            </w:r>
            <w:r>
              <w:rPr>
                <w:noProof/>
                <w:webHidden/>
              </w:rPr>
              <w:t>3</w:t>
            </w:r>
            <w:r>
              <w:rPr>
                <w:noProof/>
                <w:webHidden/>
              </w:rPr>
              <w:fldChar w:fldCharType="end"/>
            </w:r>
          </w:hyperlink>
        </w:p>
        <w:p w14:paraId="178EA758" w14:textId="77777777" w:rsidR="00796216" w:rsidRDefault="00796216">
          <w:pPr>
            <w:pStyle w:val="TOC3"/>
            <w:tabs>
              <w:tab w:val="right" w:leader="dot" w:pos="9350"/>
            </w:tabs>
            <w:rPr>
              <w:rFonts w:asciiTheme="minorHAnsi" w:eastAsiaTheme="minorEastAsia" w:hAnsiTheme="minorHAnsi"/>
              <w:noProof/>
              <w:kern w:val="0"/>
              <w:sz w:val="22"/>
              <w:lang w:eastAsia="en-GB"/>
              <w14:ligatures w14:val="none"/>
            </w:rPr>
          </w:pPr>
          <w:hyperlink w:anchor="_Toc235453840" w:history="1">
            <w:r w:rsidRPr="00C630E6">
              <w:rPr>
                <w:rStyle w:val="Hyperlink"/>
                <w:noProof/>
              </w:rPr>
              <w:t>1.2 Marketing Environment Framework</w:t>
            </w:r>
            <w:r>
              <w:rPr>
                <w:noProof/>
                <w:webHidden/>
              </w:rPr>
              <w:tab/>
            </w:r>
            <w:r>
              <w:rPr>
                <w:noProof/>
                <w:webHidden/>
              </w:rPr>
              <w:fldChar w:fldCharType="begin"/>
            </w:r>
            <w:r>
              <w:rPr>
                <w:noProof/>
                <w:webHidden/>
              </w:rPr>
              <w:instrText xml:space="preserve"> PAGEREF _Toc235453840 \h </w:instrText>
            </w:r>
            <w:r>
              <w:rPr>
                <w:noProof/>
                <w:webHidden/>
              </w:rPr>
            </w:r>
            <w:r>
              <w:rPr>
                <w:noProof/>
                <w:webHidden/>
              </w:rPr>
              <w:fldChar w:fldCharType="separate"/>
            </w:r>
            <w:r>
              <w:rPr>
                <w:noProof/>
                <w:webHidden/>
              </w:rPr>
              <w:t>4</w:t>
            </w:r>
            <w:r>
              <w:rPr>
                <w:noProof/>
                <w:webHidden/>
              </w:rPr>
              <w:fldChar w:fldCharType="end"/>
            </w:r>
          </w:hyperlink>
        </w:p>
        <w:p w14:paraId="56B6987C" w14:textId="77777777" w:rsidR="00796216" w:rsidRDefault="00796216">
          <w:pPr>
            <w:pStyle w:val="TOC3"/>
            <w:tabs>
              <w:tab w:val="right" w:leader="dot" w:pos="9350"/>
            </w:tabs>
            <w:rPr>
              <w:rFonts w:asciiTheme="minorHAnsi" w:eastAsiaTheme="minorEastAsia" w:hAnsiTheme="minorHAnsi"/>
              <w:noProof/>
              <w:kern w:val="0"/>
              <w:sz w:val="22"/>
              <w:lang w:eastAsia="en-GB"/>
              <w14:ligatures w14:val="none"/>
            </w:rPr>
          </w:pPr>
          <w:hyperlink w:anchor="_Toc235453841" w:history="1">
            <w:r w:rsidRPr="00C630E6">
              <w:rPr>
                <w:rStyle w:val="Hyperlink"/>
                <w:noProof/>
              </w:rPr>
              <w:t>1.3 External Marketing Environment Actor: Natural Environment</w:t>
            </w:r>
            <w:r>
              <w:rPr>
                <w:noProof/>
                <w:webHidden/>
              </w:rPr>
              <w:tab/>
            </w:r>
            <w:r>
              <w:rPr>
                <w:noProof/>
                <w:webHidden/>
              </w:rPr>
              <w:fldChar w:fldCharType="begin"/>
            </w:r>
            <w:r>
              <w:rPr>
                <w:noProof/>
                <w:webHidden/>
              </w:rPr>
              <w:instrText xml:space="preserve"> PAGEREF _Toc235453841 \h </w:instrText>
            </w:r>
            <w:r>
              <w:rPr>
                <w:noProof/>
                <w:webHidden/>
              </w:rPr>
            </w:r>
            <w:r>
              <w:rPr>
                <w:noProof/>
                <w:webHidden/>
              </w:rPr>
              <w:fldChar w:fldCharType="separate"/>
            </w:r>
            <w:r>
              <w:rPr>
                <w:noProof/>
                <w:webHidden/>
              </w:rPr>
              <w:t>4</w:t>
            </w:r>
            <w:r>
              <w:rPr>
                <w:noProof/>
                <w:webHidden/>
              </w:rPr>
              <w:fldChar w:fldCharType="end"/>
            </w:r>
          </w:hyperlink>
        </w:p>
        <w:p w14:paraId="3604ABC2" w14:textId="77777777" w:rsidR="00796216" w:rsidRDefault="00796216">
          <w:pPr>
            <w:pStyle w:val="TOC3"/>
            <w:tabs>
              <w:tab w:val="right" w:leader="dot" w:pos="9350"/>
            </w:tabs>
            <w:rPr>
              <w:rFonts w:asciiTheme="minorHAnsi" w:eastAsiaTheme="minorEastAsia" w:hAnsiTheme="minorHAnsi"/>
              <w:noProof/>
              <w:kern w:val="0"/>
              <w:sz w:val="22"/>
              <w:lang w:eastAsia="en-GB"/>
              <w14:ligatures w14:val="none"/>
            </w:rPr>
          </w:pPr>
          <w:hyperlink w:anchor="_Toc235453842" w:history="1">
            <w:r w:rsidRPr="00C630E6">
              <w:rPr>
                <w:rStyle w:val="Hyperlink"/>
                <w:noProof/>
              </w:rPr>
              <w:t>1.4 External Marketing Environment Actor: Technological Environment</w:t>
            </w:r>
            <w:r>
              <w:rPr>
                <w:noProof/>
                <w:webHidden/>
              </w:rPr>
              <w:tab/>
            </w:r>
            <w:r>
              <w:rPr>
                <w:noProof/>
                <w:webHidden/>
              </w:rPr>
              <w:fldChar w:fldCharType="begin"/>
            </w:r>
            <w:r>
              <w:rPr>
                <w:noProof/>
                <w:webHidden/>
              </w:rPr>
              <w:instrText xml:space="preserve"> PAGEREF _Toc235453842 \h </w:instrText>
            </w:r>
            <w:r>
              <w:rPr>
                <w:noProof/>
                <w:webHidden/>
              </w:rPr>
            </w:r>
            <w:r>
              <w:rPr>
                <w:noProof/>
                <w:webHidden/>
              </w:rPr>
              <w:fldChar w:fldCharType="separate"/>
            </w:r>
            <w:r>
              <w:rPr>
                <w:noProof/>
                <w:webHidden/>
              </w:rPr>
              <w:t>6</w:t>
            </w:r>
            <w:r>
              <w:rPr>
                <w:noProof/>
                <w:webHidden/>
              </w:rPr>
              <w:fldChar w:fldCharType="end"/>
            </w:r>
          </w:hyperlink>
        </w:p>
        <w:p w14:paraId="6C3DFBBA" w14:textId="77777777" w:rsidR="00796216" w:rsidRDefault="00796216">
          <w:pPr>
            <w:pStyle w:val="TOC2"/>
            <w:tabs>
              <w:tab w:val="right" w:leader="dot" w:pos="9350"/>
            </w:tabs>
            <w:rPr>
              <w:rFonts w:asciiTheme="minorHAnsi" w:eastAsiaTheme="minorEastAsia" w:hAnsiTheme="minorHAnsi"/>
              <w:noProof/>
              <w:kern w:val="0"/>
              <w:sz w:val="22"/>
              <w:lang w:eastAsia="en-GB"/>
              <w14:ligatures w14:val="none"/>
            </w:rPr>
          </w:pPr>
          <w:hyperlink w:anchor="_Toc235453843" w:history="1">
            <w:r w:rsidRPr="00C630E6">
              <w:rPr>
                <w:rStyle w:val="Hyperlink"/>
                <w:noProof/>
              </w:rPr>
              <w:t>Task 2: Strategic Growth and Competitive Positioning</w:t>
            </w:r>
            <w:r>
              <w:rPr>
                <w:noProof/>
                <w:webHidden/>
              </w:rPr>
              <w:tab/>
            </w:r>
            <w:r>
              <w:rPr>
                <w:noProof/>
                <w:webHidden/>
              </w:rPr>
              <w:fldChar w:fldCharType="begin"/>
            </w:r>
            <w:r>
              <w:rPr>
                <w:noProof/>
                <w:webHidden/>
              </w:rPr>
              <w:instrText xml:space="preserve"> PAGEREF _Toc235453843 \h </w:instrText>
            </w:r>
            <w:r>
              <w:rPr>
                <w:noProof/>
                <w:webHidden/>
              </w:rPr>
            </w:r>
            <w:r>
              <w:rPr>
                <w:noProof/>
                <w:webHidden/>
              </w:rPr>
              <w:fldChar w:fldCharType="separate"/>
            </w:r>
            <w:r>
              <w:rPr>
                <w:noProof/>
                <w:webHidden/>
              </w:rPr>
              <w:t>7</w:t>
            </w:r>
            <w:r>
              <w:rPr>
                <w:noProof/>
                <w:webHidden/>
              </w:rPr>
              <w:fldChar w:fldCharType="end"/>
            </w:r>
          </w:hyperlink>
        </w:p>
        <w:p w14:paraId="20EF0F00" w14:textId="77777777" w:rsidR="00796216" w:rsidRDefault="00796216">
          <w:pPr>
            <w:pStyle w:val="TOC3"/>
            <w:tabs>
              <w:tab w:val="right" w:leader="dot" w:pos="9350"/>
            </w:tabs>
            <w:rPr>
              <w:rFonts w:asciiTheme="minorHAnsi" w:eastAsiaTheme="minorEastAsia" w:hAnsiTheme="minorHAnsi"/>
              <w:noProof/>
              <w:kern w:val="0"/>
              <w:sz w:val="22"/>
              <w:lang w:eastAsia="en-GB"/>
              <w14:ligatures w14:val="none"/>
            </w:rPr>
          </w:pPr>
          <w:hyperlink w:anchor="_Toc235453844" w:history="1">
            <w:r w:rsidRPr="00C630E6">
              <w:rPr>
                <w:rStyle w:val="Hyperlink"/>
                <w:noProof/>
              </w:rPr>
              <w:t>2.1 Application of the Ansoff Matrix</w:t>
            </w:r>
            <w:r>
              <w:rPr>
                <w:noProof/>
                <w:webHidden/>
              </w:rPr>
              <w:tab/>
            </w:r>
            <w:r>
              <w:rPr>
                <w:noProof/>
                <w:webHidden/>
              </w:rPr>
              <w:fldChar w:fldCharType="begin"/>
            </w:r>
            <w:r>
              <w:rPr>
                <w:noProof/>
                <w:webHidden/>
              </w:rPr>
              <w:instrText xml:space="preserve"> PAGEREF _Toc235453844 \h </w:instrText>
            </w:r>
            <w:r>
              <w:rPr>
                <w:noProof/>
                <w:webHidden/>
              </w:rPr>
            </w:r>
            <w:r>
              <w:rPr>
                <w:noProof/>
                <w:webHidden/>
              </w:rPr>
              <w:fldChar w:fldCharType="separate"/>
            </w:r>
            <w:r>
              <w:rPr>
                <w:noProof/>
                <w:webHidden/>
              </w:rPr>
              <w:t>7</w:t>
            </w:r>
            <w:r>
              <w:rPr>
                <w:noProof/>
                <w:webHidden/>
              </w:rPr>
              <w:fldChar w:fldCharType="end"/>
            </w:r>
          </w:hyperlink>
        </w:p>
        <w:p w14:paraId="0E1F335E" w14:textId="77777777" w:rsidR="00796216" w:rsidRDefault="00796216">
          <w:pPr>
            <w:pStyle w:val="TOC3"/>
            <w:tabs>
              <w:tab w:val="right" w:leader="dot" w:pos="9350"/>
            </w:tabs>
            <w:rPr>
              <w:rFonts w:asciiTheme="minorHAnsi" w:eastAsiaTheme="minorEastAsia" w:hAnsiTheme="minorHAnsi"/>
              <w:noProof/>
              <w:kern w:val="0"/>
              <w:sz w:val="22"/>
              <w:lang w:eastAsia="en-GB"/>
              <w14:ligatures w14:val="none"/>
            </w:rPr>
          </w:pPr>
          <w:hyperlink w:anchor="_Toc235453845" w:history="1">
            <w:r w:rsidRPr="00C630E6">
              <w:rPr>
                <w:rStyle w:val="Hyperlink"/>
                <w:noProof/>
              </w:rPr>
              <w:t>2.2 Competitive Positioning Using Porter's Generic Strategies</w:t>
            </w:r>
            <w:r>
              <w:rPr>
                <w:noProof/>
                <w:webHidden/>
              </w:rPr>
              <w:tab/>
            </w:r>
            <w:r>
              <w:rPr>
                <w:noProof/>
                <w:webHidden/>
              </w:rPr>
              <w:fldChar w:fldCharType="begin"/>
            </w:r>
            <w:r>
              <w:rPr>
                <w:noProof/>
                <w:webHidden/>
              </w:rPr>
              <w:instrText xml:space="preserve"> PAGEREF _Toc235453845 \h </w:instrText>
            </w:r>
            <w:r>
              <w:rPr>
                <w:noProof/>
                <w:webHidden/>
              </w:rPr>
            </w:r>
            <w:r>
              <w:rPr>
                <w:noProof/>
                <w:webHidden/>
              </w:rPr>
              <w:fldChar w:fldCharType="separate"/>
            </w:r>
            <w:r>
              <w:rPr>
                <w:noProof/>
                <w:webHidden/>
              </w:rPr>
              <w:t>9</w:t>
            </w:r>
            <w:r>
              <w:rPr>
                <w:noProof/>
                <w:webHidden/>
              </w:rPr>
              <w:fldChar w:fldCharType="end"/>
            </w:r>
          </w:hyperlink>
        </w:p>
        <w:p w14:paraId="5E0251BF" w14:textId="77777777" w:rsidR="00796216" w:rsidRDefault="00796216">
          <w:pPr>
            <w:pStyle w:val="TOC3"/>
            <w:tabs>
              <w:tab w:val="right" w:leader="dot" w:pos="9350"/>
            </w:tabs>
            <w:rPr>
              <w:rFonts w:asciiTheme="minorHAnsi" w:eastAsiaTheme="minorEastAsia" w:hAnsiTheme="minorHAnsi"/>
              <w:noProof/>
              <w:kern w:val="0"/>
              <w:sz w:val="22"/>
              <w:lang w:eastAsia="en-GB"/>
              <w14:ligatures w14:val="none"/>
            </w:rPr>
          </w:pPr>
          <w:hyperlink w:anchor="_Toc235453846" w:history="1">
            <w:r w:rsidRPr="00C630E6">
              <w:rPr>
                <w:rStyle w:val="Hyperlink"/>
                <w:noProof/>
              </w:rPr>
              <w:t>2.3 Strategic Recommendations</w:t>
            </w:r>
            <w:r>
              <w:rPr>
                <w:noProof/>
                <w:webHidden/>
              </w:rPr>
              <w:tab/>
            </w:r>
            <w:r>
              <w:rPr>
                <w:noProof/>
                <w:webHidden/>
              </w:rPr>
              <w:fldChar w:fldCharType="begin"/>
            </w:r>
            <w:r>
              <w:rPr>
                <w:noProof/>
                <w:webHidden/>
              </w:rPr>
              <w:instrText xml:space="preserve"> PAGEREF _Toc235453846 \h </w:instrText>
            </w:r>
            <w:r>
              <w:rPr>
                <w:noProof/>
                <w:webHidden/>
              </w:rPr>
            </w:r>
            <w:r>
              <w:rPr>
                <w:noProof/>
                <w:webHidden/>
              </w:rPr>
              <w:fldChar w:fldCharType="separate"/>
            </w:r>
            <w:r>
              <w:rPr>
                <w:noProof/>
                <w:webHidden/>
              </w:rPr>
              <w:t>10</w:t>
            </w:r>
            <w:r>
              <w:rPr>
                <w:noProof/>
                <w:webHidden/>
              </w:rPr>
              <w:fldChar w:fldCharType="end"/>
            </w:r>
          </w:hyperlink>
        </w:p>
        <w:p w14:paraId="1A06F9DC" w14:textId="77777777" w:rsidR="00796216" w:rsidRDefault="00796216">
          <w:pPr>
            <w:pStyle w:val="TOC1"/>
            <w:tabs>
              <w:tab w:val="right" w:leader="dot" w:pos="9350"/>
            </w:tabs>
            <w:rPr>
              <w:rFonts w:asciiTheme="minorHAnsi" w:eastAsiaTheme="minorEastAsia" w:hAnsiTheme="minorHAnsi"/>
              <w:noProof/>
              <w:kern w:val="0"/>
              <w:sz w:val="22"/>
              <w:lang w:eastAsia="en-GB"/>
              <w14:ligatures w14:val="none"/>
            </w:rPr>
          </w:pPr>
          <w:hyperlink w:anchor="_Toc235453847" w:history="1">
            <w:r w:rsidRPr="00C630E6">
              <w:rPr>
                <w:rStyle w:val="Hyperlink"/>
                <w:noProof/>
              </w:rPr>
              <w:t>Task 3: Critical Reflection on AI Use</w:t>
            </w:r>
            <w:r>
              <w:rPr>
                <w:noProof/>
                <w:webHidden/>
              </w:rPr>
              <w:tab/>
            </w:r>
            <w:r>
              <w:rPr>
                <w:noProof/>
                <w:webHidden/>
              </w:rPr>
              <w:fldChar w:fldCharType="begin"/>
            </w:r>
            <w:r>
              <w:rPr>
                <w:noProof/>
                <w:webHidden/>
              </w:rPr>
              <w:instrText xml:space="preserve"> PAGEREF _Toc235453847 \h </w:instrText>
            </w:r>
            <w:r>
              <w:rPr>
                <w:noProof/>
                <w:webHidden/>
              </w:rPr>
            </w:r>
            <w:r>
              <w:rPr>
                <w:noProof/>
                <w:webHidden/>
              </w:rPr>
              <w:fldChar w:fldCharType="separate"/>
            </w:r>
            <w:r>
              <w:rPr>
                <w:noProof/>
                <w:webHidden/>
              </w:rPr>
              <w:t>11</w:t>
            </w:r>
            <w:r>
              <w:rPr>
                <w:noProof/>
                <w:webHidden/>
              </w:rPr>
              <w:fldChar w:fldCharType="end"/>
            </w:r>
          </w:hyperlink>
        </w:p>
        <w:p w14:paraId="18AC2EDD" w14:textId="77777777" w:rsidR="00796216" w:rsidRDefault="00796216">
          <w:pPr>
            <w:pStyle w:val="TOC3"/>
            <w:tabs>
              <w:tab w:val="right" w:leader="dot" w:pos="9350"/>
            </w:tabs>
            <w:rPr>
              <w:rFonts w:asciiTheme="minorHAnsi" w:eastAsiaTheme="minorEastAsia" w:hAnsiTheme="minorHAnsi"/>
              <w:noProof/>
              <w:kern w:val="0"/>
              <w:sz w:val="22"/>
              <w:lang w:eastAsia="en-GB"/>
              <w14:ligatures w14:val="none"/>
            </w:rPr>
          </w:pPr>
          <w:hyperlink w:anchor="_Toc235453848" w:history="1">
            <w:r w:rsidRPr="00C630E6">
              <w:rPr>
                <w:rStyle w:val="Hyperlink"/>
                <w:noProof/>
              </w:rPr>
              <w:t>3.1 AI Tool Disclosure</w:t>
            </w:r>
            <w:r>
              <w:rPr>
                <w:noProof/>
                <w:webHidden/>
              </w:rPr>
              <w:tab/>
            </w:r>
            <w:r>
              <w:rPr>
                <w:noProof/>
                <w:webHidden/>
              </w:rPr>
              <w:fldChar w:fldCharType="begin"/>
            </w:r>
            <w:r>
              <w:rPr>
                <w:noProof/>
                <w:webHidden/>
              </w:rPr>
              <w:instrText xml:space="preserve"> PAGEREF _Toc235453848 \h </w:instrText>
            </w:r>
            <w:r>
              <w:rPr>
                <w:noProof/>
                <w:webHidden/>
              </w:rPr>
            </w:r>
            <w:r>
              <w:rPr>
                <w:noProof/>
                <w:webHidden/>
              </w:rPr>
              <w:fldChar w:fldCharType="separate"/>
            </w:r>
            <w:r>
              <w:rPr>
                <w:noProof/>
                <w:webHidden/>
              </w:rPr>
              <w:t>11</w:t>
            </w:r>
            <w:r>
              <w:rPr>
                <w:noProof/>
                <w:webHidden/>
              </w:rPr>
              <w:fldChar w:fldCharType="end"/>
            </w:r>
          </w:hyperlink>
        </w:p>
        <w:p w14:paraId="208E81C5" w14:textId="77777777" w:rsidR="00796216" w:rsidRDefault="00796216">
          <w:pPr>
            <w:pStyle w:val="TOC3"/>
            <w:tabs>
              <w:tab w:val="right" w:leader="dot" w:pos="9350"/>
            </w:tabs>
            <w:rPr>
              <w:rFonts w:asciiTheme="minorHAnsi" w:eastAsiaTheme="minorEastAsia" w:hAnsiTheme="minorHAnsi"/>
              <w:noProof/>
              <w:kern w:val="0"/>
              <w:sz w:val="22"/>
              <w:lang w:eastAsia="en-GB"/>
              <w14:ligatures w14:val="none"/>
            </w:rPr>
          </w:pPr>
          <w:hyperlink w:anchor="_Toc235453849" w:history="1">
            <w:r w:rsidRPr="00C630E6">
              <w:rPr>
                <w:rStyle w:val="Hyperlink"/>
                <w:noProof/>
              </w:rPr>
              <w:t>3.2 Verifying AI Output</w:t>
            </w:r>
            <w:r>
              <w:rPr>
                <w:noProof/>
                <w:webHidden/>
              </w:rPr>
              <w:tab/>
            </w:r>
            <w:r>
              <w:rPr>
                <w:noProof/>
                <w:webHidden/>
              </w:rPr>
              <w:fldChar w:fldCharType="begin"/>
            </w:r>
            <w:r>
              <w:rPr>
                <w:noProof/>
                <w:webHidden/>
              </w:rPr>
              <w:instrText xml:space="preserve"> PAGEREF _Toc235453849 \h </w:instrText>
            </w:r>
            <w:r>
              <w:rPr>
                <w:noProof/>
                <w:webHidden/>
              </w:rPr>
            </w:r>
            <w:r>
              <w:rPr>
                <w:noProof/>
                <w:webHidden/>
              </w:rPr>
              <w:fldChar w:fldCharType="separate"/>
            </w:r>
            <w:r>
              <w:rPr>
                <w:noProof/>
                <w:webHidden/>
              </w:rPr>
              <w:t>11</w:t>
            </w:r>
            <w:r>
              <w:rPr>
                <w:noProof/>
                <w:webHidden/>
              </w:rPr>
              <w:fldChar w:fldCharType="end"/>
            </w:r>
          </w:hyperlink>
        </w:p>
        <w:p w14:paraId="16151FDC" w14:textId="77777777" w:rsidR="00796216" w:rsidRDefault="00796216">
          <w:pPr>
            <w:pStyle w:val="TOC3"/>
            <w:tabs>
              <w:tab w:val="right" w:leader="dot" w:pos="9350"/>
            </w:tabs>
            <w:rPr>
              <w:rFonts w:asciiTheme="minorHAnsi" w:eastAsiaTheme="minorEastAsia" w:hAnsiTheme="minorHAnsi"/>
              <w:noProof/>
              <w:kern w:val="0"/>
              <w:sz w:val="22"/>
              <w:lang w:eastAsia="en-GB"/>
              <w14:ligatures w14:val="none"/>
            </w:rPr>
          </w:pPr>
          <w:hyperlink w:anchor="_Toc235453850" w:history="1">
            <w:r w:rsidRPr="00C630E6">
              <w:rPr>
                <w:rStyle w:val="Hyperlink"/>
                <w:noProof/>
              </w:rPr>
              <w:t>3.3 Human versus AI Contribution</w:t>
            </w:r>
            <w:r>
              <w:rPr>
                <w:noProof/>
                <w:webHidden/>
              </w:rPr>
              <w:tab/>
            </w:r>
            <w:r>
              <w:rPr>
                <w:noProof/>
                <w:webHidden/>
              </w:rPr>
              <w:fldChar w:fldCharType="begin"/>
            </w:r>
            <w:r>
              <w:rPr>
                <w:noProof/>
                <w:webHidden/>
              </w:rPr>
              <w:instrText xml:space="preserve"> PAGEREF _Toc235453850 \h </w:instrText>
            </w:r>
            <w:r>
              <w:rPr>
                <w:noProof/>
                <w:webHidden/>
              </w:rPr>
            </w:r>
            <w:r>
              <w:rPr>
                <w:noProof/>
                <w:webHidden/>
              </w:rPr>
              <w:fldChar w:fldCharType="separate"/>
            </w:r>
            <w:r>
              <w:rPr>
                <w:noProof/>
                <w:webHidden/>
              </w:rPr>
              <w:t>12</w:t>
            </w:r>
            <w:r>
              <w:rPr>
                <w:noProof/>
                <w:webHidden/>
              </w:rPr>
              <w:fldChar w:fldCharType="end"/>
            </w:r>
          </w:hyperlink>
        </w:p>
        <w:p w14:paraId="437404BA" w14:textId="77777777" w:rsidR="00796216" w:rsidRDefault="00796216">
          <w:pPr>
            <w:pStyle w:val="TOC3"/>
            <w:tabs>
              <w:tab w:val="right" w:leader="dot" w:pos="9350"/>
            </w:tabs>
            <w:rPr>
              <w:rFonts w:asciiTheme="minorHAnsi" w:eastAsiaTheme="minorEastAsia" w:hAnsiTheme="minorHAnsi"/>
              <w:noProof/>
              <w:kern w:val="0"/>
              <w:sz w:val="22"/>
              <w:lang w:eastAsia="en-GB"/>
              <w14:ligatures w14:val="none"/>
            </w:rPr>
          </w:pPr>
          <w:hyperlink w:anchor="_Toc235453851" w:history="1">
            <w:r w:rsidRPr="00C630E6">
              <w:rPr>
                <w:rStyle w:val="Hyperlink"/>
                <w:noProof/>
              </w:rPr>
              <w:t>3.4 Ethical Reflection</w:t>
            </w:r>
            <w:r>
              <w:rPr>
                <w:noProof/>
                <w:webHidden/>
              </w:rPr>
              <w:tab/>
            </w:r>
            <w:r>
              <w:rPr>
                <w:noProof/>
                <w:webHidden/>
              </w:rPr>
              <w:fldChar w:fldCharType="begin"/>
            </w:r>
            <w:r>
              <w:rPr>
                <w:noProof/>
                <w:webHidden/>
              </w:rPr>
              <w:instrText xml:space="preserve"> PAGEREF _Toc235453851 \h </w:instrText>
            </w:r>
            <w:r>
              <w:rPr>
                <w:noProof/>
                <w:webHidden/>
              </w:rPr>
            </w:r>
            <w:r>
              <w:rPr>
                <w:noProof/>
                <w:webHidden/>
              </w:rPr>
              <w:fldChar w:fldCharType="separate"/>
            </w:r>
            <w:r>
              <w:rPr>
                <w:noProof/>
                <w:webHidden/>
              </w:rPr>
              <w:t>12</w:t>
            </w:r>
            <w:r>
              <w:rPr>
                <w:noProof/>
                <w:webHidden/>
              </w:rPr>
              <w:fldChar w:fldCharType="end"/>
            </w:r>
          </w:hyperlink>
        </w:p>
        <w:p w14:paraId="54E62A30" w14:textId="77777777" w:rsidR="00796216" w:rsidRDefault="00796216">
          <w:pPr>
            <w:pStyle w:val="TOC1"/>
            <w:tabs>
              <w:tab w:val="right" w:leader="dot" w:pos="9350"/>
            </w:tabs>
            <w:rPr>
              <w:rFonts w:asciiTheme="minorHAnsi" w:eastAsiaTheme="minorEastAsia" w:hAnsiTheme="minorHAnsi"/>
              <w:noProof/>
              <w:kern w:val="0"/>
              <w:sz w:val="22"/>
              <w:lang w:eastAsia="en-GB"/>
              <w14:ligatures w14:val="none"/>
            </w:rPr>
          </w:pPr>
          <w:hyperlink w:anchor="_Toc235453852" w:history="1">
            <w:r w:rsidRPr="00C630E6">
              <w:rPr>
                <w:rStyle w:val="Hyperlink"/>
                <w:noProof/>
              </w:rPr>
              <w:t>CONCLUSION</w:t>
            </w:r>
            <w:r>
              <w:rPr>
                <w:noProof/>
                <w:webHidden/>
              </w:rPr>
              <w:tab/>
            </w:r>
            <w:r>
              <w:rPr>
                <w:noProof/>
                <w:webHidden/>
              </w:rPr>
              <w:fldChar w:fldCharType="begin"/>
            </w:r>
            <w:r>
              <w:rPr>
                <w:noProof/>
                <w:webHidden/>
              </w:rPr>
              <w:instrText xml:space="preserve"> PAGEREF _Toc235453852 \h </w:instrText>
            </w:r>
            <w:r>
              <w:rPr>
                <w:noProof/>
                <w:webHidden/>
              </w:rPr>
            </w:r>
            <w:r>
              <w:rPr>
                <w:noProof/>
                <w:webHidden/>
              </w:rPr>
              <w:fldChar w:fldCharType="separate"/>
            </w:r>
            <w:r>
              <w:rPr>
                <w:noProof/>
                <w:webHidden/>
              </w:rPr>
              <w:t>12</w:t>
            </w:r>
            <w:r>
              <w:rPr>
                <w:noProof/>
                <w:webHidden/>
              </w:rPr>
              <w:fldChar w:fldCharType="end"/>
            </w:r>
          </w:hyperlink>
        </w:p>
        <w:p w14:paraId="1CED4C61" w14:textId="77777777" w:rsidR="00796216" w:rsidRDefault="00796216">
          <w:pPr>
            <w:pStyle w:val="TOC1"/>
            <w:tabs>
              <w:tab w:val="right" w:leader="dot" w:pos="9350"/>
            </w:tabs>
            <w:rPr>
              <w:rFonts w:asciiTheme="minorHAnsi" w:eastAsiaTheme="minorEastAsia" w:hAnsiTheme="minorHAnsi"/>
              <w:noProof/>
              <w:kern w:val="0"/>
              <w:sz w:val="22"/>
              <w:lang w:eastAsia="en-GB"/>
              <w14:ligatures w14:val="none"/>
            </w:rPr>
          </w:pPr>
          <w:hyperlink w:anchor="_Toc235453853" w:history="1">
            <w:r w:rsidRPr="00C630E6">
              <w:rPr>
                <w:rStyle w:val="Hyperlink"/>
                <w:noProof/>
              </w:rPr>
              <w:t>REFERENCES</w:t>
            </w:r>
            <w:r>
              <w:rPr>
                <w:noProof/>
                <w:webHidden/>
              </w:rPr>
              <w:tab/>
            </w:r>
            <w:r>
              <w:rPr>
                <w:noProof/>
                <w:webHidden/>
              </w:rPr>
              <w:fldChar w:fldCharType="begin"/>
            </w:r>
            <w:r>
              <w:rPr>
                <w:noProof/>
                <w:webHidden/>
              </w:rPr>
              <w:instrText xml:space="preserve"> PAGEREF _Toc235453853 \h </w:instrText>
            </w:r>
            <w:r>
              <w:rPr>
                <w:noProof/>
                <w:webHidden/>
              </w:rPr>
            </w:r>
            <w:r>
              <w:rPr>
                <w:noProof/>
                <w:webHidden/>
              </w:rPr>
              <w:fldChar w:fldCharType="separate"/>
            </w:r>
            <w:r>
              <w:rPr>
                <w:noProof/>
                <w:webHidden/>
              </w:rPr>
              <w:t>13</w:t>
            </w:r>
            <w:r>
              <w:rPr>
                <w:noProof/>
                <w:webHidden/>
              </w:rPr>
              <w:fldChar w:fldCharType="end"/>
            </w:r>
          </w:hyperlink>
        </w:p>
        <w:p w14:paraId="5697F004" w14:textId="77777777" w:rsidR="00D200C3" w:rsidRDefault="00D200C3">
          <w:r>
            <w:rPr>
              <w:b/>
              <w:bCs/>
              <w:noProof/>
            </w:rPr>
            <w:fldChar w:fldCharType="end"/>
          </w:r>
        </w:p>
      </w:sdtContent>
    </w:sdt>
    <w:p w14:paraId="1DDFADEF" w14:textId="77777777" w:rsidR="00D200C3" w:rsidRDefault="00D200C3" w:rsidP="00D200C3">
      <w:pPr>
        <w:pStyle w:val="TOCHeading"/>
      </w:pPr>
      <w:r>
        <w:t>List of Figures</w:t>
      </w:r>
    </w:p>
    <w:p w14:paraId="2920738E" w14:textId="77777777" w:rsidR="00D200C3" w:rsidRDefault="00D200C3">
      <w:pPr>
        <w:pStyle w:val="TableofFigures"/>
        <w:tabs>
          <w:tab w:val="right" w:leader="dot" w:pos="9350"/>
        </w:tabs>
        <w:rPr>
          <w:noProof/>
        </w:rPr>
      </w:pPr>
      <w:r>
        <w:fldChar w:fldCharType="begin"/>
      </w:r>
      <w:r>
        <w:instrText xml:space="preserve"> TOC \h \z \c "Figure" </w:instrText>
      </w:r>
      <w:r>
        <w:fldChar w:fldCharType="separate"/>
      </w:r>
      <w:hyperlink w:anchor="_Toc235452523" w:history="1">
        <w:r w:rsidRPr="003E521D">
          <w:rPr>
            <w:rStyle w:val="Hyperlink"/>
            <w:noProof/>
          </w:rPr>
          <w:t>Figure 1: Tata Steel</w:t>
        </w:r>
        <w:r>
          <w:rPr>
            <w:noProof/>
            <w:webHidden/>
          </w:rPr>
          <w:tab/>
        </w:r>
        <w:r>
          <w:rPr>
            <w:noProof/>
            <w:webHidden/>
          </w:rPr>
          <w:fldChar w:fldCharType="begin"/>
        </w:r>
        <w:r>
          <w:rPr>
            <w:noProof/>
            <w:webHidden/>
          </w:rPr>
          <w:instrText xml:space="preserve"> PAGEREF _Toc235452523 \h </w:instrText>
        </w:r>
        <w:r>
          <w:rPr>
            <w:noProof/>
            <w:webHidden/>
          </w:rPr>
        </w:r>
        <w:r>
          <w:rPr>
            <w:noProof/>
            <w:webHidden/>
          </w:rPr>
          <w:fldChar w:fldCharType="separate"/>
        </w:r>
        <w:r>
          <w:rPr>
            <w:noProof/>
            <w:webHidden/>
          </w:rPr>
          <w:t>3</w:t>
        </w:r>
        <w:r>
          <w:rPr>
            <w:noProof/>
            <w:webHidden/>
          </w:rPr>
          <w:fldChar w:fldCharType="end"/>
        </w:r>
      </w:hyperlink>
    </w:p>
    <w:p w14:paraId="5CFDDE3C" w14:textId="77777777" w:rsidR="00D200C3" w:rsidRDefault="00D200C3">
      <w:pPr>
        <w:pStyle w:val="TableofFigures"/>
        <w:tabs>
          <w:tab w:val="right" w:leader="dot" w:pos="9350"/>
        </w:tabs>
        <w:rPr>
          <w:noProof/>
        </w:rPr>
      </w:pPr>
      <w:hyperlink w:anchor="_Toc235452524" w:history="1">
        <w:r w:rsidRPr="003E521D">
          <w:rPr>
            <w:rStyle w:val="Hyperlink"/>
            <w:noProof/>
          </w:rPr>
          <w:t>Figure 2: Environmental Product Declaration (EPD)</w:t>
        </w:r>
        <w:r>
          <w:rPr>
            <w:noProof/>
            <w:webHidden/>
          </w:rPr>
          <w:tab/>
        </w:r>
        <w:r>
          <w:rPr>
            <w:noProof/>
            <w:webHidden/>
          </w:rPr>
          <w:fldChar w:fldCharType="begin"/>
        </w:r>
        <w:r>
          <w:rPr>
            <w:noProof/>
            <w:webHidden/>
          </w:rPr>
          <w:instrText xml:space="preserve"> PAGEREF _Toc235452524 \h </w:instrText>
        </w:r>
        <w:r>
          <w:rPr>
            <w:noProof/>
            <w:webHidden/>
          </w:rPr>
        </w:r>
        <w:r>
          <w:rPr>
            <w:noProof/>
            <w:webHidden/>
          </w:rPr>
          <w:fldChar w:fldCharType="separate"/>
        </w:r>
        <w:r>
          <w:rPr>
            <w:noProof/>
            <w:webHidden/>
          </w:rPr>
          <w:t>5</w:t>
        </w:r>
        <w:r>
          <w:rPr>
            <w:noProof/>
            <w:webHidden/>
          </w:rPr>
          <w:fldChar w:fldCharType="end"/>
        </w:r>
      </w:hyperlink>
    </w:p>
    <w:p w14:paraId="124380DC" w14:textId="77777777" w:rsidR="00D200C3" w:rsidRDefault="00D200C3">
      <w:pPr>
        <w:pStyle w:val="TableofFigures"/>
        <w:tabs>
          <w:tab w:val="right" w:leader="dot" w:pos="9350"/>
        </w:tabs>
        <w:rPr>
          <w:noProof/>
        </w:rPr>
      </w:pPr>
      <w:hyperlink w:anchor="_Toc235452525" w:history="1">
        <w:r w:rsidRPr="003E521D">
          <w:rPr>
            <w:rStyle w:val="Hyperlink"/>
            <w:noProof/>
          </w:rPr>
          <w:t>Figure 3: The Ansoff Matrix</w:t>
        </w:r>
        <w:r>
          <w:rPr>
            <w:noProof/>
            <w:webHidden/>
          </w:rPr>
          <w:tab/>
        </w:r>
        <w:r>
          <w:rPr>
            <w:noProof/>
            <w:webHidden/>
          </w:rPr>
          <w:fldChar w:fldCharType="begin"/>
        </w:r>
        <w:r>
          <w:rPr>
            <w:noProof/>
            <w:webHidden/>
          </w:rPr>
          <w:instrText xml:space="preserve"> PAGEREF _Toc235452525 \h </w:instrText>
        </w:r>
        <w:r>
          <w:rPr>
            <w:noProof/>
            <w:webHidden/>
          </w:rPr>
        </w:r>
        <w:r>
          <w:rPr>
            <w:noProof/>
            <w:webHidden/>
          </w:rPr>
          <w:fldChar w:fldCharType="separate"/>
        </w:r>
        <w:r>
          <w:rPr>
            <w:noProof/>
            <w:webHidden/>
          </w:rPr>
          <w:t>8</w:t>
        </w:r>
        <w:r>
          <w:rPr>
            <w:noProof/>
            <w:webHidden/>
          </w:rPr>
          <w:fldChar w:fldCharType="end"/>
        </w:r>
      </w:hyperlink>
    </w:p>
    <w:p w14:paraId="42B34253" w14:textId="77777777" w:rsidR="00D200C3" w:rsidRDefault="00D200C3">
      <w:pPr>
        <w:pStyle w:val="TableofFigures"/>
        <w:tabs>
          <w:tab w:val="right" w:leader="dot" w:pos="9350"/>
        </w:tabs>
        <w:rPr>
          <w:noProof/>
        </w:rPr>
      </w:pPr>
      <w:hyperlink w:anchor="_Toc235452526" w:history="1">
        <w:r w:rsidRPr="003E521D">
          <w:rPr>
            <w:rStyle w:val="Hyperlink"/>
            <w:noProof/>
          </w:rPr>
          <w:t>Figure 4: Porter's Generic Strategies</w:t>
        </w:r>
        <w:r>
          <w:rPr>
            <w:noProof/>
            <w:webHidden/>
          </w:rPr>
          <w:tab/>
        </w:r>
        <w:r>
          <w:rPr>
            <w:noProof/>
            <w:webHidden/>
          </w:rPr>
          <w:fldChar w:fldCharType="begin"/>
        </w:r>
        <w:r>
          <w:rPr>
            <w:noProof/>
            <w:webHidden/>
          </w:rPr>
          <w:instrText xml:space="preserve"> PAGEREF _Toc235452526 \h </w:instrText>
        </w:r>
        <w:r>
          <w:rPr>
            <w:noProof/>
            <w:webHidden/>
          </w:rPr>
        </w:r>
        <w:r>
          <w:rPr>
            <w:noProof/>
            <w:webHidden/>
          </w:rPr>
          <w:fldChar w:fldCharType="separate"/>
        </w:r>
        <w:r>
          <w:rPr>
            <w:noProof/>
            <w:webHidden/>
          </w:rPr>
          <w:t>10</w:t>
        </w:r>
        <w:r>
          <w:rPr>
            <w:noProof/>
            <w:webHidden/>
          </w:rPr>
          <w:fldChar w:fldCharType="end"/>
        </w:r>
      </w:hyperlink>
    </w:p>
    <w:p w14:paraId="72045226" w14:textId="77777777" w:rsidR="00ED2FAB" w:rsidRPr="00ED2FAB" w:rsidRDefault="00D200C3" w:rsidP="00ED2FAB">
      <w:pPr>
        <w:pStyle w:val="Heading1"/>
      </w:pPr>
      <w:r>
        <w:fldChar w:fldCharType="end"/>
      </w:r>
      <w:r w:rsidR="00ED2FAB" w:rsidRPr="00ED2FAB">
        <w:br w:type="page"/>
      </w:r>
      <w:bookmarkStart w:id="0" w:name="_Toc235453837"/>
      <w:r w:rsidR="00ED2FAB" w:rsidRPr="00ED2FAB">
        <w:lastRenderedPageBreak/>
        <w:t>INTRODUCTION</w:t>
      </w:r>
      <w:bookmarkEnd w:id="0"/>
      <w:r w:rsidR="00ED2FAB" w:rsidRPr="00ED2FAB">
        <w:t xml:space="preserve"> </w:t>
      </w:r>
    </w:p>
    <w:p w14:paraId="2AD08081" w14:textId="77777777" w:rsidR="00ED2FAB" w:rsidRDefault="006F48B0" w:rsidP="00ED2FAB">
      <w:r w:rsidRPr="006F48B0">
        <w:t xml:space="preserve">The international steel industry is currently experiencing a major change because decarbonisation will significantly influence competition, regulations, and customers' needs for low-carbon products (Watari and McLellan, 2024). The metal and mining industry generates about 25% of greenhouse gas emissions of the 12,000 biggest companies globally, whereas the steel industry emits 2.6 gigatonnes of CO₂ per year, representing 7–9% of total CO₂ emissions from energy (IEA, 2024). In light of these facts, it is logical to consider Tata Steel as an example for the following reasons: it aims at achieving zero emissions by 2045 and is known as a pioneer in the field of sustainable steel production (Tata Steel, 2024). This report focuses on critical analysis of the Natural and Technological environment that affects the switch of Tata Steel to low-carbon steel, </w:t>
      </w:r>
      <w:r w:rsidR="00FB63E8">
        <w:t>s</w:t>
      </w:r>
      <w:r w:rsidR="00FB63E8" w:rsidRPr="00FB63E8">
        <w:t>electing an appropriate growth strategy and assessing how sustainability in the environment is changing customer value, competitive po</w:t>
      </w:r>
      <w:r w:rsidR="00FB63E8">
        <w:t>sition, and marketing advantage</w:t>
      </w:r>
      <w:r w:rsidR="008E3290" w:rsidRPr="008E3290">
        <w:t>.</w:t>
      </w:r>
    </w:p>
    <w:p w14:paraId="1BDEA2B7" w14:textId="77777777" w:rsidR="00ED2FAB" w:rsidRDefault="008E3290" w:rsidP="00D413D4">
      <w:pPr>
        <w:pStyle w:val="Heading2"/>
      </w:pPr>
      <w:bookmarkStart w:id="1" w:name="_Toc235453838"/>
      <w:r>
        <w:t xml:space="preserve">Task 1: </w:t>
      </w:r>
      <w:r w:rsidR="00ED2FAB">
        <w:t>Marketing Environment Analysis</w:t>
      </w:r>
      <w:bookmarkEnd w:id="1"/>
    </w:p>
    <w:p w14:paraId="471515C1" w14:textId="77777777" w:rsidR="00D413D4" w:rsidRDefault="00CC68FD" w:rsidP="00CC68FD">
      <w:pPr>
        <w:pStyle w:val="Heading3"/>
      </w:pPr>
      <w:bookmarkStart w:id="2" w:name="_Toc235453839"/>
      <w:r>
        <w:t xml:space="preserve">1.1 </w:t>
      </w:r>
      <w:r w:rsidR="00ED2FAB">
        <w:t>Company Background</w:t>
      </w:r>
      <w:bookmarkEnd w:id="2"/>
      <w:r w:rsidR="00ED2FAB">
        <w:t xml:space="preserve"> </w:t>
      </w:r>
    </w:p>
    <w:p w14:paraId="0EF06DB3" w14:textId="77777777" w:rsidR="00D413D4" w:rsidRPr="00D413D4" w:rsidRDefault="00D413D4" w:rsidP="00D413D4">
      <w:r w:rsidRPr="00D413D4">
        <w:t>Tata Steel was founded in 1907 and is among the most geographically diverse steelmakers in the world with an annual capacity of about 35 million tonnes of crude steel and operations across India, Netherlands, the United Kingdom, and Thailand. Tata Steel provides high-quality steel products for applications in the automotive, construction, engineering, infrastructure, and packaging industries globally. Sustainability plays a pivotal role in its business model as it aims to become net-zero emissions by 2045 with the use of electric arc furnace (EAF) technology, hydrogen steelmaking, renewable energy, efficient carbon production, and circular economy</w:t>
      </w:r>
      <w:r>
        <w:t xml:space="preserve"> (Tata</w:t>
      </w:r>
      <w:r w:rsidRPr="00D413D4">
        <w:t>, 2024).</w:t>
      </w:r>
    </w:p>
    <w:p w14:paraId="38AD24AD" w14:textId="77777777" w:rsidR="00D413D4" w:rsidRDefault="00D413D4" w:rsidP="00D413D4">
      <w:pPr>
        <w:keepNext/>
        <w:jc w:val="center"/>
      </w:pPr>
      <w:r>
        <w:rPr>
          <w:noProof/>
          <w:lang w:eastAsia="en-GB"/>
        </w:rPr>
        <w:drawing>
          <wp:inline distT="0" distB="0" distL="0" distR="0" wp14:anchorId="3874B758" wp14:editId="70AA790B">
            <wp:extent cx="4755748" cy="1609725"/>
            <wp:effectExtent l="0" t="0" r="0" b="0"/>
            <wp:docPr id="2" name="Picture 2" descr="Tata Steel | Logos usage &amp; guide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descr="Tata Steel | Logos usage &amp; guidelines"/>
                    <pic:cNvPicPr>
                      <a:picLocks noChangeAspect="1" noChangeArrowheads="1"/>
                    </pic:cNvPicPr>
                  </pic:nvPicPr>
                  <pic:blipFill rotWithShape="1">
                    <a:blip r:embed="rId7">
                      <a:extLst>
                        <a:ext uri="{28A0092B-C50C-407E-A947-70E740481C1C}">
                          <a14:useLocalDpi xmlns:a14="http://schemas.microsoft.com/office/drawing/2010/main" val="0"/>
                        </a:ext>
                      </a:extLst>
                    </a:blip>
                    <a:srcRect t="17533" b="17690"/>
                    <a:stretch/>
                  </pic:blipFill>
                  <pic:spPr bwMode="auto">
                    <a:xfrm>
                      <a:off x="0" y="0"/>
                      <a:ext cx="4779625" cy="1617807"/>
                    </a:xfrm>
                    <a:prstGeom prst="rect">
                      <a:avLst/>
                    </a:prstGeom>
                    <a:noFill/>
                    <a:ln>
                      <a:noFill/>
                    </a:ln>
                    <a:extLst>
                      <a:ext uri="{53640926-AAD7-44D8-BBD7-CCE9431645EC}">
                        <a14:shadowObscured xmlns:a14="http://schemas.microsoft.com/office/drawing/2010/main"/>
                      </a:ext>
                    </a:extLst>
                  </pic:spPr>
                </pic:pic>
              </a:graphicData>
            </a:graphic>
          </wp:inline>
        </w:drawing>
      </w:r>
    </w:p>
    <w:p w14:paraId="6564C09C" w14:textId="77777777" w:rsidR="00D413D4" w:rsidRPr="00D413D4" w:rsidRDefault="00D413D4" w:rsidP="00D413D4">
      <w:pPr>
        <w:pStyle w:val="Caption"/>
      </w:pPr>
      <w:bookmarkStart w:id="3" w:name="_Toc235452523"/>
      <w:r>
        <w:t xml:space="preserve">Figure </w:t>
      </w:r>
      <w:r>
        <w:fldChar w:fldCharType="begin"/>
      </w:r>
      <w:r>
        <w:instrText xml:space="preserve"> SEQ Figure \* ARABIC </w:instrText>
      </w:r>
      <w:r>
        <w:fldChar w:fldCharType="separate"/>
      </w:r>
      <w:r w:rsidR="00AE3FAA">
        <w:rPr>
          <w:noProof/>
        </w:rPr>
        <w:t>1</w:t>
      </w:r>
      <w:r>
        <w:fldChar w:fldCharType="end"/>
      </w:r>
      <w:r>
        <w:t xml:space="preserve">: </w:t>
      </w:r>
      <w:r w:rsidRPr="00D413D4">
        <w:t>Tata Steel</w:t>
      </w:r>
      <w:bookmarkEnd w:id="3"/>
    </w:p>
    <w:p w14:paraId="653E109D" w14:textId="77777777" w:rsidR="00ED2FAB" w:rsidRPr="00D413D4" w:rsidRDefault="00D413D4" w:rsidP="00D413D4">
      <w:pPr>
        <w:jc w:val="center"/>
        <w:rPr>
          <w:i/>
        </w:rPr>
      </w:pPr>
      <w:r w:rsidRPr="00D413D4">
        <w:rPr>
          <w:i/>
        </w:rPr>
        <w:lastRenderedPageBreak/>
        <w:t>Source: (Services, 2025)</w:t>
      </w:r>
    </w:p>
    <w:p w14:paraId="19103F1D" w14:textId="77777777" w:rsidR="00D413D4" w:rsidRDefault="00D413D4" w:rsidP="00D413D4">
      <w:pPr>
        <w:pStyle w:val="Heading3"/>
      </w:pPr>
      <w:bookmarkStart w:id="4" w:name="_Toc235453840"/>
      <w:r>
        <w:t>1</w:t>
      </w:r>
      <w:r w:rsidR="00ED2FAB">
        <w:t xml:space="preserve">.2 </w:t>
      </w:r>
      <w:r>
        <w:t>Marketing Environment Framework</w:t>
      </w:r>
      <w:bookmarkEnd w:id="4"/>
    </w:p>
    <w:p w14:paraId="1F51FA7A" w14:textId="77777777" w:rsidR="00ED2FAB" w:rsidRPr="007D5EC0" w:rsidRDefault="007D5EC0" w:rsidP="007D5EC0">
      <w:r w:rsidRPr="007D5EC0">
        <w:t>As suggested by Kotler et al. (2024), the marketing environment consists of external parties and elements which present opportunities and threats which cannot be controlled by the organisation and need to adjust themselves accordingly to their marketing plans. As per this model, the report will critically analyse two macro environmental parties namely, the Natural Environment and the Technological Environment. Natural Environment has been taken into consideration due to the reason that decarbonisation, climate change and stakeholder pressure have created a completely new competitive environment for the steel industry. On the other hand, technological environment is considered equally important owing to technologies such as hydrogen steelmaking, etc.</w:t>
      </w:r>
      <w:r w:rsidR="00FB63E8">
        <w:t xml:space="preserve"> </w:t>
      </w:r>
      <w:r w:rsidR="00FB63E8" w:rsidRPr="00FB63E8">
        <w:t>These two macro environment forces are interconnected as technology drives innovations that allow companies to react to environmental pressure and generate new customer values and competitive advantages.</w:t>
      </w:r>
    </w:p>
    <w:p w14:paraId="2702E3FA" w14:textId="77777777" w:rsidR="00ED2FAB" w:rsidRDefault="00D413D4" w:rsidP="007D5EC0">
      <w:pPr>
        <w:pStyle w:val="Heading3"/>
      </w:pPr>
      <w:bookmarkStart w:id="5" w:name="_Toc235453841"/>
      <w:r>
        <w:t>1</w:t>
      </w:r>
      <w:r w:rsidR="00ED2FAB">
        <w:t xml:space="preserve">.3 </w:t>
      </w:r>
      <w:r w:rsidR="004770DA" w:rsidRPr="004770DA">
        <w:t>External Marketing Environment Actor: Natural Environment</w:t>
      </w:r>
      <w:bookmarkEnd w:id="5"/>
    </w:p>
    <w:p w14:paraId="34F0B680" w14:textId="77777777" w:rsidR="007D5EC0" w:rsidRPr="007D5EC0" w:rsidRDefault="007D5EC0" w:rsidP="007D5EC0">
      <w:pPr>
        <w:rPr>
          <w:b/>
        </w:rPr>
      </w:pPr>
      <w:r w:rsidRPr="007D5EC0">
        <w:rPr>
          <w:b/>
        </w:rPr>
        <w:t>Current Environmental Pressures</w:t>
      </w:r>
    </w:p>
    <w:p w14:paraId="11962DAF" w14:textId="77777777" w:rsidR="007D5EC0" w:rsidRDefault="004770DA" w:rsidP="007D5EC0">
      <w:r w:rsidRPr="004770DA">
        <w:t>The natural environment is the greatest influence from the outside factors affecting Tata Steel's marketing environment due to the climate change making decarbonisation not only a business but also a necessary part of the environmental obligation of a company. The total CO₂ emissions from the international iron and steel sector are about 2.6 billion tonnes per year, which constitutes 7–9% of all energy-related CO₂ emissions globally and is considered one of the most CO₂-intensive industrial sectors. In order to achieve net zero emissions, according to the International Energy Agency (IEA), more than 100 million tonnes of near-zero emission steel capacity should be installed until 2030, although cu</w:t>
      </w:r>
      <w:r w:rsidR="00AE3FAA">
        <w:t>rrently, it has been not enough.</w:t>
      </w:r>
      <w:r w:rsidRPr="004770DA">
        <w:t xml:space="preserve"> It is important to highlight that the share of greenhouse gases emitted by the world's 12,000 largest companies is </w:t>
      </w:r>
      <w:r>
        <w:t>25% in metals and mining sector</w:t>
      </w:r>
      <w:r w:rsidR="00AE3FAA">
        <w:t xml:space="preserve"> (Qian et al., 2024)</w:t>
      </w:r>
      <w:r w:rsidR="007D5EC0">
        <w:t>.</w:t>
      </w:r>
    </w:p>
    <w:p w14:paraId="49635C9A" w14:textId="77777777" w:rsidR="007D5EC0" w:rsidRPr="007D5EC0" w:rsidRDefault="007D5EC0" w:rsidP="007D5EC0">
      <w:pPr>
        <w:rPr>
          <w:b/>
        </w:rPr>
      </w:pPr>
      <w:r w:rsidRPr="007D5EC0">
        <w:rPr>
          <w:b/>
        </w:rPr>
        <w:t>Influence on Tata Steel</w:t>
      </w:r>
    </w:p>
    <w:p w14:paraId="03E46B79" w14:textId="77777777" w:rsidR="007D5EC0" w:rsidRDefault="004770DA" w:rsidP="007D5EC0">
      <w:r w:rsidRPr="004770DA">
        <w:t xml:space="preserve">This combination of environmental challenges is transforming the external operating environment of Tata Steel through evolving stakeholder expectations. Increasingly, industrial consumers are requesting steel products that emit low amounts of carbon emissions, coupled with validated </w:t>
      </w:r>
      <w:r w:rsidRPr="004770DA">
        <w:lastRenderedPageBreak/>
        <w:t xml:space="preserve">Environmental Product Declarations (EPDs), while governments are adopting carbon pricing, green procurement regulations, and enhanced climate reporting policies. On the other hand, there is increasing investment from ESG-oriented shareholders in companies with realistic decarbonisation strategies. As a result, Tata Steel is working towards achieving net zero emissions by 2045, shifting their UK business to a 3.2 million tonnage Electric Arc Furnace (EAF), which will help in reducing about 50 million tonnes of CO2 emissions over the next ten years, among others. </w:t>
      </w:r>
      <w:r w:rsidR="007D5EC0" w:rsidRPr="007D5EC0">
        <w:t>(The Economic Times, 2026)</w:t>
      </w:r>
      <w:r w:rsidR="007D5EC0">
        <w:t>.</w:t>
      </w:r>
    </w:p>
    <w:p w14:paraId="6CFBA72B" w14:textId="77777777" w:rsidR="00AE3FAA" w:rsidRDefault="00AE3FAA" w:rsidP="00AE3FAA">
      <w:pPr>
        <w:keepNext/>
        <w:jc w:val="center"/>
      </w:pPr>
      <w:r>
        <w:rPr>
          <w:noProof/>
          <w:lang w:eastAsia="en-GB"/>
        </w:rPr>
        <w:drawing>
          <wp:inline distT="0" distB="0" distL="0" distR="0" wp14:anchorId="56F27F2D" wp14:editId="2CD8BEA7">
            <wp:extent cx="4127500" cy="2476500"/>
            <wp:effectExtent l="0" t="0" r="6350" b="0"/>
            <wp:docPr id="5" name="Picture 5" descr="Environmental Product Declaration (EP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descr="Environmental Product Declaration (EP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27500" cy="2476500"/>
                    </a:xfrm>
                    <a:prstGeom prst="rect">
                      <a:avLst/>
                    </a:prstGeom>
                    <a:noFill/>
                    <a:ln>
                      <a:noFill/>
                    </a:ln>
                  </pic:spPr>
                </pic:pic>
              </a:graphicData>
            </a:graphic>
          </wp:inline>
        </w:drawing>
      </w:r>
    </w:p>
    <w:p w14:paraId="0D490EE4" w14:textId="77777777" w:rsidR="00AE3FAA" w:rsidRDefault="00AE3FAA" w:rsidP="00AE3FAA">
      <w:pPr>
        <w:pStyle w:val="Caption"/>
      </w:pPr>
      <w:bookmarkStart w:id="6" w:name="_Toc235452524"/>
      <w:r>
        <w:t xml:space="preserve">Figure </w:t>
      </w:r>
      <w:r>
        <w:fldChar w:fldCharType="begin"/>
      </w:r>
      <w:r>
        <w:instrText xml:space="preserve"> SEQ Figure \* ARABIC </w:instrText>
      </w:r>
      <w:r>
        <w:fldChar w:fldCharType="separate"/>
      </w:r>
      <w:r>
        <w:rPr>
          <w:noProof/>
        </w:rPr>
        <w:t>2</w:t>
      </w:r>
      <w:r>
        <w:fldChar w:fldCharType="end"/>
      </w:r>
      <w:r>
        <w:t xml:space="preserve">: </w:t>
      </w:r>
      <w:r w:rsidRPr="00AE3FAA">
        <w:t>Environmental Product Declaration (EPD)</w:t>
      </w:r>
      <w:bookmarkEnd w:id="6"/>
    </w:p>
    <w:p w14:paraId="46CCF474" w14:textId="77777777" w:rsidR="00AE3FAA" w:rsidRPr="00AE3FAA" w:rsidRDefault="00AE3FAA" w:rsidP="00AE3FAA">
      <w:pPr>
        <w:jc w:val="center"/>
        <w:rPr>
          <w:i/>
        </w:rPr>
      </w:pPr>
      <w:r w:rsidRPr="00AE3FAA">
        <w:rPr>
          <w:i/>
        </w:rPr>
        <w:t>Source: (Rai, 2024)</w:t>
      </w:r>
    </w:p>
    <w:p w14:paraId="3FCAE5C0" w14:textId="77777777" w:rsidR="007D5EC0" w:rsidRPr="007D5EC0" w:rsidRDefault="007D5EC0" w:rsidP="007D5EC0">
      <w:pPr>
        <w:rPr>
          <w:b/>
        </w:rPr>
      </w:pPr>
      <w:r w:rsidRPr="007D5EC0">
        <w:rPr>
          <w:b/>
        </w:rPr>
        <w:t>Critical Evaluation</w:t>
      </w:r>
    </w:p>
    <w:p w14:paraId="65DCC7E5" w14:textId="77777777" w:rsidR="004770DA" w:rsidRPr="004770DA" w:rsidRDefault="004770DA" w:rsidP="004770DA">
      <w:r w:rsidRPr="004770DA">
        <w:t xml:space="preserve">Nevertheless, the strategic benefits of environmental sustainability have remained a matter of debate. In Ficarra et al.'s view (2026), energy efficiency, scrap use and carbon capture present the most economically viable options for the decarbonisation of steel, implying that environmental innovations can be a competitive advantage for the company. Likewise, </w:t>
      </w:r>
      <w:r>
        <w:t>according to</w:t>
      </w:r>
      <w:r w:rsidRPr="004770DA">
        <w:t xml:space="preserve"> Zhao et al.'s (2022), decarbonisation has become an increasingly important element for preserving market entry and addressing sustainability requirements within automotive and construction chains. </w:t>
      </w:r>
      <w:r>
        <w:t xml:space="preserve">However, </w:t>
      </w:r>
      <w:r w:rsidRPr="004770DA">
        <w:t xml:space="preserve">OECD (2024), points out that the significant financial investments involved, unclear supply of green hydrogen and weak policy support still limit the deployment of technologies, while the experience of industries reveals the persistence of a strong sensitivity to prices even among more sustainable customers. Thus, while the environmental sustainability contributes to enhancing the </w:t>
      </w:r>
      <w:r w:rsidRPr="004770DA">
        <w:lastRenderedPageBreak/>
        <w:t>reputation, ESG attractiveness and competitive position of Tata Steel, the key to achieving success lies in ensuring decarbonisation through the cost competitiveness and provision of value for customers.</w:t>
      </w:r>
      <w:r w:rsidR="00FB63E8">
        <w:t xml:space="preserve"> </w:t>
      </w:r>
      <w:r w:rsidR="00FB63E8" w:rsidRPr="00FB63E8">
        <w:t>Thus, environmental sustainability needs to be seen not only as a regulatory obligation but rather as a marketing tool that builds a positive brand rep</w:t>
      </w:r>
      <w:r w:rsidR="00FB63E8">
        <w:t>utation and customer relations.</w:t>
      </w:r>
    </w:p>
    <w:p w14:paraId="61ED9187" w14:textId="77777777" w:rsidR="00ED2FAB" w:rsidRDefault="00D413D4" w:rsidP="003C60DA">
      <w:pPr>
        <w:pStyle w:val="Heading3"/>
      </w:pPr>
      <w:bookmarkStart w:id="7" w:name="_Toc235453842"/>
      <w:r>
        <w:t>1</w:t>
      </w:r>
      <w:r w:rsidR="00ED2FAB">
        <w:t xml:space="preserve">.4 </w:t>
      </w:r>
      <w:r w:rsidR="003C30C5" w:rsidRPr="003C30C5">
        <w:t>External Marketing Environment Actor: Technological Environment</w:t>
      </w:r>
      <w:bookmarkEnd w:id="7"/>
    </w:p>
    <w:p w14:paraId="71F4D31D" w14:textId="77777777" w:rsidR="003C60DA" w:rsidRPr="003C60DA" w:rsidRDefault="003C60DA" w:rsidP="003C60DA">
      <w:pPr>
        <w:rPr>
          <w:b/>
        </w:rPr>
      </w:pPr>
      <w:r w:rsidRPr="003C60DA">
        <w:rPr>
          <w:b/>
        </w:rPr>
        <w:t>Technological Opportunities</w:t>
      </w:r>
    </w:p>
    <w:p w14:paraId="5853EF07" w14:textId="77777777" w:rsidR="00BF2E31" w:rsidRDefault="00BF2E31" w:rsidP="003C60DA">
      <w:r w:rsidRPr="00BF2E31">
        <w:t>The Technological Environment constitutes one of the most important external factors for Tata Steel moving toward low-carbon steel production since technological advancement decides whether the company’s environmental objectives translate into competitive advantages. The new technologies include hydrogen direct reduced iron (H₂-DRI), carbon capture utilization and storage (CCUS), artificial intelligence (AI), Industry 4.0 and smart manufacturing, which provide an opportunity to lower emissions, increase energy efficiency, and raise the quality of products produced. Recent empirical studies have shown that hydrogen metallurgy could cut down steelmaking emissions by up to 90%, and artificial intelligence helps to optimize the process, raising efficiency and improving energy consumption (Wan et al., 2024). Moreover, Tata Steel has already integrated digital technology in its production, building 588 artificial intelligence models and storing 11.2 petabytes of operational data.</w:t>
      </w:r>
    </w:p>
    <w:p w14:paraId="2705C42C" w14:textId="77777777" w:rsidR="003C60DA" w:rsidRPr="003C60DA" w:rsidRDefault="003C60DA" w:rsidP="003C60DA">
      <w:pPr>
        <w:rPr>
          <w:b/>
        </w:rPr>
      </w:pPr>
      <w:r w:rsidRPr="003C60DA">
        <w:rPr>
          <w:b/>
        </w:rPr>
        <w:t>Technological Challenges</w:t>
      </w:r>
    </w:p>
    <w:p w14:paraId="2343A3A7" w14:textId="77777777" w:rsidR="003C60DA" w:rsidRDefault="00BF2E31" w:rsidP="003C60DA">
      <w:r w:rsidRPr="00BF2E31">
        <w:t>However, technological innovation does not necessarily result in a competitive advantage. Tata Steel's decarbonisation strategy recognizes that the wide-scale adoption of hydrogen production and carbon capture usage and storage is limited by the lack of green hydrogen, insufficient infrastructure and costly renewable energy resources. In addition to this, the use of Industry 4.0 technologies entails constant investments in digital technologies, cybersecurity, reskilling of empl</w:t>
      </w:r>
      <w:r>
        <w:t>oyees and organizational change</w:t>
      </w:r>
      <w:r w:rsidR="003C60DA">
        <w:t>.</w:t>
      </w:r>
    </w:p>
    <w:p w14:paraId="74EA0512" w14:textId="77777777" w:rsidR="003C60DA" w:rsidRPr="003C60DA" w:rsidRDefault="003C60DA" w:rsidP="003C60DA">
      <w:pPr>
        <w:rPr>
          <w:b/>
        </w:rPr>
      </w:pPr>
      <w:r w:rsidRPr="003C60DA">
        <w:rPr>
          <w:b/>
        </w:rPr>
        <w:t>Critical Evaluation and Judgement</w:t>
      </w:r>
    </w:p>
    <w:p w14:paraId="50D187B6" w14:textId="77777777" w:rsidR="003C60DA" w:rsidRPr="003C60DA" w:rsidRDefault="00BF2E31" w:rsidP="003C60DA">
      <w:r w:rsidRPr="00BF2E31">
        <w:t xml:space="preserve">Therefore, the popular notion of technological superiority equating market superiority is an oversimplification. According to empirical data, although advanced technologies greatly enhance environmental performance, commercial success of those technologies is dependent on additional conditions, such as appropriate policy, low-cost green energy, and willingness of customers to pay </w:t>
      </w:r>
      <w:r w:rsidRPr="00BF2E31">
        <w:lastRenderedPageBreak/>
        <w:t xml:space="preserve">extra for environmentally-friendly steel (Branca et al., 2024). Therefore, for Tata Steel, the biggest strategic risk does not relate to technological failure but to premature investments into innovations that have not been demanded by the market yet. This means that technology is a strategic competence and not an advantage per se. </w:t>
      </w:r>
      <w:r w:rsidR="00FB63E8" w:rsidRPr="00FB63E8">
        <w:t>It is only through technological innovation with the generation of customer value, sustainability communications, and cost competitiveness that Tata Steel can dif</w:t>
      </w:r>
      <w:r w:rsidR="00FB63E8">
        <w:t>ferentiate itself competitively</w:t>
      </w:r>
      <w:r w:rsidR="003C60DA">
        <w:t>.</w:t>
      </w:r>
    </w:p>
    <w:p w14:paraId="11503AD8" w14:textId="77777777" w:rsidR="00ED2FAB" w:rsidRDefault="00BF2E31" w:rsidP="00BF2E31">
      <w:pPr>
        <w:pStyle w:val="Heading2"/>
      </w:pPr>
      <w:bookmarkStart w:id="8" w:name="_Toc235453843"/>
      <w:r>
        <w:t xml:space="preserve">Task 2: </w:t>
      </w:r>
      <w:r w:rsidR="00ED2FAB">
        <w:t>Strategic Growth and Competitive Positioning</w:t>
      </w:r>
      <w:bookmarkEnd w:id="8"/>
    </w:p>
    <w:p w14:paraId="4DEE2F42" w14:textId="77777777" w:rsidR="00BF2E31" w:rsidRDefault="00D413D4" w:rsidP="00506DFB">
      <w:pPr>
        <w:pStyle w:val="Heading3"/>
      </w:pPr>
      <w:bookmarkStart w:id="9" w:name="_Toc235453844"/>
      <w:r>
        <w:t>2</w:t>
      </w:r>
      <w:r w:rsidR="00ED2FAB">
        <w:t>.</w:t>
      </w:r>
      <w:r w:rsidR="00BF2E31">
        <w:t>1</w:t>
      </w:r>
      <w:r w:rsidR="00506DFB">
        <w:t xml:space="preserve"> </w:t>
      </w:r>
      <w:r w:rsidR="00506DFB" w:rsidRPr="00506DFB">
        <w:t>Application of the Ansoff Matrix</w:t>
      </w:r>
      <w:bookmarkEnd w:id="9"/>
    </w:p>
    <w:p w14:paraId="4597D90F" w14:textId="77777777" w:rsidR="00BF2E31" w:rsidRPr="00BF2E31" w:rsidRDefault="00BF2E31" w:rsidP="00BF2E31">
      <w:pPr>
        <w:rPr>
          <w:b/>
        </w:rPr>
      </w:pPr>
      <w:r w:rsidRPr="00BF2E31">
        <w:rPr>
          <w:b/>
        </w:rPr>
        <w:t>Evaluation of Strategic Growth Options</w:t>
      </w:r>
    </w:p>
    <w:p w14:paraId="6D6EE55F" w14:textId="77777777" w:rsidR="00BF2E31" w:rsidRDefault="00506DFB" w:rsidP="00BF2E31">
      <w:r w:rsidRPr="00506DFB">
        <w:t>The Ansoff Matrix identifies four types of growth strategies: market penetration, market development, product development and diversification (</w:t>
      </w:r>
      <w:proofErr w:type="spellStart"/>
      <w:r w:rsidRPr="00506DFB">
        <w:t>Peterdy</w:t>
      </w:r>
      <w:proofErr w:type="spellEnd"/>
      <w:r w:rsidRPr="00506DFB">
        <w:t>, 2025). However, for Tata Steel, market penetration provides limited strategic value since the steel manufacturing industry globally is commoditized due to overproduction, pricing wars and reduced demand in several mature markets. At the same time, market development through geographic expansion leaves the business vulnerable to rising carbon borders restrictions, geo-political risks and trade protectionism without providing any competitive advantage</w:t>
      </w:r>
      <w:r w:rsidR="006645AF">
        <w:t xml:space="preserve"> </w:t>
      </w:r>
      <w:r w:rsidR="006645AF" w:rsidRPr="006645AF">
        <w:t>(Chen et al., 2026).</w:t>
      </w:r>
      <w:r w:rsidRPr="00506DFB">
        <w:t xml:space="preserve"> The strategy of diversification can also not be applied since it would imply investing considerable finances and managerial skills in the areas not related to the core of the business and would divert funds from Tata Steel’s current decarbonisation initiatives. Hence, all three Ansoff strategies listed above do not take into consideration the environmental and technological</w:t>
      </w:r>
      <w:r>
        <w:t xml:space="preserve"> challenges discussed in Task 1</w:t>
      </w:r>
      <w:r w:rsidR="00BF2E31">
        <w:t>.</w:t>
      </w:r>
    </w:p>
    <w:p w14:paraId="52624DF2" w14:textId="77777777" w:rsidR="00BF2E31" w:rsidRPr="00BF2E31" w:rsidRDefault="00BF2E31" w:rsidP="00BF2E31">
      <w:pPr>
        <w:rPr>
          <w:b/>
        </w:rPr>
      </w:pPr>
      <w:r w:rsidRPr="00BF2E31">
        <w:rPr>
          <w:b/>
        </w:rPr>
        <w:t>Justification for Product Development</w:t>
      </w:r>
    </w:p>
    <w:p w14:paraId="20550E10" w14:textId="77777777" w:rsidR="00BF2E31" w:rsidRDefault="00506DFB" w:rsidP="00BF2E31">
      <w:r w:rsidRPr="00506DFB">
        <w:t xml:space="preserve">Product Development Strategy will emerge as the most effective due to its alignment with customers' needs for certified low-carbon steel along with Tata Steel's customer base from the industry. In this case, the focus should not be on commoditization in the market, but on adding value to the offering through product innovations. Tata Steel has already launched the Carbon Bank initiative in India which allows customers to verify more than 50,000 tonnes of CO₂ savings and aims at conducting Life Cycle Assessments for more than 80% of finished products by 2030 and 100% environmental product disclosures by 2030 (Tata, 2024). At the same time, the company </w:t>
      </w:r>
      <w:r w:rsidRPr="00506DFB">
        <w:lastRenderedPageBreak/>
        <w:t xml:space="preserve">invests in Electric Arc Furnace, hydrogen readiness, </w:t>
      </w:r>
      <w:proofErr w:type="spellStart"/>
      <w:r w:rsidRPr="00506DFB">
        <w:t>HIsarna</w:t>
      </w:r>
      <w:proofErr w:type="spellEnd"/>
      <w:r w:rsidRPr="00506DFB">
        <w:t xml:space="preserve">, </w:t>
      </w:r>
      <w:proofErr w:type="spellStart"/>
      <w:r w:rsidRPr="00506DFB">
        <w:t>EASyMelt</w:t>
      </w:r>
      <w:proofErr w:type="spellEnd"/>
      <w:r w:rsidRPr="00506DFB">
        <w:t>, and carbon capture technologies for developing low-carbon products (Ranjan, 2026).</w:t>
      </w:r>
    </w:p>
    <w:p w14:paraId="7A094AC9" w14:textId="77777777" w:rsidR="00BF2E31" w:rsidRDefault="00BF2E31" w:rsidP="00BF2E31">
      <w:pPr>
        <w:keepNext/>
        <w:jc w:val="center"/>
      </w:pPr>
      <w:r>
        <w:rPr>
          <w:noProof/>
          <w:lang w:eastAsia="en-GB"/>
        </w:rPr>
        <w:drawing>
          <wp:inline distT="0" distB="0" distL="0" distR="0" wp14:anchorId="66163BAD" wp14:editId="7DFC59A6">
            <wp:extent cx="3586099" cy="2466975"/>
            <wp:effectExtent l="0" t="0" r="0" b="0"/>
            <wp:docPr id="3" name="Picture 3" descr="The Ansoff Matrix: A simple framework to help you think about business  growth | by Manny Martin-Morrissey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descr="The Ansoff Matrix: A simple framework to help you think about business  growth | by Manny Martin-Morrissey | Medium"/>
                    <pic:cNvPicPr>
                      <a:picLocks noChangeAspect="1" noChangeArrowheads="1"/>
                    </pic:cNvPicPr>
                  </pic:nvPicPr>
                  <pic:blipFill rotWithShape="1">
                    <a:blip r:embed="rId9">
                      <a:extLst>
                        <a:ext uri="{28A0092B-C50C-407E-A947-70E740481C1C}">
                          <a14:useLocalDpi xmlns:a14="http://schemas.microsoft.com/office/drawing/2010/main" val="0"/>
                        </a:ext>
                      </a:extLst>
                    </a:blip>
                    <a:srcRect l="10256" t="6267" r="19391" b="7692"/>
                    <a:stretch/>
                  </pic:blipFill>
                  <pic:spPr bwMode="auto">
                    <a:xfrm>
                      <a:off x="0" y="0"/>
                      <a:ext cx="3590275" cy="2469848"/>
                    </a:xfrm>
                    <a:prstGeom prst="rect">
                      <a:avLst/>
                    </a:prstGeom>
                    <a:noFill/>
                    <a:ln>
                      <a:noFill/>
                    </a:ln>
                    <a:extLst>
                      <a:ext uri="{53640926-AAD7-44D8-BBD7-CCE9431645EC}">
                        <a14:shadowObscured xmlns:a14="http://schemas.microsoft.com/office/drawing/2010/main"/>
                      </a:ext>
                    </a:extLst>
                  </pic:spPr>
                </pic:pic>
              </a:graphicData>
            </a:graphic>
          </wp:inline>
        </w:drawing>
      </w:r>
    </w:p>
    <w:p w14:paraId="5186EC17" w14:textId="77777777" w:rsidR="00BF2E31" w:rsidRPr="00BF2E31" w:rsidRDefault="00BF2E31" w:rsidP="00BF2E31">
      <w:pPr>
        <w:pStyle w:val="Caption"/>
      </w:pPr>
      <w:bookmarkStart w:id="10" w:name="_Toc235452525"/>
      <w:r>
        <w:t xml:space="preserve">Figure </w:t>
      </w:r>
      <w:r>
        <w:fldChar w:fldCharType="begin"/>
      </w:r>
      <w:r>
        <w:instrText xml:space="preserve"> SEQ Figure \* ARABIC </w:instrText>
      </w:r>
      <w:r>
        <w:fldChar w:fldCharType="separate"/>
      </w:r>
      <w:r w:rsidR="00AE3FAA">
        <w:rPr>
          <w:noProof/>
        </w:rPr>
        <w:t>3</w:t>
      </w:r>
      <w:r>
        <w:fldChar w:fldCharType="end"/>
      </w:r>
      <w:r>
        <w:t xml:space="preserve">: The </w:t>
      </w:r>
      <w:r w:rsidRPr="00BF2E31">
        <w:t>Ansoff Matrix</w:t>
      </w:r>
      <w:bookmarkEnd w:id="10"/>
    </w:p>
    <w:p w14:paraId="401C1DED" w14:textId="77777777" w:rsidR="00BF2E31" w:rsidRPr="00BF2E31" w:rsidRDefault="00BF2E31" w:rsidP="00BF2E31">
      <w:pPr>
        <w:jc w:val="center"/>
        <w:rPr>
          <w:i/>
        </w:rPr>
      </w:pPr>
      <w:r w:rsidRPr="00BF2E31">
        <w:rPr>
          <w:i/>
        </w:rPr>
        <w:t>Source: (Morrissey, 2023)</w:t>
      </w:r>
    </w:p>
    <w:p w14:paraId="11B4D256" w14:textId="77777777" w:rsidR="00506DFB" w:rsidRDefault="00D413D4" w:rsidP="00506DFB">
      <w:pPr>
        <w:pStyle w:val="Heading3"/>
      </w:pPr>
      <w:bookmarkStart w:id="11" w:name="_Toc235453845"/>
      <w:r>
        <w:t>2</w:t>
      </w:r>
      <w:r w:rsidR="00ED2FAB">
        <w:t>.</w:t>
      </w:r>
      <w:r w:rsidR="00506DFB">
        <w:t>2</w:t>
      </w:r>
      <w:r w:rsidR="00ED2FAB">
        <w:t xml:space="preserve"> Competitive Positioning </w:t>
      </w:r>
      <w:r w:rsidR="00506DFB" w:rsidRPr="00506DFB">
        <w:t>Using Porter's Generic Strategies</w:t>
      </w:r>
      <w:bookmarkEnd w:id="11"/>
    </w:p>
    <w:p w14:paraId="60F5DA6C" w14:textId="77777777" w:rsidR="00506DFB" w:rsidRPr="00506DFB" w:rsidRDefault="00506DFB" w:rsidP="00506DFB">
      <w:pPr>
        <w:rPr>
          <w:b/>
        </w:rPr>
      </w:pPr>
      <w:r w:rsidRPr="00506DFB">
        <w:rPr>
          <w:b/>
        </w:rPr>
        <w:t>Recommended Strategy: Differentiation</w:t>
      </w:r>
    </w:p>
    <w:p w14:paraId="52C94F61" w14:textId="77777777" w:rsidR="00506DFB" w:rsidRDefault="00506DFB" w:rsidP="00F856CB">
      <w:r w:rsidRPr="00506DFB">
        <w:t xml:space="preserve">Among </w:t>
      </w:r>
      <w:r w:rsidR="00F856CB" w:rsidRPr="00F856CB">
        <w:t>Porter’s Generic Strategies, differentiation stands out as the ideal competitive positioning strategy for Tata Steel since it emerges from the environmental analysis that competition in the coming days is going to revolve around providing validated low carbon value as opposed to just competing based on cost (Dewey and Joseph, 2021). With steel still being a commodity, the only way to ensure sustainable competitive advantage is by converting environmental performance into value for the customers. In this regard, Tata Steel is well on its way toward ensuring that it achieves this by having green steel technologies, Environmental Product Declarations (EPDs), Life Cycle Assessments (LCAs), India’s first Carbon Bank and a UK 3.2 MTPA Electric Arc Furnace, which will cut down direct emissions to about 90%. Tata aims at disclosing the environmental performance of 100% o</w:t>
      </w:r>
      <w:r w:rsidR="00F856CB">
        <w:t xml:space="preserve">f its products in India by 2030 </w:t>
      </w:r>
      <w:r w:rsidR="00F856CB" w:rsidRPr="00F856CB">
        <w:t>(Tata, 2024)</w:t>
      </w:r>
      <w:r>
        <w:t>.</w:t>
      </w:r>
    </w:p>
    <w:p w14:paraId="0FF71688" w14:textId="77777777" w:rsidR="00506DFB" w:rsidRPr="00506DFB" w:rsidRDefault="00506DFB" w:rsidP="00506DFB">
      <w:pPr>
        <w:rPr>
          <w:b/>
        </w:rPr>
      </w:pPr>
      <w:r w:rsidRPr="00506DFB">
        <w:rPr>
          <w:b/>
        </w:rPr>
        <w:t>Critical Evaluation</w:t>
      </w:r>
    </w:p>
    <w:p w14:paraId="15280E2A" w14:textId="77777777" w:rsidR="00506DFB" w:rsidRDefault="00F856CB" w:rsidP="00695D4E">
      <w:pPr>
        <w:tabs>
          <w:tab w:val="left" w:pos="2322"/>
        </w:tabs>
      </w:pPr>
      <w:r w:rsidRPr="00F856CB">
        <w:t xml:space="preserve">Nonetheless, the differentiation strategy based on green steel does not necessarily guarantee competitive advantage. From empirical studies, it was observed that while sustainability helps </w:t>
      </w:r>
      <w:r w:rsidRPr="00F856CB">
        <w:lastRenderedPageBreak/>
        <w:t xml:space="preserve">improve corporate reputation and legitimacy in the market, the customers' willingness to pay (WTP) for eco-friendly products is quite volatile and greatly dependent on the economy (Narayanan and Singh, 2023). Empirical findings suggest that willingness to pay results in companies producing differentiated green products, but costs of manufacturing and research become barriers to market penetration and profitability (Aissa and </w:t>
      </w:r>
      <w:proofErr w:type="spellStart"/>
      <w:r w:rsidRPr="00F856CB">
        <w:t>Tampieri</w:t>
      </w:r>
      <w:proofErr w:type="spellEnd"/>
      <w:r w:rsidRPr="00F856CB">
        <w:t xml:space="preserve">, 2025). </w:t>
      </w:r>
      <w:r w:rsidR="000F57F2" w:rsidRPr="000F57F2">
        <w:t>Moreover, for the green steel industry, a competitive advantage will be achieved through international standards and certification, considering the potential influence on the differentiation due to differ</w:t>
      </w:r>
      <w:r w:rsidR="000F57F2">
        <w:t>ent perceptions of greenwashing</w:t>
      </w:r>
      <w:r w:rsidR="000357CA" w:rsidRPr="000357CA">
        <w:t xml:space="preserve"> </w:t>
      </w:r>
      <w:r w:rsidRPr="00F856CB">
        <w:t xml:space="preserve">(Ding, Luo and Zhou, 2026). </w:t>
      </w:r>
    </w:p>
    <w:p w14:paraId="3CB421EC" w14:textId="77777777" w:rsidR="00506DFB" w:rsidRPr="00506DFB" w:rsidRDefault="00506DFB" w:rsidP="00506DFB">
      <w:pPr>
        <w:rPr>
          <w:b/>
        </w:rPr>
      </w:pPr>
      <w:r w:rsidRPr="00506DFB">
        <w:rPr>
          <w:b/>
        </w:rPr>
        <w:t>Judgement</w:t>
      </w:r>
    </w:p>
    <w:p w14:paraId="65862B35" w14:textId="77777777" w:rsidR="00506DFB" w:rsidRPr="00506DFB" w:rsidRDefault="00F856CB" w:rsidP="00F856CB">
      <w:pPr>
        <w:tabs>
          <w:tab w:val="left" w:pos="450"/>
        </w:tabs>
      </w:pPr>
      <w:r w:rsidRPr="00F856CB">
        <w:t xml:space="preserve">Thus, for Tata Steel to maintain its competitive advantage, it cannot depend solely on manufacturing of green steel; instead, it has to demonstrate that such steel offers tangible economic value to the industry. </w:t>
      </w:r>
      <w:r w:rsidR="002127FB" w:rsidRPr="002127FB">
        <w:t xml:space="preserve">The differentiation of Tata Steel must be based on the carbon verification, technological capability, and value chain development rather than sustainability. Moreover, such an advantage is hard to replicate by its competitors due to the following reasons. The company enjoys the economies of scale, technological capabilities, and investment in the EAF infrastructure and hydrogen-ready steelmaking plants. All these assets take time and significant amounts </w:t>
      </w:r>
      <w:r w:rsidR="002127FB">
        <w:t>of money and expertise to build</w:t>
      </w:r>
      <w:r w:rsidRPr="00F856CB">
        <w:t>. If Tata Steel manages to reconcile the environmental innovation process with the buyers' purchasing criteria, then differentiation will create competitive advantage, or else green steel will just turn out to be an</w:t>
      </w:r>
      <w:r>
        <w:t xml:space="preserve"> expensive strategy requirement</w:t>
      </w:r>
      <w:r w:rsidR="00506DFB">
        <w:t>.</w:t>
      </w:r>
    </w:p>
    <w:p w14:paraId="67346D3D" w14:textId="77777777" w:rsidR="00506DFB" w:rsidRDefault="00506DFB" w:rsidP="00506DFB">
      <w:pPr>
        <w:keepNext/>
        <w:jc w:val="center"/>
      </w:pPr>
      <w:r>
        <w:rPr>
          <w:noProof/>
          <w:lang w:eastAsia="en-GB"/>
        </w:rPr>
        <w:lastRenderedPageBreak/>
        <w:drawing>
          <wp:inline distT="0" distB="0" distL="0" distR="0" wp14:anchorId="55083488" wp14:editId="36D42FBB">
            <wp:extent cx="3224818" cy="3028950"/>
            <wp:effectExtent l="0" t="0" r="0" b="0"/>
            <wp:docPr id="4" name="Picture 4" descr="Michael Porter's 3 Generic Strategi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descr="Michael Porter's 3 Generic Strategies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31068" cy="3034820"/>
                    </a:xfrm>
                    <a:prstGeom prst="rect">
                      <a:avLst/>
                    </a:prstGeom>
                    <a:noFill/>
                    <a:ln>
                      <a:noFill/>
                    </a:ln>
                  </pic:spPr>
                </pic:pic>
              </a:graphicData>
            </a:graphic>
          </wp:inline>
        </w:drawing>
      </w:r>
    </w:p>
    <w:p w14:paraId="614FA6F5" w14:textId="77777777" w:rsidR="00506DFB" w:rsidRDefault="00506DFB" w:rsidP="00506DFB">
      <w:pPr>
        <w:pStyle w:val="Caption"/>
      </w:pPr>
      <w:bookmarkStart w:id="12" w:name="_Toc235452526"/>
      <w:r>
        <w:t xml:space="preserve">Figure </w:t>
      </w:r>
      <w:r>
        <w:fldChar w:fldCharType="begin"/>
      </w:r>
      <w:r>
        <w:instrText xml:space="preserve"> SEQ Figure \* ARABIC </w:instrText>
      </w:r>
      <w:r>
        <w:fldChar w:fldCharType="separate"/>
      </w:r>
      <w:r w:rsidR="00AE3FAA">
        <w:rPr>
          <w:noProof/>
        </w:rPr>
        <w:t>4</w:t>
      </w:r>
      <w:r>
        <w:fldChar w:fldCharType="end"/>
      </w:r>
      <w:r>
        <w:t xml:space="preserve">: </w:t>
      </w:r>
      <w:r w:rsidRPr="00506DFB">
        <w:t>Porter's Generic Strategies</w:t>
      </w:r>
      <w:bookmarkEnd w:id="12"/>
    </w:p>
    <w:p w14:paraId="47C4F120" w14:textId="77777777" w:rsidR="00506DFB" w:rsidRPr="00506DFB" w:rsidRDefault="00506DFB" w:rsidP="00506DFB">
      <w:pPr>
        <w:jc w:val="center"/>
        <w:rPr>
          <w:i/>
        </w:rPr>
      </w:pPr>
      <w:r w:rsidRPr="00506DFB">
        <w:rPr>
          <w:i/>
        </w:rPr>
        <w:t>Source: (</w:t>
      </w:r>
      <w:proofErr w:type="spellStart"/>
      <w:r w:rsidRPr="00506DFB">
        <w:rPr>
          <w:i/>
        </w:rPr>
        <w:t>Shyamadanthi</w:t>
      </w:r>
      <w:proofErr w:type="spellEnd"/>
      <w:r w:rsidRPr="00506DFB">
        <w:rPr>
          <w:i/>
        </w:rPr>
        <w:t>, 2022)</w:t>
      </w:r>
    </w:p>
    <w:p w14:paraId="69633695" w14:textId="77777777" w:rsidR="00ED2FAB" w:rsidRDefault="00D413D4" w:rsidP="00F856CB">
      <w:pPr>
        <w:pStyle w:val="Heading3"/>
      </w:pPr>
      <w:bookmarkStart w:id="13" w:name="_Toc235453846"/>
      <w:r>
        <w:t>2</w:t>
      </w:r>
      <w:r w:rsidR="00F856CB">
        <w:t>.3</w:t>
      </w:r>
      <w:r w:rsidR="00ED2FAB">
        <w:t xml:space="preserve"> Strategic Recommendations</w:t>
      </w:r>
      <w:bookmarkEnd w:id="13"/>
      <w:r w:rsidR="00ED2FAB">
        <w:t xml:space="preserve"> </w:t>
      </w:r>
    </w:p>
    <w:p w14:paraId="1E31E9CB" w14:textId="77777777" w:rsidR="00F856CB" w:rsidRPr="00F856CB" w:rsidRDefault="00F856CB" w:rsidP="00F856CB">
      <w:pPr>
        <w:rPr>
          <w:b/>
        </w:rPr>
      </w:pPr>
      <w:r w:rsidRPr="00F856CB">
        <w:rPr>
          <w:b/>
        </w:rPr>
        <w:t>Recommendation 1: Accelerate Commercialisation of Green Steel</w:t>
      </w:r>
    </w:p>
    <w:p w14:paraId="7BE2C74A" w14:textId="77777777" w:rsidR="00F856CB" w:rsidRDefault="00F856CB" w:rsidP="00F856CB">
      <w:r w:rsidRPr="00F856CB">
        <w:t>Tata Steel ne</w:t>
      </w:r>
      <w:r>
        <w:t xml:space="preserve">eds to </w:t>
      </w:r>
      <w:r w:rsidR="00FB63E8" w:rsidRPr="00FB63E8">
        <w:t>Speed up the process of commercialization of certified green steel through the manufacture of hydrogen-ready EAF before 2030 to imp</w:t>
      </w:r>
      <w:r w:rsidR="00FB63E8">
        <w:t>rove premium market positioning</w:t>
      </w:r>
      <w:r w:rsidRPr="00F856CB">
        <w:t xml:space="preserve">. Currently, Tata Steel is implementing a 3.2 MTPA EAF project in the UK, upgrading its scrap-based EAF in India, and </w:t>
      </w:r>
      <w:r w:rsidR="00FB63E8">
        <w:t xml:space="preserve">testing hydrogen technologies </w:t>
      </w:r>
      <w:r w:rsidRPr="00F856CB">
        <w:t xml:space="preserve">all forming a good technological base. It will help with differentiation, pricing premium products and adhering to new procurement regulations on low-carbon emissions. Yet it will be possible only by lowering technology costs </w:t>
      </w:r>
      <w:r>
        <w:t>and promoting customer adoption.</w:t>
      </w:r>
    </w:p>
    <w:p w14:paraId="46046B14" w14:textId="77777777" w:rsidR="00F856CB" w:rsidRPr="00F856CB" w:rsidRDefault="00F856CB" w:rsidP="00F856CB">
      <w:pPr>
        <w:rPr>
          <w:b/>
        </w:rPr>
      </w:pPr>
      <w:r w:rsidRPr="00F856CB">
        <w:rPr>
          <w:b/>
        </w:rPr>
        <w:t>Recommendation 2: Expand Renewable Energy Partnerships</w:t>
      </w:r>
    </w:p>
    <w:p w14:paraId="328CA839" w14:textId="77777777" w:rsidR="00F856CB" w:rsidRDefault="00FB63E8" w:rsidP="00F856CB">
      <w:r w:rsidRPr="00FB63E8">
        <w:t>Tata Steel needs to make more long-term energy alliances in renewable energy before 2030 to cut down production costs and increase</w:t>
      </w:r>
      <w:r>
        <w:t xml:space="preserve"> long-term cost competitiveness</w:t>
      </w:r>
      <w:r w:rsidR="00F856CB" w:rsidRPr="00F856CB">
        <w:t>. The current deals for 966 MW of renewable energy are indicative of the company’s progress in this direction, but greater use of renewable energy sources will decrease the vulnerability to carbon taxes and make green steel more commercially viable despite the need for s</w:t>
      </w:r>
      <w:r w:rsidR="00F856CB">
        <w:t>ignificant capital expenditures.</w:t>
      </w:r>
    </w:p>
    <w:p w14:paraId="591E50E5" w14:textId="77777777" w:rsidR="00ED2FAB" w:rsidRDefault="00F856CB" w:rsidP="00ED2FAB">
      <w:pPr>
        <w:pStyle w:val="Heading1"/>
      </w:pPr>
      <w:bookmarkStart w:id="14" w:name="_Toc235453847"/>
      <w:r>
        <w:lastRenderedPageBreak/>
        <w:t xml:space="preserve">Task 3: </w:t>
      </w:r>
      <w:r w:rsidR="00ED2FAB">
        <w:t>Critical Reflection on AI Use</w:t>
      </w:r>
      <w:bookmarkEnd w:id="14"/>
    </w:p>
    <w:p w14:paraId="7B125840" w14:textId="77777777" w:rsidR="00FF3BE8" w:rsidRDefault="00FF3BE8" w:rsidP="00FF3BE8">
      <w:pPr>
        <w:pStyle w:val="Heading3"/>
      </w:pPr>
      <w:bookmarkStart w:id="15" w:name="_Toc235453848"/>
      <w:r>
        <w:t>3.1 AI Tool Disclosure</w:t>
      </w:r>
      <w:bookmarkEnd w:id="15"/>
      <w:r>
        <w:t xml:space="preserve"> </w:t>
      </w:r>
    </w:p>
    <w:p w14:paraId="09D08125" w14:textId="77777777" w:rsidR="00FF3BE8" w:rsidRDefault="006F48B0" w:rsidP="00FF3BE8">
      <w:r w:rsidRPr="006F48B0">
        <w:t>Throughout this report, ChatGPT was employed solely for checking my grammar, enhancing my sentence structures and proofreading my final draft. It was never used in generating ideas, writing the various sections of my report, analysing the literature, recommending strategies or coming up with my conclusion. All of these were done independently by me. This has been in line with the assessment requirements that allowed the use of AI in proofreading alone without us</w:t>
      </w:r>
      <w:r>
        <w:t>ing AI to come up with any work</w:t>
      </w:r>
      <w:r w:rsidR="00FF3BE8">
        <w:t>.</w:t>
      </w:r>
    </w:p>
    <w:p w14:paraId="1EF71F84" w14:textId="77777777" w:rsidR="00FF3BE8" w:rsidRDefault="00FF3BE8" w:rsidP="00FF3BE8">
      <w:pPr>
        <w:pStyle w:val="Heading3"/>
      </w:pPr>
      <w:bookmarkStart w:id="16" w:name="_Toc235453849"/>
      <w:r>
        <w:t>3.2 Verifying AI Output</w:t>
      </w:r>
      <w:bookmarkEnd w:id="16"/>
      <w:r>
        <w:t xml:space="preserve"> </w:t>
      </w:r>
    </w:p>
    <w:p w14:paraId="0980D1D7" w14:textId="77777777" w:rsidR="002127FB" w:rsidRPr="002127FB" w:rsidRDefault="002127FB" w:rsidP="002127FB">
      <w:r w:rsidRPr="002127FB">
        <w:t>Since ChatGPT was used only for proofreading, all recommended changes were reviewed before implementing them. For instance, AI recommended changing “Product Development will emerge as the most effective strategy” to “Product Development is the best strategy.” The latter version was not implemented because it was too conclusive and did not contain the required critical analysis, which is backed up by the academic literature. All the recommendations by AI were checked for hallucinations by ensuring that there were no new facts, statistics, or references added to the text. All the overstatements and logical fallacies were detected by comparing the new sentence with the initial one and the academic literature.</w:t>
      </w:r>
    </w:p>
    <w:p w14:paraId="2DFED224" w14:textId="77777777" w:rsidR="00FF3BE8" w:rsidRDefault="00FF3BE8" w:rsidP="00FF3BE8">
      <w:pPr>
        <w:pStyle w:val="Heading3"/>
      </w:pPr>
      <w:bookmarkStart w:id="17" w:name="_Toc235453850"/>
      <w:r>
        <w:t>3.3 Human versus AI Contribution</w:t>
      </w:r>
      <w:bookmarkEnd w:id="17"/>
      <w:r>
        <w:t xml:space="preserve"> </w:t>
      </w:r>
    </w:p>
    <w:p w14:paraId="23D068ED" w14:textId="77777777" w:rsidR="00FF3BE8" w:rsidRDefault="006F48B0" w:rsidP="00FF3BE8">
      <w:r w:rsidRPr="006F48B0">
        <w:t>This final report has been written based on my own academic effort. AI was used to polish the grammar, punctuations, and sentences only. I have chosen Tata Steel as the subject matter for the report, conducted research on existing academic literature, analysed empirical data, adopted the marketing environment model proposed by Kotler, used Ansoff Matrix, Generic Strategies suggested by Porter, considered various perspectives, and made the recommendations and conclusion myself. All judgments made in the report are based on my own interpretation and evaluation of the evidence. Hence, AI contributed to the improvement of writing but not analysis and decision-making in the r</w:t>
      </w:r>
      <w:r>
        <w:t>eport</w:t>
      </w:r>
      <w:r w:rsidR="00FF3BE8">
        <w:t>.</w:t>
      </w:r>
    </w:p>
    <w:p w14:paraId="0D560845" w14:textId="77777777" w:rsidR="00FF3BE8" w:rsidRDefault="00FF3BE8" w:rsidP="00FF3BE8">
      <w:pPr>
        <w:pStyle w:val="Heading3"/>
      </w:pPr>
      <w:bookmarkStart w:id="18" w:name="_Toc235453851"/>
      <w:r>
        <w:t>3.4 Ethical Reflection</w:t>
      </w:r>
      <w:bookmarkEnd w:id="18"/>
    </w:p>
    <w:p w14:paraId="3887ED13" w14:textId="77777777" w:rsidR="00B033D9" w:rsidRDefault="006F48B0" w:rsidP="006F48B0">
      <w:r w:rsidRPr="006F48B0">
        <w:t xml:space="preserve">The ethical application of AI can increase the quality of academic writing through the correction of grammatical errors and better presentation of ideas. </w:t>
      </w:r>
      <w:r w:rsidR="002127FB" w:rsidRPr="002127FB">
        <w:t xml:space="preserve">In addition, AI can be biased in market research due to its tendency to overly rely on general perspectives, which ignore any specific data </w:t>
      </w:r>
      <w:r w:rsidR="002127FB" w:rsidRPr="002127FB">
        <w:lastRenderedPageBreak/>
        <w:t>related to the sector or geographic region under investigation. Additionally, if consumer information is utilised, the need for confidentiality and protection of consumer data should be safeguarded by making sure that consumer data does not get fed into the AI</w:t>
      </w:r>
      <w:r w:rsidR="002127FB">
        <w:t xml:space="preserve"> system without proper approval</w:t>
      </w:r>
      <w:r w:rsidRPr="006F48B0">
        <w:t xml:space="preserve">. Thus, students should apply AI as an auxiliary tool but not use it as a substitute for their knowledge and judgment. In this report, I applied AI only for proofreading and took full responsibility for all research, analysis, and conclusions. </w:t>
      </w:r>
      <w:r w:rsidR="00092B0A" w:rsidRPr="00092B0A">
        <w:t>Another responsibility of being a professional involves avoiding the replacement of independent academic judgement by artificial intelligence in particular when evaluating evidence and making recommendations.</w:t>
      </w:r>
      <w:r w:rsidR="00092B0A">
        <w:t xml:space="preserve"> </w:t>
      </w:r>
      <w:r w:rsidRPr="006F48B0">
        <w:t>The use of AI in this way retains the integrity of the academic work and allows for maintaining transparency in the process.</w:t>
      </w:r>
    </w:p>
    <w:p w14:paraId="519EB99C" w14:textId="77777777" w:rsidR="006F48B0" w:rsidRDefault="006F48B0" w:rsidP="006F48B0">
      <w:pPr>
        <w:pStyle w:val="Heading1"/>
      </w:pPr>
      <w:bookmarkStart w:id="19" w:name="_Toc235453852"/>
      <w:r>
        <w:t>CONCLUSION</w:t>
      </w:r>
      <w:bookmarkEnd w:id="19"/>
    </w:p>
    <w:p w14:paraId="514368FE" w14:textId="77777777" w:rsidR="00D200C3" w:rsidRDefault="006F48B0" w:rsidP="006F48B0">
      <w:r w:rsidRPr="006F48B0">
        <w:t>In conclusion, Tata Steel's transition towards low-carbon steel is primarily driven by environmental pressures and enabled by technological innovation. Product Development supported by a differentiation strategy provides the strongest pathway for sustainable growth. However, long-term competitive advantage will depend on balancing decarbonisation, technological investment and customer value while maintaining commercial profitability and market competitiveness.</w:t>
      </w:r>
    </w:p>
    <w:p w14:paraId="221FB184" w14:textId="77777777" w:rsidR="00D200C3" w:rsidRDefault="00D200C3" w:rsidP="00D200C3">
      <w:r>
        <w:br w:type="page"/>
      </w:r>
    </w:p>
    <w:p w14:paraId="34E9D53E" w14:textId="77777777" w:rsidR="006F48B0" w:rsidRPr="00D200C3" w:rsidRDefault="00D200C3" w:rsidP="00D200C3">
      <w:pPr>
        <w:pStyle w:val="Heading1"/>
      </w:pPr>
      <w:bookmarkStart w:id="20" w:name="_Toc235453853"/>
      <w:r w:rsidRPr="00D200C3">
        <w:lastRenderedPageBreak/>
        <w:t>REFERENCES</w:t>
      </w:r>
      <w:bookmarkEnd w:id="20"/>
    </w:p>
    <w:p w14:paraId="09A67F86" w14:textId="77777777" w:rsidR="00D200C3" w:rsidRDefault="00D200C3" w:rsidP="00D200C3">
      <w:pPr>
        <w:pStyle w:val="NormalWeb"/>
        <w:spacing w:before="0" w:beforeAutospacing="0" w:after="240" w:afterAutospacing="0"/>
        <w:ind w:left="720" w:hanging="720"/>
        <w:jc w:val="both"/>
      </w:pPr>
      <w:r>
        <w:t xml:space="preserve">Aissa, A.K. and </w:t>
      </w:r>
      <w:proofErr w:type="spellStart"/>
      <w:r>
        <w:t>Tampieri</w:t>
      </w:r>
      <w:proofErr w:type="spellEnd"/>
      <w:r>
        <w:t xml:space="preserve">, A. (2025). Green consumers and the transition to sustainable production. </w:t>
      </w:r>
      <w:r>
        <w:rPr>
          <w:i/>
          <w:iCs/>
        </w:rPr>
        <w:t>Environmental and resource economics</w:t>
      </w:r>
      <w:r>
        <w:t xml:space="preserve">. doi: </w:t>
      </w:r>
      <w:hyperlink r:id="rId11" w:history="1">
        <w:r w:rsidRPr="00D776E7">
          <w:rPr>
            <w:rStyle w:val="Hyperlink"/>
          </w:rPr>
          <w:t>https://doi.org/10.1007/s10640-025-01028-3</w:t>
        </w:r>
      </w:hyperlink>
      <w:r>
        <w:t xml:space="preserve">. </w:t>
      </w:r>
    </w:p>
    <w:p w14:paraId="5376DC8B" w14:textId="77777777" w:rsidR="00D200C3" w:rsidRDefault="00D200C3" w:rsidP="00D200C3">
      <w:pPr>
        <w:pStyle w:val="NormalWeb"/>
        <w:spacing w:before="0" w:beforeAutospacing="0" w:after="240" w:afterAutospacing="0"/>
        <w:ind w:left="720" w:hanging="720"/>
        <w:jc w:val="both"/>
      </w:pPr>
      <w:r>
        <w:t xml:space="preserve">Branca, T.A., Colla, V., Murri, M.M. and Schröder, A.J. (2024). The impact of the new technologies and the EU climate objectives on the steel industry. </w:t>
      </w:r>
      <w:r>
        <w:rPr>
          <w:i/>
          <w:iCs/>
        </w:rPr>
        <w:t>Topics in Mining, metallurgy and materials engineering</w:t>
      </w:r>
      <w:r>
        <w:t xml:space="preserve">, pp.53–75. doi: </w:t>
      </w:r>
      <w:hyperlink r:id="rId12" w:history="1">
        <w:r w:rsidRPr="00D776E7">
          <w:rPr>
            <w:rStyle w:val="Hyperlink"/>
          </w:rPr>
          <w:t>https://doi.org/10.1007/978-3-031-35479-3_4</w:t>
        </w:r>
      </w:hyperlink>
      <w:r>
        <w:t xml:space="preserve">. </w:t>
      </w:r>
    </w:p>
    <w:p w14:paraId="11F7A86D" w14:textId="77777777" w:rsidR="00D200C3" w:rsidRDefault="00D200C3" w:rsidP="00D200C3">
      <w:pPr>
        <w:pStyle w:val="NormalWeb"/>
        <w:spacing w:before="0" w:beforeAutospacing="0" w:after="240" w:afterAutospacing="0"/>
        <w:ind w:left="720" w:hanging="720"/>
        <w:jc w:val="both"/>
      </w:pPr>
      <w:r>
        <w:t xml:space="preserve">Chen, L., Liu, Z., Liu, Y., Chen, Z., Huang, L., Dong, L., Li, X., Xie, Z., Hua, J. and Shi, J. (2026). Green construction strategies to combat climate change and public-health issues. </w:t>
      </w:r>
      <w:r>
        <w:rPr>
          <w:i/>
          <w:iCs/>
        </w:rPr>
        <w:t>Cell reports physical science</w:t>
      </w:r>
      <w:r>
        <w:t xml:space="preserve">, pp.103044–103044. doi: </w:t>
      </w:r>
      <w:hyperlink r:id="rId13" w:history="1">
        <w:r w:rsidRPr="00D776E7">
          <w:rPr>
            <w:rStyle w:val="Hyperlink"/>
          </w:rPr>
          <w:t>https://doi.org/10.1016/j.xcrp.2025.103044</w:t>
        </w:r>
      </w:hyperlink>
      <w:r>
        <w:t xml:space="preserve">. </w:t>
      </w:r>
    </w:p>
    <w:p w14:paraId="65050E99" w14:textId="77777777" w:rsidR="00D200C3" w:rsidRDefault="00D200C3" w:rsidP="00D200C3">
      <w:pPr>
        <w:pStyle w:val="NormalWeb"/>
        <w:spacing w:before="0" w:beforeAutospacing="0" w:after="240" w:afterAutospacing="0"/>
        <w:ind w:left="720" w:hanging="720"/>
        <w:jc w:val="both"/>
      </w:pPr>
      <w:r>
        <w:t xml:space="preserve">Dewey and Joseph (2021). </w:t>
      </w:r>
      <w:r>
        <w:rPr>
          <w:i/>
          <w:iCs/>
        </w:rPr>
        <w:t xml:space="preserve">Porter’s generic strategies | </w:t>
      </w:r>
      <w:proofErr w:type="spellStart"/>
      <w:r>
        <w:rPr>
          <w:i/>
          <w:iCs/>
        </w:rPr>
        <w:t>ebsco</w:t>
      </w:r>
      <w:proofErr w:type="spellEnd"/>
      <w:r>
        <w:t xml:space="preserve">. [online] </w:t>
      </w:r>
      <w:r>
        <w:rPr>
          <w:i/>
          <w:iCs/>
        </w:rPr>
        <w:t>EBSCO Information Services, Inc. | www.ebsco.com</w:t>
      </w:r>
      <w:r>
        <w:t xml:space="preserve">. Available at: </w:t>
      </w:r>
      <w:hyperlink r:id="rId14" w:history="1">
        <w:r w:rsidRPr="00D776E7">
          <w:rPr>
            <w:rStyle w:val="Hyperlink"/>
          </w:rPr>
          <w:t>https://www.ebsco.com/research-starters/marketing/porters-generic-strategies</w:t>
        </w:r>
      </w:hyperlink>
      <w:r>
        <w:t xml:space="preserve">  [Accessed 20 July 2026].</w:t>
      </w:r>
    </w:p>
    <w:p w14:paraId="0E0DFBD8" w14:textId="77777777" w:rsidR="00D200C3" w:rsidRDefault="00D200C3" w:rsidP="00D200C3">
      <w:pPr>
        <w:pStyle w:val="NormalWeb"/>
        <w:spacing w:before="0" w:beforeAutospacing="0" w:after="240" w:afterAutospacing="0"/>
        <w:ind w:left="720" w:hanging="720"/>
        <w:jc w:val="both"/>
      </w:pPr>
      <w:r>
        <w:t xml:space="preserve">Ding, B., Luo, S. and Zhou, G. (2026). Substance over form: A carbon performance examination on corporate ESG practices. </w:t>
      </w:r>
      <w:r>
        <w:rPr>
          <w:i/>
          <w:iCs/>
        </w:rPr>
        <w:t>International review of Economics &amp; finance</w:t>
      </w:r>
      <w:r>
        <w:t xml:space="preserve">, [online] 106, p.104902. doi: </w:t>
      </w:r>
      <w:hyperlink r:id="rId15" w:history="1">
        <w:r w:rsidRPr="00D776E7">
          <w:rPr>
            <w:rStyle w:val="Hyperlink"/>
          </w:rPr>
          <w:t>https://doi.org/10.1016/j.iref.2026.104902</w:t>
        </w:r>
      </w:hyperlink>
      <w:r>
        <w:t xml:space="preserve">. </w:t>
      </w:r>
    </w:p>
    <w:p w14:paraId="49835566" w14:textId="77777777" w:rsidR="00D200C3" w:rsidRDefault="00D200C3" w:rsidP="00D200C3">
      <w:pPr>
        <w:pStyle w:val="NormalWeb"/>
        <w:spacing w:before="0" w:beforeAutospacing="0" w:after="240" w:afterAutospacing="0"/>
        <w:ind w:left="720" w:hanging="720"/>
        <w:jc w:val="both"/>
      </w:pPr>
      <w:r>
        <w:t xml:space="preserve">Ficarra, M.E.C., Ficarra, F.C., Sicca, M., Militello, L. and Pappalardo, G. (2026). </w:t>
      </w:r>
      <w:proofErr w:type="spellStart"/>
      <w:r>
        <w:t>CORONAvirus</w:t>
      </w:r>
      <w:proofErr w:type="spellEnd"/>
      <w:r>
        <w:t xml:space="preserve"> disease 2019 (covid-19) pandemic: From molecular pathogenesis to novel therapeutic approaches. </w:t>
      </w:r>
      <w:r>
        <w:rPr>
          <w:i/>
          <w:iCs/>
        </w:rPr>
        <w:t>European journal of Pharmacology</w:t>
      </w:r>
      <w:r>
        <w:t xml:space="preserve">, [online] 951, p.175183. doi: </w:t>
      </w:r>
      <w:hyperlink r:id="rId16" w:history="1">
        <w:r w:rsidRPr="00D776E7">
          <w:rPr>
            <w:rStyle w:val="Hyperlink"/>
          </w:rPr>
          <w:t>https://doi.org/10.1016/j.ejphar.2026.175183</w:t>
        </w:r>
      </w:hyperlink>
      <w:r>
        <w:t xml:space="preserve">.   </w:t>
      </w:r>
    </w:p>
    <w:p w14:paraId="4E701248" w14:textId="77777777" w:rsidR="00D200C3" w:rsidRDefault="00D200C3" w:rsidP="00D200C3">
      <w:pPr>
        <w:pStyle w:val="NormalWeb"/>
        <w:spacing w:before="0" w:beforeAutospacing="0" w:after="240" w:afterAutospacing="0"/>
        <w:ind w:left="720" w:hanging="720"/>
        <w:jc w:val="both"/>
      </w:pPr>
      <w:r>
        <w:t xml:space="preserve">IEA (2024). </w:t>
      </w:r>
      <w:r>
        <w:rPr>
          <w:i/>
          <w:iCs/>
        </w:rPr>
        <w:t>Standards for a net zero iron and steel sector in India – analysis - IEA</w:t>
      </w:r>
      <w:r>
        <w:t xml:space="preserve">. [online] </w:t>
      </w:r>
      <w:r>
        <w:rPr>
          <w:i/>
          <w:iCs/>
        </w:rPr>
        <w:t>IEA</w:t>
      </w:r>
      <w:r>
        <w:t xml:space="preserve">. Available at: </w:t>
      </w:r>
      <w:hyperlink r:id="rId17" w:history="1">
        <w:r w:rsidRPr="00D776E7">
          <w:rPr>
            <w:rStyle w:val="Hyperlink"/>
          </w:rPr>
          <w:t>https://www.iea.org/reports/standards-for-a-net-zero-iron-and-steel-sector-in-india</w:t>
        </w:r>
      </w:hyperlink>
      <w:r>
        <w:t xml:space="preserve">  [Accessed 20 July 2026].</w:t>
      </w:r>
    </w:p>
    <w:p w14:paraId="3C7A2109" w14:textId="77777777" w:rsidR="00D200C3" w:rsidRDefault="00D200C3" w:rsidP="00D200C3">
      <w:pPr>
        <w:pStyle w:val="NormalWeb"/>
        <w:spacing w:before="0" w:beforeAutospacing="0" w:after="240" w:afterAutospacing="0"/>
        <w:ind w:left="720" w:hanging="720"/>
        <w:jc w:val="both"/>
      </w:pPr>
      <w:r>
        <w:t xml:space="preserve">Kotler, P., Armstrong, G., Harris, L.C. and He, H. (2024). </w:t>
      </w:r>
      <w:r>
        <w:rPr>
          <w:i/>
          <w:iCs/>
        </w:rPr>
        <w:t>Principles of marketing</w:t>
      </w:r>
      <w:r>
        <w:t>. Harlow: Pearson.</w:t>
      </w:r>
    </w:p>
    <w:p w14:paraId="345217AF" w14:textId="77777777" w:rsidR="00D200C3" w:rsidRDefault="00D200C3" w:rsidP="00D200C3">
      <w:pPr>
        <w:pStyle w:val="NormalWeb"/>
        <w:spacing w:before="0" w:beforeAutospacing="0" w:after="240" w:afterAutospacing="0"/>
        <w:ind w:left="720" w:hanging="720"/>
        <w:jc w:val="both"/>
      </w:pPr>
      <w:r>
        <w:t xml:space="preserve">Morrissey, M.M. (2023). </w:t>
      </w:r>
      <w:r>
        <w:rPr>
          <w:i/>
          <w:iCs/>
        </w:rPr>
        <w:t xml:space="preserve">The </w:t>
      </w:r>
      <w:proofErr w:type="spellStart"/>
      <w:r>
        <w:rPr>
          <w:i/>
          <w:iCs/>
        </w:rPr>
        <w:t>ansoff</w:t>
      </w:r>
      <w:proofErr w:type="spellEnd"/>
      <w:r>
        <w:rPr>
          <w:i/>
          <w:iCs/>
        </w:rPr>
        <w:t xml:space="preserve"> matrix: A simple framework to help you think about business growth</w:t>
      </w:r>
      <w:r>
        <w:t xml:space="preserve">. [online] </w:t>
      </w:r>
      <w:r>
        <w:rPr>
          <w:i/>
          <w:iCs/>
        </w:rPr>
        <w:t>Medium</w:t>
      </w:r>
      <w:r>
        <w:t xml:space="preserve">. Medium. Available at: </w:t>
      </w:r>
      <w:hyperlink r:id="rId18" w:history="1">
        <w:r w:rsidRPr="00D776E7">
          <w:rPr>
            <w:rStyle w:val="Hyperlink"/>
          </w:rPr>
          <w:t>https://medium.com/@manny.martinmorrissey/the-ansoff-matrix-3c82f407af9c</w:t>
        </w:r>
      </w:hyperlink>
      <w:r>
        <w:t xml:space="preserve">  [Accessed 20 July 2026].</w:t>
      </w:r>
    </w:p>
    <w:p w14:paraId="4C635E01" w14:textId="77777777" w:rsidR="00D200C3" w:rsidRDefault="00D200C3" w:rsidP="00D200C3">
      <w:pPr>
        <w:pStyle w:val="NormalWeb"/>
        <w:spacing w:before="0" w:beforeAutospacing="0" w:after="240" w:afterAutospacing="0"/>
        <w:ind w:left="720" w:hanging="720"/>
        <w:jc w:val="both"/>
      </w:pPr>
      <w:r>
        <w:t xml:space="preserve">Narayanan, S. and Singh, G.A. (2023). Consumers” willingness to pay for corporate social responsibility: Theory and evidence. </w:t>
      </w:r>
      <w:r>
        <w:rPr>
          <w:i/>
          <w:iCs/>
        </w:rPr>
        <w:t>International journal of Consumer studies</w:t>
      </w:r>
      <w:r>
        <w:t xml:space="preserve">, [online] 47(6), pp.2212–2244. doi: </w:t>
      </w:r>
      <w:hyperlink r:id="rId19" w:history="1">
        <w:r w:rsidRPr="00D776E7">
          <w:rPr>
            <w:rStyle w:val="Hyperlink"/>
          </w:rPr>
          <w:t>https://doi.org/10.1111/ijcs.12910</w:t>
        </w:r>
      </w:hyperlink>
      <w:r>
        <w:t xml:space="preserve">. </w:t>
      </w:r>
    </w:p>
    <w:p w14:paraId="1B1A2681" w14:textId="77777777" w:rsidR="00D200C3" w:rsidRDefault="00D200C3" w:rsidP="00D200C3">
      <w:pPr>
        <w:pStyle w:val="NormalWeb"/>
        <w:spacing w:before="0" w:beforeAutospacing="0" w:after="240" w:afterAutospacing="0"/>
        <w:ind w:left="720" w:hanging="720"/>
        <w:jc w:val="both"/>
      </w:pPr>
      <w:r>
        <w:t xml:space="preserve">OECD (2024). </w:t>
      </w:r>
      <w:r>
        <w:rPr>
          <w:i/>
          <w:iCs/>
        </w:rPr>
        <w:t>Addressing steel decarbonisation challenges for industry and policy</w:t>
      </w:r>
      <w:r>
        <w:t xml:space="preserve">. [online] OECD. Available at: </w:t>
      </w:r>
      <w:hyperlink r:id="rId20" w:history="1">
        <w:r w:rsidRPr="00D776E7">
          <w:rPr>
            <w:rStyle w:val="Hyperlink"/>
          </w:rPr>
          <w:t>https://www.oecd.org/content/dam/oecd/en/publications/reports/2024/12/addressing-</w:t>
        </w:r>
        <w:r w:rsidRPr="00D776E7">
          <w:rPr>
            <w:rStyle w:val="Hyperlink"/>
          </w:rPr>
          <w:lastRenderedPageBreak/>
          <w:t>steel-decarbonisation-challenges-for-industry-and-policy_4caf7860/e6cb2f3c-en.pdf</w:t>
        </w:r>
      </w:hyperlink>
      <w:r>
        <w:t xml:space="preserve">  [Accessed 20 July 2026].</w:t>
      </w:r>
    </w:p>
    <w:p w14:paraId="5543EA0B" w14:textId="77777777" w:rsidR="00D200C3" w:rsidRDefault="00D200C3" w:rsidP="00D200C3">
      <w:pPr>
        <w:pStyle w:val="NormalWeb"/>
        <w:spacing w:before="0" w:beforeAutospacing="0" w:after="240" w:afterAutospacing="0"/>
        <w:ind w:left="720" w:hanging="720"/>
        <w:jc w:val="both"/>
      </w:pPr>
      <w:proofErr w:type="spellStart"/>
      <w:r>
        <w:t>Peterdy</w:t>
      </w:r>
      <w:proofErr w:type="spellEnd"/>
      <w:r>
        <w:t xml:space="preserve">, K. (2025). </w:t>
      </w:r>
      <w:r>
        <w:rPr>
          <w:i/>
          <w:iCs/>
        </w:rPr>
        <w:t>Ansoff matrix</w:t>
      </w:r>
      <w:r>
        <w:t xml:space="preserve">. [online] </w:t>
      </w:r>
      <w:r>
        <w:rPr>
          <w:i/>
          <w:iCs/>
        </w:rPr>
        <w:t>Corporate Finance Institute</w:t>
      </w:r>
      <w:r>
        <w:t xml:space="preserve">. Available at: </w:t>
      </w:r>
      <w:hyperlink r:id="rId21" w:history="1">
        <w:r w:rsidRPr="00D776E7">
          <w:rPr>
            <w:rStyle w:val="Hyperlink"/>
          </w:rPr>
          <w:t>https://corporatefinanceinstitute.com/resources/management/ansoff-matrix/</w:t>
        </w:r>
      </w:hyperlink>
      <w:r>
        <w:t xml:space="preserve">  [Accessed 20 July 2026].</w:t>
      </w:r>
    </w:p>
    <w:p w14:paraId="29769744" w14:textId="77777777" w:rsidR="00D200C3" w:rsidRDefault="00D200C3" w:rsidP="00D200C3">
      <w:pPr>
        <w:pStyle w:val="NormalWeb"/>
        <w:spacing w:before="0" w:beforeAutospacing="0" w:after="240" w:afterAutospacing="0"/>
        <w:ind w:left="720" w:hanging="720"/>
        <w:jc w:val="both"/>
      </w:pPr>
      <w:r>
        <w:t xml:space="preserve">Qian, Y., Li, Y., Hao, Y., Yu, T. and Hu, H. (2024). Greenhouse gas control in steel manufacturing: Inventory, assurance, and strategic reduction review. </w:t>
      </w:r>
      <w:r>
        <w:rPr>
          <w:i/>
          <w:iCs/>
        </w:rPr>
        <w:t>Carbon research</w:t>
      </w:r>
      <w:r>
        <w:t xml:space="preserve">, 3(1). doi: </w:t>
      </w:r>
      <w:hyperlink r:id="rId22" w:history="1">
        <w:r w:rsidRPr="00D776E7">
          <w:rPr>
            <w:rStyle w:val="Hyperlink"/>
          </w:rPr>
          <w:t>https://doi.org/10.1007/s44246-024-00118-z</w:t>
        </w:r>
      </w:hyperlink>
      <w:r>
        <w:t xml:space="preserve">. </w:t>
      </w:r>
    </w:p>
    <w:p w14:paraId="4595DB6D" w14:textId="77777777" w:rsidR="00D200C3" w:rsidRDefault="00D200C3" w:rsidP="00D200C3">
      <w:pPr>
        <w:pStyle w:val="NormalWeb"/>
        <w:spacing w:before="0" w:beforeAutospacing="0" w:after="240" w:afterAutospacing="0"/>
        <w:ind w:left="720" w:hanging="720"/>
        <w:jc w:val="both"/>
      </w:pPr>
      <w:r>
        <w:t xml:space="preserve">Rai, M. (2024). </w:t>
      </w:r>
      <w:r>
        <w:rPr>
          <w:i/>
          <w:iCs/>
        </w:rPr>
        <w:t>Environmental product declaration (EPD)</w:t>
      </w:r>
      <w:r>
        <w:t xml:space="preserve">. [online] </w:t>
      </w:r>
      <w:r>
        <w:rPr>
          <w:i/>
          <w:iCs/>
        </w:rPr>
        <w:t>Carbon Trail</w:t>
      </w:r>
      <w:r>
        <w:t xml:space="preserve">. Available at: </w:t>
      </w:r>
      <w:hyperlink r:id="rId23" w:history="1">
        <w:r w:rsidRPr="00D776E7">
          <w:rPr>
            <w:rStyle w:val="Hyperlink"/>
          </w:rPr>
          <w:t>https://carbontrail.net/blog/environmental-product-declaration-what-is-an-epd/</w:t>
        </w:r>
      </w:hyperlink>
      <w:r>
        <w:t xml:space="preserve">  [Accessed 20 July 2026].</w:t>
      </w:r>
    </w:p>
    <w:p w14:paraId="210FC8A1" w14:textId="77777777" w:rsidR="00D200C3" w:rsidRDefault="00D200C3" w:rsidP="00D200C3">
      <w:pPr>
        <w:pStyle w:val="NormalWeb"/>
        <w:spacing w:before="0" w:beforeAutospacing="0" w:after="240" w:afterAutospacing="0"/>
        <w:ind w:left="720" w:hanging="720"/>
        <w:jc w:val="both"/>
      </w:pPr>
      <w:r>
        <w:t xml:space="preserve">Ranjan, M. (2026). </w:t>
      </w:r>
      <w:r>
        <w:rPr>
          <w:i/>
          <w:iCs/>
        </w:rPr>
        <w:t xml:space="preserve">Jharkhand, tata steel signs </w:t>
      </w:r>
      <w:proofErr w:type="spellStart"/>
      <w:r>
        <w:rPr>
          <w:i/>
          <w:iCs/>
        </w:rPr>
        <w:t>rs</w:t>
      </w:r>
      <w:proofErr w:type="spellEnd"/>
      <w:r>
        <w:rPr>
          <w:i/>
          <w:iCs/>
        </w:rPr>
        <w:t xml:space="preserve"> 11,000 crore pact for Green steel</w:t>
      </w:r>
      <w:r>
        <w:t xml:space="preserve">. [online] The new </w:t>
      </w:r>
      <w:proofErr w:type="spellStart"/>
      <w:r>
        <w:t>indian</w:t>
      </w:r>
      <w:proofErr w:type="spellEnd"/>
      <w:r>
        <w:t xml:space="preserve"> express. Available at: </w:t>
      </w:r>
      <w:hyperlink r:id="rId24" w:history="1">
        <w:r w:rsidRPr="00D776E7">
          <w:rPr>
            <w:rStyle w:val="Hyperlink"/>
          </w:rPr>
          <w:t>https://www.newindianexpress.com/india/2026/jan/21/jharkhand-tata-steel-signs-rs-11000-crore-pact-for-green-steel</w:t>
        </w:r>
      </w:hyperlink>
      <w:r>
        <w:t xml:space="preserve">  [Accessed 20 July 2026].</w:t>
      </w:r>
    </w:p>
    <w:p w14:paraId="75908EC5" w14:textId="77777777" w:rsidR="00D200C3" w:rsidRDefault="00D200C3" w:rsidP="00D200C3">
      <w:pPr>
        <w:pStyle w:val="NormalWeb"/>
        <w:spacing w:before="0" w:beforeAutospacing="0" w:after="240" w:afterAutospacing="0"/>
        <w:ind w:left="720" w:hanging="720"/>
        <w:jc w:val="both"/>
      </w:pPr>
      <w:r>
        <w:t xml:space="preserve">Services, H.D. (2025). </w:t>
      </w:r>
      <w:r>
        <w:rPr>
          <w:i/>
          <w:iCs/>
        </w:rPr>
        <w:t>Logos usage &amp; guidelines</w:t>
      </w:r>
      <w:r>
        <w:t xml:space="preserve">. [online] </w:t>
      </w:r>
      <w:r>
        <w:rPr>
          <w:i/>
          <w:iCs/>
        </w:rPr>
        <w:t>www.tatasteel.com</w:t>
      </w:r>
      <w:r>
        <w:t xml:space="preserve">. Available at: </w:t>
      </w:r>
      <w:hyperlink r:id="rId25" w:history="1">
        <w:r w:rsidRPr="00D776E7">
          <w:rPr>
            <w:rStyle w:val="Hyperlink"/>
          </w:rPr>
          <w:t>https://www.tatasteel.com/media/media-kit/logos-usage-guidelines/</w:t>
        </w:r>
      </w:hyperlink>
      <w:r>
        <w:t xml:space="preserve">  [Accessed 20 July 2026].</w:t>
      </w:r>
    </w:p>
    <w:p w14:paraId="45C203F1" w14:textId="77777777" w:rsidR="00D200C3" w:rsidRDefault="00D200C3" w:rsidP="00D200C3">
      <w:pPr>
        <w:pStyle w:val="NormalWeb"/>
        <w:spacing w:before="0" w:beforeAutospacing="0" w:after="240" w:afterAutospacing="0"/>
        <w:ind w:left="720" w:hanging="720"/>
        <w:jc w:val="both"/>
      </w:pPr>
      <w:proofErr w:type="spellStart"/>
      <w:r>
        <w:t>Shyamadanthi</w:t>
      </w:r>
      <w:proofErr w:type="spellEnd"/>
      <w:r>
        <w:t xml:space="preserve">, D. (2022). </w:t>
      </w:r>
      <w:r>
        <w:rPr>
          <w:i/>
          <w:iCs/>
        </w:rPr>
        <w:t>Michael porter’s 3 generic strategies model</w:t>
      </w:r>
      <w:r>
        <w:t xml:space="preserve">. [online] </w:t>
      </w:r>
      <w:r>
        <w:rPr>
          <w:i/>
          <w:iCs/>
        </w:rPr>
        <w:t>www.creantho.com</w:t>
      </w:r>
      <w:r>
        <w:t xml:space="preserve">. Available at: </w:t>
      </w:r>
      <w:hyperlink r:id="rId26" w:history="1">
        <w:r w:rsidRPr="00D776E7">
          <w:rPr>
            <w:rStyle w:val="Hyperlink"/>
          </w:rPr>
          <w:t>http://www.creantho.com/michael-porters-generic-strategies.php</w:t>
        </w:r>
      </w:hyperlink>
      <w:r>
        <w:t xml:space="preserve">  [Accessed 20 July 2026].</w:t>
      </w:r>
    </w:p>
    <w:p w14:paraId="3F1E0F70" w14:textId="77777777" w:rsidR="00D200C3" w:rsidRDefault="00D200C3" w:rsidP="00D200C3">
      <w:pPr>
        <w:pStyle w:val="NormalWeb"/>
        <w:spacing w:before="0" w:beforeAutospacing="0" w:after="240" w:afterAutospacing="0"/>
        <w:ind w:left="720" w:hanging="720"/>
        <w:jc w:val="both"/>
      </w:pPr>
      <w:r>
        <w:t xml:space="preserve">Tata (2024). </w:t>
      </w:r>
      <w:r>
        <w:rPr>
          <w:i/>
          <w:iCs/>
        </w:rPr>
        <w:t>Integrated report and annual accounts 2024-25 118th year</w:t>
      </w:r>
      <w:r>
        <w:t xml:space="preserve">. [online] </w:t>
      </w:r>
      <w:r>
        <w:rPr>
          <w:i/>
          <w:iCs/>
        </w:rPr>
        <w:t>Tatasteel.com</w:t>
      </w:r>
      <w:r>
        <w:t xml:space="preserve">. Available at: </w:t>
      </w:r>
      <w:hyperlink r:id="rId27" w:history="1">
        <w:r w:rsidRPr="00D776E7">
          <w:rPr>
            <w:rStyle w:val="Hyperlink"/>
          </w:rPr>
          <w:t>https://www.tatasteel.com/investors/integrated-report-2024-25/esg-goals.html</w:t>
        </w:r>
      </w:hyperlink>
      <w:r>
        <w:t xml:space="preserve">  [Accessed 20 July 2026].</w:t>
      </w:r>
    </w:p>
    <w:p w14:paraId="7F432230" w14:textId="77777777" w:rsidR="00D200C3" w:rsidRDefault="00D200C3" w:rsidP="00D200C3">
      <w:pPr>
        <w:pStyle w:val="NormalWeb"/>
        <w:spacing w:before="0" w:beforeAutospacing="0" w:after="240" w:afterAutospacing="0"/>
        <w:ind w:left="720" w:hanging="720"/>
        <w:jc w:val="both"/>
      </w:pPr>
      <w:r>
        <w:t xml:space="preserve">Tata steel (2024). </w:t>
      </w:r>
      <w:r>
        <w:rPr>
          <w:i/>
          <w:iCs/>
        </w:rPr>
        <w:t xml:space="preserve">Tata steel recognised as 2024 steel sustainability champion by </w:t>
      </w:r>
      <w:proofErr w:type="spellStart"/>
      <w:r>
        <w:rPr>
          <w:i/>
          <w:iCs/>
        </w:rPr>
        <w:t>worldsteel</w:t>
      </w:r>
      <w:proofErr w:type="spellEnd"/>
      <w:r>
        <w:rPr>
          <w:i/>
          <w:iCs/>
        </w:rPr>
        <w:t xml:space="preserve"> for the seventh consecutive year</w:t>
      </w:r>
      <w:r>
        <w:t xml:space="preserve">. [online] </w:t>
      </w:r>
      <w:r>
        <w:rPr>
          <w:i/>
          <w:iCs/>
        </w:rPr>
        <w:t>Tatasteel.com</w:t>
      </w:r>
      <w:r>
        <w:t xml:space="preserve">. Available at: </w:t>
      </w:r>
      <w:hyperlink r:id="rId28" w:history="1">
        <w:r w:rsidRPr="00D776E7">
          <w:rPr>
            <w:rStyle w:val="Hyperlink"/>
          </w:rPr>
          <w:t>https://www.tatasteel.com/newsroom/press-releases/india/2024/tata-steel-recognised-as-2024-steel-sustainability-champion-by-worldsteel-for-the-seventh-consecutive-year/</w:t>
        </w:r>
      </w:hyperlink>
      <w:r>
        <w:t xml:space="preserve">  [Accessed 20 July 2026].</w:t>
      </w:r>
    </w:p>
    <w:p w14:paraId="4D8377DC" w14:textId="77777777" w:rsidR="00D200C3" w:rsidRDefault="00D200C3" w:rsidP="00D200C3">
      <w:pPr>
        <w:pStyle w:val="NormalWeb"/>
        <w:spacing w:before="0" w:beforeAutospacing="0" w:after="240" w:afterAutospacing="0"/>
        <w:ind w:left="720" w:hanging="720"/>
        <w:jc w:val="both"/>
      </w:pPr>
      <w:r>
        <w:t xml:space="preserve">The Economic Times (2026). </w:t>
      </w:r>
      <w:r>
        <w:rPr>
          <w:i/>
          <w:iCs/>
        </w:rPr>
        <w:t>Tata steel says UK plant’s low emission project facing delays in securing electricity access</w:t>
      </w:r>
      <w:r>
        <w:t xml:space="preserve">. [online] The economic times. Available at: </w:t>
      </w:r>
      <w:hyperlink r:id="rId29" w:history="1">
        <w:r w:rsidRPr="00D776E7">
          <w:rPr>
            <w:rStyle w:val="Hyperlink"/>
          </w:rPr>
          <w:t>https://infra.economictimes.indiatimes.com/news/construction/tata-steel-says-uk-plants-low-emission-project-facing-delays-in-securing-electricity-access/</w:t>
        </w:r>
      </w:hyperlink>
      <w:r>
        <w:t xml:space="preserve"> 131562731.</w:t>
      </w:r>
    </w:p>
    <w:p w14:paraId="479A0677" w14:textId="77777777" w:rsidR="00D200C3" w:rsidRDefault="00D200C3" w:rsidP="00D200C3">
      <w:pPr>
        <w:pStyle w:val="NormalWeb"/>
        <w:spacing w:before="0" w:beforeAutospacing="0" w:after="240" w:afterAutospacing="0"/>
        <w:ind w:left="720" w:hanging="720"/>
        <w:jc w:val="both"/>
      </w:pPr>
      <w:r>
        <w:t xml:space="preserve">Wan, F., Li, J., Han, Y. and Yao, X. (2024). Research of the impact of Hydrogen metallurgy technology on the reduction of the Chinese steel industry’s carbon dioxide emissions. </w:t>
      </w:r>
      <w:r>
        <w:rPr>
          <w:i/>
          <w:iCs/>
        </w:rPr>
        <w:t>Sustainability</w:t>
      </w:r>
      <w:r>
        <w:t xml:space="preserve">, 16(5), pp.1814–1814. doi: </w:t>
      </w:r>
      <w:hyperlink r:id="rId30" w:history="1">
        <w:r w:rsidRPr="00D776E7">
          <w:rPr>
            <w:rStyle w:val="Hyperlink"/>
          </w:rPr>
          <w:t>https://doi.org/10.3390/su16051814</w:t>
        </w:r>
      </w:hyperlink>
      <w:r>
        <w:t xml:space="preserve">. </w:t>
      </w:r>
    </w:p>
    <w:p w14:paraId="7AF6F15F" w14:textId="77777777" w:rsidR="00D200C3" w:rsidRDefault="00D200C3" w:rsidP="00D200C3">
      <w:pPr>
        <w:pStyle w:val="NormalWeb"/>
        <w:spacing w:before="0" w:beforeAutospacing="0" w:after="240" w:afterAutospacing="0"/>
        <w:ind w:left="720" w:hanging="720"/>
        <w:jc w:val="both"/>
      </w:pPr>
      <w:r>
        <w:lastRenderedPageBreak/>
        <w:t xml:space="preserve">Watari, T. and McLellan, B. (2024). Decarbonizing the global steel industry in a resource-constrained future—a systems perspective. </w:t>
      </w:r>
      <w:r>
        <w:rPr>
          <w:i/>
          <w:iCs/>
        </w:rPr>
        <w:t>Philosophical transactions of the royal society a mathematical physical and engineering sciences</w:t>
      </w:r>
      <w:r>
        <w:t xml:space="preserve">, 382(2284). doi: </w:t>
      </w:r>
      <w:hyperlink r:id="rId31" w:history="1">
        <w:r w:rsidRPr="00D776E7">
          <w:rPr>
            <w:rStyle w:val="Hyperlink"/>
          </w:rPr>
          <w:t>https://doi.org/10.1098/rsta.2023.0233</w:t>
        </w:r>
      </w:hyperlink>
      <w:r>
        <w:t xml:space="preserve">. </w:t>
      </w:r>
    </w:p>
    <w:p w14:paraId="6E96CA29" w14:textId="77777777" w:rsidR="00D200C3" w:rsidRDefault="00D200C3" w:rsidP="00D200C3">
      <w:pPr>
        <w:pStyle w:val="NormalWeb"/>
        <w:spacing w:before="0" w:beforeAutospacing="0" w:after="240" w:afterAutospacing="0"/>
        <w:ind w:left="720" w:hanging="720"/>
        <w:jc w:val="both"/>
      </w:pPr>
      <w:r>
        <w:t xml:space="preserve">Zhao, X., Gao, Y., Zhang, Q. and Song, Z. (2022). The supply and demand status and prospects of rare earth in China. </w:t>
      </w:r>
      <w:r>
        <w:rPr>
          <w:i/>
          <w:iCs/>
        </w:rPr>
        <w:t>Mineral economics</w:t>
      </w:r>
      <w:r>
        <w:t xml:space="preserve">, [online] 35(4), pp.721–739. doi: </w:t>
      </w:r>
      <w:hyperlink r:id="rId32" w:history="1">
        <w:r w:rsidRPr="00D776E7">
          <w:rPr>
            <w:rStyle w:val="Hyperlink"/>
          </w:rPr>
          <w:t>https://doi.org/10.1007/s13563-022-00334-2</w:t>
        </w:r>
      </w:hyperlink>
      <w:r>
        <w:t xml:space="preserve">. </w:t>
      </w:r>
    </w:p>
    <w:p w14:paraId="29D68274" w14:textId="77777777" w:rsidR="00D200C3" w:rsidRPr="006F48B0" w:rsidRDefault="00D200C3" w:rsidP="006F48B0"/>
    <w:sectPr w:rsidR="00D200C3" w:rsidRPr="006F48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8501F"/>
    <w:multiLevelType w:val="multilevel"/>
    <w:tmpl w:val="D8BEA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DB416A"/>
    <w:multiLevelType w:val="multilevel"/>
    <w:tmpl w:val="5FCA3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754224"/>
    <w:multiLevelType w:val="multilevel"/>
    <w:tmpl w:val="34003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77E4A"/>
    <w:multiLevelType w:val="multilevel"/>
    <w:tmpl w:val="4A540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184247"/>
    <w:multiLevelType w:val="multilevel"/>
    <w:tmpl w:val="D0341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9D5F05"/>
    <w:multiLevelType w:val="multilevel"/>
    <w:tmpl w:val="0F5CC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054C61"/>
    <w:multiLevelType w:val="multilevel"/>
    <w:tmpl w:val="CC5A4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1A396C"/>
    <w:multiLevelType w:val="multilevel"/>
    <w:tmpl w:val="42B45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9853BC"/>
    <w:multiLevelType w:val="multilevel"/>
    <w:tmpl w:val="4942F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73597A"/>
    <w:multiLevelType w:val="multilevel"/>
    <w:tmpl w:val="EBE09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7F581C"/>
    <w:multiLevelType w:val="multilevel"/>
    <w:tmpl w:val="FF1EE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A8688F"/>
    <w:multiLevelType w:val="multilevel"/>
    <w:tmpl w:val="1C682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DA3126"/>
    <w:multiLevelType w:val="multilevel"/>
    <w:tmpl w:val="5276F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284F04"/>
    <w:multiLevelType w:val="multilevel"/>
    <w:tmpl w:val="12E40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761891"/>
    <w:multiLevelType w:val="multilevel"/>
    <w:tmpl w:val="49000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5E6A07"/>
    <w:multiLevelType w:val="multilevel"/>
    <w:tmpl w:val="CCB61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895859"/>
    <w:multiLevelType w:val="multilevel"/>
    <w:tmpl w:val="131A3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D74AD7"/>
    <w:multiLevelType w:val="multilevel"/>
    <w:tmpl w:val="A6080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AD3EEE"/>
    <w:multiLevelType w:val="multilevel"/>
    <w:tmpl w:val="FED60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C6444B"/>
    <w:multiLevelType w:val="multilevel"/>
    <w:tmpl w:val="505E8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7D0FC8"/>
    <w:multiLevelType w:val="multilevel"/>
    <w:tmpl w:val="4C2A5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662EBB"/>
    <w:multiLevelType w:val="multilevel"/>
    <w:tmpl w:val="E16CAA5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0666A82"/>
    <w:multiLevelType w:val="multilevel"/>
    <w:tmpl w:val="A010F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0C5540"/>
    <w:multiLevelType w:val="multilevel"/>
    <w:tmpl w:val="76C4D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AD7DEF"/>
    <w:multiLevelType w:val="multilevel"/>
    <w:tmpl w:val="33DCD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86017A"/>
    <w:multiLevelType w:val="multilevel"/>
    <w:tmpl w:val="9EF80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4F342E"/>
    <w:multiLevelType w:val="multilevel"/>
    <w:tmpl w:val="F4DA1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956A12"/>
    <w:multiLevelType w:val="multilevel"/>
    <w:tmpl w:val="E85E2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925528"/>
    <w:multiLevelType w:val="multilevel"/>
    <w:tmpl w:val="38F46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4125450">
    <w:abstractNumId w:val="20"/>
  </w:num>
  <w:num w:numId="2" w16cid:durableId="2042899668">
    <w:abstractNumId w:val="26"/>
  </w:num>
  <w:num w:numId="3" w16cid:durableId="1727603495">
    <w:abstractNumId w:val="18"/>
  </w:num>
  <w:num w:numId="4" w16cid:durableId="2136294762">
    <w:abstractNumId w:val="10"/>
  </w:num>
  <w:num w:numId="5" w16cid:durableId="1226138436">
    <w:abstractNumId w:val="3"/>
  </w:num>
  <w:num w:numId="6" w16cid:durableId="23137003">
    <w:abstractNumId w:val="25"/>
  </w:num>
  <w:num w:numId="7" w16cid:durableId="448741654">
    <w:abstractNumId w:val="17"/>
  </w:num>
  <w:num w:numId="8" w16cid:durableId="374041115">
    <w:abstractNumId w:val="1"/>
  </w:num>
  <w:num w:numId="9" w16cid:durableId="2045204363">
    <w:abstractNumId w:val="16"/>
  </w:num>
  <w:num w:numId="10" w16cid:durableId="440688748">
    <w:abstractNumId w:val="14"/>
  </w:num>
  <w:num w:numId="11" w16cid:durableId="1779640942">
    <w:abstractNumId w:val="12"/>
  </w:num>
  <w:num w:numId="12" w16cid:durableId="1381317727">
    <w:abstractNumId w:val="5"/>
  </w:num>
  <w:num w:numId="13" w16cid:durableId="359089272">
    <w:abstractNumId w:val="7"/>
  </w:num>
  <w:num w:numId="14" w16cid:durableId="1773041749">
    <w:abstractNumId w:val="24"/>
  </w:num>
  <w:num w:numId="15" w16cid:durableId="1645353964">
    <w:abstractNumId w:val="8"/>
  </w:num>
  <w:num w:numId="16" w16cid:durableId="494341606">
    <w:abstractNumId w:val="4"/>
  </w:num>
  <w:num w:numId="17" w16cid:durableId="1589584329">
    <w:abstractNumId w:val="27"/>
  </w:num>
  <w:num w:numId="18" w16cid:durableId="344214171">
    <w:abstractNumId w:val="13"/>
  </w:num>
  <w:num w:numId="19" w16cid:durableId="457989730">
    <w:abstractNumId w:val="23"/>
  </w:num>
  <w:num w:numId="20" w16cid:durableId="1800034116">
    <w:abstractNumId w:val="0"/>
  </w:num>
  <w:num w:numId="21" w16cid:durableId="1908572153">
    <w:abstractNumId w:val="6"/>
  </w:num>
  <w:num w:numId="22" w16cid:durableId="2126801948">
    <w:abstractNumId w:val="9"/>
  </w:num>
  <w:num w:numId="23" w16cid:durableId="1681737291">
    <w:abstractNumId w:val="19"/>
  </w:num>
  <w:num w:numId="24" w16cid:durableId="1123307728">
    <w:abstractNumId w:val="2"/>
  </w:num>
  <w:num w:numId="25" w16cid:durableId="122580424">
    <w:abstractNumId w:val="11"/>
  </w:num>
  <w:num w:numId="26" w16cid:durableId="763182500">
    <w:abstractNumId w:val="28"/>
  </w:num>
  <w:num w:numId="27" w16cid:durableId="1445687049">
    <w:abstractNumId w:val="15"/>
  </w:num>
  <w:num w:numId="28" w16cid:durableId="1360278476">
    <w:abstractNumId w:val="22"/>
  </w:num>
  <w:num w:numId="29" w16cid:durableId="64180996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53C5"/>
    <w:rsid w:val="000338CD"/>
    <w:rsid w:val="000357CA"/>
    <w:rsid w:val="00092B0A"/>
    <w:rsid w:val="000F57F2"/>
    <w:rsid w:val="0011265A"/>
    <w:rsid w:val="001653C5"/>
    <w:rsid w:val="002127FB"/>
    <w:rsid w:val="00271F7E"/>
    <w:rsid w:val="002732E9"/>
    <w:rsid w:val="002A5BE7"/>
    <w:rsid w:val="00324AC8"/>
    <w:rsid w:val="003C30C5"/>
    <w:rsid w:val="003C60DA"/>
    <w:rsid w:val="004770DA"/>
    <w:rsid w:val="00506DFB"/>
    <w:rsid w:val="006645AF"/>
    <w:rsid w:val="00680484"/>
    <w:rsid w:val="00695D4E"/>
    <w:rsid w:val="006F48B0"/>
    <w:rsid w:val="00796216"/>
    <w:rsid w:val="007D5EC0"/>
    <w:rsid w:val="0081778F"/>
    <w:rsid w:val="008E3290"/>
    <w:rsid w:val="00A75170"/>
    <w:rsid w:val="00AE3FAA"/>
    <w:rsid w:val="00B033D9"/>
    <w:rsid w:val="00BF2E31"/>
    <w:rsid w:val="00CC68FD"/>
    <w:rsid w:val="00D200C3"/>
    <w:rsid w:val="00D413D4"/>
    <w:rsid w:val="00D70760"/>
    <w:rsid w:val="00D82319"/>
    <w:rsid w:val="00ED2FAB"/>
    <w:rsid w:val="00F1185F"/>
    <w:rsid w:val="00F856CB"/>
    <w:rsid w:val="00FB63E8"/>
    <w:rsid w:val="00FF3B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BD06F"/>
  <w15:chartTrackingRefBased/>
  <w15:docId w15:val="{A5E6F6C5-EA6A-4D58-8789-1CF285412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1F7E"/>
    <w:pPr>
      <w:spacing w:line="360" w:lineRule="auto"/>
      <w:jc w:val="both"/>
    </w:pPr>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A75170"/>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2732E9"/>
    <w:pPr>
      <w:keepNext/>
      <w:keepLines/>
      <w:spacing w:before="40" w:after="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unhideWhenUsed/>
    <w:qFormat/>
    <w:rsid w:val="00324AC8"/>
    <w:pPr>
      <w:keepNext/>
      <w:keepLines/>
      <w:spacing w:before="40" w:after="0"/>
      <w:outlineLvl w:val="2"/>
    </w:pPr>
    <w:rPr>
      <w:rFonts w:eastAsiaTheme="majorEastAsia" w:cstheme="majorBidi"/>
      <w:b/>
      <w:color w:val="1F4D78" w:themeColor="accent1" w:themeShade="7F"/>
      <w:szCs w:val="24"/>
    </w:rPr>
  </w:style>
  <w:style w:type="paragraph" w:styleId="Heading4">
    <w:name w:val="heading 4"/>
    <w:basedOn w:val="Normal"/>
    <w:next w:val="Normal"/>
    <w:link w:val="Heading4Char"/>
    <w:uiPriority w:val="9"/>
    <w:semiHidden/>
    <w:unhideWhenUsed/>
    <w:qFormat/>
    <w:rsid w:val="001653C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732E9"/>
    <w:rPr>
      <w:rFonts w:ascii="Times New Roman" w:eastAsiaTheme="majorEastAsia" w:hAnsi="Times New Roman" w:cstheme="majorBidi"/>
      <w:b/>
      <w:color w:val="2E74B5" w:themeColor="accent1" w:themeShade="BF"/>
      <w:sz w:val="24"/>
      <w:szCs w:val="26"/>
      <w:lang w:val="en-GB"/>
    </w:rPr>
  </w:style>
  <w:style w:type="character" w:customStyle="1" w:styleId="Heading1Char">
    <w:name w:val="Heading 1 Char"/>
    <w:basedOn w:val="DefaultParagraphFont"/>
    <w:link w:val="Heading1"/>
    <w:uiPriority w:val="9"/>
    <w:rsid w:val="00A75170"/>
    <w:rPr>
      <w:rFonts w:ascii="Times New Roman" w:eastAsiaTheme="majorEastAsia" w:hAnsi="Times New Roman" w:cstheme="majorBidi"/>
      <w:b/>
      <w:color w:val="2E74B5" w:themeColor="accent1" w:themeShade="BF"/>
      <w:sz w:val="28"/>
      <w:szCs w:val="32"/>
      <w:lang w:val="en-GB"/>
    </w:rPr>
  </w:style>
  <w:style w:type="paragraph" w:styleId="Caption">
    <w:name w:val="caption"/>
    <w:basedOn w:val="Normal"/>
    <w:next w:val="Normal"/>
    <w:uiPriority w:val="35"/>
    <w:unhideWhenUsed/>
    <w:qFormat/>
    <w:rsid w:val="0081778F"/>
    <w:pPr>
      <w:spacing w:after="200" w:line="240" w:lineRule="auto"/>
      <w:jc w:val="center"/>
    </w:pPr>
    <w:rPr>
      <w:i/>
      <w:iCs/>
      <w:szCs w:val="18"/>
    </w:rPr>
  </w:style>
  <w:style w:type="paragraph" w:styleId="TOCHeading">
    <w:name w:val="TOC Heading"/>
    <w:basedOn w:val="Heading1"/>
    <w:next w:val="Normal"/>
    <w:uiPriority w:val="39"/>
    <w:unhideWhenUsed/>
    <w:qFormat/>
    <w:rsid w:val="00A75170"/>
    <w:pPr>
      <w:spacing w:line="240" w:lineRule="auto"/>
      <w:jc w:val="left"/>
      <w:outlineLvl w:val="9"/>
    </w:pPr>
    <w:rPr>
      <w:caps/>
      <w:sz w:val="32"/>
      <w:lang w:val="en-US"/>
    </w:rPr>
  </w:style>
  <w:style w:type="character" w:customStyle="1" w:styleId="Heading3Char">
    <w:name w:val="Heading 3 Char"/>
    <w:basedOn w:val="DefaultParagraphFont"/>
    <w:link w:val="Heading3"/>
    <w:uiPriority w:val="9"/>
    <w:rsid w:val="00324AC8"/>
    <w:rPr>
      <w:rFonts w:ascii="Times New Roman" w:eastAsiaTheme="majorEastAsia" w:hAnsi="Times New Roman" w:cstheme="majorBidi"/>
      <w:b/>
      <w:color w:val="1F4D78" w:themeColor="accent1" w:themeShade="7F"/>
      <w:sz w:val="24"/>
      <w:szCs w:val="24"/>
      <w:lang w:val="en-GB"/>
    </w:rPr>
  </w:style>
  <w:style w:type="paragraph" w:customStyle="1" w:styleId="source">
    <w:name w:val="source"/>
    <w:basedOn w:val="Normal"/>
    <w:link w:val="sourceChar"/>
    <w:qFormat/>
    <w:rsid w:val="0081778F"/>
    <w:pPr>
      <w:jc w:val="center"/>
    </w:pPr>
    <w:rPr>
      <w:i/>
    </w:rPr>
  </w:style>
  <w:style w:type="character" w:customStyle="1" w:styleId="sourceChar">
    <w:name w:val="source Char"/>
    <w:basedOn w:val="DefaultParagraphFont"/>
    <w:link w:val="source"/>
    <w:rsid w:val="0081778F"/>
    <w:rPr>
      <w:rFonts w:ascii="Times New Roman" w:hAnsi="Times New Roman"/>
      <w:i/>
      <w:kern w:val="2"/>
      <w:sz w:val="24"/>
      <w:lang w:val="en-GB"/>
      <w14:ligatures w14:val="standardContextual"/>
    </w:rPr>
  </w:style>
  <w:style w:type="paragraph" w:styleId="NormalWeb">
    <w:name w:val="Normal (Web)"/>
    <w:basedOn w:val="Normal"/>
    <w:uiPriority w:val="99"/>
    <w:semiHidden/>
    <w:unhideWhenUsed/>
    <w:rsid w:val="001653C5"/>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Strong">
    <w:name w:val="Strong"/>
    <w:basedOn w:val="DefaultParagraphFont"/>
    <w:uiPriority w:val="22"/>
    <w:qFormat/>
    <w:rsid w:val="001653C5"/>
    <w:rPr>
      <w:b/>
      <w:bCs/>
    </w:rPr>
  </w:style>
  <w:style w:type="character" w:customStyle="1" w:styleId="Heading4Char">
    <w:name w:val="Heading 4 Char"/>
    <w:basedOn w:val="DefaultParagraphFont"/>
    <w:link w:val="Heading4"/>
    <w:uiPriority w:val="9"/>
    <w:semiHidden/>
    <w:rsid w:val="001653C5"/>
    <w:rPr>
      <w:rFonts w:asciiTheme="majorHAnsi" w:eastAsiaTheme="majorEastAsia" w:hAnsiTheme="majorHAnsi" w:cstheme="majorBidi"/>
      <w:i/>
      <w:iCs/>
      <w:color w:val="2E74B5" w:themeColor="accent1" w:themeShade="BF"/>
      <w:kern w:val="2"/>
      <w:sz w:val="24"/>
      <w:lang w:val="en-GB"/>
      <w14:ligatures w14:val="standardContextual"/>
    </w:rPr>
  </w:style>
  <w:style w:type="character" w:styleId="Hyperlink">
    <w:name w:val="Hyperlink"/>
    <w:basedOn w:val="DefaultParagraphFont"/>
    <w:uiPriority w:val="99"/>
    <w:unhideWhenUsed/>
    <w:rsid w:val="00D200C3"/>
    <w:rPr>
      <w:color w:val="0563C1" w:themeColor="hyperlink"/>
      <w:u w:val="single"/>
    </w:rPr>
  </w:style>
  <w:style w:type="paragraph" w:styleId="TOC1">
    <w:name w:val="toc 1"/>
    <w:basedOn w:val="Normal"/>
    <w:next w:val="Normal"/>
    <w:autoRedefine/>
    <w:uiPriority w:val="39"/>
    <w:unhideWhenUsed/>
    <w:rsid w:val="00D200C3"/>
    <w:pPr>
      <w:spacing w:after="100"/>
    </w:pPr>
  </w:style>
  <w:style w:type="paragraph" w:styleId="TOC2">
    <w:name w:val="toc 2"/>
    <w:basedOn w:val="Normal"/>
    <w:next w:val="Normal"/>
    <w:autoRedefine/>
    <w:uiPriority w:val="39"/>
    <w:unhideWhenUsed/>
    <w:rsid w:val="00D200C3"/>
    <w:pPr>
      <w:spacing w:after="100"/>
      <w:ind w:left="240"/>
    </w:pPr>
  </w:style>
  <w:style w:type="paragraph" w:styleId="TOC3">
    <w:name w:val="toc 3"/>
    <w:basedOn w:val="Normal"/>
    <w:next w:val="Normal"/>
    <w:autoRedefine/>
    <w:uiPriority w:val="39"/>
    <w:unhideWhenUsed/>
    <w:rsid w:val="00D200C3"/>
    <w:pPr>
      <w:spacing w:after="100"/>
      <w:ind w:left="480"/>
    </w:pPr>
  </w:style>
  <w:style w:type="paragraph" w:styleId="TableofFigures">
    <w:name w:val="table of figures"/>
    <w:basedOn w:val="Normal"/>
    <w:next w:val="Normal"/>
    <w:uiPriority w:val="99"/>
    <w:unhideWhenUsed/>
    <w:rsid w:val="00D200C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035212">
      <w:bodyDiv w:val="1"/>
      <w:marLeft w:val="0"/>
      <w:marRight w:val="0"/>
      <w:marTop w:val="0"/>
      <w:marBottom w:val="0"/>
      <w:divBdr>
        <w:top w:val="none" w:sz="0" w:space="0" w:color="auto"/>
        <w:left w:val="none" w:sz="0" w:space="0" w:color="auto"/>
        <w:bottom w:val="none" w:sz="0" w:space="0" w:color="auto"/>
        <w:right w:val="none" w:sz="0" w:space="0" w:color="auto"/>
      </w:divBdr>
    </w:div>
    <w:div w:id="531497696">
      <w:bodyDiv w:val="1"/>
      <w:marLeft w:val="0"/>
      <w:marRight w:val="0"/>
      <w:marTop w:val="0"/>
      <w:marBottom w:val="0"/>
      <w:divBdr>
        <w:top w:val="none" w:sz="0" w:space="0" w:color="auto"/>
        <w:left w:val="none" w:sz="0" w:space="0" w:color="auto"/>
        <w:bottom w:val="none" w:sz="0" w:space="0" w:color="auto"/>
        <w:right w:val="none" w:sz="0" w:space="0" w:color="auto"/>
      </w:divBdr>
      <w:divsChild>
        <w:div w:id="18860228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8488155">
      <w:bodyDiv w:val="1"/>
      <w:marLeft w:val="0"/>
      <w:marRight w:val="0"/>
      <w:marTop w:val="0"/>
      <w:marBottom w:val="0"/>
      <w:divBdr>
        <w:top w:val="none" w:sz="0" w:space="0" w:color="auto"/>
        <w:left w:val="none" w:sz="0" w:space="0" w:color="auto"/>
        <w:bottom w:val="none" w:sz="0" w:space="0" w:color="auto"/>
        <w:right w:val="none" w:sz="0" w:space="0" w:color="auto"/>
      </w:divBdr>
      <w:divsChild>
        <w:div w:id="142087835">
          <w:marLeft w:val="0"/>
          <w:marRight w:val="0"/>
          <w:marTop w:val="0"/>
          <w:marBottom w:val="0"/>
          <w:divBdr>
            <w:top w:val="none" w:sz="0" w:space="0" w:color="auto"/>
            <w:left w:val="none" w:sz="0" w:space="0" w:color="auto"/>
            <w:bottom w:val="none" w:sz="0" w:space="0" w:color="auto"/>
            <w:right w:val="none" w:sz="0" w:space="0" w:color="auto"/>
          </w:divBdr>
        </w:div>
      </w:divsChild>
    </w:div>
    <w:div w:id="924067915">
      <w:bodyDiv w:val="1"/>
      <w:marLeft w:val="0"/>
      <w:marRight w:val="0"/>
      <w:marTop w:val="0"/>
      <w:marBottom w:val="0"/>
      <w:divBdr>
        <w:top w:val="none" w:sz="0" w:space="0" w:color="auto"/>
        <w:left w:val="none" w:sz="0" w:space="0" w:color="auto"/>
        <w:bottom w:val="none" w:sz="0" w:space="0" w:color="auto"/>
        <w:right w:val="none" w:sz="0" w:space="0" w:color="auto"/>
      </w:divBdr>
    </w:div>
    <w:div w:id="1166820769">
      <w:bodyDiv w:val="1"/>
      <w:marLeft w:val="0"/>
      <w:marRight w:val="0"/>
      <w:marTop w:val="0"/>
      <w:marBottom w:val="0"/>
      <w:divBdr>
        <w:top w:val="none" w:sz="0" w:space="0" w:color="auto"/>
        <w:left w:val="none" w:sz="0" w:space="0" w:color="auto"/>
        <w:bottom w:val="none" w:sz="0" w:space="0" w:color="auto"/>
        <w:right w:val="none" w:sz="0" w:space="0" w:color="auto"/>
      </w:divBdr>
    </w:div>
    <w:div w:id="1624732440">
      <w:bodyDiv w:val="1"/>
      <w:marLeft w:val="0"/>
      <w:marRight w:val="0"/>
      <w:marTop w:val="0"/>
      <w:marBottom w:val="0"/>
      <w:divBdr>
        <w:top w:val="none" w:sz="0" w:space="0" w:color="auto"/>
        <w:left w:val="none" w:sz="0" w:space="0" w:color="auto"/>
        <w:bottom w:val="none" w:sz="0" w:space="0" w:color="auto"/>
        <w:right w:val="none" w:sz="0" w:space="0" w:color="auto"/>
      </w:divBdr>
      <w:divsChild>
        <w:div w:id="1978223297">
          <w:blockQuote w:val="1"/>
          <w:marLeft w:val="720"/>
          <w:marRight w:val="720"/>
          <w:marTop w:val="100"/>
          <w:marBottom w:val="100"/>
          <w:divBdr>
            <w:top w:val="none" w:sz="0" w:space="0" w:color="auto"/>
            <w:left w:val="none" w:sz="0" w:space="0" w:color="auto"/>
            <w:bottom w:val="none" w:sz="0" w:space="0" w:color="auto"/>
            <w:right w:val="none" w:sz="0" w:space="0" w:color="auto"/>
          </w:divBdr>
        </w:div>
        <w:div w:id="2063139005">
          <w:blockQuote w:val="1"/>
          <w:marLeft w:val="720"/>
          <w:marRight w:val="720"/>
          <w:marTop w:val="100"/>
          <w:marBottom w:val="100"/>
          <w:divBdr>
            <w:top w:val="none" w:sz="0" w:space="0" w:color="auto"/>
            <w:left w:val="none" w:sz="0" w:space="0" w:color="auto"/>
            <w:bottom w:val="none" w:sz="0" w:space="0" w:color="auto"/>
            <w:right w:val="none" w:sz="0" w:space="0" w:color="auto"/>
          </w:divBdr>
        </w:div>
        <w:div w:id="19182012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97537852">
      <w:bodyDiv w:val="1"/>
      <w:marLeft w:val="0"/>
      <w:marRight w:val="0"/>
      <w:marTop w:val="0"/>
      <w:marBottom w:val="0"/>
      <w:divBdr>
        <w:top w:val="none" w:sz="0" w:space="0" w:color="auto"/>
        <w:left w:val="none" w:sz="0" w:space="0" w:color="auto"/>
        <w:bottom w:val="none" w:sz="0" w:space="0" w:color="auto"/>
        <w:right w:val="none" w:sz="0" w:space="0" w:color="auto"/>
      </w:divBdr>
    </w:div>
    <w:div w:id="1755515176">
      <w:bodyDiv w:val="1"/>
      <w:marLeft w:val="0"/>
      <w:marRight w:val="0"/>
      <w:marTop w:val="0"/>
      <w:marBottom w:val="0"/>
      <w:divBdr>
        <w:top w:val="none" w:sz="0" w:space="0" w:color="auto"/>
        <w:left w:val="none" w:sz="0" w:space="0" w:color="auto"/>
        <w:bottom w:val="none" w:sz="0" w:space="0" w:color="auto"/>
        <w:right w:val="none" w:sz="0" w:space="0" w:color="auto"/>
      </w:divBdr>
      <w:divsChild>
        <w:div w:id="8850277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6323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xcrp.2025.103044" TargetMode="External"/><Relationship Id="rId18" Type="http://schemas.openxmlformats.org/officeDocument/2006/relationships/hyperlink" Target="https://medium.com/@manny.martinmorrissey/the-ansoff-matrix-3c82f407af9c" TargetMode="External"/><Relationship Id="rId26" Type="http://schemas.openxmlformats.org/officeDocument/2006/relationships/hyperlink" Target="http://www.creantho.com/michael-porters-generic-strategies.php" TargetMode="External"/><Relationship Id="rId3" Type="http://schemas.openxmlformats.org/officeDocument/2006/relationships/styles" Target="styles.xml"/><Relationship Id="rId21" Type="http://schemas.openxmlformats.org/officeDocument/2006/relationships/hyperlink" Target="https://corporatefinanceinstitute.com/resources/management/ansoff-matrix/"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doi.org/10.1007/978-3-031-35479-3_4" TargetMode="External"/><Relationship Id="rId17" Type="http://schemas.openxmlformats.org/officeDocument/2006/relationships/hyperlink" Target="https://www.iea.org/reports/standards-for-a-net-zero-iron-and-steel-sector-in-india" TargetMode="External"/><Relationship Id="rId25" Type="http://schemas.openxmlformats.org/officeDocument/2006/relationships/hyperlink" Target="https://www.tatasteel.com/media/media-kit/logos-usage-guideline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ejphar.2026.175183" TargetMode="External"/><Relationship Id="rId20" Type="http://schemas.openxmlformats.org/officeDocument/2006/relationships/hyperlink" Target="https://www.oecd.org/content/dam/oecd/en/publications/reports/2024/12/addressing-steel-decarbonisation-challenges-for-industry-and-policy_4caf7860/e6cb2f3c-en.pdf" TargetMode="External"/><Relationship Id="rId29" Type="http://schemas.openxmlformats.org/officeDocument/2006/relationships/hyperlink" Target="https://infra.economictimes.indiatimes.com/news/construction/tata-steel-says-uk-plants-low-emission-project-facing-delays-in-securing-electricity-acces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07/s10640-025-01028-3" TargetMode="External"/><Relationship Id="rId24" Type="http://schemas.openxmlformats.org/officeDocument/2006/relationships/hyperlink" Target="https://www.newindianexpress.com/india/2026/jan/21/jharkhand-tata-steel-signs-rs-11000-crore-pact-for-green-steel" TargetMode="External"/><Relationship Id="rId32" Type="http://schemas.openxmlformats.org/officeDocument/2006/relationships/hyperlink" Target="https://doi.org/10.1007/s13563-022-00334-2" TargetMode="External"/><Relationship Id="rId5" Type="http://schemas.openxmlformats.org/officeDocument/2006/relationships/webSettings" Target="webSettings.xml"/><Relationship Id="rId15" Type="http://schemas.openxmlformats.org/officeDocument/2006/relationships/hyperlink" Target="https://doi.org/10.1016/j.iref.2026.104902" TargetMode="External"/><Relationship Id="rId23" Type="http://schemas.openxmlformats.org/officeDocument/2006/relationships/hyperlink" Target="https://carbontrail.net/blog/environmental-product-declaration-what-is-an-epd/" TargetMode="External"/><Relationship Id="rId28" Type="http://schemas.openxmlformats.org/officeDocument/2006/relationships/hyperlink" Target="https://www.tatasteel.com/newsroom/press-releases/india/2024/tata-steel-recognised-as-2024-steel-sustainability-champion-by-worldsteel-for-the-seventh-consecutive-year/" TargetMode="External"/><Relationship Id="rId10" Type="http://schemas.openxmlformats.org/officeDocument/2006/relationships/image" Target="media/image5.jpeg"/><Relationship Id="rId19" Type="http://schemas.openxmlformats.org/officeDocument/2006/relationships/hyperlink" Target="https://doi.org/10.1111/ijcs.12910" TargetMode="External"/><Relationship Id="rId31" Type="http://schemas.openxmlformats.org/officeDocument/2006/relationships/hyperlink" Target="https://doi.org/10.1098/rsta.2023.0233"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ebsco.com/research-starters/marketing/porters-generic-strategies" TargetMode="External"/><Relationship Id="rId22" Type="http://schemas.openxmlformats.org/officeDocument/2006/relationships/hyperlink" Target="https://doi.org/10.1007/s44246-024-00118-z" TargetMode="External"/><Relationship Id="rId27" Type="http://schemas.openxmlformats.org/officeDocument/2006/relationships/hyperlink" Target="https://www.tatasteel.com/investors/integrated-report-2024-25/esg-goals.html" TargetMode="External"/><Relationship Id="rId30" Type="http://schemas.openxmlformats.org/officeDocument/2006/relationships/hyperlink" Target="https://doi.org/10.3390/su16051814" TargetMode="External"/><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57F092-EC5A-4879-A387-E3674BFBDA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4274</Words>
  <Characters>24362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Kishan Vijaybhai Sangani (2527211)</cp:lastModifiedBy>
  <cp:revision>2</cp:revision>
  <dcterms:created xsi:type="dcterms:W3CDTF">2026-07-21T13:05:00Z</dcterms:created>
  <dcterms:modified xsi:type="dcterms:W3CDTF">2026-07-21T13:05:00Z</dcterms:modified>
</cp:coreProperties>
</file>