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000BB" w14:textId="5E5A0FA1" w:rsidR="00AD1EB5" w:rsidRPr="00DB6C48" w:rsidRDefault="00AD1EB5" w:rsidP="00AD1EB5">
      <w:pPr>
        <w:rPr>
          <w:rFonts w:eastAsiaTheme="majorEastAsia" w:cstheme="majorBidi"/>
          <w:b/>
          <w:color w:val="000000" w:themeColor="text1"/>
          <w:spacing w:val="-10"/>
          <w:kern w:val="28"/>
          <w:sz w:val="28"/>
          <w:szCs w:val="56"/>
          <w:lang w:val="cy-GB"/>
        </w:rPr>
      </w:pPr>
      <w:r w:rsidRPr="00DB6C48">
        <w:rPr>
          <w:noProof/>
          <w:color w:val="000000" w:themeColor="text1"/>
        </w:rPr>
        <w:drawing>
          <wp:inline distT="0" distB="0" distL="0" distR="0" wp14:anchorId="24F04BAB" wp14:editId="3193AFBF">
            <wp:extent cx="1905000" cy="635000"/>
            <wp:effectExtent l="25400" t="25400" r="12700" b="1270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01670ED" w14:textId="77777777" w:rsidR="00AD1EB5" w:rsidRPr="00DB6C48" w:rsidRDefault="00AD1EB5" w:rsidP="00AD1EB5">
      <w:pPr>
        <w:rPr>
          <w:rFonts w:eastAsiaTheme="majorEastAsia" w:cstheme="majorBidi"/>
          <w:b/>
          <w:color w:val="000000" w:themeColor="text1"/>
          <w:spacing w:val="-10"/>
          <w:kern w:val="28"/>
          <w:sz w:val="28"/>
          <w:szCs w:val="56"/>
          <w:lang w:val="cy-GB"/>
        </w:rPr>
      </w:pPr>
    </w:p>
    <w:p w14:paraId="0FADE7F9" w14:textId="14483B1A" w:rsidR="00AD1EB5" w:rsidRPr="00DB6C48" w:rsidRDefault="00AD1EB5" w:rsidP="00AD1EB5">
      <w:pPr>
        <w:jc w:val="center"/>
        <w:rPr>
          <w:rFonts w:eastAsiaTheme="majorEastAsia" w:cstheme="majorBidi"/>
          <w:b/>
          <w:color w:val="000000" w:themeColor="text1"/>
          <w:spacing w:val="-10"/>
          <w:kern w:val="28"/>
          <w:sz w:val="28"/>
          <w:szCs w:val="56"/>
          <w:lang w:val="cy-GB"/>
        </w:rPr>
      </w:pPr>
      <w:r w:rsidRPr="00DB6C48">
        <w:rPr>
          <w:rFonts w:eastAsiaTheme="majorEastAsia" w:cstheme="majorBidi"/>
          <w:b/>
          <w:color w:val="000000" w:themeColor="text1"/>
          <w:spacing w:val="-10"/>
          <w:kern w:val="28"/>
          <w:sz w:val="28"/>
          <w:szCs w:val="56"/>
          <w:lang w:val="cy-GB"/>
        </w:rPr>
        <w:t>Postgraduate/Distance Learning</w:t>
      </w:r>
    </w:p>
    <w:p w14:paraId="77361DB9" w14:textId="1AEC182B" w:rsidR="00AD1EB5" w:rsidRPr="00DB6C48" w:rsidRDefault="00AD1EB5" w:rsidP="00AD1EB5">
      <w:pPr>
        <w:jc w:val="center"/>
        <w:rPr>
          <w:rFonts w:eastAsiaTheme="majorEastAsia" w:cstheme="majorBidi"/>
          <w:b/>
          <w:color w:val="000000" w:themeColor="text1"/>
          <w:spacing w:val="-10"/>
          <w:kern w:val="28"/>
          <w:sz w:val="28"/>
          <w:szCs w:val="56"/>
          <w:lang w:val="en-GB"/>
        </w:rPr>
      </w:pPr>
      <w:r w:rsidRPr="00DB6C48">
        <w:rPr>
          <w:rFonts w:eastAsiaTheme="majorEastAsia" w:cstheme="majorBidi"/>
          <w:b/>
          <w:color w:val="000000" w:themeColor="text1"/>
          <w:spacing w:val="-10"/>
          <w:kern w:val="28"/>
          <w:sz w:val="28"/>
          <w:szCs w:val="56"/>
          <w:lang w:val="cy-GB"/>
        </w:rPr>
        <w:t>Assignment coversheet &amp; feedback form</w:t>
      </w:r>
    </w:p>
    <w:p w14:paraId="25F247B5" w14:textId="77777777" w:rsidR="00AD1EB5" w:rsidRPr="00DB6C48" w:rsidRDefault="00AD1EB5" w:rsidP="00AD1EB5">
      <w:pPr>
        <w:jc w:val="center"/>
        <w:rPr>
          <w:rFonts w:eastAsiaTheme="majorEastAsia" w:cstheme="majorBidi"/>
          <w:b/>
          <w:bCs/>
          <w:color w:val="000000" w:themeColor="text1"/>
          <w:spacing w:val="-10"/>
          <w:kern w:val="28"/>
          <w:sz w:val="20"/>
          <w:szCs w:val="20"/>
          <w:lang w:val="cy-GB"/>
        </w:rPr>
      </w:pPr>
    </w:p>
    <w:p w14:paraId="769C84BD" w14:textId="6E67FA17" w:rsidR="00AD1EB5" w:rsidRPr="00DB6C48" w:rsidRDefault="00AD1EB5" w:rsidP="00AD1EB5">
      <w:pPr>
        <w:jc w:val="center"/>
        <w:rPr>
          <w:rFonts w:eastAsiaTheme="majorEastAsia" w:cstheme="majorBidi"/>
          <w:b/>
          <w:bCs/>
          <w:color w:val="000000" w:themeColor="text1"/>
          <w:spacing w:val="-10"/>
          <w:kern w:val="28"/>
          <w:sz w:val="20"/>
          <w:szCs w:val="20"/>
          <w:lang w:val="cy-GB"/>
        </w:rPr>
      </w:pPr>
      <w:r w:rsidRPr="00DB6C48">
        <w:rPr>
          <w:rFonts w:eastAsiaTheme="majorEastAsia" w:cstheme="majorBidi"/>
          <w:b/>
          <w:bCs/>
          <w:color w:val="000000" w:themeColor="text1"/>
          <w:spacing w:val="-10"/>
          <w:kern w:val="28"/>
          <w:sz w:val="20"/>
          <w:szCs w:val="20"/>
          <w:lang w:val="cy-GB"/>
        </w:rPr>
        <w:t>THIS SHEET MUST BE THE FIRST PAGE OF THE ASSIGNMENT YOU ARE</w:t>
      </w:r>
    </w:p>
    <w:p w14:paraId="32D6783E" w14:textId="4490507B" w:rsidR="00AD1EB5" w:rsidRPr="00DB6C48" w:rsidRDefault="00AD1EB5" w:rsidP="00AD1EB5">
      <w:pPr>
        <w:jc w:val="center"/>
        <w:rPr>
          <w:rFonts w:eastAsiaTheme="majorEastAsia" w:cstheme="majorBidi"/>
          <w:b/>
          <w:bCs/>
          <w:color w:val="000000" w:themeColor="text1"/>
          <w:spacing w:val="-10"/>
          <w:kern w:val="28"/>
          <w:sz w:val="20"/>
          <w:szCs w:val="20"/>
          <w:lang w:val="cy-GB"/>
        </w:rPr>
      </w:pPr>
      <w:r w:rsidRPr="00DB6C48">
        <w:rPr>
          <w:rFonts w:eastAsiaTheme="majorEastAsia" w:cstheme="majorBidi"/>
          <w:b/>
          <w:bCs/>
          <w:color w:val="000000" w:themeColor="text1"/>
          <w:spacing w:val="-10"/>
          <w:kern w:val="28"/>
          <w:sz w:val="20"/>
          <w:szCs w:val="20"/>
          <w:lang w:val="cy-GB"/>
        </w:rPr>
        <w:t xml:space="preserve"> SUBMITTING  (DO NOT SEND AS A SEPARATE FILE)</w:t>
      </w:r>
    </w:p>
    <w:p w14:paraId="5D186069" w14:textId="2C4DA4E3" w:rsidR="00AD1EB5" w:rsidRPr="00DB6C48" w:rsidRDefault="00AD1EB5">
      <w:pPr>
        <w:rPr>
          <w:rFonts w:eastAsiaTheme="majorEastAsia" w:cstheme="majorBidi"/>
          <w:color w:val="000000" w:themeColor="text1"/>
          <w:spacing w:val="-10"/>
          <w:kern w:val="28"/>
          <w:sz w:val="28"/>
          <w:szCs w:val="56"/>
        </w:rPr>
      </w:pPr>
    </w:p>
    <w:tbl>
      <w:tblPr>
        <w:tblW w:w="9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391"/>
      </w:tblGrid>
      <w:tr w:rsidR="00AD1EB5" w:rsidRPr="00DB6C48" w14:paraId="6BD83DA5" w14:textId="77777777" w:rsidTr="00AD1EB5">
        <w:trPr>
          <w:trHeight w:val="377"/>
        </w:trPr>
        <w:tc>
          <w:tcPr>
            <w:tcW w:w="9445" w:type="dxa"/>
            <w:gridSpan w:val="5"/>
          </w:tcPr>
          <w:p w14:paraId="0B378439"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b/>
                <w:color w:val="000000" w:themeColor="text1"/>
                <w:sz w:val="22"/>
                <w:szCs w:val="22"/>
              </w:rPr>
              <w:t>For completion by the student</w:t>
            </w:r>
            <w:r w:rsidRPr="00DB6C48">
              <w:rPr>
                <w:rFonts w:ascii="Arial" w:hAnsi="Arial" w:cs="Arial"/>
                <w:color w:val="000000" w:themeColor="text1"/>
                <w:sz w:val="22"/>
                <w:szCs w:val="22"/>
              </w:rPr>
              <w:t>:</w:t>
            </w:r>
          </w:p>
        </w:tc>
      </w:tr>
      <w:tr w:rsidR="00AD1EB5" w:rsidRPr="00DB6C48" w14:paraId="51CD516A" w14:textId="77777777" w:rsidTr="00AD1EB5">
        <w:trPr>
          <w:trHeight w:val="718"/>
        </w:trPr>
        <w:tc>
          <w:tcPr>
            <w:tcW w:w="9445" w:type="dxa"/>
            <w:gridSpan w:val="5"/>
          </w:tcPr>
          <w:p w14:paraId="61C1D2F5"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Student Name: Christina Giles</w:t>
            </w:r>
          </w:p>
          <w:p w14:paraId="63C6F01F"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p>
          <w:p w14:paraId="61F6BD69"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 xml:space="preserve">Student </w:t>
            </w:r>
            <w:r w:rsidRPr="00DB6C48">
              <w:rPr>
                <w:rFonts w:ascii="Arial" w:hAnsi="Arial" w:cs="Arial"/>
                <w:b/>
                <w:bCs/>
                <w:color w:val="000000" w:themeColor="text1"/>
                <w:sz w:val="22"/>
                <w:szCs w:val="22"/>
                <w:u w:val="single"/>
              </w:rPr>
              <w:t>University</w:t>
            </w:r>
            <w:r w:rsidRPr="00DB6C48">
              <w:rPr>
                <w:rFonts w:ascii="Arial" w:hAnsi="Arial" w:cs="Arial"/>
                <w:color w:val="000000" w:themeColor="text1"/>
                <w:sz w:val="22"/>
                <w:szCs w:val="22"/>
                <w:u w:val="single"/>
              </w:rPr>
              <w:t xml:space="preserve"> </w:t>
            </w:r>
            <w:r w:rsidRPr="00DB6C48">
              <w:rPr>
                <w:rFonts w:ascii="Arial" w:hAnsi="Arial" w:cs="Arial"/>
                <w:color w:val="000000" w:themeColor="text1"/>
                <w:sz w:val="22"/>
                <w:szCs w:val="22"/>
              </w:rPr>
              <w:t>Email:  1805673@student.uwtsd.ac.uk</w:t>
            </w:r>
          </w:p>
        </w:tc>
      </w:tr>
      <w:tr w:rsidR="00AD1EB5" w:rsidRPr="00DB6C48" w14:paraId="1092B87D" w14:textId="77777777" w:rsidTr="00AD1EB5">
        <w:trPr>
          <w:trHeight w:val="849"/>
        </w:trPr>
        <w:tc>
          <w:tcPr>
            <w:tcW w:w="4788" w:type="dxa"/>
          </w:tcPr>
          <w:p w14:paraId="7928CDD5" w14:textId="49322872"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Module code: HPCA 700</w:t>
            </w:r>
            <w:r w:rsidR="00A110D9" w:rsidRPr="00DB6C48">
              <w:rPr>
                <w:rFonts w:ascii="Arial" w:hAnsi="Arial" w:cs="Arial"/>
                <w:color w:val="000000" w:themeColor="text1"/>
                <w:sz w:val="22"/>
                <w:szCs w:val="22"/>
              </w:rPr>
              <w:t>3</w:t>
            </w:r>
          </w:p>
          <w:p w14:paraId="4820BBD4" w14:textId="77777777" w:rsidR="00AD1EB5" w:rsidRPr="00DB6C48" w:rsidRDefault="00AD1EB5" w:rsidP="00AD1EB5">
            <w:pPr>
              <w:pStyle w:val="NormalWeb"/>
              <w:spacing w:before="0" w:beforeAutospacing="0" w:after="0" w:afterAutospacing="0"/>
              <w:ind w:right="34"/>
              <w:rPr>
                <w:rFonts w:ascii="Arial" w:hAnsi="Arial" w:cs="Arial"/>
                <w:color w:val="000000" w:themeColor="text1"/>
                <w:sz w:val="22"/>
                <w:szCs w:val="22"/>
              </w:rPr>
            </w:pPr>
          </w:p>
          <w:p w14:paraId="594B135B" w14:textId="3733904D" w:rsidR="00AD1EB5" w:rsidRPr="00DB6C48" w:rsidRDefault="00AD1EB5" w:rsidP="00AD1EB5">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Module title:</w:t>
            </w:r>
            <w:r w:rsidR="00541D89" w:rsidRPr="00DB6C48">
              <w:rPr>
                <w:rFonts w:ascii="Arial" w:hAnsi="Arial" w:cs="Arial"/>
                <w:b/>
                <w:bCs/>
                <w:color w:val="000000" w:themeColor="text1"/>
                <w:sz w:val="22"/>
                <w:szCs w:val="22"/>
              </w:rPr>
              <w:t xml:space="preserve"> </w:t>
            </w:r>
            <w:r w:rsidR="00A110D9" w:rsidRPr="00DB6C48">
              <w:rPr>
                <w:rFonts w:ascii="Arial" w:hAnsi="Arial" w:cs="Arial"/>
                <w:b/>
                <w:bCs/>
                <w:color w:val="000000" w:themeColor="text1"/>
                <w:sz w:val="22"/>
                <w:szCs w:val="22"/>
              </w:rPr>
              <w:t>History of Astrology</w:t>
            </w:r>
          </w:p>
        </w:tc>
        <w:tc>
          <w:tcPr>
            <w:tcW w:w="2266" w:type="dxa"/>
            <w:gridSpan w:val="3"/>
          </w:tcPr>
          <w:p w14:paraId="30325F07"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Student ID number:</w:t>
            </w:r>
          </w:p>
          <w:p w14:paraId="177468A3"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1805673</w:t>
            </w:r>
          </w:p>
        </w:tc>
        <w:tc>
          <w:tcPr>
            <w:tcW w:w="2391" w:type="dxa"/>
          </w:tcPr>
          <w:p w14:paraId="67DEE791"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Educational support needs:</w:t>
            </w:r>
          </w:p>
          <w:p w14:paraId="6D6681E9"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Yes/</w:t>
            </w:r>
            <w:r w:rsidRPr="00DB6C48">
              <w:rPr>
                <w:rFonts w:ascii="Arial" w:hAnsi="Arial" w:cs="Arial"/>
                <w:b/>
                <w:color w:val="000000" w:themeColor="text1"/>
                <w:sz w:val="22"/>
                <w:szCs w:val="22"/>
                <w:u w:val="single"/>
              </w:rPr>
              <w:t>No</w:t>
            </w:r>
          </w:p>
        </w:tc>
      </w:tr>
      <w:tr w:rsidR="00AD1EB5" w:rsidRPr="00DB6C48" w14:paraId="01DE6FD2" w14:textId="77777777" w:rsidTr="00AD1EB5">
        <w:trPr>
          <w:trHeight w:val="1139"/>
        </w:trPr>
        <w:tc>
          <w:tcPr>
            <w:tcW w:w="9445" w:type="dxa"/>
            <w:gridSpan w:val="5"/>
          </w:tcPr>
          <w:p w14:paraId="7178450D" w14:textId="5FEC7449" w:rsidR="00AD1EB5" w:rsidRPr="00271505" w:rsidRDefault="00AD1EB5" w:rsidP="00271505">
            <w:pPr>
              <w:pStyle w:val="NormalWeb"/>
              <w:ind w:right="34"/>
              <w:rPr>
                <w:rFonts w:ascii="Arial" w:hAnsi="Arial" w:cs="Arial"/>
                <w:color w:val="000000" w:themeColor="text1"/>
                <w:sz w:val="22"/>
              </w:rPr>
            </w:pPr>
            <w:r w:rsidRPr="00DB6C48">
              <w:rPr>
                <w:rFonts w:ascii="Arial" w:hAnsi="Arial" w:cs="Arial"/>
                <w:color w:val="000000" w:themeColor="text1"/>
                <w:sz w:val="22"/>
                <w:szCs w:val="22"/>
              </w:rPr>
              <w:t xml:space="preserve">Assignment title: </w:t>
            </w:r>
            <w:r w:rsidR="00271505" w:rsidRPr="00271505">
              <w:rPr>
                <w:rFonts w:ascii="Arial" w:hAnsi="Arial" w:cs="Arial"/>
                <w:color w:val="000000" w:themeColor="text1"/>
                <w:sz w:val="22"/>
              </w:rPr>
              <w:t>Did medieval astrology (1100-1400) assume that the future was negotiable or fixed?</w:t>
            </w:r>
          </w:p>
          <w:p w14:paraId="6AAA1B74"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p>
          <w:p w14:paraId="2DFDEF9F" w14:textId="06443682"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Assignment due date:</w:t>
            </w:r>
            <w:r w:rsidR="004C7171" w:rsidRPr="00DB6C48">
              <w:rPr>
                <w:rFonts w:ascii="Arial" w:hAnsi="Arial" w:cs="Arial"/>
                <w:color w:val="000000" w:themeColor="text1"/>
                <w:sz w:val="22"/>
                <w:szCs w:val="22"/>
              </w:rPr>
              <w:t xml:space="preserve"> </w:t>
            </w:r>
            <w:r w:rsidR="00271505">
              <w:rPr>
                <w:rFonts w:ascii="Arial" w:hAnsi="Arial" w:cs="Arial"/>
                <w:color w:val="000000" w:themeColor="text1"/>
                <w:sz w:val="22"/>
                <w:szCs w:val="22"/>
              </w:rPr>
              <w:t>April 20</w:t>
            </w:r>
            <w:r w:rsidR="00A110D9" w:rsidRPr="00DB6C48">
              <w:rPr>
                <w:rFonts w:ascii="Arial" w:hAnsi="Arial" w:cs="Arial"/>
                <w:color w:val="000000" w:themeColor="text1"/>
                <w:sz w:val="22"/>
                <w:szCs w:val="22"/>
              </w:rPr>
              <w:t>, 2020</w:t>
            </w:r>
          </w:p>
        </w:tc>
      </w:tr>
      <w:tr w:rsidR="00AD1EB5" w:rsidRPr="00DB6C48" w14:paraId="09C29049" w14:textId="77777777" w:rsidTr="00AD1EB5">
        <w:trPr>
          <w:trHeight w:val="683"/>
        </w:trPr>
        <w:tc>
          <w:tcPr>
            <w:tcW w:w="9445" w:type="dxa"/>
            <w:gridSpan w:val="5"/>
            <w:tcBorders>
              <w:bottom w:val="single" w:sz="4" w:space="0" w:color="000000"/>
            </w:tcBorders>
          </w:tcPr>
          <w:p w14:paraId="4D748296" w14:textId="29A3AC8C" w:rsidR="00AD1EB5" w:rsidRPr="00DB6C48" w:rsidRDefault="00AD1EB5" w:rsidP="009B1791">
            <w:pPr>
              <w:rPr>
                <w:rFonts w:ascii="Arial" w:hAnsi="Arial" w:cs="Arial"/>
                <w:color w:val="000000" w:themeColor="text1"/>
                <w:sz w:val="22"/>
                <w:szCs w:val="22"/>
              </w:rPr>
            </w:pPr>
            <w:r w:rsidRPr="00DB6C48">
              <w:rPr>
                <w:rFonts w:ascii="Arial" w:hAnsi="Arial" w:cs="Arial"/>
                <w:color w:val="000000" w:themeColor="text1"/>
                <w:sz w:val="22"/>
                <w:szCs w:val="22"/>
              </w:rPr>
              <w:t>This assignment is for the       1</w:t>
            </w:r>
            <w:r w:rsidRPr="00DB6C48">
              <w:rPr>
                <w:rFonts w:ascii="Arial" w:hAnsi="Arial" w:cs="Arial"/>
                <w:color w:val="000000" w:themeColor="text1"/>
                <w:sz w:val="22"/>
                <w:szCs w:val="22"/>
                <w:vertAlign w:val="superscript"/>
              </w:rPr>
              <w:t xml:space="preserve">st </w:t>
            </w:r>
            <w:r w:rsidRPr="00DB6C48">
              <w:rPr>
                <w:rFonts w:ascii="Arial" w:hAnsi="Arial" w:cs="Arial"/>
                <w:color w:val="000000" w:themeColor="text1"/>
                <w:sz w:val="22"/>
                <w:szCs w:val="22"/>
              </w:rPr>
              <w:fldChar w:fldCharType="begin">
                <w:ffData>
                  <w:name w:val="Check13"/>
                  <w:enabled/>
                  <w:calcOnExit w:val="0"/>
                  <w:checkBox>
                    <w:sizeAuto/>
                    <w:default w:val="0"/>
                  </w:checkBox>
                </w:ffData>
              </w:fldChar>
            </w:r>
            <w:bookmarkStart w:id="0" w:name="Check13"/>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0"/>
            <w:r w:rsidRPr="00DB6C48">
              <w:rPr>
                <w:rFonts w:ascii="Arial" w:hAnsi="Arial" w:cs="Arial"/>
                <w:color w:val="000000" w:themeColor="text1"/>
                <w:sz w:val="22"/>
                <w:szCs w:val="22"/>
              </w:rPr>
              <w:t xml:space="preserve">    2</w:t>
            </w:r>
            <w:r w:rsidRPr="00DB6C48">
              <w:rPr>
                <w:rFonts w:ascii="Arial" w:hAnsi="Arial" w:cs="Arial"/>
                <w:color w:val="000000" w:themeColor="text1"/>
                <w:sz w:val="22"/>
                <w:szCs w:val="22"/>
                <w:vertAlign w:val="superscript"/>
              </w:rPr>
              <w:t>nd</w:t>
            </w:r>
            <w:r w:rsidRPr="00DB6C48">
              <w:rPr>
                <w:rFonts w:ascii="Arial" w:hAnsi="Arial" w:cs="Arial"/>
                <w:color w:val="000000" w:themeColor="text1"/>
                <w:sz w:val="22"/>
                <w:szCs w:val="22"/>
              </w:rPr>
              <w:t xml:space="preserve">  </w:t>
            </w:r>
            <w:r w:rsidRPr="00DB6C48">
              <w:rPr>
                <w:rFonts w:ascii="Arial" w:hAnsi="Arial" w:cs="Arial"/>
                <w:color w:val="000000" w:themeColor="text1"/>
                <w:sz w:val="22"/>
                <w:szCs w:val="22"/>
              </w:rPr>
              <w:fldChar w:fldCharType="begin">
                <w:ffData>
                  <w:name w:val="Check14"/>
                  <w:enabled/>
                  <w:calcOnExit w:val="0"/>
                  <w:checkBox>
                    <w:sizeAuto/>
                    <w:default w:val="0"/>
                  </w:checkBox>
                </w:ffData>
              </w:fldChar>
            </w:r>
            <w:bookmarkStart w:id="1" w:name="Check14"/>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1"/>
            <w:r w:rsidRPr="00DB6C48">
              <w:rPr>
                <w:rFonts w:ascii="Arial" w:hAnsi="Arial" w:cs="Arial"/>
                <w:color w:val="000000" w:themeColor="text1"/>
                <w:sz w:val="22"/>
                <w:szCs w:val="22"/>
              </w:rPr>
              <w:t xml:space="preserve">     3</w:t>
            </w:r>
            <w:r w:rsidRPr="00DB6C48">
              <w:rPr>
                <w:rFonts w:ascii="Arial" w:hAnsi="Arial" w:cs="Arial"/>
                <w:color w:val="000000" w:themeColor="text1"/>
                <w:sz w:val="22"/>
                <w:szCs w:val="22"/>
                <w:vertAlign w:val="superscript"/>
              </w:rPr>
              <w:t>rd</w:t>
            </w:r>
            <w:r w:rsidRPr="00DB6C48">
              <w:rPr>
                <w:rFonts w:ascii="Arial" w:hAnsi="Arial" w:cs="Arial"/>
                <w:color w:val="000000" w:themeColor="text1"/>
                <w:sz w:val="22"/>
                <w:szCs w:val="22"/>
              </w:rPr>
              <w:t xml:space="preserve">  </w:t>
            </w:r>
            <w:r w:rsidRPr="00DB6C48">
              <w:rPr>
                <w:rFonts w:ascii="Arial" w:hAnsi="Arial" w:cs="Arial"/>
                <w:color w:val="000000" w:themeColor="text1"/>
                <w:sz w:val="22"/>
                <w:szCs w:val="22"/>
              </w:rPr>
              <w:fldChar w:fldCharType="begin">
                <w:ffData>
                  <w:name w:val="Check15"/>
                  <w:enabled/>
                  <w:calcOnExit w:val="0"/>
                  <w:checkBox>
                    <w:sizeAuto/>
                    <w:default w:val="0"/>
                  </w:checkBox>
                </w:ffData>
              </w:fldChar>
            </w:r>
            <w:bookmarkStart w:id="2" w:name="Check15"/>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2"/>
            <w:r w:rsidRPr="00DB6C48">
              <w:rPr>
                <w:rFonts w:ascii="Arial" w:hAnsi="Arial" w:cs="Arial"/>
                <w:color w:val="000000" w:themeColor="text1"/>
                <w:sz w:val="22"/>
                <w:szCs w:val="22"/>
              </w:rPr>
              <w:t xml:space="preserve">      4</w:t>
            </w:r>
            <w:r w:rsidRPr="00DB6C48">
              <w:rPr>
                <w:rFonts w:ascii="Arial" w:hAnsi="Arial" w:cs="Arial"/>
                <w:color w:val="000000" w:themeColor="text1"/>
                <w:sz w:val="22"/>
                <w:szCs w:val="22"/>
                <w:vertAlign w:val="superscript"/>
              </w:rPr>
              <w:t>th</w:t>
            </w:r>
            <w:r w:rsidRPr="00DB6C48">
              <w:rPr>
                <w:rFonts w:ascii="Arial" w:hAnsi="Arial" w:cs="Arial"/>
                <w:color w:val="000000" w:themeColor="text1"/>
                <w:sz w:val="22"/>
                <w:szCs w:val="22"/>
              </w:rPr>
              <w:t xml:space="preserve"> </w:t>
            </w:r>
            <w:r w:rsidRPr="00DB6C48">
              <w:rPr>
                <w:rFonts w:ascii="Arial" w:hAnsi="Arial" w:cs="Arial"/>
                <w:color w:val="000000" w:themeColor="text1"/>
                <w:sz w:val="22"/>
                <w:szCs w:val="22"/>
              </w:rPr>
              <w:fldChar w:fldCharType="begin">
                <w:ffData>
                  <w:name w:val="Check16"/>
                  <w:enabled/>
                  <w:calcOnExit w:val="0"/>
                  <w:checkBox>
                    <w:sizeAuto/>
                    <w:default w:val="0"/>
                  </w:checkBox>
                </w:ffData>
              </w:fldChar>
            </w:r>
            <w:bookmarkStart w:id="3" w:name="Check16"/>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3"/>
            <w:r w:rsidRPr="00DB6C48">
              <w:rPr>
                <w:rFonts w:ascii="Arial" w:hAnsi="Arial" w:cs="Arial"/>
                <w:color w:val="000000" w:themeColor="text1"/>
                <w:sz w:val="22"/>
                <w:szCs w:val="22"/>
              </w:rPr>
              <w:t xml:space="preserve">      5</w:t>
            </w:r>
            <w:r w:rsidRPr="00DB6C48">
              <w:rPr>
                <w:rFonts w:ascii="Arial" w:hAnsi="Arial" w:cs="Arial"/>
                <w:color w:val="000000" w:themeColor="text1"/>
                <w:sz w:val="22"/>
                <w:szCs w:val="22"/>
                <w:vertAlign w:val="superscript"/>
              </w:rPr>
              <w:t>th</w:t>
            </w:r>
            <w:r w:rsidRPr="00DB6C48">
              <w:rPr>
                <w:rFonts w:ascii="Arial" w:hAnsi="Arial" w:cs="Arial"/>
                <w:color w:val="000000" w:themeColor="text1"/>
                <w:sz w:val="22"/>
                <w:szCs w:val="22"/>
              </w:rPr>
              <w:t xml:space="preserve"> </w:t>
            </w:r>
            <w:r w:rsidRPr="00DB6C48">
              <w:rPr>
                <w:rFonts w:ascii="Arial" w:hAnsi="Arial" w:cs="Arial"/>
                <w:color w:val="000000" w:themeColor="text1"/>
                <w:sz w:val="22"/>
                <w:szCs w:val="22"/>
              </w:rPr>
              <w:fldChar w:fldCharType="begin">
                <w:ffData>
                  <w:name w:val="Check17"/>
                  <w:enabled/>
                  <w:calcOnExit w:val="0"/>
                  <w:checkBox>
                    <w:sizeAuto/>
                    <w:default w:val="0"/>
                  </w:checkBox>
                </w:ffData>
              </w:fldChar>
            </w:r>
            <w:bookmarkStart w:id="4" w:name="Check17"/>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4"/>
            <w:r w:rsidRPr="00DB6C48">
              <w:rPr>
                <w:rFonts w:ascii="Arial" w:hAnsi="Arial" w:cs="Arial"/>
                <w:color w:val="000000" w:themeColor="text1"/>
                <w:sz w:val="22"/>
                <w:szCs w:val="22"/>
              </w:rPr>
              <w:t xml:space="preserve">      6</w:t>
            </w:r>
            <w:r w:rsidRPr="00DB6C48">
              <w:rPr>
                <w:rFonts w:ascii="Arial" w:hAnsi="Arial" w:cs="Arial"/>
                <w:color w:val="000000" w:themeColor="text1"/>
                <w:sz w:val="22"/>
                <w:szCs w:val="22"/>
                <w:vertAlign w:val="superscript"/>
              </w:rPr>
              <w:t>th</w:t>
            </w:r>
            <w:r w:rsidRPr="00DB6C48">
              <w:rPr>
                <w:rFonts w:ascii="Arial" w:hAnsi="Arial" w:cs="Arial"/>
                <w:color w:val="000000" w:themeColor="text1"/>
                <w:sz w:val="22"/>
                <w:szCs w:val="22"/>
              </w:rPr>
              <w:t xml:space="preserve"> </w:t>
            </w:r>
            <w:r w:rsidRPr="00DB6C48">
              <w:rPr>
                <w:rFonts w:ascii="Arial" w:hAnsi="Arial" w:cs="Arial"/>
                <w:color w:val="000000" w:themeColor="text1"/>
                <w:sz w:val="22"/>
                <w:szCs w:val="22"/>
              </w:rPr>
              <w:fldChar w:fldCharType="begin">
                <w:ffData>
                  <w:name w:val="Check18"/>
                  <w:enabled/>
                  <w:calcOnExit w:val="0"/>
                  <w:checkBox>
                    <w:sizeAuto/>
                    <w:default w:val="0"/>
                  </w:checkBox>
                </w:ffData>
              </w:fldChar>
            </w:r>
            <w:bookmarkStart w:id="5" w:name="Check18"/>
            <w:r w:rsidRPr="00DB6C48">
              <w:rPr>
                <w:rFonts w:ascii="Arial" w:hAnsi="Arial" w:cs="Arial"/>
                <w:color w:val="000000" w:themeColor="text1"/>
                <w:sz w:val="22"/>
                <w:szCs w:val="22"/>
              </w:rPr>
              <w:instrText xml:space="preserve"> FORMCHECKBOX </w:instrText>
            </w:r>
            <w:r w:rsidR="005768F2">
              <w:rPr>
                <w:rFonts w:ascii="Arial" w:hAnsi="Arial" w:cs="Arial"/>
                <w:color w:val="000000" w:themeColor="text1"/>
                <w:sz w:val="22"/>
                <w:szCs w:val="22"/>
              </w:rPr>
            </w:r>
            <w:r w:rsidR="005768F2">
              <w:rPr>
                <w:rFonts w:ascii="Arial" w:hAnsi="Arial" w:cs="Arial"/>
                <w:color w:val="000000" w:themeColor="text1"/>
                <w:sz w:val="22"/>
                <w:szCs w:val="22"/>
              </w:rPr>
              <w:fldChar w:fldCharType="separate"/>
            </w:r>
            <w:r w:rsidRPr="00DB6C48">
              <w:rPr>
                <w:rFonts w:ascii="Arial" w:hAnsi="Arial" w:cs="Arial"/>
                <w:color w:val="000000" w:themeColor="text1"/>
                <w:sz w:val="22"/>
                <w:szCs w:val="22"/>
              </w:rPr>
              <w:fldChar w:fldCharType="end"/>
            </w:r>
            <w:bookmarkEnd w:id="5"/>
            <w:r w:rsidRPr="00DB6C48">
              <w:rPr>
                <w:rFonts w:ascii="Arial" w:hAnsi="Arial" w:cs="Arial"/>
                <w:b/>
                <w:color w:val="000000" w:themeColor="text1"/>
                <w:sz w:val="22"/>
                <w:szCs w:val="22"/>
              </w:rPr>
              <w:t xml:space="preserve">   </w:t>
            </w:r>
            <w:r w:rsidRPr="00DB6C48">
              <w:rPr>
                <w:rFonts w:ascii="Arial" w:hAnsi="Arial" w:cs="Arial"/>
                <w:color w:val="000000" w:themeColor="text1"/>
                <w:sz w:val="22"/>
                <w:szCs w:val="22"/>
              </w:rPr>
              <w:t>module of the degree</w:t>
            </w:r>
          </w:p>
        </w:tc>
      </w:tr>
      <w:tr w:rsidR="00AD1EB5" w:rsidRPr="00DB6C48" w14:paraId="670B378B" w14:textId="77777777" w:rsidTr="00AD1EB5">
        <w:trPr>
          <w:trHeight w:val="978"/>
        </w:trPr>
        <w:tc>
          <w:tcPr>
            <w:tcW w:w="9445" w:type="dxa"/>
            <w:gridSpan w:val="5"/>
            <w:shd w:val="clear" w:color="auto" w:fill="D9D9D9"/>
          </w:tcPr>
          <w:p w14:paraId="0825F832" w14:textId="071F3D5F" w:rsidR="00AD1EB5" w:rsidRPr="00DB6C48" w:rsidRDefault="009E1FD6"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noProof/>
                <w:color w:val="000000" w:themeColor="text1"/>
                <w:sz w:val="22"/>
                <w:szCs w:val="22"/>
              </w:rPr>
              <w:drawing>
                <wp:anchor distT="0" distB="0" distL="114300" distR="114300" simplePos="0" relativeHeight="251660288" behindDoc="0" locked="0" layoutInCell="1" allowOverlap="1" wp14:anchorId="3246F295" wp14:editId="43D0518B">
                  <wp:simplePos x="0" y="0"/>
                  <wp:positionH relativeFrom="column">
                    <wp:posOffset>1099820</wp:posOffset>
                  </wp:positionH>
                  <wp:positionV relativeFrom="paragraph">
                    <wp:posOffset>140335</wp:posOffset>
                  </wp:positionV>
                  <wp:extent cx="816084" cy="484505"/>
                  <wp:effectExtent l="0" t="0" r="0" b="0"/>
                  <wp:wrapNone/>
                  <wp:docPr id="3" name="Picture 3" descr="A close up of a logo&#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rotWithShape="1">
                          <a:blip r:embed="rId8" cstate="print">
                            <a:extLst>
                              <a:ext uri="{28A0092B-C50C-407E-A947-70E740481C1C}">
                                <a14:useLocalDpi xmlns:a14="http://schemas.microsoft.com/office/drawing/2010/main" val="0"/>
                              </a:ext>
                            </a:extLst>
                          </a:blip>
                          <a:srcRect l="25531" t="29257" r="37852" b="21723"/>
                          <a:stretch/>
                        </pic:blipFill>
                        <pic:spPr bwMode="auto">
                          <a:xfrm>
                            <a:off x="0" y="0"/>
                            <a:ext cx="816084" cy="48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EB5" w:rsidRPr="00DB6C48">
              <w:rPr>
                <w:rFonts w:ascii="Arial" w:hAnsi="Arial" w:cs="Arial"/>
                <w:color w:val="000000" w:themeColor="text1"/>
                <w:sz w:val="22"/>
                <w:szCs w:val="22"/>
              </w:rPr>
              <w:t>I confirm that this is my original work and that I have adhered to the University policy on plagiarism.</w:t>
            </w:r>
          </w:p>
          <w:p w14:paraId="33AF4811" w14:textId="1D9558A1"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Arial" w:hAnsi="Arial" w:cs="Arial"/>
                <w:color w:val="000000" w:themeColor="text1"/>
                <w:sz w:val="22"/>
                <w:szCs w:val="22"/>
              </w:rPr>
              <w:t>Signed ……………………………………………………………</w:t>
            </w:r>
            <w:r w:rsidR="009E1FD6" w:rsidRPr="00DB6C48">
              <w:rPr>
                <w:rFonts w:ascii="Arial" w:hAnsi="Arial" w:cs="Arial"/>
                <w:color w:val="000000" w:themeColor="text1"/>
                <w:sz w:val="22"/>
                <w:szCs w:val="22"/>
              </w:rPr>
              <w:softHyphen/>
            </w:r>
            <w:r w:rsidR="009E1FD6" w:rsidRPr="00DB6C48">
              <w:rPr>
                <w:rFonts w:ascii="Arial" w:hAnsi="Arial" w:cs="Arial"/>
                <w:color w:val="000000" w:themeColor="text1"/>
                <w:sz w:val="22"/>
                <w:szCs w:val="22"/>
              </w:rPr>
              <w:softHyphen/>
            </w:r>
          </w:p>
          <w:p w14:paraId="666C8CF7" w14:textId="77777777" w:rsidR="00AD1EB5" w:rsidRPr="00DB6C48" w:rsidRDefault="00AD1EB5" w:rsidP="009B1791">
            <w:pPr>
              <w:pStyle w:val="NormalWeb"/>
              <w:spacing w:before="0" w:beforeAutospacing="0" w:after="0" w:afterAutospacing="0"/>
              <w:ind w:right="34"/>
              <w:rPr>
                <w:rFonts w:ascii="Calibri" w:hAnsi="Calibri" w:cs="Calibri"/>
                <w:b/>
                <w:color w:val="000000" w:themeColor="text1"/>
                <w:sz w:val="44"/>
                <w:szCs w:val="44"/>
              </w:rPr>
            </w:pPr>
            <w:r w:rsidRPr="00DB6C48">
              <w:rPr>
                <w:rFonts w:ascii="Calibri" w:hAnsi="Calibri" w:cs="Tahoma"/>
                <w:b/>
                <w:noProof/>
                <w:color w:val="000000" w:themeColor="text1"/>
              </w:rPr>
              <mc:AlternateContent>
                <mc:Choice Requires="wpi">
                  <w:drawing>
                    <wp:anchor distT="0" distB="0" distL="114300" distR="114300" simplePos="0" relativeHeight="251659264" behindDoc="0" locked="0" layoutInCell="1" allowOverlap="1" wp14:anchorId="19097ABB" wp14:editId="1BB610CF">
                      <wp:simplePos x="0" y="0"/>
                      <wp:positionH relativeFrom="column">
                        <wp:posOffset>5005070</wp:posOffset>
                      </wp:positionH>
                      <wp:positionV relativeFrom="paragraph">
                        <wp:posOffset>82355</wp:posOffset>
                      </wp:positionV>
                      <wp:extent cx="123120" cy="151560"/>
                      <wp:effectExtent l="38100" t="38100" r="29845" b="2667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3120" cy="151560"/>
                            </w14:xfrm>
                          </w14:contentPart>
                        </a:graphicData>
                      </a:graphic>
                    </wp:anchor>
                  </w:drawing>
                </mc:Choice>
                <mc:Fallback>
                  <w:pict>
                    <v:shapetype w14:anchorId="7EFC24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3.4pt;margin-top:5.8pt;width:11.15pt;height:13.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">
                      <v:imagedata r:id="rId10" o:title=""/>
                      <o:lock v:ext="edit" rotation="t" aspectratio="f"/>
                    </v:shape>
                  </w:pict>
                </mc:Fallback>
              </mc:AlternateContent>
            </w:r>
            <w:r w:rsidRPr="00DB6C48">
              <w:rPr>
                <w:rFonts w:ascii="Calibri" w:hAnsi="Calibri" w:cs="Tahoma"/>
                <w:b/>
                <w:color w:val="000000" w:themeColor="text1"/>
              </w:rPr>
              <w:t xml:space="preserve">Email </w:t>
            </w:r>
            <w:proofErr w:type="spellStart"/>
            <w:proofErr w:type="gramStart"/>
            <w:r w:rsidRPr="00DB6C48">
              <w:rPr>
                <w:rFonts w:ascii="Calibri" w:hAnsi="Calibri" w:cs="Tahoma"/>
                <w:b/>
                <w:color w:val="000000" w:themeColor="text1"/>
              </w:rPr>
              <w:t>submission:if</w:t>
            </w:r>
            <w:proofErr w:type="spellEnd"/>
            <w:proofErr w:type="gramEnd"/>
            <w:r w:rsidRPr="00DB6C48">
              <w:rPr>
                <w:rFonts w:ascii="Calibri" w:hAnsi="Calibri" w:cs="Tahoma"/>
                <w:b/>
                <w:color w:val="000000" w:themeColor="text1"/>
              </w:rPr>
              <w:t xml:space="preserve"> you are submitting this form via email, please tick this box </w:t>
            </w:r>
            <w:r w:rsidRPr="00DB6C48">
              <w:rPr>
                <w:rFonts w:ascii="Calibri" w:hAnsi="Calibri" w:cs="Calibri"/>
                <w:b/>
                <w:color w:val="000000" w:themeColor="text1"/>
                <w:sz w:val="44"/>
                <w:szCs w:val="44"/>
              </w:rPr>
              <w:t>□</w:t>
            </w:r>
          </w:p>
          <w:p w14:paraId="6D68C2EF" w14:textId="77777777" w:rsidR="00AD1EB5" w:rsidRPr="00DB6C48" w:rsidRDefault="00AD1EB5" w:rsidP="009B1791">
            <w:pPr>
              <w:pStyle w:val="NormalWeb"/>
              <w:spacing w:before="0" w:beforeAutospacing="0" w:after="0" w:afterAutospacing="0"/>
              <w:ind w:right="34"/>
              <w:rPr>
                <w:rFonts w:ascii="Arial" w:hAnsi="Arial" w:cs="Arial"/>
                <w:color w:val="000000" w:themeColor="text1"/>
                <w:sz w:val="22"/>
                <w:szCs w:val="22"/>
              </w:rPr>
            </w:pPr>
            <w:r w:rsidRPr="00DB6C48">
              <w:rPr>
                <w:rFonts w:ascii="Calibri" w:hAnsi="Calibri" w:cs="Tahoma"/>
                <w:b/>
                <w:color w:val="000000" w:themeColor="text1"/>
              </w:rPr>
              <w:t>(as a substitute for your signature) to confirm that you agree to the above declaration.</w:t>
            </w:r>
          </w:p>
        </w:tc>
      </w:tr>
      <w:tr w:rsidR="00AD1EB5" w:rsidRPr="00DB6C48" w14:paraId="62C0E634" w14:textId="77777777" w:rsidTr="00AD1EB5">
        <w:trPr>
          <w:trHeight w:val="3972"/>
        </w:trPr>
        <w:tc>
          <w:tcPr>
            <w:tcW w:w="9445" w:type="dxa"/>
            <w:gridSpan w:val="5"/>
          </w:tcPr>
          <w:p w14:paraId="28EC111B" w14:textId="1F9F464E" w:rsidR="00AD1EB5" w:rsidRPr="00DB6C48" w:rsidRDefault="00AD1EB5" w:rsidP="009B1791">
            <w:pPr>
              <w:rPr>
                <w:rFonts w:ascii="Arial" w:hAnsi="Arial"/>
                <w:b/>
                <w:color w:val="000000" w:themeColor="text1"/>
              </w:rPr>
            </w:pPr>
          </w:p>
          <w:p w14:paraId="31CEF4AB" w14:textId="6F6C4DA8" w:rsidR="00AD1EB5" w:rsidRPr="00DB6C48" w:rsidRDefault="00AD1EB5" w:rsidP="009B1791">
            <w:pPr>
              <w:rPr>
                <w:rFonts w:ascii="Arial" w:hAnsi="Arial"/>
                <w:color w:val="000000" w:themeColor="text1"/>
              </w:rPr>
            </w:pPr>
            <w:r w:rsidRPr="00DB6C48">
              <w:rPr>
                <w:rFonts w:ascii="Arial" w:hAnsi="Arial"/>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D1EB5" w:rsidRPr="00DB6C48" w14:paraId="3ED926AD" w14:textId="77777777" w:rsidTr="009B1791">
              <w:tc>
                <w:tcPr>
                  <w:tcW w:w="6970" w:type="dxa"/>
                </w:tcPr>
                <w:p w14:paraId="6B8D1FE8" w14:textId="77777777" w:rsidR="00AD1EB5" w:rsidRPr="00DB6C48" w:rsidRDefault="00AD1EB5" w:rsidP="009B1791">
                  <w:pPr>
                    <w:rPr>
                      <w:rFonts w:ascii="Arial" w:hAnsi="Arial"/>
                      <w:color w:val="000000" w:themeColor="text1"/>
                      <w:sz w:val="20"/>
                      <w:szCs w:val="20"/>
                    </w:rPr>
                  </w:pPr>
                </w:p>
                <w:p w14:paraId="200DF4AE" w14:textId="77777777" w:rsidR="00AD1EB5" w:rsidRPr="00DB6C48" w:rsidRDefault="00AD1EB5" w:rsidP="009B1791">
                  <w:pPr>
                    <w:rPr>
                      <w:rFonts w:ascii="Arial" w:hAnsi="Arial"/>
                      <w:color w:val="000000" w:themeColor="text1"/>
                      <w:sz w:val="20"/>
                      <w:szCs w:val="20"/>
                    </w:rPr>
                  </w:pPr>
                  <w:r w:rsidRPr="00DB6C48">
                    <w:rPr>
                      <w:rFonts w:ascii="Arial" w:hAnsi="Arial"/>
                      <w:color w:val="000000" w:themeColor="text1"/>
                      <w:sz w:val="20"/>
                      <w:szCs w:val="20"/>
                    </w:rPr>
                    <w:t>1</w:t>
                  </w:r>
                  <w:r w:rsidRPr="00DB6C48">
                    <w:rPr>
                      <w:rFonts w:ascii="Arial" w:hAnsi="Arial"/>
                      <w:color w:val="000000" w:themeColor="text1"/>
                      <w:sz w:val="20"/>
                      <w:szCs w:val="20"/>
                      <w:vertAlign w:val="superscript"/>
                    </w:rPr>
                    <w:t>st</w:t>
                  </w:r>
                  <w:r w:rsidRPr="00DB6C48">
                    <w:rPr>
                      <w:rFonts w:ascii="Arial" w:hAnsi="Arial"/>
                      <w:color w:val="000000" w:themeColor="text1"/>
                      <w:sz w:val="20"/>
                      <w:szCs w:val="20"/>
                    </w:rPr>
                    <w:t xml:space="preserve"> Marker’s Provisional mark</w:t>
                  </w:r>
                </w:p>
              </w:tc>
              <w:tc>
                <w:tcPr>
                  <w:tcW w:w="1660" w:type="dxa"/>
                </w:tcPr>
                <w:p w14:paraId="5270722E" w14:textId="77777777" w:rsidR="00AD1EB5" w:rsidRPr="00DB6C48" w:rsidRDefault="00AD1EB5" w:rsidP="009B1791">
                  <w:pPr>
                    <w:rPr>
                      <w:rFonts w:ascii="Arial" w:hAnsi="Arial"/>
                      <w:color w:val="000000" w:themeColor="text1"/>
                      <w:sz w:val="20"/>
                      <w:szCs w:val="20"/>
                    </w:rPr>
                  </w:pPr>
                </w:p>
              </w:tc>
            </w:tr>
            <w:tr w:rsidR="00AD1EB5" w:rsidRPr="00DB6C48" w14:paraId="395A1C96" w14:textId="77777777" w:rsidTr="009B1791">
              <w:tc>
                <w:tcPr>
                  <w:tcW w:w="6970" w:type="dxa"/>
                </w:tcPr>
                <w:p w14:paraId="2BAD9E21" w14:textId="14486B6B" w:rsidR="00AD1EB5" w:rsidRPr="00DB6C48" w:rsidRDefault="00AD1EB5" w:rsidP="009B1791">
                  <w:pPr>
                    <w:rPr>
                      <w:rFonts w:ascii="Arial" w:hAnsi="Arial"/>
                      <w:color w:val="000000" w:themeColor="text1"/>
                      <w:sz w:val="20"/>
                      <w:szCs w:val="20"/>
                    </w:rPr>
                  </w:pPr>
                </w:p>
                <w:p w14:paraId="3E982551" w14:textId="77777777" w:rsidR="00AD1EB5" w:rsidRPr="00DB6C48" w:rsidRDefault="00AD1EB5" w:rsidP="009B1791">
                  <w:pPr>
                    <w:rPr>
                      <w:rFonts w:ascii="Arial" w:hAnsi="Arial"/>
                      <w:color w:val="000000" w:themeColor="text1"/>
                      <w:sz w:val="20"/>
                      <w:szCs w:val="20"/>
                    </w:rPr>
                  </w:pPr>
                  <w:r w:rsidRPr="00DB6C48">
                    <w:rPr>
                      <w:rFonts w:ascii="Arial" w:hAnsi="Arial"/>
                      <w:color w:val="000000" w:themeColor="text1"/>
                      <w:sz w:val="20"/>
                      <w:szCs w:val="20"/>
                    </w:rPr>
                    <w:t>2</w:t>
                  </w:r>
                  <w:r w:rsidRPr="00DB6C48">
                    <w:rPr>
                      <w:rFonts w:ascii="Arial" w:hAnsi="Arial"/>
                      <w:color w:val="000000" w:themeColor="text1"/>
                      <w:sz w:val="20"/>
                      <w:szCs w:val="20"/>
                      <w:vertAlign w:val="superscript"/>
                    </w:rPr>
                    <w:t>nd</w:t>
                  </w:r>
                  <w:r w:rsidRPr="00DB6C48">
                    <w:rPr>
                      <w:rFonts w:ascii="Arial" w:hAnsi="Arial"/>
                      <w:color w:val="000000" w:themeColor="text1"/>
                      <w:sz w:val="20"/>
                      <w:szCs w:val="20"/>
                    </w:rPr>
                    <w:t xml:space="preserve"> Marker’s/Moderator’s provisional mark</w:t>
                  </w:r>
                </w:p>
              </w:tc>
              <w:tc>
                <w:tcPr>
                  <w:tcW w:w="1660" w:type="dxa"/>
                </w:tcPr>
                <w:p w14:paraId="6DDC5948" w14:textId="77777777" w:rsidR="00AD1EB5" w:rsidRPr="00DB6C48" w:rsidRDefault="00AD1EB5" w:rsidP="009B1791">
                  <w:pPr>
                    <w:rPr>
                      <w:rFonts w:ascii="Arial" w:hAnsi="Arial"/>
                      <w:color w:val="000000" w:themeColor="text1"/>
                      <w:sz w:val="20"/>
                      <w:szCs w:val="20"/>
                    </w:rPr>
                  </w:pPr>
                </w:p>
              </w:tc>
            </w:tr>
            <w:tr w:rsidR="00AD1EB5" w:rsidRPr="00DB6C48" w14:paraId="005F6C90" w14:textId="77777777" w:rsidTr="009B1791">
              <w:tc>
                <w:tcPr>
                  <w:tcW w:w="6970" w:type="dxa"/>
                </w:tcPr>
                <w:p w14:paraId="51078307" w14:textId="77777777" w:rsidR="00AD1EB5" w:rsidRPr="00DB6C48" w:rsidRDefault="00AD1EB5" w:rsidP="009B1791">
                  <w:pPr>
                    <w:rPr>
                      <w:rFonts w:ascii="Arial" w:hAnsi="Arial"/>
                      <w:color w:val="000000" w:themeColor="text1"/>
                      <w:sz w:val="20"/>
                      <w:szCs w:val="20"/>
                    </w:rPr>
                  </w:pPr>
                </w:p>
                <w:p w14:paraId="283A89E6" w14:textId="77777777" w:rsidR="00AD1EB5" w:rsidRPr="00DB6C48" w:rsidRDefault="00AD1EB5" w:rsidP="009B1791">
                  <w:pPr>
                    <w:rPr>
                      <w:rFonts w:ascii="Arial" w:hAnsi="Arial"/>
                      <w:color w:val="000000" w:themeColor="text1"/>
                      <w:sz w:val="20"/>
                      <w:szCs w:val="20"/>
                    </w:rPr>
                  </w:pPr>
                  <w:r w:rsidRPr="00DB6C48">
                    <w:rPr>
                      <w:rFonts w:ascii="Arial" w:hAnsi="Arial"/>
                      <w:color w:val="000000" w:themeColor="text1"/>
                      <w:sz w:val="20"/>
                      <w:szCs w:val="20"/>
                    </w:rPr>
                    <w:t>External Examiner’s mark (if relevant)</w:t>
                  </w:r>
                </w:p>
              </w:tc>
              <w:tc>
                <w:tcPr>
                  <w:tcW w:w="1660" w:type="dxa"/>
                </w:tcPr>
                <w:p w14:paraId="68C8F4AC" w14:textId="77777777" w:rsidR="00AD1EB5" w:rsidRPr="00DB6C48" w:rsidRDefault="00AD1EB5" w:rsidP="009B1791">
                  <w:pPr>
                    <w:rPr>
                      <w:rFonts w:ascii="Arial" w:hAnsi="Arial"/>
                      <w:color w:val="000000" w:themeColor="text1"/>
                      <w:sz w:val="20"/>
                      <w:szCs w:val="20"/>
                    </w:rPr>
                  </w:pPr>
                </w:p>
              </w:tc>
            </w:tr>
            <w:tr w:rsidR="00AD1EB5" w:rsidRPr="00DB6C48" w14:paraId="4276ED9C" w14:textId="77777777" w:rsidTr="009B1791">
              <w:tc>
                <w:tcPr>
                  <w:tcW w:w="6970" w:type="dxa"/>
                </w:tcPr>
                <w:p w14:paraId="67D49060" w14:textId="77777777" w:rsidR="00AD1EB5" w:rsidRPr="00DB6C48" w:rsidRDefault="00AD1EB5" w:rsidP="009B1791">
                  <w:pPr>
                    <w:rPr>
                      <w:rFonts w:ascii="Arial" w:hAnsi="Arial"/>
                      <w:color w:val="000000" w:themeColor="text1"/>
                      <w:sz w:val="20"/>
                      <w:szCs w:val="20"/>
                    </w:rPr>
                  </w:pPr>
                </w:p>
                <w:p w14:paraId="60B39854" w14:textId="77777777" w:rsidR="00AD1EB5" w:rsidRPr="00DB6C48" w:rsidRDefault="00AD1EB5" w:rsidP="009B1791">
                  <w:pPr>
                    <w:rPr>
                      <w:rFonts w:ascii="Arial" w:hAnsi="Arial"/>
                      <w:b/>
                      <w:color w:val="000000" w:themeColor="text1"/>
                      <w:sz w:val="20"/>
                      <w:szCs w:val="20"/>
                    </w:rPr>
                  </w:pPr>
                  <w:r w:rsidRPr="00DB6C48">
                    <w:rPr>
                      <w:rFonts w:ascii="Arial" w:hAnsi="Arial"/>
                      <w:b/>
                      <w:color w:val="000000" w:themeColor="text1"/>
                      <w:sz w:val="20"/>
                      <w:szCs w:val="20"/>
                    </w:rPr>
                    <w:t>Final Mark</w:t>
                  </w:r>
                </w:p>
                <w:p w14:paraId="64E7B47E" w14:textId="77777777" w:rsidR="00AD1EB5" w:rsidRPr="00DB6C48" w:rsidRDefault="00AD1EB5" w:rsidP="009B1791">
                  <w:pPr>
                    <w:rPr>
                      <w:rFonts w:ascii="Arial" w:hAnsi="Arial"/>
                      <w:color w:val="000000" w:themeColor="text1"/>
                      <w:sz w:val="20"/>
                      <w:szCs w:val="20"/>
                    </w:rPr>
                  </w:pPr>
                </w:p>
              </w:tc>
              <w:tc>
                <w:tcPr>
                  <w:tcW w:w="1660" w:type="dxa"/>
                </w:tcPr>
                <w:p w14:paraId="280427C8" w14:textId="77777777" w:rsidR="00AD1EB5" w:rsidRPr="00DB6C48" w:rsidRDefault="00AD1EB5" w:rsidP="009B1791">
                  <w:pPr>
                    <w:rPr>
                      <w:rFonts w:ascii="Arial" w:hAnsi="Arial"/>
                      <w:color w:val="000000" w:themeColor="text1"/>
                      <w:sz w:val="20"/>
                      <w:szCs w:val="20"/>
                    </w:rPr>
                  </w:pPr>
                </w:p>
              </w:tc>
            </w:tr>
          </w:tbl>
          <w:p w14:paraId="67865E39" w14:textId="77777777" w:rsidR="00AD1EB5" w:rsidRPr="00DB6C48" w:rsidRDefault="00AD1EB5" w:rsidP="009B1791">
            <w:pPr>
              <w:pStyle w:val="NormalWeb"/>
              <w:spacing w:before="0" w:beforeAutospacing="0" w:after="0" w:afterAutospacing="0"/>
              <w:ind w:left="142" w:right="34"/>
              <w:rPr>
                <w:rFonts w:ascii="Arial" w:hAnsi="Arial" w:cs="Arial"/>
                <w:b/>
                <w:color w:val="000000" w:themeColor="text1"/>
                <w:sz w:val="22"/>
                <w:szCs w:val="22"/>
              </w:rPr>
            </w:pPr>
          </w:p>
          <w:p w14:paraId="28D9A7C5" w14:textId="77777777" w:rsidR="00AD1EB5" w:rsidRPr="00DB6C48" w:rsidRDefault="00AD1EB5" w:rsidP="009B1791">
            <w:pPr>
              <w:pStyle w:val="NormalWeb"/>
              <w:spacing w:before="0" w:beforeAutospacing="0" w:after="0" w:afterAutospacing="0"/>
              <w:ind w:left="142" w:right="34"/>
              <w:rPr>
                <w:rFonts w:ascii="Arial" w:hAnsi="Arial" w:cs="Arial"/>
                <w:color w:val="000000" w:themeColor="text1"/>
                <w:sz w:val="22"/>
                <w:szCs w:val="22"/>
              </w:rPr>
            </w:pPr>
            <w:r w:rsidRPr="00DB6C48">
              <w:rPr>
                <w:rFonts w:ascii="Arial" w:hAnsi="Arial" w:cs="Arial"/>
                <w:b/>
                <w:color w:val="000000" w:themeColor="text1"/>
                <w:sz w:val="22"/>
                <w:szCs w:val="22"/>
              </w:rPr>
              <w:t>NB.</w:t>
            </w:r>
            <w:r w:rsidRPr="00DB6C48">
              <w:rPr>
                <w:rFonts w:ascii="Arial" w:hAnsi="Arial" w:cs="Arial"/>
                <w:color w:val="000000" w:themeColor="text1"/>
                <w:sz w:val="22"/>
                <w:szCs w:val="22"/>
              </w:rPr>
              <w:t xml:space="preserve">  All marks are provisional until confirmed by the Final Examination Board.</w:t>
            </w:r>
          </w:p>
          <w:p w14:paraId="1DA50228" w14:textId="77777777"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p>
          <w:p w14:paraId="5E507F69" w14:textId="3DCF94BD"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p>
          <w:p w14:paraId="5F89DD2B" w14:textId="46F6918A"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p>
          <w:p w14:paraId="7C3A2994" w14:textId="77777777"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p>
          <w:p w14:paraId="5134D8E7" w14:textId="77777777"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p>
          <w:p w14:paraId="75FC0C27" w14:textId="2145F376" w:rsidR="00AD1EB5" w:rsidRPr="00DB6C48" w:rsidRDefault="00AD1EB5" w:rsidP="009B1791">
            <w:pPr>
              <w:pStyle w:val="NormalWeb"/>
              <w:spacing w:before="0" w:beforeAutospacing="0" w:after="0" w:afterAutospacing="0"/>
              <w:rPr>
                <w:rFonts w:ascii="Arial" w:hAnsi="Arial" w:cs="Arial"/>
                <w:b/>
                <w:color w:val="000000" w:themeColor="text1"/>
                <w:sz w:val="22"/>
                <w:szCs w:val="22"/>
              </w:rPr>
            </w:pPr>
            <w:r w:rsidRPr="00DB6C48">
              <w:rPr>
                <w:rFonts w:ascii="Arial" w:hAnsi="Arial" w:cs="Arial"/>
                <w:b/>
                <w:color w:val="000000" w:themeColor="text1"/>
                <w:sz w:val="22"/>
                <w:szCs w:val="22"/>
              </w:rPr>
              <w:t xml:space="preserve">For completion by Marker </w:t>
            </w:r>
            <w:proofErr w:type="gramStart"/>
            <w:r w:rsidRPr="00DB6C48">
              <w:rPr>
                <w:rFonts w:ascii="Arial" w:hAnsi="Arial" w:cs="Arial"/>
                <w:b/>
                <w:color w:val="000000" w:themeColor="text1"/>
                <w:sz w:val="22"/>
                <w:szCs w:val="22"/>
              </w:rPr>
              <w:t>1 :</w:t>
            </w:r>
            <w:proofErr w:type="gramEnd"/>
          </w:p>
          <w:p w14:paraId="616B2EF9" w14:textId="77777777" w:rsidR="00AD1EB5" w:rsidRPr="00DB6C48" w:rsidRDefault="00AD1EB5" w:rsidP="009B1791">
            <w:pPr>
              <w:pStyle w:val="NormalWeb"/>
              <w:rPr>
                <w:rFonts w:ascii="Arial" w:hAnsi="Arial" w:cs="Arial"/>
                <w:color w:val="000000" w:themeColor="text1"/>
                <w:sz w:val="22"/>
                <w:szCs w:val="22"/>
              </w:rPr>
            </w:pPr>
            <w:r w:rsidRPr="00DB6C48">
              <w:rPr>
                <w:rFonts w:ascii="Arial" w:hAnsi="Arial" w:cs="Arial"/>
                <w:color w:val="000000" w:themeColor="text1"/>
                <w:sz w:val="22"/>
                <w:szCs w:val="22"/>
              </w:rPr>
              <w:t>Comments:</w:t>
            </w:r>
          </w:p>
          <w:p w14:paraId="67F5FB91" w14:textId="77777777" w:rsidR="00AD1EB5" w:rsidRPr="00DB6C48" w:rsidRDefault="00AD1EB5" w:rsidP="009B1791">
            <w:pPr>
              <w:pStyle w:val="NormalWeb"/>
              <w:rPr>
                <w:rFonts w:ascii="Arial" w:hAnsi="Arial" w:cs="Arial"/>
                <w:color w:val="000000" w:themeColor="text1"/>
                <w:sz w:val="22"/>
                <w:szCs w:val="22"/>
              </w:rPr>
            </w:pPr>
          </w:p>
        </w:tc>
      </w:tr>
      <w:tr w:rsidR="00AD1EB5" w:rsidRPr="00DB6C48" w14:paraId="29813B10" w14:textId="77777777" w:rsidTr="00AD1EB5">
        <w:trPr>
          <w:trHeight w:val="492"/>
        </w:trPr>
        <w:tc>
          <w:tcPr>
            <w:tcW w:w="6768" w:type="dxa"/>
            <w:gridSpan w:val="3"/>
          </w:tcPr>
          <w:p w14:paraId="1D4C54C0" w14:textId="77777777" w:rsidR="00AD1EB5" w:rsidRPr="00DB6C48" w:rsidRDefault="00AD1EB5" w:rsidP="009B1791">
            <w:pPr>
              <w:pStyle w:val="NormalWeb"/>
              <w:ind w:left="142" w:right="34"/>
              <w:rPr>
                <w:rFonts w:ascii="Arial" w:hAnsi="Arial" w:cs="Arial"/>
                <w:color w:val="000000" w:themeColor="text1"/>
                <w:sz w:val="22"/>
                <w:szCs w:val="22"/>
              </w:rPr>
            </w:pPr>
            <w:r w:rsidRPr="00DB6C48">
              <w:rPr>
                <w:rFonts w:ascii="Arial" w:hAnsi="Arial" w:cs="Arial"/>
                <w:color w:val="000000" w:themeColor="text1"/>
                <w:sz w:val="22"/>
                <w:szCs w:val="22"/>
              </w:rPr>
              <w:lastRenderedPageBreak/>
              <w:t>Marker’s signature:</w:t>
            </w:r>
          </w:p>
        </w:tc>
        <w:tc>
          <w:tcPr>
            <w:tcW w:w="2677" w:type="dxa"/>
            <w:gridSpan w:val="2"/>
          </w:tcPr>
          <w:p w14:paraId="145C06E5" w14:textId="77777777" w:rsidR="00AD1EB5" w:rsidRPr="00DB6C48" w:rsidRDefault="00AD1EB5" w:rsidP="009B1791">
            <w:pPr>
              <w:pStyle w:val="NormalWeb"/>
              <w:spacing w:after="0"/>
              <w:ind w:left="142" w:right="34"/>
              <w:rPr>
                <w:rFonts w:ascii="Arial" w:hAnsi="Arial" w:cs="Arial"/>
                <w:color w:val="000000" w:themeColor="text1"/>
                <w:sz w:val="22"/>
                <w:szCs w:val="22"/>
              </w:rPr>
            </w:pPr>
            <w:r w:rsidRPr="00DB6C48">
              <w:rPr>
                <w:rFonts w:ascii="Arial" w:hAnsi="Arial" w:cs="Arial"/>
                <w:color w:val="000000" w:themeColor="text1"/>
                <w:sz w:val="22"/>
                <w:szCs w:val="22"/>
              </w:rPr>
              <w:t>Date:</w:t>
            </w:r>
          </w:p>
        </w:tc>
      </w:tr>
      <w:tr w:rsidR="00AD1EB5" w:rsidRPr="00DB6C48" w14:paraId="0042D971" w14:textId="77777777" w:rsidTr="00AD1EB5">
        <w:tc>
          <w:tcPr>
            <w:tcW w:w="9445" w:type="dxa"/>
            <w:gridSpan w:val="5"/>
          </w:tcPr>
          <w:p w14:paraId="5DC38D4F" w14:textId="77777777" w:rsidR="00AD1EB5" w:rsidRPr="00DB6C48" w:rsidRDefault="00AD1EB5" w:rsidP="009B1791">
            <w:pPr>
              <w:pStyle w:val="NormalWeb"/>
              <w:spacing w:before="0" w:beforeAutospacing="0" w:after="0" w:afterAutospacing="0"/>
              <w:ind w:right="-334"/>
              <w:rPr>
                <w:rFonts w:ascii="Arial" w:hAnsi="Arial" w:cs="Arial"/>
                <w:bCs/>
                <w:i/>
                <w:color w:val="000000" w:themeColor="text1"/>
                <w:sz w:val="22"/>
                <w:szCs w:val="22"/>
              </w:rPr>
            </w:pPr>
          </w:p>
          <w:p w14:paraId="3210E7E4" w14:textId="77777777" w:rsidR="00AD1EB5" w:rsidRPr="00DB6C48" w:rsidRDefault="00AD1EB5" w:rsidP="009B1791">
            <w:pPr>
              <w:pStyle w:val="NormalWeb"/>
              <w:spacing w:before="0" w:beforeAutospacing="0" w:after="0" w:afterAutospacing="0"/>
              <w:ind w:right="-334"/>
              <w:rPr>
                <w:rFonts w:ascii="Arial" w:hAnsi="Arial" w:cs="Arial"/>
                <w:b/>
                <w:bCs/>
                <w:color w:val="000000" w:themeColor="text1"/>
                <w:sz w:val="22"/>
                <w:szCs w:val="22"/>
              </w:rPr>
            </w:pPr>
            <w:r w:rsidRPr="00DB6C48">
              <w:rPr>
                <w:rFonts w:ascii="Arial" w:hAnsi="Arial" w:cs="Arial"/>
                <w:b/>
                <w:bCs/>
                <w:color w:val="000000" w:themeColor="text1"/>
                <w:sz w:val="22"/>
                <w:szCs w:val="22"/>
              </w:rPr>
              <w:t>For completion by Marker 2/Moderator:</w:t>
            </w:r>
          </w:p>
          <w:p w14:paraId="4D9CE7A6" w14:textId="77777777" w:rsidR="00AD1EB5" w:rsidRPr="00DB6C48" w:rsidRDefault="00AD1EB5" w:rsidP="009B1791">
            <w:pPr>
              <w:pStyle w:val="NormalWeb"/>
              <w:spacing w:before="0" w:beforeAutospacing="0" w:after="0" w:afterAutospacing="0"/>
              <w:ind w:right="-334"/>
              <w:rPr>
                <w:rFonts w:ascii="Arial" w:hAnsi="Arial" w:cs="Arial"/>
                <w:b/>
                <w:bCs/>
                <w:color w:val="000000" w:themeColor="text1"/>
                <w:sz w:val="22"/>
                <w:szCs w:val="22"/>
              </w:rPr>
            </w:pPr>
          </w:p>
          <w:p w14:paraId="176FB2A2"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r w:rsidRPr="00DB6C48">
              <w:rPr>
                <w:rFonts w:ascii="Arial" w:hAnsi="Arial" w:cs="Arial"/>
                <w:bCs/>
                <w:color w:val="000000" w:themeColor="text1"/>
                <w:sz w:val="22"/>
                <w:szCs w:val="22"/>
              </w:rPr>
              <w:t>Comments:</w:t>
            </w:r>
          </w:p>
          <w:p w14:paraId="3324B6D6"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286FC3F"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F87C1D2"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6237354"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90C0F6C"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EB854A8"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192B551"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442C696"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10C91A06"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DF80E22"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AD1EB5" w:rsidRPr="00DB6C48" w14:paraId="38423C6B" w14:textId="77777777" w:rsidTr="00AD1EB5">
        <w:trPr>
          <w:trHeight w:val="720"/>
        </w:trPr>
        <w:tc>
          <w:tcPr>
            <w:tcW w:w="5211" w:type="dxa"/>
            <w:gridSpan w:val="2"/>
          </w:tcPr>
          <w:p w14:paraId="1F9C622D"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r w:rsidRPr="00DB6C48">
              <w:rPr>
                <w:rFonts w:ascii="Arial" w:hAnsi="Arial" w:cs="Arial"/>
                <w:bCs/>
                <w:color w:val="000000" w:themeColor="text1"/>
                <w:sz w:val="22"/>
                <w:szCs w:val="22"/>
              </w:rPr>
              <w:t>Marker’s Signature:</w:t>
            </w:r>
          </w:p>
        </w:tc>
        <w:tc>
          <w:tcPr>
            <w:tcW w:w="4234" w:type="dxa"/>
            <w:gridSpan w:val="3"/>
          </w:tcPr>
          <w:p w14:paraId="4D6F0C93"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r w:rsidRPr="00DB6C48">
              <w:rPr>
                <w:rFonts w:ascii="Arial" w:hAnsi="Arial" w:cs="Arial"/>
                <w:bCs/>
                <w:color w:val="000000" w:themeColor="text1"/>
                <w:sz w:val="22"/>
                <w:szCs w:val="22"/>
              </w:rPr>
              <w:t>Date:</w:t>
            </w:r>
          </w:p>
        </w:tc>
      </w:tr>
      <w:tr w:rsidR="00AD1EB5" w:rsidRPr="00DB6C48" w14:paraId="65B2CE97" w14:textId="77777777" w:rsidTr="00AD1EB5">
        <w:trPr>
          <w:trHeight w:val="720"/>
        </w:trPr>
        <w:tc>
          <w:tcPr>
            <w:tcW w:w="9445" w:type="dxa"/>
            <w:gridSpan w:val="5"/>
          </w:tcPr>
          <w:p w14:paraId="6014A69E" w14:textId="77777777" w:rsidR="00AD1EB5" w:rsidRPr="00DB6C48" w:rsidRDefault="00AD1EB5" w:rsidP="009B1791">
            <w:pPr>
              <w:rPr>
                <w:rFonts w:ascii="Arial" w:hAnsi="Arial" w:cs="Arial"/>
                <w:b/>
                <w:color w:val="000000" w:themeColor="text1"/>
                <w:sz w:val="22"/>
                <w:szCs w:val="22"/>
              </w:rPr>
            </w:pPr>
            <w:r w:rsidRPr="00DB6C48">
              <w:rPr>
                <w:rFonts w:ascii="Arial" w:hAnsi="Arial" w:cs="Arial"/>
                <w:b/>
                <w:color w:val="000000" w:themeColor="text1"/>
                <w:sz w:val="22"/>
                <w:szCs w:val="22"/>
              </w:rPr>
              <w:t>External Examiner’s comments (if relevant)</w:t>
            </w:r>
          </w:p>
          <w:p w14:paraId="1348DBC2"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D236B94"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2E2FF43"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59674F6E"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6B5F219A"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3B98FE57"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776230EF"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0CFC3F28"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440F9E99"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6442ED9"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p w14:paraId="20C5F774" w14:textId="77777777" w:rsidR="00AD1EB5" w:rsidRPr="00DB6C48" w:rsidRDefault="00AD1EB5" w:rsidP="009B1791">
            <w:pPr>
              <w:pStyle w:val="NormalWeb"/>
              <w:spacing w:before="0" w:beforeAutospacing="0" w:after="0" w:afterAutospacing="0"/>
              <w:ind w:right="-334"/>
              <w:rPr>
                <w:rFonts w:ascii="Arial" w:hAnsi="Arial" w:cs="Arial"/>
                <w:bCs/>
                <w:color w:val="000000" w:themeColor="text1"/>
                <w:sz w:val="22"/>
                <w:szCs w:val="22"/>
              </w:rPr>
            </w:pPr>
          </w:p>
        </w:tc>
      </w:tr>
      <w:tr w:rsidR="00AD1EB5" w:rsidRPr="00DB6C48" w14:paraId="06D44937" w14:textId="77777777" w:rsidTr="00AD1EB5">
        <w:trPr>
          <w:trHeight w:val="720"/>
        </w:trPr>
        <w:tc>
          <w:tcPr>
            <w:tcW w:w="5211" w:type="dxa"/>
            <w:gridSpan w:val="2"/>
          </w:tcPr>
          <w:p w14:paraId="17AC7291" w14:textId="77777777" w:rsidR="00AD1EB5" w:rsidRPr="00DB6C48" w:rsidRDefault="00AD1EB5" w:rsidP="009B1791">
            <w:pPr>
              <w:rPr>
                <w:rFonts w:ascii="Arial" w:hAnsi="Arial" w:cs="Arial"/>
                <w:color w:val="000000" w:themeColor="text1"/>
                <w:sz w:val="22"/>
                <w:szCs w:val="22"/>
              </w:rPr>
            </w:pPr>
            <w:r w:rsidRPr="00DB6C48">
              <w:rPr>
                <w:rFonts w:ascii="Arial" w:hAnsi="Arial" w:cs="Arial"/>
                <w:color w:val="000000" w:themeColor="text1"/>
                <w:sz w:val="22"/>
                <w:szCs w:val="22"/>
              </w:rPr>
              <w:t>External Examiner’s Signature:</w:t>
            </w:r>
          </w:p>
        </w:tc>
        <w:tc>
          <w:tcPr>
            <w:tcW w:w="4234" w:type="dxa"/>
            <w:gridSpan w:val="3"/>
          </w:tcPr>
          <w:p w14:paraId="4DB3D3E1" w14:textId="77777777" w:rsidR="00AD1EB5" w:rsidRPr="00DB6C48" w:rsidRDefault="00AD1EB5" w:rsidP="009B1791">
            <w:pPr>
              <w:rPr>
                <w:rFonts w:ascii="Arial" w:hAnsi="Arial" w:cs="Arial"/>
                <w:color w:val="000000" w:themeColor="text1"/>
                <w:sz w:val="22"/>
                <w:szCs w:val="22"/>
              </w:rPr>
            </w:pPr>
            <w:r w:rsidRPr="00DB6C48">
              <w:rPr>
                <w:rFonts w:ascii="Arial" w:hAnsi="Arial" w:cs="Arial"/>
                <w:color w:val="000000" w:themeColor="text1"/>
                <w:sz w:val="22"/>
                <w:szCs w:val="22"/>
              </w:rPr>
              <w:t>Date:</w:t>
            </w:r>
          </w:p>
        </w:tc>
      </w:tr>
    </w:tbl>
    <w:p w14:paraId="4BA56B89" w14:textId="56823AD8" w:rsidR="00AD1EB5" w:rsidRPr="00DB6C48" w:rsidRDefault="00AD1EB5">
      <w:pPr>
        <w:rPr>
          <w:rFonts w:eastAsiaTheme="majorEastAsia" w:cstheme="majorBidi"/>
          <w:color w:val="000000" w:themeColor="text1"/>
          <w:spacing w:val="-10"/>
          <w:kern w:val="28"/>
          <w:sz w:val="28"/>
          <w:szCs w:val="56"/>
        </w:rPr>
      </w:pPr>
    </w:p>
    <w:p w14:paraId="75CE7E06" w14:textId="77777777" w:rsidR="000A6422" w:rsidRPr="00616923" w:rsidRDefault="000A6422" w:rsidP="000A6422">
      <w:pPr>
        <w:spacing w:line="360" w:lineRule="auto"/>
        <w:jc w:val="center"/>
        <w:rPr>
          <w:rFonts w:ascii="Times" w:hAnsi="Times"/>
        </w:rPr>
      </w:pPr>
      <w:r w:rsidRPr="005A6619">
        <w:rPr>
          <w:rFonts w:ascii="Times" w:hAnsi="Times"/>
        </w:rPr>
        <w:lastRenderedPageBreak/>
        <w:t>Did medieval astrology (1100-1400) assume that the future was negotiable or fixed?</w:t>
      </w:r>
    </w:p>
    <w:p w14:paraId="0DC592E9" w14:textId="77777777" w:rsidR="000A6422" w:rsidRPr="00616923" w:rsidRDefault="000A6422" w:rsidP="000A6422">
      <w:pPr>
        <w:spacing w:line="360" w:lineRule="auto"/>
        <w:jc w:val="center"/>
        <w:rPr>
          <w:rFonts w:ascii="Times" w:hAnsi="Times"/>
        </w:rPr>
      </w:pPr>
    </w:p>
    <w:p w14:paraId="6FA1A951" w14:textId="77777777" w:rsidR="000A6422" w:rsidRPr="005A6619" w:rsidRDefault="000A6422" w:rsidP="000A6422">
      <w:pPr>
        <w:spacing w:line="360" w:lineRule="auto"/>
        <w:jc w:val="center"/>
        <w:rPr>
          <w:rFonts w:ascii="Times" w:hAnsi="Times"/>
        </w:rPr>
      </w:pPr>
      <w:r w:rsidRPr="00616923">
        <w:rPr>
          <w:rFonts w:ascii="Times" w:hAnsi="Times"/>
        </w:rPr>
        <w:t xml:space="preserve">Word Count: </w:t>
      </w:r>
      <w:r>
        <w:rPr>
          <w:rFonts w:ascii="Times" w:hAnsi="Times"/>
        </w:rPr>
        <w:t>3243</w:t>
      </w:r>
    </w:p>
    <w:p w14:paraId="27E97CDE" w14:textId="77777777" w:rsidR="000A6422" w:rsidRPr="00616923" w:rsidRDefault="000A6422" w:rsidP="000A6422">
      <w:pPr>
        <w:spacing w:line="360" w:lineRule="auto"/>
        <w:rPr>
          <w:rFonts w:ascii="Times" w:hAnsi="Times"/>
        </w:rPr>
      </w:pPr>
    </w:p>
    <w:p w14:paraId="43680E9D" w14:textId="77777777" w:rsidR="000A6422" w:rsidRPr="00616923" w:rsidRDefault="000A6422" w:rsidP="000A6422">
      <w:pPr>
        <w:spacing w:line="360" w:lineRule="auto"/>
        <w:rPr>
          <w:rFonts w:ascii="Times" w:hAnsi="Times"/>
          <w:b/>
          <w:bCs/>
        </w:rPr>
      </w:pPr>
      <w:r w:rsidRPr="00616923">
        <w:rPr>
          <w:rFonts w:ascii="Times" w:hAnsi="Times"/>
          <w:b/>
          <w:bCs/>
        </w:rPr>
        <w:t>Introduction</w:t>
      </w:r>
    </w:p>
    <w:p w14:paraId="0A057F32" w14:textId="77777777" w:rsidR="000A6422" w:rsidRPr="00616923" w:rsidRDefault="000A6422" w:rsidP="000A6422">
      <w:pPr>
        <w:spacing w:line="360" w:lineRule="auto"/>
        <w:rPr>
          <w:rFonts w:ascii="Times" w:hAnsi="Times"/>
          <w:b/>
          <w:bCs/>
        </w:rPr>
      </w:pPr>
      <w:r w:rsidRPr="00616923">
        <w:rPr>
          <w:rFonts w:ascii="Times" w:hAnsi="Times"/>
        </w:rPr>
        <w:t xml:space="preserve">This essay examines what the theory and practice of medieval astrology indicated about attitudes toward the future via </w:t>
      </w:r>
      <w:r>
        <w:rPr>
          <w:rFonts w:ascii="Times" w:hAnsi="Times"/>
        </w:rPr>
        <w:t>two</w:t>
      </w:r>
      <w:r w:rsidRPr="00616923">
        <w:rPr>
          <w:rFonts w:ascii="Times" w:hAnsi="Times"/>
        </w:rPr>
        <w:t xml:space="preserve"> themes: 'The </w:t>
      </w:r>
      <w:r>
        <w:rPr>
          <w:rFonts w:ascii="Times" w:hAnsi="Times"/>
        </w:rPr>
        <w:t>Astrologies</w:t>
      </w:r>
      <w:r w:rsidRPr="00616923">
        <w:rPr>
          <w:rFonts w:ascii="Times" w:hAnsi="Times"/>
        </w:rPr>
        <w:t xml:space="preserve"> of Abraham Ibn Ezra (1089-1164), Albertus </w:t>
      </w:r>
      <w:r w:rsidRPr="00A74DA1">
        <w:rPr>
          <w:rFonts w:ascii="Times" w:hAnsi="Times"/>
          <w:color w:val="000000" w:themeColor="text1"/>
        </w:rPr>
        <w:t xml:space="preserve">Magnus (c. 1200-1280) and Guido </w:t>
      </w:r>
      <w:r w:rsidRPr="00616923">
        <w:rPr>
          <w:rFonts w:ascii="Times" w:hAnsi="Times"/>
        </w:rPr>
        <w:t>Bonatti</w:t>
      </w:r>
      <w:r>
        <w:rPr>
          <w:rFonts w:ascii="Times" w:hAnsi="Times"/>
        </w:rPr>
        <w:t xml:space="preserve"> (c. 1207-1296)</w:t>
      </w:r>
      <w:r w:rsidRPr="00616923">
        <w:rPr>
          <w:rFonts w:ascii="Times" w:hAnsi="Times"/>
        </w:rPr>
        <w:t>' and '</w:t>
      </w:r>
      <w:r>
        <w:rPr>
          <w:rFonts w:ascii="Times" w:hAnsi="Times"/>
        </w:rPr>
        <w:t>S</w:t>
      </w:r>
      <w:r w:rsidRPr="00616923">
        <w:rPr>
          <w:rFonts w:ascii="Times" w:hAnsi="Times"/>
        </w:rPr>
        <w:t>ynthesis'</w:t>
      </w:r>
      <w:r>
        <w:rPr>
          <w:rFonts w:ascii="Times" w:hAnsi="Times"/>
        </w:rPr>
        <w:t>- in which the latter theme juxtaposes</w:t>
      </w:r>
      <w:r w:rsidRPr="00616923">
        <w:rPr>
          <w:rFonts w:ascii="Times" w:hAnsi="Times"/>
        </w:rPr>
        <w:t xml:space="preserve"> the aforementioned astrologers' attitudes toward a negotiable or fixed future. Within the established themes, this essay examines astrological applications and evidence for each astrologer while weighing possible historiographical issues in evaluating their astrological approaches.</w:t>
      </w:r>
    </w:p>
    <w:p w14:paraId="0FED52B2" w14:textId="77777777" w:rsidR="000A6422" w:rsidRPr="009A2691" w:rsidRDefault="000A6422" w:rsidP="000A6422">
      <w:pPr>
        <w:pStyle w:val="NormalWeb"/>
        <w:spacing w:line="360" w:lineRule="auto"/>
        <w:rPr>
          <w:rFonts w:ascii="Times" w:hAnsi="Times"/>
          <w:color w:val="000000" w:themeColor="text1"/>
        </w:rPr>
      </w:pPr>
      <w:r w:rsidRPr="00616923">
        <w:rPr>
          <w:rFonts w:ascii="Times" w:hAnsi="Times"/>
        </w:rPr>
        <w:t xml:space="preserve">It is important to establish the historical and cultural placement of these astrologers within the framework of medieval astrology and its </w:t>
      </w:r>
      <w:r w:rsidRPr="00F4355D">
        <w:rPr>
          <w:rFonts w:ascii="Times" w:hAnsi="Times"/>
          <w:color w:val="000000" w:themeColor="text1"/>
        </w:rPr>
        <w:t>influences. According to Campion, medieval astrology emerged from a world of ‘deep intellectual curiosity… about humanity’s relationship with the cosmos.</w:t>
      </w:r>
      <w:r w:rsidRPr="00F4355D">
        <w:rPr>
          <w:rStyle w:val="FootnoteReference"/>
          <w:rFonts w:ascii="Times" w:hAnsi="Times"/>
          <w:color w:val="000000" w:themeColor="text1"/>
        </w:rPr>
        <w:footnoteReference w:id="1"/>
      </w:r>
      <w:r w:rsidRPr="00F4355D">
        <w:rPr>
          <w:rFonts w:ascii="Times" w:hAnsi="Times"/>
          <w:color w:val="000000" w:themeColor="text1"/>
        </w:rPr>
        <w:t xml:space="preserve"> Haskins alleges that this was catalyzed by a growing ‘influx of new learning’ from the East of which Ibn Ezra, Albertus and Bonatti were all involved.</w:t>
      </w:r>
      <w:r w:rsidRPr="00F4355D">
        <w:rPr>
          <w:rStyle w:val="FootnoteReference"/>
          <w:rFonts w:ascii="Times" w:hAnsi="Times"/>
          <w:color w:val="000000" w:themeColor="text1"/>
        </w:rPr>
        <w:footnoteReference w:id="2"/>
      </w:r>
      <w:r w:rsidRPr="00F4355D">
        <w:rPr>
          <w:rFonts w:ascii="Times" w:hAnsi="Times"/>
          <w:color w:val="000000" w:themeColor="text1"/>
        </w:rPr>
        <w:t xml:space="preserve"> </w:t>
      </w:r>
      <w:r w:rsidRPr="00616923">
        <w:rPr>
          <w:rFonts w:ascii="Times" w:hAnsi="Times"/>
          <w:color w:val="000000" w:themeColor="text1"/>
        </w:rPr>
        <w:t xml:space="preserve">According to Epstein, Abraham Ibn Ezra was a ‘renowned Jewish scholar’, known for his biblical commentary and extensive ‘astrological and mathematical writings’, and a key figure in the </w:t>
      </w:r>
      <w:r>
        <w:rPr>
          <w:rFonts w:ascii="Times" w:hAnsi="Times"/>
          <w:color w:val="000000" w:themeColor="text1"/>
        </w:rPr>
        <w:t>transmission</w:t>
      </w:r>
      <w:r w:rsidRPr="00616923">
        <w:rPr>
          <w:rFonts w:ascii="Times" w:hAnsi="Times"/>
          <w:color w:val="000000" w:themeColor="text1"/>
        </w:rPr>
        <w:t xml:space="preserve"> of Arabic sciences to ‘Christian Europe’.</w:t>
      </w:r>
      <w:r w:rsidRPr="00616923">
        <w:rPr>
          <w:rStyle w:val="FootnoteReference"/>
          <w:rFonts w:ascii="Times" w:hAnsi="Times"/>
          <w:color w:val="000000" w:themeColor="text1"/>
        </w:rPr>
        <w:footnoteReference w:id="3"/>
      </w:r>
      <w:r w:rsidRPr="00616923">
        <w:rPr>
          <w:rFonts w:ascii="Times" w:hAnsi="Times"/>
          <w:color w:val="000000" w:themeColor="text1"/>
        </w:rPr>
        <w:t xml:space="preserve"> Epstein states that </w:t>
      </w:r>
      <w:r>
        <w:rPr>
          <w:rFonts w:ascii="Times" w:hAnsi="Times"/>
          <w:color w:val="000000" w:themeColor="text1"/>
        </w:rPr>
        <w:t>Ibn Ezra</w:t>
      </w:r>
      <w:r w:rsidRPr="00616923">
        <w:rPr>
          <w:rFonts w:ascii="Times" w:hAnsi="Times"/>
          <w:color w:val="000000" w:themeColor="text1"/>
        </w:rPr>
        <w:t xml:space="preserve"> was influenced by Ptolemy’s </w:t>
      </w:r>
      <w:r w:rsidRPr="00616923">
        <w:rPr>
          <w:rFonts w:ascii="Times" w:hAnsi="Times"/>
          <w:i/>
          <w:iCs/>
          <w:color w:val="000000" w:themeColor="text1"/>
        </w:rPr>
        <w:t xml:space="preserve">Tetrabiblos </w:t>
      </w:r>
      <w:r w:rsidRPr="00616923">
        <w:rPr>
          <w:rFonts w:ascii="Times" w:hAnsi="Times"/>
          <w:color w:val="000000" w:themeColor="text1"/>
        </w:rPr>
        <w:t xml:space="preserve"> as well as the works of astrologers from the East, and, according to Holden, wrote more than ‘fifty books on astrology and astronomy’.</w:t>
      </w:r>
      <w:r w:rsidRPr="00616923">
        <w:rPr>
          <w:rStyle w:val="FootnoteReference"/>
          <w:rFonts w:ascii="Times" w:hAnsi="Times"/>
          <w:color w:val="000000" w:themeColor="text1"/>
        </w:rPr>
        <w:footnoteReference w:id="4"/>
      </w:r>
      <w:r w:rsidRPr="00616923">
        <w:rPr>
          <w:rFonts w:ascii="Times" w:hAnsi="Times"/>
          <w:color w:val="000000" w:themeColor="text1"/>
        </w:rPr>
        <w:t xml:space="preserve"> </w:t>
      </w:r>
      <w:r>
        <w:rPr>
          <w:rFonts w:ascii="Times" w:hAnsi="Times"/>
          <w:color w:val="000000" w:themeColor="text1"/>
        </w:rPr>
        <w:t xml:space="preserve">Albertus Magnus </w:t>
      </w:r>
      <w:r w:rsidRPr="00616923">
        <w:rPr>
          <w:rFonts w:ascii="Times" w:hAnsi="Times"/>
          <w:color w:val="000000" w:themeColor="text1"/>
        </w:rPr>
        <w:t>was a member of the Dominican Order of the Catholic Church</w:t>
      </w:r>
      <w:r>
        <w:rPr>
          <w:rFonts w:ascii="Times" w:hAnsi="Times"/>
          <w:color w:val="000000" w:themeColor="text1"/>
        </w:rPr>
        <w:t>, and, as Zambelli states, the Dominicans held an interest in astrology.</w:t>
      </w:r>
      <w:r>
        <w:rPr>
          <w:rStyle w:val="FootnoteReference"/>
          <w:rFonts w:ascii="Times" w:hAnsi="Times"/>
          <w:color w:val="000000" w:themeColor="text1"/>
        </w:rPr>
        <w:footnoteReference w:id="5"/>
      </w:r>
      <w:r w:rsidRPr="00616923">
        <w:rPr>
          <w:rFonts w:ascii="Times" w:hAnsi="Times"/>
          <w:color w:val="000000" w:themeColor="text1"/>
        </w:rPr>
        <w:t xml:space="preserve"> Albertus Magnus, as explained by Holden,</w:t>
      </w:r>
      <w:r>
        <w:rPr>
          <w:rFonts w:ascii="Times" w:hAnsi="Times"/>
          <w:color w:val="000000" w:themeColor="text1"/>
        </w:rPr>
        <w:t xml:space="preserve"> maintained</w:t>
      </w:r>
      <w:r w:rsidRPr="00616923">
        <w:rPr>
          <w:rFonts w:ascii="Times" w:hAnsi="Times"/>
          <w:color w:val="000000" w:themeColor="text1"/>
        </w:rPr>
        <w:t xml:space="preserve"> a favorable view of </w:t>
      </w:r>
      <w:r>
        <w:rPr>
          <w:rFonts w:ascii="Times" w:hAnsi="Times"/>
          <w:color w:val="000000" w:themeColor="text1"/>
        </w:rPr>
        <w:t xml:space="preserve">the subject, producing </w:t>
      </w:r>
      <w:r w:rsidRPr="00616923">
        <w:rPr>
          <w:rFonts w:ascii="Times" w:hAnsi="Times"/>
          <w:color w:val="000000" w:themeColor="text1"/>
        </w:rPr>
        <w:lastRenderedPageBreak/>
        <w:t>astrological text</w:t>
      </w:r>
      <w:r>
        <w:rPr>
          <w:rFonts w:ascii="Times" w:hAnsi="Times"/>
          <w:color w:val="000000" w:themeColor="text1"/>
        </w:rPr>
        <w:t>s</w:t>
      </w:r>
      <w:r w:rsidRPr="00616923">
        <w:rPr>
          <w:rFonts w:ascii="Times" w:hAnsi="Times"/>
          <w:color w:val="000000" w:themeColor="text1"/>
        </w:rPr>
        <w:t xml:space="preserve"> that were widely influential.</w:t>
      </w:r>
      <w:r w:rsidRPr="00616923">
        <w:rPr>
          <w:rStyle w:val="FootnoteReference"/>
          <w:rFonts w:ascii="Times" w:hAnsi="Times"/>
          <w:color w:val="000000" w:themeColor="text1"/>
        </w:rPr>
        <w:footnoteReference w:id="6"/>
      </w:r>
      <w:r>
        <w:rPr>
          <w:rFonts w:ascii="Times" w:hAnsi="Times"/>
          <w:color w:val="000000" w:themeColor="text1"/>
        </w:rPr>
        <w:t xml:space="preserve"> </w:t>
      </w:r>
      <w:r w:rsidRPr="00AC1062">
        <w:rPr>
          <w:rFonts w:ascii="Times" w:hAnsi="Times"/>
          <w:color w:val="000000" w:themeColor="text1"/>
        </w:rPr>
        <w:t>Bonatti</w:t>
      </w:r>
      <w:r>
        <w:rPr>
          <w:rFonts w:ascii="Times" w:hAnsi="Times"/>
          <w:color w:val="000000" w:themeColor="text1"/>
        </w:rPr>
        <w:t xml:space="preserve">, according to Parel, was known as the thirteenth century’s ‘restorer of astrology’; With the influences of Ptolemy and Abu </w:t>
      </w:r>
      <w:proofErr w:type="spellStart"/>
      <w:r>
        <w:rPr>
          <w:rFonts w:ascii="Times" w:hAnsi="Times"/>
          <w:color w:val="000000" w:themeColor="text1"/>
        </w:rPr>
        <w:t>Ma’shar</w:t>
      </w:r>
      <w:proofErr w:type="spellEnd"/>
      <w:r>
        <w:rPr>
          <w:rFonts w:ascii="Times" w:hAnsi="Times"/>
          <w:color w:val="000000" w:themeColor="text1"/>
        </w:rPr>
        <w:t xml:space="preserve"> on his theory, created </w:t>
      </w:r>
      <w:r>
        <w:rPr>
          <w:rFonts w:ascii="Times" w:hAnsi="Times"/>
          <w:i/>
          <w:iCs/>
          <w:color w:val="000000" w:themeColor="text1"/>
        </w:rPr>
        <w:t xml:space="preserve">Liber </w:t>
      </w:r>
      <w:proofErr w:type="spellStart"/>
      <w:r>
        <w:rPr>
          <w:rFonts w:ascii="Times" w:hAnsi="Times"/>
          <w:i/>
          <w:iCs/>
          <w:color w:val="000000" w:themeColor="text1"/>
        </w:rPr>
        <w:t>Astronomicus</w:t>
      </w:r>
      <w:proofErr w:type="spellEnd"/>
      <w:r>
        <w:rPr>
          <w:rFonts w:ascii="Times" w:hAnsi="Times"/>
          <w:color w:val="000000" w:themeColor="text1"/>
        </w:rPr>
        <w:t>, the ‘most important astrological work’ of that century.</w:t>
      </w:r>
      <w:r>
        <w:rPr>
          <w:rStyle w:val="FootnoteReference"/>
          <w:rFonts w:ascii="Times" w:hAnsi="Times"/>
          <w:color w:val="000000" w:themeColor="text1"/>
        </w:rPr>
        <w:footnoteReference w:id="7"/>
      </w:r>
      <w:r>
        <w:rPr>
          <w:rFonts w:ascii="Times" w:hAnsi="Times"/>
          <w:color w:val="000000" w:themeColor="text1"/>
        </w:rPr>
        <w:t xml:space="preserve"> </w:t>
      </w:r>
    </w:p>
    <w:p w14:paraId="1E8A2C9D" w14:textId="77777777" w:rsidR="000A6422" w:rsidRDefault="000A6422" w:rsidP="000A6422">
      <w:pPr>
        <w:pStyle w:val="NormalWeb"/>
        <w:spacing w:line="360" w:lineRule="auto"/>
      </w:pPr>
      <w:r>
        <w:rPr>
          <w:rFonts w:ascii="Times" w:hAnsi="Times"/>
          <w:color w:val="000000" w:themeColor="text1"/>
        </w:rPr>
        <w:t>B</w:t>
      </w:r>
      <w:r w:rsidRPr="00616923">
        <w:rPr>
          <w:rFonts w:ascii="Times" w:hAnsi="Times"/>
          <w:color w:val="000000" w:themeColor="text1"/>
        </w:rPr>
        <w:t xml:space="preserve">oth classical and Christian philosophies </w:t>
      </w:r>
      <w:proofErr w:type="gramStart"/>
      <w:r>
        <w:rPr>
          <w:rFonts w:ascii="Times" w:hAnsi="Times"/>
          <w:color w:val="000000" w:themeColor="text1"/>
        </w:rPr>
        <w:t>were embedded</w:t>
      </w:r>
      <w:proofErr w:type="gramEnd"/>
      <w:r>
        <w:rPr>
          <w:rFonts w:ascii="Times" w:hAnsi="Times"/>
          <w:color w:val="000000" w:themeColor="text1"/>
        </w:rPr>
        <w:t xml:space="preserve"> within</w:t>
      </w:r>
      <w:r w:rsidRPr="00616923">
        <w:rPr>
          <w:rFonts w:ascii="Times" w:hAnsi="Times"/>
          <w:color w:val="000000" w:themeColor="text1"/>
        </w:rPr>
        <w:t xml:space="preserve"> </w:t>
      </w:r>
      <w:r>
        <w:rPr>
          <w:rFonts w:ascii="Times" w:hAnsi="Times"/>
          <w:color w:val="000000" w:themeColor="text1"/>
        </w:rPr>
        <w:t>m</w:t>
      </w:r>
      <w:r w:rsidRPr="00616923">
        <w:rPr>
          <w:rFonts w:ascii="Times" w:hAnsi="Times"/>
          <w:color w:val="000000" w:themeColor="text1"/>
        </w:rPr>
        <w:t>edieval cosmology,</w:t>
      </w:r>
      <w:r>
        <w:rPr>
          <w:rFonts w:ascii="Times" w:hAnsi="Times"/>
          <w:color w:val="000000" w:themeColor="text1"/>
        </w:rPr>
        <w:t xml:space="preserve"> so</w:t>
      </w:r>
      <w:r w:rsidRPr="00616923">
        <w:rPr>
          <w:rFonts w:ascii="Times" w:hAnsi="Times"/>
          <w:color w:val="000000" w:themeColor="text1"/>
        </w:rPr>
        <w:t xml:space="preserve"> it is essential to determine if concepts of a negotiable or fixed future can be found in these areas.</w:t>
      </w:r>
      <w:r>
        <w:rPr>
          <w:rFonts w:ascii="Times" w:hAnsi="Times"/>
          <w:color w:val="000000" w:themeColor="text1"/>
        </w:rPr>
        <w:t xml:space="preserve"> Widely discussed in the cosmologies of Plato and Aristotle, classical concepts of fate influenced medieval astrologers </w:t>
      </w:r>
      <w:proofErr w:type="gramStart"/>
      <w:r>
        <w:rPr>
          <w:rFonts w:ascii="Times" w:hAnsi="Times"/>
          <w:color w:val="000000" w:themeColor="text1"/>
        </w:rPr>
        <w:t>in regard to</w:t>
      </w:r>
      <w:proofErr w:type="gramEnd"/>
      <w:r>
        <w:rPr>
          <w:rFonts w:ascii="Times" w:hAnsi="Times"/>
          <w:color w:val="000000" w:themeColor="text1"/>
        </w:rPr>
        <w:t xml:space="preserve"> their view of the future. Particularly, Aristotle’s cosmology held a unique position within medieval Europe. </w:t>
      </w:r>
      <w:r w:rsidRPr="003347C9">
        <w:rPr>
          <w:rFonts w:ascii="Times" w:hAnsi="Times"/>
          <w:color w:val="000000" w:themeColor="text1"/>
        </w:rPr>
        <w:t>According to Grant, the medieval world was dominated by Aristotelian cosmology when translations of Aristotle’s works became prominently spread</w:t>
      </w:r>
      <w:r>
        <w:rPr>
          <w:rFonts w:ascii="Times" w:hAnsi="Times"/>
          <w:color w:val="000000" w:themeColor="text1"/>
        </w:rPr>
        <w:t>, of which approximately 1200 Aristotelian texts were translated from Arabic into Latin</w:t>
      </w:r>
      <w:r w:rsidRPr="003347C9">
        <w:rPr>
          <w:rFonts w:ascii="Times" w:hAnsi="Times"/>
          <w:color w:val="000000" w:themeColor="text1"/>
        </w:rPr>
        <w:t>.</w:t>
      </w:r>
      <w:r w:rsidRPr="003347C9">
        <w:rPr>
          <w:rStyle w:val="FootnoteReference"/>
          <w:rFonts w:ascii="Times" w:hAnsi="Times"/>
          <w:color w:val="000000" w:themeColor="text1"/>
        </w:rPr>
        <w:footnoteReference w:id="8"/>
      </w:r>
      <w:r w:rsidRPr="00616923">
        <w:rPr>
          <w:rFonts w:ascii="Times" w:hAnsi="Times"/>
          <w:color w:val="000000" w:themeColor="text1"/>
        </w:rPr>
        <w:t xml:space="preserve"> </w:t>
      </w:r>
      <w:r>
        <w:rPr>
          <w:rFonts w:ascii="Times" w:hAnsi="Times"/>
          <w:color w:val="000000" w:themeColor="text1"/>
        </w:rPr>
        <w:t>This spread was no less propagated by Albertus who, as Collins explains, composed summaries and commentaries of ‘nearly all’ of Aristotle’s works.</w:t>
      </w:r>
      <w:r>
        <w:rPr>
          <w:rStyle w:val="FootnoteReference"/>
          <w:rFonts w:ascii="Times" w:hAnsi="Times"/>
          <w:color w:val="000000" w:themeColor="text1"/>
        </w:rPr>
        <w:footnoteReference w:id="9"/>
      </w:r>
      <w:r w:rsidRPr="00616923">
        <w:rPr>
          <w:rFonts w:ascii="Times" w:hAnsi="Times"/>
          <w:color w:val="FF40FF"/>
        </w:rPr>
        <w:t xml:space="preserve"> </w:t>
      </w:r>
      <w:r>
        <w:rPr>
          <w:rFonts w:ascii="Times" w:hAnsi="Times"/>
          <w:color w:val="000000" w:themeColor="text1"/>
        </w:rPr>
        <w:t xml:space="preserve">Aristotle’s cosmology was based on a causal model and he, according to Lang, developed the concept of teleology, where </w:t>
      </w:r>
      <w:r>
        <w:t>within all of life-forms exists the organism’s seed of potentiality to become an ideal version of itself.</w:t>
      </w:r>
      <w:r>
        <w:rPr>
          <w:rStyle w:val="FootnoteReference"/>
        </w:rPr>
        <w:footnoteReference w:id="10"/>
      </w:r>
      <w:r>
        <w:t xml:space="preserve">  Where relevant, this essay will critically examine primary classical and subsequently Christian notions of fate and attitudes towards the future as it relates to medieval astrology.</w:t>
      </w:r>
    </w:p>
    <w:p w14:paraId="35DE547C" w14:textId="77777777" w:rsidR="000A6422" w:rsidRPr="003D4711" w:rsidRDefault="000A6422" w:rsidP="000A6422">
      <w:pPr>
        <w:pStyle w:val="NormalWeb"/>
        <w:spacing w:line="360" w:lineRule="auto"/>
        <w:rPr>
          <w:rFonts w:ascii="Times" w:hAnsi="Times"/>
          <w:color w:val="000000" w:themeColor="text1"/>
        </w:rPr>
      </w:pPr>
      <w:r>
        <w:t>A critical term to define in this essay is ‘determinism’ which, according to James, describes ‘parts of the universe already laid down absolutely… [where] any other future complement than the one fixed from eternity is impossible’.</w:t>
      </w:r>
      <w:r>
        <w:rPr>
          <w:rStyle w:val="FootnoteReference"/>
        </w:rPr>
        <w:footnoteReference w:id="11"/>
      </w:r>
      <w:r>
        <w:t xml:space="preserve"> There are historiographical issues with using this term. Modern notions of determinism </w:t>
      </w:r>
      <w:proofErr w:type="gramStart"/>
      <w:r>
        <w:t>were not used</w:t>
      </w:r>
      <w:proofErr w:type="gramEnd"/>
      <w:r>
        <w:t xml:space="preserve"> in the classical and medieval world. As Elton states, the ‘post Newtonian view of the physical world… accepting the effect of the </w:t>
      </w:r>
      <w:r>
        <w:lastRenderedPageBreak/>
        <w:t>observer upon the matter observed, might not be a bad analogy for good history’.</w:t>
      </w:r>
      <w:r>
        <w:rPr>
          <w:rStyle w:val="FootnoteReference"/>
        </w:rPr>
        <w:footnoteReference w:id="12"/>
      </w:r>
      <w:r>
        <w:t xml:space="preserve"> With full awareness of modern notions, one might still approach the term ‘determinism’ as relevant to this paper for it facilitates the aim of discussing concepts of a fixed or negotiable future, despite the knowing adjustment the modern lens might suggest.</w:t>
      </w:r>
    </w:p>
    <w:p w14:paraId="2D5BDD88" w14:textId="77777777" w:rsidR="000A6422" w:rsidRDefault="000A6422" w:rsidP="000A6422">
      <w:pPr>
        <w:spacing w:line="360" w:lineRule="auto"/>
        <w:rPr>
          <w:rFonts w:ascii="Times" w:hAnsi="Times"/>
        </w:rPr>
      </w:pPr>
    </w:p>
    <w:p w14:paraId="384E84FF" w14:textId="77777777" w:rsidR="000A6422" w:rsidRPr="00CC2C57" w:rsidRDefault="000A6422" w:rsidP="000A6422">
      <w:pPr>
        <w:spacing w:line="360" w:lineRule="auto"/>
        <w:rPr>
          <w:rFonts w:ascii="Times" w:hAnsi="Times"/>
          <w:b/>
          <w:bCs/>
          <w:sz w:val="26"/>
          <w:szCs w:val="26"/>
          <w:u w:val="single"/>
        </w:rPr>
      </w:pPr>
      <w:r w:rsidRPr="00CC2C57">
        <w:rPr>
          <w:rFonts w:ascii="Times" w:hAnsi="Times"/>
          <w:b/>
          <w:bCs/>
          <w:sz w:val="26"/>
          <w:szCs w:val="26"/>
          <w:u w:val="single"/>
        </w:rPr>
        <w:t xml:space="preserve">Theme </w:t>
      </w:r>
      <w:r>
        <w:rPr>
          <w:rFonts w:ascii="Times" w:hAnsi="Times"/>
          <w:b/>
          <w:bCs/>
          <w:sz w:val="26"/>
          <w:szCs w:val="26"/>
          <w:u w:val="single"/>
        </w:rPr>
        <w:t>One</w:t>
      </w:r>
      <w:r w:rsidRPr="00CC2C57">
        <w:rPr>
          <w:rFonts w:ascii="Times" w:hAnsi="Times"/>
          <w:b/>
          <w:bCs/>
          <w:sz w:val="26"/>
          <w:szCs w:val="26"/>
          <w:u w:val="single"/>
        </w:rPr>
        <w:t xml:space="preserve">: </w:t>
      </w:r>
      <w:r w:rsidRPr="008C3CFA">
        <w:rPr>
          <w:rFonts w:ascii="Times" w:hAnsi="Times"/>
          <w:b/>
          <w:bCs/>
          <w:sz w:val="26"/>
          <w:szCs w:val="26"/>
          <w:u w:val="single"/>
        </w:rPr>
        <w:t xml:space="preserve">The </w:t>
      </w:r>
      <w:r>
        <w:rPr>
          <w:rFonts w:ascii="Times" w:hAnsi="Times"/>
          <w:b/>
          <w:bCs/>
          <w:sz w:val="26"/>
          <w:szCs w:val="26"/>
          <w:u w:val="single"/>
        </w:rPr>
        <w:t>Astrologies</w:t>
      </w:r>
      <w:r w:rsidRPr="008C3CFA">
        <w:rPr>
          <w:rFonts w:ascii="Times" w:hAnsi="Times"/>
          <w:b/>
          <w:bCs/>
          <w:sz w:val="26"/>
          <w:szCs w:val="26"/>
          <w:u w:val="single"/>
        </w:rPr>
        <w:t xml:space="preserve"> of Abraham Ibn Ezra, Albertus </w:t>
      </w:r>
      <w:proofErr w:type="gramStart"/>
      <w:r w:rsidRPr="008C3CFA">
        <w:rPr>
          <w:rFonts w:ascii="Times" w:hAnsi="Times"/>
          <w:b/>
          <w:bCs/>
          <w:sz w:val="26"/>
          <w:szCs w:val="26"/>
          <w:u w:val="single"/>
        </w:rPr>
        <w:t>Magnus</w:t>
      </w:r>
      <w:proofErr w:type="gramEnd"/>
      <w:r>
        <w:rPr>
          <w:rFonts w:ascii="Times" w:hAnsi="Times"/>
          <w:b/>
          <w:bCs/>
          <w:sz w:val="26"/>
          <w:szCs w:val="26"/>
          <w:u w:val="single"/>
        </w:rPr>
        <w:t xml:space="preserve"> </w:t>
      </w:r>
      <w:r w:rsidRPr="008C3CFA">
        <w:rPr>
          <w:rFonts w:ascii="Times" w:hAnsi="Times"/>
          <w:b/>
          <w:bCs/>
          <w:sz w:val="26"/>
          <w:szCs w:val="26"/>
          <w:u w:val="single"/>
        </w:rPr>
        <w:t>and Guido Bonatti</w:t>
      </w:r>
    </w:p>
    <w:p w14:paraId="3750F544" w14:textId="77777777" w:rsidR="000A6422" w:rsidRDefault="000A6422" w:rsidP="000A6422">
      <w:pPr>
        <w:spacing w:line="360" w:lineRule="auto"/>
        <w:rPr>
          <w:rFonts w:ascii="Times" w:hAnsi="Times"/>
          <w:b/>
          <w:bCs/>
        </w:rPr>
      </w:pPr>
      <w:r>
        <w:rPr>
          <w:rFonts w:ascii="Times" w:hAnsi="Times"/>
        </w:rPr>
        <w:t xml:space="preserve">This theme explores attitudes of the future in the astrology of Abraham Ibn Ezra and whether evidence for a fixed or negotiable future </w:t>
      </w:r>
      <w:proofErr w:type="gramStart"/>
      <w:r>
        <w:rPr>
          <w:rFonts w:ascii="Times" w:hAnsi="Times"/>
        </w:rPr>
        <w:t>is reflected</w:t>
      </w:r>
      <w:proofErr w:type="gramEnd"/>
      <w:r>
        <w:rPr>
          <w:rFonts w:ascii="Times" w:hAnsi="Times"/>
        </w:rPr>
        <w:t xml:space="preserve"> in his astrological approaches and understandings. This theme will also examine the astrology of Albertus Magnus and his philosophical attitudes towards fate and free will within the medieval Christian cosmology.</w:t>
      </w:r>
      <w:r>
        <w:rPr>
          <w:rFonts w:ascii="Times" w:hAnsi="Times"/>
          <w:b/>
          <w:bCs/>
        </w:rPr>
        <w:t xml:space="preserve"> </w:t>
      </w:r>
      <w:r>
        <w:rPr>
          <w:rFonts w:ascii="Times" w:hAnsi="Times"/>
        </w:rPr>
        <w:t xml:space="preserve">For Bonatti, this theme will weigh concepts fate and determinism in the astrology of military matters and the soul. </w:t>
      </w:r>
    </w:p>
    <w:p w14:paraId="37DE083F" w14:textId="77777777" w:rsidR="000A6422" w:rsidRDefault="000A6422" w:rsidP="000A6422">
      <w:pPr>
        <w:spacing w:line="360" w:lineRule="auto"/>
        <w:rPr>
          <w:rFonts w:ascii="Times" w:hAnsi="Times"/>
        </w:rPr>
      </w:pPr>
    </w:p>
    <w:p w14:paraId="5BEF2ADB" w14:textId="77777777" w:rsidR="000A6422" w:rsidRPr="00616923" w:rsidRDefault="000A6422" w:rsidP="000A6422">
      <w:pPr>
        <w:spacing w:line="360" w:lineRule="auto"/>
        <w:rPr>
          <w:rFonts w:ascii="Times" w:hAnsi="Times"/>
        </w:rPr>
      </w:pPr>
    </w:p>
    <w:p w14:paraId="014C08D3" w14:textId="77777777" w:rsidR="000A6422" w:rsidRPr="008F759E" w:rsidRDefault="000A6422" w:rsidP="000A6422">
      <w:pPr>
        <w:spacing w:line="360" w:lineRule="auto"/>
        <w:rPr>
          <w:rFonts w:ascii="Times" w:hAnsi="Times"/>
          <w:b/>
          <w:bCs/>
        </w:rPr>
      </w:pPr>
      <w:r w:rsidRPr="008F759E">
        <w:rPr>
          <w:rFonts w:ascii="Times" w:hAnsi="Times"/>
          <w:b/>
          <w:bCs/>
        </w:rPr>
        <w:t>The Astrology of A</w:t>
      </w:r>
      <w:r>
        <w:rPr>
          <w:rFonts w:ascii="Times" w:hAnsi="Times"/>
          <w:b/>
          <w:bCs/>
        </w:rPr>
        <w:t>b</w:t>
      </w:r>
      <w:r w:rsidRPr="008F759E">
        <w:rPr>
          <w:rFonts w:ascii="Times" w:hAnsi="Times"/>
          <w:b/>
          <w:bCs/>
        </w:rPr>
        <w:t>raham Ibn Ezra</w:t>
      </w:r>
      <w:r>
        <w:rPr>
          <w:rFonts w:ascii="Times" w:hAnsi="Times"/>
          <w:b/>
          <w:bCs/>
        </w:rPr>
        <w:t xml:space="preserve"> </w:t>
      </w:r>
    </w:p>
    <w:p w14:paraId="5CFB4464" w14:textId="77777777" w:rsidR="000A6422" w:rsidRDefault="000A6422" w:rsidP="000A6422">
      <w:pPr>
        <w:spacing w:line="360" w:lineRule="auto"/>
        <w:rPr>
          <w:rFonts w:ascii="Times" w:hAnsi="Times"/>
        </w:rPr>
      </w:pPr>
      <w:r>
        <w:rPr>
          <w:rFonts w:ascii="Times" w:hAnsi="Times"/>
        </w:rPr>
        <w:t xml:space="preserve">The introduction to Ibn Ezra’s book, </w:t>
      </w:r>
      <w:r>
        <w:rPr>
          <w:rFonts w:ascii="Times" w:hAnsi="Times"/>
          <w:i/>
          <w:iCs/>
        </w:rPr>
        <w:t xml:space="preserve">The Beginning of Wisdom, </w:t>
      </w:r>
      <w:r>
        <w:rPr>
          <w:rFonts w:ascii="Times" w:hAnsi="Times"/>
        </w:rPr>
        <w:t>provides a useful indication for where he stands on the subject of a negotiable or fixed future; Here, he cites Psalms 3:10 stating ‘The beginning of wisdom is the fear of the Lord…’ and explains that this fear will ‘protect him from the ordinances of heavens and their dominion’.</w:t>
      </w:r>
      <w:r>
        <w:rPr>
          <w:rStyle w:val="FootnoteReference"/>
          <w:rFonts w:ascii="Times" w:hAnsi="Times"/>
        </w:rPr>
        <w:footnoteReference w:id="13"/>
      </w:r>
      <w:r>
        <w:rPr>
          <w:rFonts w:ascii="Times" w:hAnsi="Times"/>
        </w:rPr>
        <w:t xml:space="preserve"> Sela explains that the ‘ordinances of heavens and their dominion’ refers to astrological influences and suggests that Ibn Ezra uses this language to ‘denote a strong version of astral determinism’.</w:t>
      </w:r>
      <w:r>
        <w:rPr>
          <w:rStyle w:val="FootnoteReference"/>
          <w:rFonts w:ascii="Times" w:hAnsi="Times"/>
        </w:rPr>
        <w:footnoteReference w:id="14"/>
      </w:r>
      <w:r>
        <w:rPr>
          <w:rFonts w:ascii="Times" w:hAnsi="Times"/>
        </w:rPr>
        <w:t xml:space="preserve"> Importantly, Sela describes the concern of Jewish medieval astrology with ‘protection against the decree of the stars’ and states that Ibn Ezra suggests ‘two ways to escape’ the decree; the rational approach of the astrologer, or </w:t>
      </w:r>
      <w:r>
        <w:rPr>
          <w:rFonts w:ascii="Times" w:hAnsi="Times"/>
        </w:rPr>
        <w:lastRenderedPageBreak/>
        <w:t>the pious approach of the ‘righteous person’ who is ‘immune to the harm indicated by his… horoscope’ due to ‘divine intervention’.</w:t>
      </w:r>
      <w:r>
        <w:rPr>
          <w:rStyle w:val="FootnoteReference"/>
          <w:rFonts w:ascii="Times" w:hAnsi="Times"/>
        </w:rPr>
        <w:footnoteReference w:id="15"/>
      </w:r>
    </w:p>
    <w:p w14:paraId="2E7BA3F2" w14:textId="77777777" w:rsidR="000A6422" w:rsidRDefault="000A6422" w:rsidP="000A6422">
      <w:pPr>
        <w:spacing w:line="360" w:lineRule="auto"/>
        <w:rPr>
          <w:rFonts w:ascii="Times" w:hAnsi="Times"/>
        </w:rPr>
      </w:pPr>
    </w:p>
    <w:p w14:paraId="584D4445" w14:textId="77777777" w:rsidR="000A6422" w:rsidRDefault="000A6422" w:rsidP="000A6422">
      <w:pPr>
        <w:spacing w:line="360" w:lineRule="auto"/>
        <w:rPr>
          <w:rFonts w:ascii="Times" w:hAnsi="Times"/>
          <w:color w:val="000000" w:themeColor="text1"/>
        </w:rPr>
      </w:pPr>
      <w:r>
        <w:rPr>
          <w:rFonts w:ascii="Times" w:hAnsi="Times"/>
        </w:rPr>
        <w:t xml:space="preserve">An example of the astrologer’s rational approach to avoiding troubling planetary influences can be found in Ibn Ezra’s </w:t>
      </w:r>
      <w:r>
        <w:rPr>
          <w:rFonts w:ascii="Times" w:hAnsi="Times"/>
          <w:i/>
          <w:iCs/>
        </w:rPr>
        <w:t>The Book of Nativities and Revolutions</w:t>
      </w:r>
      <w:r>
        <w:rPr>
          <w:rFonts w:ascii="Times" w:hAnsi="Times"/>
        </w:rPr>
        <w:t>.</w:t>
      </w:r>
      <w:r>
        <w:rPr>
          <w:rStyle w:val="FootnoteReference"/>
          <w:rFonts w:ascii="Times" w:hAnsi="Times"/>
        </w:rPr>
        <w:footnoteReference w:id="16"/>
      </w:r>
      <w:r>
        <w:rPr>
          <w:rFonts w:ascii="Times" w:hAnsi="Times"/>
        </w:rPr>
        <w:t xml:space="preserve"> Ibn Ezra states that if the ‘native is knowledgeable’ in the transit of Mars to his ascendant in the cause of an illness, the native can prepare to mitigate the issue; Being wise enough to ‘avoid every hot food’ and consume cool drinks would instead allow his body to simply be ‘rebalanced’ in the warmth of Mars entering his ‘rising degree’ rather than initiating an illness.</w:t>
      </w:r>
      <w:r>
        <w:rPr>
          <w:rStyle w:val="FootnoteReference"/>
          <w:rFonts w:ascii="Times" w:hAnsi="Times"/>
        </w:rPr>
        <w:footnoteReference w:id="17"/>
      </w:r>
      <w:r>
        <w:rPr>
          <w:rFonts w:ascii="Times" w:hAnsi="Times"/>
        </w:rPr>
        <w:t xml:space="preserve"> The</w:t>
      </w:r>
      <w:r>
        <w:rPr>
          <w:rFonts w:ascii="Times" w:hAnsi="Times"/>
          <w:color w:val="000000" w:themeColor="text1"/>
        </w:rPr>
        <w:t xml:space="preserve"> second example of protection from the decree of the stars through righteous piety is summarized by Ibn Ezra; </w:t>
      </w:r>
      <w:r w:rsidRPr="00F10368">
        <w:rPr>
          <w:rFonts w:ascii="Times" w:hAnsi="Times"/>
          <w:color w:val="000000" w:themeColor="text1"/>
        </w:rPr>
        <w:t>He states ‘[for] the one who has faith in God with all his heart God will… change circumstances to save him from every harm [indicated] in his nativity. Therefore… the righteous person is more protected’ than the astrologer.</w:t>
      </w:r>
      <w:r w:rsidRPr="00F10368">
        <w:rPr>
          <w:rStyle w:val="FootnoteReference"/>
          <w:rFonts w:ascii="Times" w:hAnsi="Times"/>
          <w:color w:val="000000" w:themeColor="text1"/>
        </w:rPr>
        <w:footnoteReference w:id="18"/>
      </w:r>
    </w:p>
    <w:p w14:paraId="2740DE3D" w14:textId="77777777" w:rsidR="000A6422" w:rsidRDefault="000A6422" w:rsidP="000A6422">
      <w:pPr>
        <w:spacing w:line="360" w:lineRule="auto"/>
        <w:rPr>
          <w:rFonts w:ascii="Times" w:hAnsi="Times"/>
          <w:color w:val="000000" w:themeColor="text1"/>
        </w:rPr>
      </w:pPr>
    </w:p>
    <w:p w14:paraId="7E9A9576" w14:textId="77777777" w:rsidR="000A6422" w:rsidRPr="00A74DA1" w:rsidRDefault="000A6422" w:rsidP="000A6422">
      <w:pPr>
        <w:spacing w:line="360" w:lineRule="auto"/>
        <w:rPr>
          <w:rFonts w:ascii="Times" w:hAnsi="Times"/>
          <w:color w:val="000000" w:themeColor="text1"/>
        </w:rPr>
      </w:pPr>
      <w:r>
        <w:rPr>
          <w:rFonts w:ascii="Times" w:hAnsi="Times"/>
          <w:color w:val="000000" w:themeColor="text1"/>
        </w:rPr>
        <w:t xml:space="preserve">In contrast, Ibn Ezra’s astrology indeed illustrates limits to negotiating the future. When describing astrology, he differentiates between the fate of the individual being secondary to the fate of the collective stating in </w:t>
      </w:r>
      <w:r>
        <w:rPr>
          <w:rFonts w:ascii="Times" w:hAnsi="Times"/>
          <w:i/>
          <w:iCs/>
          <w:color w:val="000000" w:themeColor="text1"/>
        </w:rPr>
        <w:t>The Book of Nativities and Revolutions</w:t>
      </w:r>
      <w:r>
        <w:rPr>
          <w:rFonts w:ascii="Times" w:hAnsi="Times"/>
          <w:color w:val="000000" w:themeColor="text1"/>
        </w:rPr>
        <w:t xml:space="preserve"> ways in which judgements of the individual’s astrology might be overruled by that of the collective, citing a variety of examples including the influence of the nation, region, family or even the king.</w:t>
      </w:r>
      <w:r>
        <w:rPr>
          <w:rStyle w:val="FootnoteReference"/>
          <w:rFonts w:ascii="Times" w:hAnsi="Times"/>
          <w:color w:val="000000" w:themeColor="text1"/>
        </w:rPr>
        <w:footnoteReference w:id="19"/>
      </w:r>
      <w:r>
        <w:rPr>
          <w:rFonts w:ascii="Times" w:hAnsi="Times"/>
          <w:color w:val="000000" w:themeColor="text1"/>
        </w:rPr>
        <w:t xml:space="preserve"> This more closely reflects a deterministic attitude.</w:t>
      </w:r>
    </w:p>
    <w:p w14:paraId="0B64BEC4" w14:textId="77777777" w:rsidR="000A6422" w:rsidRDefault="000A6422" w:rsidP="000A6422">
      <w:pPr>
        <w:spacing w:line="360" w:lineRule="auto"/>
        <w:rPr>
          <w:rFonts w:ascii="Times" w:hAnsi="Times"/>
          <w:color w:val="000000" w:themeColor="text1"/>
        </w:rPr>
      </w:pPr>
    </w:p>
    <w:p w14:paraId="32F71216" w14:textId="77777777" w:rsidR="000A6422" w:rsidRDefault="000A6422" w:rsidP="000A6422">
      <w:pPr>
        <w:spacing w:line="360" w:lineRule="auto"/>
        <w:rPr>
          <w:rFonts w:ascii="Times" w:hAnsi="Times"/>
        </w:rPr>
      </w:pPr>
    </w:p>
    <w:p w14:paraId="4B7DA843" w14:textId="77777777" w:rsidR="000A6422" w:rsidRPr="00817DC3" w:rsidRDefault="000A6422" w:rsidP="000A6422">
      <w:pPr>
        <w:spacing w:line="360" w:lineRule="auto"/>
        <w:rPr>
          <w:rFonts w:ascii="Times" w:hAnsi="Times"/>
          <w:b/>
          <w:bCs/>
        </w:rPr>
      </w:pPr>
      <w:r w:rsidRPr="00817DC3">
        <w:rPr>
          <w:rFonts w:ascii="Times" w:hAnsi="Times"/>
          <w:b/>
          <w:bCs/>
        </w:rPr>
        <w:t>The Astrology of Albert Magnus</w:t>
      </w:r>
    </w:p>
    <w:p w14:paraId="2EACFD1D" w14:textId="77777777" w:rsidR="000A6422" w:rsidRDefault="000A6422" w:rsidP="000A6422">
      <w:pPr>
        <w:spacing w:line="360" w:lineRule="auto"/>
        <w:rPr>
          <w:rFonts w:ascii="Times" w:hAnsi="Times"/>
        </w:rPr>
      </w:pPr>
      <w:r>
        <w:rPr>
          <w:rFonts w:ascii="Times" w:hAnsi="Times"/>
        </w:rPr>
        <w:t>According to Holden, Albertus, as a theologian, had to come to terms with the issue of fate versus free-will.</w:t>
      </w:r>
      <w:r>
        <w:rPr>
          <w:rStyle w:val="FootnoteReference"/>
          <w:rFonts w:ascii="Times" w:hAnsi="Times"/>
        </w:rPr>
        <w:footnoteReference w:id="20"/>
      </w:r>
      <w:r>
        <w:rPr>
          <w:rFonts w:ascii="Times" w:hAnsi="Times"/>
        </w:rPr>
        <w:t xml:space="preserve"> Whatever position that Albertus would hold about the future would </w:t>
      </w:r>
      <w:proofErr w:type="spellStart"/>
      <w:r>
        <w:rPr>
          <w:rFonts w:ascii="Times" w:hAnsi="Times"/>
        </w:rPr>
        <w:t>decidingly</w:t>
      </w:r>
      <w:proofErr w:type="spellEnd"/>
      <w:r>
        <w:rPr>
          <w:rFonts w:ascii="Times" w:hAnsi="Times"/>
        </w:rPr>
        <w:t xml:space="preserve"> need to fit within a Christian cosmology. Zambelli explains that Albertus was consistent in </w:t>
      </w:r>
      <w:r>
        <w:rPr>
          <w:rFonts w:ascii="Times" w:hAnsi="Times"/>
        </w:rPr>
        <w:lastRenderedPageBreak/>
        <w:t>maintaining an astrological understanding that the stars and planets were moved by ‘the agency of soul’, the same force that moves the individual.</w:t>
      </w:r>
      <w:r>
        <w:rPr>
          <w:rStyle w:val="FootnoteReference"/>
          <w:rFonts w:ascii="Times" w:hAnsi="Times"/>
        </w:rPr>
        <w:footnoteReference w:id="21"/>
      </w:r>
      <w:r>
        <w:rPr>
          <w:rFonts w:ascii="Times" w:hAnsi="Times"/>
        </w:rPr>
        <w:t xml:space="preserve"> Maintaining the soul in this position demonstrates that Albertus did not hold astrology and Christianity as incongruent but that Christian beliefs could fit within an astrological understanding. </w:t>
      </w:r>
    </w:p>
    <w:p w14:paraId="3D771528" w14:textId="77777777" w:rsidR="000A6422" w:rsidRDefault="000A6422" w:rsidP="000A6422">
      <w:pPr>
        <w:spacing w:line="360" w:lineRule="auto"/>
        <w:rPr>
          <w:rFonts w:ascii="Times" w:hAnsi="Times"/>
        </w:rPr>
      </w:pPr>
    </w:p>
    <w:p w14:paraId="1C736E49" w14:textId="77777777" w:rsidR="000A6422" w:rsidRDefault="000A6422" w:rsidP="000A6422">
      <w:pPr>
        <w:spacing w:line="360" w:lineRule="auto"/>
        <w:rPr>
          <w:rFonts w:ascii="Times" w:hAnsi="Times"/>
        </w:rPr>
      </w:pPr>
      <w:r>
        <w:rPr>
          <w:rFonts w:ascii="Times" w:hAnsi="Times"/>
        </w:rPr>
        <w:t xml:space="preserve">The soul as the mover of human action was not, in Albertus’ words, ‘subject to celestial </w:t>
      </w:r>
      <w:proofErr w:type="gramStart"/>
      <w:r>
        <w:rPr>
          <w:rFonts w:ascii="Times" w:hAnsi="Times"/>
        </w:rPr>
        <w:t>motions’</w:t>
      </w:r>
      <w:proofErr w:type="gramEnd"/>
      <w:r>
        <w:rPr>
          <w:rFonts w:ascii="Times" w:hAnsi="Times"/>
        </w:rPr>
        <w:t>.</w:t>
      </w:r>
      <w:r>
        <w:rPr>
          <w:rStyle w:val="FootnoteReference"/>
          <w:rFonts w:ascii="Times" w:hAnsi="Times"/>
        </w:rPr>
        <w:footnoteReference w:id="22"/>
      </w:r>
      <w:r>
        <w:rPr>
          <w:rFonts w:ascii="Times" w:hAnsi="Times"/>
        </w:rPr>
        <w:t xml:space="preserve"> This did not necessarily mean, for Albertus, that the planets had no effect on human will. Zambelli explains that Albertus attributed the movements of celestial bodies in </w:t>
      </w:r>
      <w:r>
        <w:rPr>
          <w:rFonts w:ascii="Times" w:hAnsi="Times"/>
          <w:i/>
          <w:iCs/>
        </w:rPr>
        <w:t>inciting</w:t>
      </w:r>
      <w:r>
        <w:rPr>
          <w:rFonts w:ascii="Times" w:hAnsi="Times"/>
        </w:rPr>
        <w:t xml:space="preserve"> action by the individual.</w:t>
      </w:r>
      <w:r>
        <w:rPr>
          <w:rStyle w:val="FootnoteReference"/>
          <w:rFonts w:ascii="Times" w:hAnsi="Times"/>
        </w:rPr>
        <w:footnoteReference w:id="23"/>
      </w:r>
      <w:r>
        <w:rPr>
          <w:rFonts w:ascii="Times" w:hAnsi="Times"/>
        </w:rPr>
        <w:t xml:space="preserve"> In Albertus’s words ‘the stars have the power to alter the elements…to affect human mutations and… to provoke an inclination to action’.</w:t>
      </w:r>
      <w:r>
        <w:rPr>
          <w:rStyle w:val="FootnoteReference"/>
          <w:rFonts w:ascii="Times" w:hAnsi="Times"/>
        </w:rPr>
        <w:footnoteReference w:id="24"/>
      </w:r>
      <w:r>
        <w:rPr>
          <w:rFonts w:ascii="Times" w:hAnsi="Times"/>
        </w:rPr>
        <w:t xml:space="preserve"> It seems that human will could be affected by the planets, but not necessarily defined by them. Despite celestial provocation, Thorndike summarizes Albertus’s position; he contended that ‘human reason and will remain free and are not necessarily subjected to the movements of the stars’.</w:t>
      </w:r>
      <w:r>
        <w:rPr>
          <w:rStyle w:val="FootnoteReference"/>
          <w:rFonts w:ascii="Times" w:hAnsi="Times"/>
        </w:rPr>
        <w:footnoteReference w:id="25"/>
      </w:r>
      <w:r>
        <w:rPr>
          <w:rFonts w:ascii="Times" w:hAnsi="Times"/>
        </w:rPr>
        <w:t xml:space="preserve"> Further, Zambelli clarifies that Albertus acknowledge that these celestial influences could not control those who have mastered their will, and that the stars are only instruments of God.</w:t>
      </w:r>
      <w:r>
        <w:rPr>
          <w:rStyle w:val="FootnoteReference"/>
          <w:rFonts w:ascii="Times" w:hAnsi="Times"/>
        </w:rPr>
        <w:footnoteReference w:id="26"/>
      </w:r>
      <w:r>
        <w:rPr>
          <w:rFonts w:ascii="Times" w:hAnsi="Times"/>
        </w:rPr>
        <w:t xml:space="preserve"> </w:t>
      </w:r>
    </w:p>
    <w:p w14:paraId="135A9654" w14:textId="77777777" w:rsidR="000A6422" w:rsidRDefault="000A6422" w:rsidP="000A6422">
      <w:pPr>
        <w:spacing w:line="360" w:lineRule="auto"/>
        <w:rPr>
          <w:rFonts w:ascii="Times" w:hAnsi="Times"/>
        </w:rPr>
      </w:pPr>
    </w:p>
    <w:p w14:paraId="1545C3A6" w14:textId="77777777" w:rsidR="000A6422" w:rsidRPr="00671839" w:rsidRDefault="000A6422" w:rsidP="000A6422">
      <w:pPr>
        <w:spacing w:line="360" w:lineRule="auto"/>
        <w:rPr>
          <w:rFonts w:ascii="Times" w:hAnsi="Times"/>
        </w:rPr>
      </w:pPr>
      <w:r>
        <w:rPr>
          <w:rFonts w:ascii="Times" w:hAnsi="Times"/>
        </w:rPr>
        <w:t xml:space="preserve">If humans, through wisdom and will, could act freely despite the planet’s influence, then it is important to ascertain the role and </w:t>
      </w:r>
      <w:proofErr w:type="gramStart"/>
      <w:r>
        <w:rPr>
          <w:rFonts w:ascii="Times" w:hAnsi="Times"/>
        </w:rPr>
        <w:t>perhaps limitations</w:t>
      </w:r>
      <w:proofErr w:type="gramEnd"/>
      <w:r>
        <w:rPr>
          <w:rFonts w:ascii="Times" w:hAnsi="Times"/>
        </w:rPr>
        <w:t xml:space="preserve"> of determinism in Albertus’s view of astrology. </w:t>
      </w:r>
      <w:r w:rsidRPr="002053DC">
        <w:rPr>
          <w:rFonts w:ascii="Times" w:hAnsi="Times"/>
        </w:rPr>
        <w:t>Zambelli</w:t>
      </w:r>
      <w:r>
        <w:rPr>
          <w:rFonts w:ascii="Times" w:hAnsi="Times"/>
        </w:rPr>
        <w:t xml:space="preserve"> claims, Magnus believed astrology could only foresee natural events.</w:t>
      </w:r>
      <w:r>
        <w:rPr>
          <w:rStyle w:val="FootnoteReference"/>
          <w:rFonts w:ascii="Times" w:hAnsi="Times"/>
        </w:rPr>
        <w:footnoteReference w:id="27"/>
      </w:r>
      <w:r>
        <w:rPr>
          <w:rFonts w:ascii="Times" w:hAnsi="Times"/>
        </w:rPr>
        <w:t xml:space="preserve"> This implies that judicial astrology, which Albertus introduces in chapter three of the </w:t>
      </w:r>
      <w:r>
        <w:rPr>
          <w:rFonts w:ascii="Times" w:hAnsi="Times"/>
          <w:i/>
          <w:iCs/>
        </w:rPr>
        <w:t>Speculum Astronomia</w:t>
      </w:r>
      <w:r>
        <w:rPr>
          <w:rFonts w:ascii="Times" w:hAnsi="Times"/>
        </w:rPr>
        <w:t>, could provide a pathway towards negotiation of the future, particularly within a Christian philosophical understanding.</w:t>
      </w:r>
      <w:r>
        <w:rPr>
          <w:rStyle w:val="FootnoteReference"/>
          <w:rFonts w:ascii="Times" w:hAnsi="Times"/>
        </w:rPr>
        <w:footnoteReference w:id="28"/>
      </w:r>
      <w:r>
        <w:rPr>
          <w:rFonts w:ascii="Times" w:hAnsi="Times"/>
        </w:rPr>
        <w:t xml:space="preserve"> Albertus states ‘For if God, most high in his supreme wisdom, has ordered this world in such a manner, that He who is the living God… should wish </w:t>
      </w:r>
      <w:r>
        <w:rPr>
          <w:rFonts w:ascii="Times" w:hAnsi="Times"/>
        </w:rPr>
        <w:lastRenderedPageBreak/>
        <w:t>to operate through the created things…using the mute and deaf stars’ and inquires what could more desirable than to know how these changes operate upon the world.</w:t>
      </w:r>
      <w:r>
        <w:rPr>
          <w:rStyle w:val="FootnoteReference"/>
          <w:rFonts w:ascii="Times" w:hAnsi="Times"/>
        </w:rPr>
        <w:footnoteReference w:id="29"/>
      </w:r>
      <w:r>
        <w:rPr>
          <w:rFonts w:ascii="Times" w:hAnsi="Times"/>
        </w:rPr>
        <w:t xml:space="preserve"> This motivation of refining oneself to further understand divine order may illuminate why Albertus devotes the majority of </w:t>
      </w:r>
      <w:r>
        <w:rPr>
          <w:rFonts w:ascii="Times" w:hAnsi="Times"/>
          <w:i/>
          <w:iCs/>
        </w:rPr>
        <w:t xml:space="preserve">Speculum Astronomia </w:t>
      </w:r>
      <w:r>
        <w:rPr>
          <w:rFonts w:ascii="Times" w:hAnsi="Times"/>
        </w:rPr>
        <w:t>to the practice of judicial astrology, with the planets remaining as mere instruments of the wisdom of God.</w:t>
      </w:r>
      <w:r>
        <w:rPr>
          <w:rStyle w:val="FootnoteReference"/>
          <w:rFonts w:ascii="Times" w:hAnsi="Times"/>
        </w:rPr>
        <w:footnoteReference w:id="30"/>
      </w:r>
    </w:p>
    <w:p w14:paraId="306F7473" w14:textId="77777777" w:rsidR="000A6422" w:rsidRDefault="000A6422" w:rsidP="000A6422">
      <w:pPr>
        <w:spacing w:line="360" w:lineRule="auto"/>
        <w:rPr>
          <w:rFonts w:ascii="Times" w:hAnsi="Times"/>
        </w:rPr>
      </w:pPr>
    </w:p>
    <w:p w14:paraId="3ED31BA5" w14:textId="77777777" w:rsidR="000A6422" w:rsidRPr="00DB250F" w:rsidRDefault="000A6422" w:rsidP="000A6422">
      <w:pPr>
        <w:spacing w:line="360" w:lineRule="auto"/>
        <w:rPr>
          <w:rFonts w:ascii="Times" w:hAnsi="Times"/>
          <w:b/>
          <w:bCs/>
        </w:rPr>
      </w:pPr>
    </w:p>
    <w:p w14:paraId="43D867CD" w14:textId="77777777" w:rsidR="000A6422" w:rsidRDefault="000A6422" w:rsidP="000A6422">
      <w:pPr>
        <w:spacing w:line="360" w:lineRule="auto"/>
        <w:rPr>
          <w:rFonts w:ascii="Times" w:hAnsi="Times"/>
          <w:b/>
          <w:bCs/>
        </w:rPr>
      </w:pPr>
      <w:r w:rsidRPr="00817DC3">
        <w:rPr>
          <w:rFonts w:ascii="Times" w:hAnsi="Times"/>
          <w:b/>
          <w:bCs/>
        </w:rPr>
        <w:t>The Astrology of Guido Bonatti</w:t>
      </w:r>
    </w:p>
    <w:p w14:paraId="6012FBA9" w14:textId="77777777" w:rsidR="000A6422" w:rsidRDefault="000A6422" w:rsidP="000A6422">
      <w:pPr>
        <w:spacing w:line="360" w:lineRule="auto"/>
        <w:rPr>
          <w:rFonts w:ascii="Times" w:hAnsi="Times"/>
          <w:color w:val="000000" w:themeColor="text1"/>
        </w:rPr>
      </w:pPr>
      <w:r>
        <w:rPr>
          <w:rFonts w:ascii="Times" w:hAnsi="Times"/>
          <w:color w:val="000000" w:themeColor="text1"/>
        </w:rPr>
        <w:t xml:space="preserve">In the discussion of medieval </w:t>
      </w:r>
      <w:proofErr w:type="gramStart"/>
      <w:r>
        <w:rPr>
          <w:rFonts w:ascii="Times" w:hAnsi="Times"/>
          <w:color w:val="000000" w:themeColor="text1"/>
        </w:rPr>
        <w:t>astrologers</w:t>
      </w:r>
      <w:proofErr w:type="gramEnd"/>
      <w:r>
        <w:rPr>
          <w:rFonts w:ascii="Times" w:hAnsi="Times"/>
          <w:color w:val="000000" w:themeColor="text1"/>
        </w:rPr>
        <w:t xml:space="preserve"> attitudes toward the future, Bonatti’s involvement in military matters is of central note, particularly in the utilization of horary and electional astrology as a technique </w:t>
      </w:r>
      <w:r w:rsidRPr="00DE7D0A">
        <w:rPr>
          <w:rFonts w:ascii="Times" w:hAnsi="Times"/>
          <w:color w:val="000000" w:themeColor="text1"/>
        </w:rPr>
        <w:t xml:space="preserve">of navigating the future. </w:t>
      </w:r>
      <w:r>
        <w:rPr>
          <w:rFonts w:ascii="Times" w:hAnsi="Times"/>
          <w:color w:val="000000" w:themeColor="text1"/>
        </w:rPr>
        <w:t>Dykes contributes numerous examples, two of which were campaigns from 1260-61with Count Guido Novello, a chief Ghibelline in Florence.</w:t>
      </w:r>
      <w:r>
        <w:rPr>
          <w:rStyle w:val="FootnoteReference"/>
          <w:rFonts w:ascii="Times" w:hAnsi="Times"/>
          <w:color w:val="000000" w:themeColor="text1"/>
        </w:rPr>
        <w:footnoteReference w:id="31"/>
      </w:r>
      <w:r>
        <w:rPr>
          <w:rFonts w:ascii="Times" w:hAnsi="Times"/>
          <w:color w:val="000000" w:themeColor="text1"/>
        </w:rPr>
        <w:t xml:space="preserve"> In Chapter 29 of Treatise VI Bonatti examines the astrological conditions of a besieged castle, discussing the astrological houses that pertain to the querent.</w:t>
      </w:r>
      <w:r>
        <w:rPr>
          <w:rStyle w:val="FootnoteReference"/>
          <w:rFonts w:ascii="Times" w:hAnsi="Times"/>
          <w:color w:val="000000" w:themeColor="text1"/>
        </w:rPr>
        <w:footnoteReference w:id="32"/>
      </w:r>
      <w:r>
        <w:rPr>
          <w:rFonts w:ascii="Times" w:hAnsi="Times"/>
          <w:color w:val="000000" w:themeColor="text1"/>
        </w:rPr>
        <w:t xml:space="preserve"> Bonatti, taking into account the poor condition of Jupiter in the chart and the compromised position of the moon in the sixth house, advised that the castle should not be taken.</w:t>
      </w:r>
      <w:r>
        <w:rPr>
          <w:rStyle w:val="FootnoteReference"/>
          <w:rFonts w:ascii="Times" w:hAnsi="Times"/>
          <w:color w:val="000000" w:themeColor="text1"/>
        </w:rPr>
        <w:footnoteReference w:id="33"/>
      </w:r>
      <w:r>
        <w:rPr>
          <w:rFonts w:ascii="Times" w:hAnsi="Times"/>
          <w:color w:val="000000" w:themeColor="text1"/>
        </w:rPr>
        <w:t xml:space="preserve"> Due to Bonatti’s help, Novello was able to temporarily avoid potentially negative outcomes by utilizing his astrologer’s insights.</w:t>
      </w:r>
    </w:p>
    <w:p w14:paraId="534D7A94" w14:textId="77777777" w:rsidR="000A6422" w:rsidRDefault="000A6422" w:rsidP="000A6422">
      <w:pPr>
        <w:spacing w:line="360" w:lineRule="auto"/>
        <w:rPr>
          <w:rFonts w:ascii="Times" w:hAnsi="Times"/>
          <w:color w:val="000000" w:themeColor="text1"/>
        </w:rPr>
      </w:pPr>
    </w:p>
    <w:p w14:paraId="5E646717" w14:textId="77777777" w:rsidR="000A6422" w:rsidRDefault="000A6422" w:rsidP="000A6422">
      <w:pPr>
        <w:spacing w:line="360" w:lineRule="auto"/>
        <w:rPr>
          <w:rFonts w:ascii="Times" w:hAnsi="Times"/>
          <w:color w:val="000000" w:themeColor="text1"/>
        </w:rPr>
      </w:pPr>
      <w:r>
        <w:rPr>
          <w:rFonts w:ascii="Times" w:hAnsi="Times"/>
          <w:color w:val="000000" w:themeColor="text1"/>
        </w:rPr>
        <w:t>As both Hand and Parel explain, Bonatti was known for his astrology in military strategies and successes, insomuch that it is an intrinsic part of his reputation as an important figure of medieval astrology, yet it is important to evaluate historiographical issues.</w:t>
      </w:r>
      <w:r>
        <w:rPr>
          <w:rStyle w:val="FootnoteReference"/>
          <w:rFonts w:ascii="Times" w:hAnsi="Times"/>
          <w:color w:val="000000" w:themeColor="text1"/>
        </w:rPr>
        <w:footnoteReference w:id="34"/>
      </w:r>
      <w:r>
        <w:rPr>
          <w:rFonts w:ascii="Times" w:hAnsi="Times"/>
          <w:color w:val="000000" w:themeColor="text1"/>
        </w:rPr>
        <w:t xml:space="preserve"> The primary source text of Bonatti’s military strategies point to much of his successes and prescriptions with </w:t>
      </w:r>
      <w:r>
        <w:rPr>
          <w:rFonts w:ascii="Times" w:hAnsi="Times"/>
          <w:color w:val="000000" w:themeColor="text1"/>
        </w:rPr>
        <w:lastRenderedPageBreak/>
        <w:t>electional and horary work, but it is necessary to consider that some of his accounts may have been omitted. Evans states ‘the traces of the past… do not provide an even coverage of it,’ and that if archives can be accidently lost or even purposely discarded then so can one’s view of history alter.</w:t>
      </w:r>
      <w:r>
        <w:rPr>
          <w:rStyle w:val="FootnoteReference"/>
          <w:rFonts w:ascii="Times" w:hAnsi="Times"/>
          <w:color w:val="000000" w:themeColor="text1"/>
        </w:rPr>
        <w:footnoteReference w:id="35"/>
      </w:r>
      <w:r>
        <w:rPr>
          <w:rFonts w:ascii="Times" w:hAnsi="Times"/>
          <w:color w:val="000000" w:themeColor="text1"/>
        </w:rPr>
        <w:t xml:space="preserve"> If there is anything missing of failed military endeavors, surly this would alter the interpretation of a negotiable future as it pertains to battle and war in the medieval world.    </w:t>
      </w:r>
    </w:p>
    <w:p w14:paraId="4CD3C9B4" w14:textId="77777777" w:rsidR="000A6422" w:rsidRDefault="000A6422" w:rsidP="000A6422">
      <w:pPr>
        <w:spacing w:line="360" w:lineRule="auto"/>
        <w:rPr>
          <w:rFonts w:ascii="Times" w:hAnsi="Times"/>
          <w:b/>
          <w:bCs/>
        </w:rPr>
      </w:pPr>
    </w:p>
    <w:p w14:paraId="73EDCAE4" w14:textId="77777777" w:rsidR="000A6422" w:rsidRPr="002776E9" w:rsidRDefault="000A6422" w:rsidP="000A6422">
      <w:pPr>
        <w:spacing w:line="360" w:lineRule="auto"/>
        <w:rPr>
          <w:rFonts w:ascii="Times" w:hAnsi="Times"/>
        </w:rPr>
      </w:pPr>
      <w:r>
        <w:rPr>
          <w:rFonts w:ascii="Times" w:hAnsi="Times"/>
        </w:rPr>
        <w:t xml:space="preserve">While there was room for negotiating the future in military matters for Bonatti, he took a more deterministic role with the soul. In his </w:t>
      </w:r>
      <w:r>
        <w:rPr>
          <w:rFonts w:ascii="Times" w:hAnsi="Times"/>
          <w:i/>
          <w:iCs/>
        </w:rPr>
        <w:t xml:space="preserve">Liber Astronomiae </w:t>
      </w:r>
      <w:r>
        <w:rPr>
          <w:rFonts w:ascii="Times" w:hAnsi="Times"/>
        </w:rPr>
        <w:t>Bonatti designates the moon as a representation of the soul in one’s horoscope, stating that ‘she signifies the quality of the soul according to her commixture with the planets’.</w:t>
      </w:r>
      <w:r>
        <w:rPr>
          <w:rStyle w:val="FootnoteReference"/>
          <w:rFonts w:ascii="Times" w:hAnsi="Times"/>
        </w:rPr>
        <w:footnoteReference w:id="36"/>
      </w:r>
      <w:r>
        <w:rPr>
          <w:rFonts w:ascii="Times" w:hAnsi="Times"/>
        </w:rPr>
        <w:t xml:space="preserve"> Here, Bonatti doesn’t state ways in which to improve or mitigate conditions of the soul. Instead, he summarizes his astrological interpretation that the native’s soul will be of good quality if the moon is ‘joined with a good planet,’ but of bad quality if joined with an ‘evil planet’.</w:t>
      </w:r>
      <w:r>
        <w:rPr>
          <w:rStyle w:val="FootnoteReference"/>
          <w:rFonts w:ascii="Times" w:hAnsi="Times"/>
        </w:rPr>
        <w:footnoteReference w:id="37"/>
      </w:r>
      <w:r>
        <w:rPr>
          <w:rFonts w:ascii="Times" w:hAnsi="Times"/>
        </w:rPr>
        <w:t xml:space="preserve"> </w:t>
      </w:r>
    </w:p>
    <w:p w14:paraId="048D7821" w14:textId="77777777" w:rsidR="000A6422" w:rsidRDefault="000A6422" w:rsidP="000A6422">
      <w:pPr>
        <w:spacing w:line="360" w:lineRule="auto"/>
        <w:rPr>
          <w:rFonts w:ascii="Times" w:hAnsi="Times"/>
          <w:b/>
          <w:bCs/>
        </w:rPr>
      </w:pPr>
    </w:p>
    <w:p w14:paraId="424641A9" w14:textId="77777777" w:rsidR="000A6422" w:rsidRDefault="000A6422" w:rsidP="000A6422">
      <w:pPr>
        <w:spacing w:line="360" w:lineRule="auto"/>
        <w:rPr>
          <w:rFonts w:ascii="Times" w:hAnsi="Times"/>
          <w:b/>
          <w:bCs/>
        </w:rPr>
      </w:pPr>
    </w:p>
    <w:p w14:paraId="1C51C8AA" w14:textId="77777777" w:rsidR="000A6422" w:rsidRPr="009F59D8" w:rsidRDefault="000A6422" w:rsidP="000A6422">
      <w:pPr>
        <w:spacing w:line="360" w:lineRule="auto"/>
        <w:rPr>
          <w:rFonts w:ascii="Times" w:hAnsi="Times"/>
          <w:b/>
          <w:bCs/>
          <w:color w:val="000000" w:themeColor="text1"/>
        </w:rPr>
      </w:pPr>
      <w:r w:rsidRPr="009F59D8">
        <w:rPr>
          <w:rFonts w:ascii="Times" w:hAnsi="Times"/>
          <w:b/>
          <w:bCs/>
          <w:color w:val="000000" w:themeColor="text1"/>
        </w:rPr>
        <w:t>Theme One Summary:</w:t>
      </w:r>
    </w:p>
    <w:p w14:paraId="088BD430" w14:textId="77777777" w:rsidR="000A6422" w:rsidRDefault="000A6422" w:rsidP="000A6422">
      <w:pPr>
        <w:spacing w:line="360" w:lineRule="auto"/>
        <w:rPr>
          <w:rFonts w:ascii="Times" w:hAnsi="Times"/>
        </w:rPr>
      </w:pPr>
      <w:r>
        <w:rPr>
          <w:rFonts w:ascii="Times" w:hAnsi="Times"/>
        </w:rPr>
        <w:t xml:space="preserve">This theme explored attitudes of the future in the astrologies of Abraham Ibn Ezra, Albertus </w:t>
      </w:r>
      <w:proofErr w:type="gramStart"/>
      <w:r>
        <w:rPr>
          <w:rFonts w:ascii="Times" w:hAnsi="Times"/>
        </w:rPr>
        <w:t>Magnus</w:t>
      </w:r>
      <w:proofErr w:type="gramEnd"/>
      <w:r>
        <w:rPr>
          <w:rFonts w:ascii="Times" w:hAnsi="Times"/>
        </w:rPr>
        <w:t xml:space="preserve"> and Guido Bonatti. It found that for Ibn Ezra concepts of determinism were situated within the astrology of the collective although not strictly limited to that framework.</w:t>
      </w:r>
      <w:r>
        <w:rPr>
          <w:rStyle w:val="FootnoteReference"/>
          <w:rFonts w:ascii="Times" w:hAnsi="Times"/>
        </w:rPr>
        <w:footnoteReference w:id="38"/>
      </w:r>
      <w:r>
        <w:rPr>
          <w:rFonts w:ascii="Times" w:hAnsi="Times"/>
        </w:rPr>
        <w:t xml:space="preserve"> Additionally, Ibn Ezra recognized a route to negotiating freedom from the decree of the stars through the notion of wisdom.</w:t>
      </w:r>
      <w:r>
        <w:rPr>
          <w:rStyle w:val="FootnoteReference"/>
          <w:rFonts w:ascii="Times" w:hAnsi="Times"/>
        </w:rPr>
        <w:footnoteReference w:id="39"/>
      </w:r>
      <w:r>
        <w:rPr>
          <w:rFonts w:ascii="Times" w:hAnsi="Times"/>
        </w:rPr>
        <w:t xml:space="preserve"> This theme found that Albertus’s astrology supported Christian notions of free will and examined judicial astrology as a means of becoming closer to the wisdom of God.</w:t>
      </w:r>
      <w:r>
        <w:rPr>
          <w:rStyle w:val="FootnoteReference"/>
          <w:rFonts w:ascii="Times" w:hAnsi="Times"/>
        </w:rPr>
        <w:footnoteReference w:id="40"/>
      </w:r>
      <w:r>
        <w:rPr>
          <w:rFonts w:ascii="Times" w:hAnsi="Times"/>
        </w:rPr>
        <w:t xml:space="preserve">  In Military matters Bonatti’s astrology provided the ability to negotiate the </w:t>
      </w:r>
      <w:r>
        <w:rPr>
          <w:rFonts w:ascii="Times" w:hAnsi="Times"/>
        </w:rPr>
        <w:lastRenderedPageBreak/>
        <w:t>future.</w:t>
      </w:r>
      <w:r>
        <w:rPr>
          <w:rStyle w:val="FootnoteReference"/>
          <w:rFonts w:ascii="Times" w:hAnsi="Times"/>
        </w:rPr>
        <w:footnoteReference w:id="41"/>
      </w:r>
      <w:r>
        <w:rPr>
          <w:rFonts w:ascii="Times" w:hAnsi="Times"/>
        </w:rPr>
        <w:t xml:space="preserve"> This was not the case for the condition of the soul which remained fixed, its quality defined by one’s natal planetary conditions.</w:t>
      </w:r>
      <w:r>
        <w:rPr>
          <w:rStyle w:val="FootnoteReference"/>
          <w:rFonts w:ascii="Times" w:hAnsi="Times"/>
        </w:rPr>
        <w:footnoteReference w:id="42"/>
      </w:r>
    </w:p>
    <w:p w14:paraId="7757F247" w14:textId="77777777" w:rsidR="000A6422" w:rsidRPr="00616923" w:rsidRDefault="000A6422" w:rsidP="000A6422">
      <w:pPr>
        <w:spacing w:line="360" w:lineRule="auto"/>
        <w:rPr>
          <w:rFonts w:ascii="Times" w:hAnsi="Times"/>
        </w:rPr>
      </w:pPr>
    </w:p>
    <w:p w14:paraId="03F67A85" w14:textId="77777777" w:rsidR="000A6422" w:rsidRDefault="000A6422" w:rsidP="000A6422">
      <w:pPr>
        <w:spacing w:line="360" w:lineRule="auto"/>
        <w:rPr>
          <w:rFonts w:ascii="Times" w:hAnsi="Times"/>
          <w:b/>
          <w:bCs/>
          <w:u w:val="single"/>
        </w:rPr>
      </w:pPr>
    </w:p>
    <w:p w14:paraId="21C6E303" w14:textId="77777777" w:rsidR="000A6422" w:rsidRPr="00EA1289" w:rsidRDefault="000A6422" w:rsidP="000A6422">
      <w:pPr>
        <w:spacing w:line="360" w:lineRule="auto"/>
        <w:rPr>
          <w:rFonts w:ascii="Times" w:hAnsi="Times"/>
          <w:b/>
          <w:bCs/>
          <w:sz w:val="26"/>
          <w:szCs w:val="26"/>
          <w:u w:val="single"/>
        </w:rPr>
      </w:pPr>
      <w:r w:rsidRPr="00CC2C57">
        <w:rPr>
          <w:rFonts w:ascii="Times" w:hAnsi="Times"/>
          <w:b/>
          <w:bCs/>
          <w:sz w:val="26"/>
          <w:szCs w:val="26"/>
          <w:u w:val="single"/>
        </w:rPr>
        <w:t>Theme Two: Synthesis</w:t>
      </w:r>
    </w:p>
    <w:p w14:paraId="65FFA163" w14:textId="77777777" w:rsidR="000A6422" w:rsidRPr="00A74DA1" w:rsidRDefault="000A6422" w:rsidP="000A6422">
      <w:pPr>
        <w:spacing w:line="360" w:lineRule="auto"/>
        <w:rPr>
          <w:rFonts w:ascii="Times" w:hAnsi="Times"/>
          <w:color w:val="000000" w:themeColor="text1"/>
        </w:rPr>
      </w:pPr>
      <w:r w:rsidRPr="00A74DA1">
        <w:rPr>
          <w:rFonts w:ascii="Times" w:hAnsi="Times"/>
          <w:color w:val="000000" w:themeColor="text1"/>
        </w:rPr>
        <w:t xml:space="preserve">This theme synthesizes central astrological concepts from Ibn Ezra, </w:t>
      </w:r>
      <w:proofErr w:type="gramStart"/>
      <w:r w:rsidRPr="00A74DA1">
        <w:rPr>
          <w:rFonts w:ascii="Times" w:hAnsi="Times"/>
          <w:color w:val="000000" w:themeColor="text1"/>
        </w:rPr>
        <w:t>Albertus</w:t>
      </w:r>
      <w:proofErr w:type="gramEnd"/>
      <w:r w:rsidRPr="00A74DA1">
        <w:rPr>
          <w:rFonts w:ascii="Times" w:hAnsi="Times"/>
          <w:color w:val="000000" w:themeColor="text1"/>
        </w:rPr>
        <w:t xml:space="preserve"> and Bonatti within a classical cosmological framework in order to compare and contrast their attitudes toward the future. The examples below </w:t>
      </w:r>
      <w:proofErr w:type="gramStart"/>
      <w:r w:rsidRPr="00A74DA1">
        <w:rPr>
          <w:rFonts w:ascii="Times" w:hAnsi="Times"/>
          <w:color w:val="000000" w:themeColor="text1"/>
        </w:rPr>
        <w:t>are selected</w:t>
      </w:r>
      <w:proofErr w:type="gramEnd"/>
      <w:r w:rsidRPr="00A74DA1">
        <w:rPr>
          <w:rFonts w:ascii="Times" w:hAnsi="Times"/>
          <w:color w:val="000000" w:themeColor="text1"/>
        </w:rPr>
        <w:t xml:space="preserve"> to </w:t>
      </w:r>
      <w:r>
        <w:rPr>
          <w:rFonts w:ascii="Times" w:hAnsi="Times"/>
          <w:color w:val="000000" w:themeColor="text1"/>
        </w:rPr>
        <w:t>illustrate examples</w:t>
      </w:r>
      <w:r w:rsidRPr="00A74DA1">
        <w:rPr>
          <w:rFonts w:ascii="Times" w:hAnsi="Times"/>
          <w:color w:val="000000" w:themeColor="text1"/>
        </w:rPr>
        <w:t xml:space="preserve"> of classical thought in medieval views of the future. This theme also explores historiographical issues involving fate and determinism within the astrological development of the medieval world. Lastly, this theme provides evidence for attitudes of a negotiable future.</w:t>
      </w:r>
    </w:p>
    <w:p w14:paraId="1ADF2EC1" w14:textId="77777777" w:rsidR="000A6422" w:rsidRDefault="000A6422" w:rsidP="000A6422">
      <w:pPr>
        <w:spacing w:line="360" w:lineRule="auto"/>
        <w:rPr>
          <w:rFonts w:ascii="Times" w:hAnsi="Times"/>
        </w:rPr>
      </w:pPr>
    </w:p>
    <w:p w14:paraId="7F116924" w14:textId="77777777" w:rsidR="000A6422" w:rsidRDefault="000A6422" w:rsidP="000A6422">
      <w:pPr>
        <w:spacing w:line="360" w:lineRule="auto"/>
        <w:rPr>
          <w:rFonts w:ascii="Times" w:hAnsi="Times"/>
        </w:rPr>
      </w:pPr>
    </w:p>
    <w:p w14:paraId="59FB91C6" w14:textId="77777777" w:rsidR="000A6422" w:rsidRPr="00003D7F" w:rsidRDefault="000A6422" w:rsidP="000A6422">
      <w:pPr>
        <w:spacing w:line="360" w:lineRule="auto"/>
        <w:rPr>
          <w:rFonts w:ascii="Times" w:hAnsi="Times"/>
          <w:b/>
          <w:bCs/>
        </w:rPr>
      </w:pPr>
      <w:r w:rsidRPr="00003D7F">
        <w:rPr>
          <w:rFonts w:ascii="Times" w:hAnsi="Times"/>
          <w:b/>
          <w:bCs/>
        </w:rPr>
        <w:t xml:space="preserve">Classical </w:t>
      </w:r>
      <w:r>
        <w:rPr>
          <w:rFonts w:ascii="Times" w:hAnsi="Times"/>
          <w:b/>
          <w:bCs/>
        </w:rPr>
        <w:t>Notions Towards a Negotiable or Fixed Future</w:t>
      </w:r>
    </w:p>
    <w:p w14:paraId="231430F9" w14:textId="77777777" w:rsidR="000A6422" w:rsidRDefault="000A6422" w:rsidP="000A6422">
      <w:pPr>
        <w:spacing w:line="360" w:lineRule="auto"/>
        <w:rPr>
          <w:rFonts w:ascii="Times" w:hAnsi="Times"/>
        </w:rPr>
      </w:pPr>
      <w:r>
        <w:rPr>
          <w:rFonts w:ascii="Times" w:hAnsi="Times"/>
        </w:rPr>
        <w:t>Classical notions of fate and determinism played an influential role in medieval thought. According to Demetra George, the ‘core… medieval compromise on the issue of determinism’ emerged from classical and Neoplatonist thinking.</w:t>
      </w:r>
      <w:r>
        <w:rPr>
          <w:rStyle w:val="FootnoteReference"/>
          <w:rFonts w:ascii="Times" w:hAnsi="Times"/>
        </w:rPr>
        <w:footnoteReference w:id="43"/>
      </w:r>
      <w:r>
        <w:rPr>
          <w:rFonts w:ascii="Times" w:hAnsi="Times"/>
        </w:rPr>
        <w:t xml:space="preserve"> She continues that ‘astrologers can indicate power of desire a planetary influence may create but it is up to the individual’s free will in order to act.</w:t>
      </w:r>
      <w:r>
        <w:rPr>
          <w:rStyle w:val="FootnoteReference"/>
          <w:rFonts w:ascii="Times" w:hAnsi="Times"/>
        </w:rPr>
        <w:footnoteReference w:id="44"/>
      </w:r>
      <w:r>
        <w:rPr>
          <w:rFonts w:ascii="Times" w:hAnsi="Times"/>
        </w:rPr>
        <w:t xml:space="preserve"> Additionally, Campion states that for the medieval world the ‘fundamental premise of astrology is reflective’ where the ‘earth is a mirror’ of the heavens.</w:t>
      </w:r>
      <w:r>
        <w:rPr>
          <w:rStyle w:val="FootnoteReference"/>
          <w:rFonts w:ascii="Times" w:hAnsi="Times"/>
        </w:rPr>
        <w:footnoteReference w:id="45"/>
      </w:r>
      <w:r>
        <w:rPr>
          <w:rFonts w:ascii="Times" w:hAnsi="Times"/>
        </w:rPr>
        <w:t xml:space="preserve"> It is of central importance to investigate how much of this understanding of reflection influences attitudes of the future as it relates to wisdom, cosmic order and participation. </w:t>
      </w:r>
    </w:p>
    <w:p w14:paraId="58A78457" w14:textId="77777777" w:rsidR="000A6422" w:rsidRDefault="000A6422" w:rsidP="000A6422">
      <w:pPr>
        <w:spacing w:line="360" w:lineRule="auto"/>
        <w:rPr>
          <w:rFonts w:ascii="Times" w:hAnsi="Times"/>
        </w:rPr>
      </w:pPr>
    </w:p>
    <w:p w14:paraId="2D8CED2D" w14:textId="77777777" w:rsidR="000A6422" w:rsidRPr="00B06452" w:rsidRDefault="000A6422" w:rsidP="000A6422">
      <w:pPr>
        <w:spacing w:line="360" w:lineRule="auto"/>
        <w:rPr>
          <w:rFonts w:ascii="Times" w:hAnsi="Times"/>
          <w:color w:val="FF40FF"/>
        </w:rPr>
      </w:pPr>
      <w:r>
        <w:rPr>
          <w:rFonts w:ascii="Times" w:hAnsi="Times"/>
          <w:color w:val="000000" w:themeColor="text1"/>
        </w:rPr>
        <w:t xml:space="preserve">In the </w:t>
      </w:r>
      <w:r>
        <w:rPr>
          <w:rFonts w:ascii="Times" w:hAnsi="Times"/>
          <w:i/>
          <w:iCs/>
          <w:color w:val="000000" w:themeColor="text1"/>
        </w:rPr>
        <w:t xml:space="preserve">Timaeus, </w:t>
      </w:r>
      <w:r>
        <w:rPr>
          <w:rFonts w:ascii="Times" w:hAnsi="Times"/>
          <w:color w:val="000000" w:themeColor="text1"/>
        </w:rPr>
        <w:t xml:space="preserve">Plato describes the desire of the individual’s soul to return to the world soul, stating that </w:t>
      </w:r>
      <w:r w:rsidRPr="00B06452">
        <w:rPr>
          <w:rFonts w:ascii="Times" w:hAnsi="Times"/>
          <w:color w:val="000000" w:themeColor="text1"/>
        </w:rPr>
        <w:t>‘</w:t>
      </w:r>
      <w:proofErr w:type="gramStart"/>
      <w:r w:rsidRPr="00B06452">
        <w:rPr>
          <w:rFonts w:ascii="Times" w:hAnsi="Times"/>
          <w:color w:val="000000" w:themeColor="text1"/>
        </w:rPr>
        <w:t>God..</w:t>
      </w:r>
      <w:proofErr w:type="gramEnd"/>
      <w:r w:rsidRPr="00B06452">
        <w:rPr>
          <w:rFonts w:ascii="Times" w:hAnsi="Times"/>
          <w:color w:val="000000" w:themeColor="text1"/>
        </w:rPr>
        <w:t xml:space="preserve"> bestowed upon us vision to the end that we might behold the revolutions of </w:t>
      </w:r>
      <w:r>
        <w:rPr>
          <w:rFonts w:ascii="Times" w:hAnsi="Times"/>
          <w:color w:val="000000" w:themeColor="text1"/>
        </w:rPr>
        <w:t>r</w:t>
      </w:r>
      <w:r w:rsidRPr="00B06452">
        <w:rPr>
          <w:rFonts w:ascii="Times" w:hAnsi="Times"/>
          <w:color w:val="000000" w:themeColor="text1"/>
        </w:rPr>
        <w:t xml:space="preserve">eason in the </w:t>
      </w:r>
      <w:r>
        <w:rPr>
          <w:rFonts w:ascii="Times" w:hAnsi="Times"/>
          <w:color w:val="000000" w:themeColor="text1"/>
        </w:rPr>
        <w:t>h</w:t>
      </w:r>
      <w:r w:rsidRPr="00B06452">
        <w:rPr>
          <w:rFonts w:ascii="Times" w:hAnsi="Times"/>
          <w:color w:val="000000" w:themeColor="text1"/>
        </w:rPr>
        <w:t xml:space="preserve">eaven and use them for the </w:t>
      </w:r>
      <w:proofErr w:type="spellStart"/>
      <w:r w:rsidRPr="00B06452">
        <w:rPr>
          <w:rFonts w:ascii="Times" w:hAnsi="Times"/>
          <w:color w:val="000000" w:themeColor="text1"/>
        </w:rPr>
        <w:t>revolving</w:t>
      </w:r>
      <w:r>
        <w:rPr>
          <w:rFonts w:ascii="Times" w:hAnsi="Times"/>
          <w:color w:val="000000" w:themeColor="text1"/>
        </w:rPr>
        <w:t>s</w:t>
      </w:r>
      <w:proofErr w:type="spellEnd"/>
      <w:r w:rsidRPr="00B06452">
        <w:rPr>
          <w:rFonts w:ascii="Times" w:hAnsi="Times"/>
          <w:color w:val="000000" w:themeColor="text1"/>
        </w:rPr>
        <w:t xml:space="preserve"> of the reasoning…within us…by imitation </w:t>
      </w:r>
      <w:r w:rsidRPr="00B06452">
        <w:rPr>
          <w:rFonts w:ascii="Times" w:hAnsi="Times"/>
          <w:color w:val="000000" w:themeColor="text1"/>
        </w:rPr>
        <w:lastRenderedPageBreak/>
        <w:t>of the absolutely unvarying’.</w:t>
      </w:r>
      <w:r w:rsidRPr="00B06452">
        <w:rPr>
          <w:rStyle w:val="FootnoteReference"/>
          <w:rFonts w:ascii="Times" w:hAnsi="Times"/>
          <w:color w:val="000000" w:themeColor="text1"/>
        </w:rPr>
        <w:footnoteReference w:id="46"/>
      </w:r>
      <w:r w:rsidRPr="00B06452">
        <w:rPr>
          <w:rFonts w:ascii="Times" w:hAnsi="Times"/>
          <w:color w:val="000000" w:themeColor="text1"/>
        </w:rPr>
        <w:t xml:space="preserve"> </w:t>
      </w:r>
      <w:r>
        <w:rPr>
          <w:rFonts w:ascii="Times" w:hAnsi="Times"/>
          <w:color w:val="000000" w:themeColor="text1"/>
        </w:rPr>
        <w:t>This transcendent nature of soul by means of returning to the world soul is embedded in Ibn Ezra’s notions of wisdom. Aranda states that Ibn Ezra supported a view that the human soul’s fate was to return to God by ascending via the knowledge of God’.</w:t>
      </w:r>
      <w:r>
        <w:rPr>
          <w:rStyle w:val="FootnoteReference"/>
          <w:rFonts w:ascii="Times" w:hAnsi="Times"/>
          <w:color w:val="000000" w:themeColor="text1"/>
        </w:rPr>
        <w:footnoteReference w:id="47"/>
      </w:r>
      <w:r>
        <w:rPr>
          <w:rFonts w:ascii="Times" w:hAnsi="Times"/>
          <w:color w:val="000000" w:themeColor="text1"/>
        </w:rPr>
        <w:t xml:space="preserve"> It appears that Ibn Ezra’s aim of the soul certainly embodies platonic understandings of fate, but the life, choices and influences of the individual outside of wisdom was limited in negotiating ones future and took on more deterministic effects.</w:t>
      </w:r>
    </w:p>
    <w:p w14:paraId="12739C96" w14:textId="77777777" w:rsidR="000A6422" w:rsidRDefault="000A6422" w:rsidP="000A6422">
      <w:pPr>
        <w:spacing w:line="360" w:lineRule="auto"/>
        <w:rPr>
          <w:rFonts w:ascii="Times" w:hAnsi="Times"/>
          <w:color w:val="FF40FF"/>
        </w:rPr>
      </w:pPr>
    </w:p>
    <w:p w14:paraId="784AD3AC" w14:textId="77777777" w:rsidR="000A6422" w:rsidRDefault="000A6422" w:rsidP="000A6422">
      <w:pPr>
        <w:spacing w:line="360" w:lineRule="auto"/>
        <w:rPr>
          <w:rFonts w:ascii="Times" w:hAnsi="Times"/>
        </w:rPr>
      </w:pPr>
      <w:r>
        <w:rPr>
          <w:rFonts w:ascii="Times" w:hAnsi="Times"/>
        </w:rPr>
        <w:t xml:space="preserve">Further influences of a negotiable future can be found in understanding Aristotle’s notions of both a ‘first cause’ and sympathy; In </w:t>
      </w:r>
      <w:r w:rsidRPr="00A132CD">
        <w:rPr>
          <w:rFonts w:ascii="Times" w:hAnsi="Times"/>
          <w:i/>
          <w:iCs/>
        </w:rPr>
        <w:t xml:space="preserve">Meteorologica </w:t>
      </w:r>
      <w:r>
        <w:rPr>
          <w:rFonts w:ascii="Times" w:hAnsi="Times"/>
        </w:rPr>
        <w:t>Aristotle describes a cosmos of ordered influences, stating that the four elements of earth, air, fire and water compose  the ‘terrestrial region’ which allow for an influence of the ‘motions of the heavens’…of which the celestial element is the first cause.</w:t>
      </w:r>
      <w:r>
        <w:rPr>
          <w:rStyle w:val="FootnoteReference"/>
          <w:rFonts w:ascii="Times" w:hAnsi="Times"/>
        </w:rPr>
        <w:footnoteReference w:id="48"/>
      </w:r>
      <w:r>
        <w:rPr>
          <w:rFonts w:ascii="Times" w:hAnsi="Times"/>
        </w:rPr>
        <w:t xml:space="preserve"> Examples of this cosmic sympathy are found in Albertus’s work, </w:t>
      </w:r>
      <w:r>
        <w:rPr>
          <w:rFonts w:ascii="Times" w:hAnsi="Times"/>
          <w:i/>
          <w:iCs/>
        </w:rPr>
        <w:t>A Short Discourse on the Nature, and Qualities of the Seven Planets</w:t>
      </w:r>
      <w:r>
        <w:rPr>
          <w:rFonts w:ascii="Times" w:hAnsi="Times"/>
        </w:rPr>
        <w:t>.</w:t>
      </w:r>
      <w:r>
        <w:rPr>
          <w:rStyle w:val="FootnoteReference"/>
          <w:rFonts w:ascii="Times" w:hAnsi="Times"/>
        </w:rPr>
        <w:footnoteReference w:id="49"/>
      </w:r>
      <w:r w:rsidRPr="00A30892">
        <w:rPr>
          <w:rFonts w:ascii="Times" w:hAnsi="Times"/>
          <w:color w:val="FF40FF"/>
        </w:rPr>
        <w:t xml:space="preserve"> </w:t>
      </w:r>
      <w:r w:rsidRPr="00445EA5">
        <w:rPr>
          <w:rFonts w:ascii="Times" w:hAnsi="Times"/>
          <w:color w:val="000000" w:themeColor="text1"/>
        </w:rPr>
        <w:t>Albertus describes the qualities of the planets and their relationships to various stones and herbs in the formulation of remedies for disease.</w:t>
      </w:r>
      <w:r w:rsidRPr="00445EA5">
        <w:rPr>
          <w:rStyle w:val="FootnoteReference"/>
          <w:rFonts w:ascii="Times" w:hAnsi="Times"/>
          <w:color w:val="000000" w:themeColor="text1"/>
        </w:rPr>
        <w:footnoteReference w:id="50"/>
      </w:r>
      <w:r w:rsidRPr="00445EA5">
        <w:rPr>
          <w:rFonts w:ascii="Times" w:hAnsi="Times"/>
          <w:color w:val="000000" w:themeColor="text1"/>
        </w:rPr>
        <w:t xml:space="preserve"> </w:t>
      </w:r>
      <w:r>
        <w:rPr>
          <w:rFonts w:ascii="Times" w:hAnsi="Times"/>
        </w:rPr>
        <w:t>Albertus advises that every act of engaging the planetary qualities ought be done ‘in the proper day [and hour] of the planet’ indicating notions of sympathy described by Aristotle.</w:t>
      </w:r>
      <w:r>
        <w:rPr>
          <w:rStyle w:val="FootnoteReference"/>
          <w:rFonts w:ascii="Times" w:hAnsi="Times"/>
        </w:rPr>
        <w:footnoteReference w:id="51"/>
      </w:r>
      <w:r>
        <w:rPr>
          <w:rFonts w:ascii="Times" w:hAnsi="Times"/>
        </w:rPr>
        <w:t xml:space="preserve"> This is further evidence for an embedded understanding that not only the future was negotiable, but perhaps the whole of one’s circumstances.</w:t>
      </w:r>
    </w:p>
    <w:p w14:paraId="69A75BA0" w14:textId="77777777" w:rsidR="000A6422" w:rsidRDefault="000A6422" w:rsidP="000A6422">
      <w:pPr>
        <w:spacing w:line="360" w:lineRule="auto"/>
        <w:rPr>
          <w:rFonts w:ascii="Times" w:hAnsi="Times"/>
        </w:rPr>
      </w:pPr>
    </w:p>
    <w:p w14:paraId="547309ED" w14:textId="77777777" w:rsidR="000A6422" w:rsidRPr="006B56AE" w:rsidRDefault="000A6422" w:rsidP="000A6422">
      <w:pPr>
        <w:spacing w:line="360" w:lineRule="auto"/>
        <w:rPr>
          <w:rFonts w:ascii="Times" w:hAnsi="Times"/>
          <w:color w:val="000000" w:themeColor="text1"/>
        </w:rPr>
      </w:pPr>
      <w:r>
        <w:rPr>
          <w:rFonts w:ascii="Times" w:hAnsi="Times"/>
          <w:color w:val="000000" w:themeColor="text1"/>
        </w:rPr>
        <w:t xml:space="preserve">It is important to acknowledge the historiographical issues with anchoring medieval astrologers in the milieu of classical notions of fate and determinism. Medieval astrologers faced cultural and historical limitations in their interpretations of a classical cosmology as they were a thousand years removed from the classical period. Further, as Grant states the present day interpretations of classical cosmology </w:t>
      </w:r>
      <w:proofErr w:type="spellStart"/>
      <w:r>
        <w:rPr>
          <w:rFonts w:ascii="Times" w:hAnsi="Times"/>
          <w:color w:val="000000" w:themeColor="text1"/>
        </w:rPr>
        <w:t>as</w:t>
      </w:r>
      <w:proofErr w:type="spellEnd"/>
      <w:r>
        <w:rPr>
          <w:rFonts w:ascii="Times" w:hAnsi="Times"/>
          <w:color w:val="000000" w:themeColor="text1"/>
        </w:rPr>
        <w:t xml:space="preserve"> been distilled through a lens dominated by the Copernican system no </w:t>
      </w:r>
      <w:r>
        <w:rPr>
          <w:rFonts w:ascii="Times" w:hAnsi="Times"/>
          <w:color w:val="000000" w:themeColor="text1"/>
        </w:rPr>
        <w:lastRenderedPageBreak/>
        <w:t>doubt affecting the represented scholarship and understanding of classical texts; Grant states ‘in science as in war history is written by the victors’.</w:t>
      </w:r>
      <w:r>
        <w:rPr>
          <w:rStyle w:val="FootnoteReference"/>
          <w:rFonts w:ascii="Times" w:hAnsi="Times"/>
          <w:color w:val="000000" w:themeColor="text1"/>
        </w:rPr>
        <w:footnoteReference w:id="52"/>
      </w:r>
      <w:r>
        <w:rPr>
          <w:rFonts w:ascii="Times" w:hAnsi="Times"/>
          <w:color w:val="000000" w:themeColor="text1"/>
        </w:rPr>
        <w:t xml:space="preserve"> </w:t>
      </w:r>
    </w:p>
    <w:p w14:paraId="5C50AC27" w14:textId="77777777" w:rsidR="000A6422" w:rsidRDefault="000A6422" w:rsidP="000A6422">
      <w:pPr>
        <w:spacing w:line="360" w:lineRule="auto"/>
        <w:rPr>
          <w:rFonts w:ascii="Times" w:hAnsi="Times"/>
        </w:rPr>
      </w:pPr>
    </w:p>
    <w:p w14:paraId="1DE932F4" w14:textId="77777777" w:rsidR="000A6422" w:rsidRPr="008F4625" w:rsidRDefault="000A6422" w:rsidP="000A6422">
      <w:pPr>
        <w:spacing w:line="360" w:lineRule="auto"/>
        <w:rPr>
          <w:rFonts w:ascii="Times" w:hAnsi="Times"/>
          <w:color w:val="000000" w:themeColor="text1"/>
        </w:rPr>
      </w:pPr>
      <w:r>
        <w:rPr>
          <w:rFonts w:ascii="Times" w:hAnsi="Times"/>
        </w:rPr>
        <w:t xml:space="preserve">Bonatti demonstrated an understanding of classical notions of causality that could </w:t>
      </w:r>
      <w:proofErr w:type="gramStart"/>
      <w:r>
        <w:rPr>
          <w:rFonts w:ascii="Times" w:hAnsi="Times"/>
        </w:rPr>
        <w:t>be attributed</w:t>
      </w:r>
      <w:proofErr w:type="gramEnd"/>
      <w:r>
        <w:rPr>
          <w:rFonts w:ascii="Times" w:hAnsi="Times"/>
        </w:rPr>
        <w:t xml:space="preserve"> to Aristotle. Within Bonatti’s </w:t>
      </w:r>
      <w:r>
        <w:rPr>
          <w:rFonts w:ascii="Times" w:hAnsi="Times"/>
          <w:i/>
          <w:iCs/>
        </w:rPr>
        <w:t>146 Considerations</w:t>
      </w:r>
      <w:r>
        <w:rPr>
          <w:rFonts w:ascii="Times" w:hAnsi="Times"/>
        </w:rPr>
        <w:t xml:space="preserve"> he describes the participatory nature of the astrologer within the function of astrology.</w:t>
      </w:r>
      <w:r>
        <w:rPr>
          <w:rStyle w:val="FootnoteReference"/>
          <w:rFonts w:ascii="Times" w:hAnsi="Times"/>
        </w:rPr>
        <w:footnoteReference w:id="53"/>
      </w:r>
      <w:r>
        <w:rPr>
          <w:rFonts w:ascii="Times" w:hAnsi="Times"/>
        </w:rPr>
        <w:t xml:space="preserve"> In his seventh consideration, Bonatti warns of cases ‘wherein the astrologer is subject to err and mistake,’ involving situations where the querent asks a question that is ‘silly’ or formulated to test the astrologer, and issues with the timing of the reading itself.</w:t>
      </w:r>
      <w:r>
        <w:rPr>
          <w:rStyle w:val="FootnoteReference"/>
          <w:rFonts w:ascii="Times" w:hAnsi="Times"/>
        </w:rPr>
        <w:footnoteReference w:id="54"/>
      </w:r>
      <w:r>
        <w:rPr>
          <w:rFonts w:ascii="Times" w:hAnsi="Times"/>
        </w:rPr>
        <w:t xml:space="preserve"> Herein lies a historiographical issue with linking Bonatti to Aristotle’s notions causality. Evans asserts that ‘historians are always led’ by the concerns of the present which may prejudice their interpretation of sources…</w:t>
      </w:r>
      <w:r>
        <w:rPr>
          <w:rStyle w:val="FootnoteReference"/>
          <w:rFonts w:ascii="Times" w:hAnsi="Times"/>
        </w:rPr>
        <w:footnoteReference w:id="55"/>
      </w:r>
      <w:r>
        <w:rPr>
          <w:rFonts w:ascii="Times" w:hAnsi="Times"/>
        </w:rPr>
        <w:t xml:space="preserve"> </w:t>
      </w:r>
      <w:r w:rsidRPr="00445EA5">
        <w:rPr>
          <w:rFonts w:ascii="Times" w:hAnsi="Times"/>
          <w:color w:val="000000" w:themeColor="text1"/>
        </w:rPr>
        <w:t xml:space="preserve">One could assert that astrologers </w:t>
      </w:r>
      <w:proofErr w:type="gramStart"/>
      <w:r w:rsidRPr="00445EA5">
        <w:rPr>
          <w:rFonts w:ascii="Times" w:hAnsi="Times"/>
          <w:color w:val="000000" w:themeColor="text1"/>
        </w:rPr>
        <w:t>are led</w:t>
      </w:r>
      <w:proofErr w:type="gramEnd"/>
      <w:r w:rsidRPr="00445EA5">
        <w:rPr>
          <w:rFonts w:ascii="Times" w:hAnsi="Times"/>
          <w:color w:val="000000" w:themeColor="text1"/>
        </w:rPr>
        <w:t xml:space="preserve"> by the same motivations. I</w:t>
      </w:r>
      <w:r>
        <w:rPr>
          <w:rFonts w:ascii="Times" w:hAnsi="Times"/>
          <w:color w:val="000000" w:themeColor="text1"/>
        </w:rPr>
        <w:t>n the case of Bonatti’s seventh consideration, it is difficult to know if Bonatti was indeed motivated by an Aristotelian understanding of chains of natural causality for justification of complex rules for conducting a reading or if, as mentioned by Campion, these ‘complex rules… may have emerged as a result of the frequency with which… astrologers were wrong’.</w:t>
      </w:r>
      <w:r>
        <w:rPr>
          <w:rStyle w:val="FootnoteReference"/>
          <w:rFonts w:ascii="Times" w:hAnsi="Times"/>
          <w:color w:val="000000" w:themeColor="text1"/>
        </w:rPr>
        <w:footnoteReference w:id="56"/>
      </w:r>
    </w:p>
    <w:p w14:paraId="16548BDE" w14:textId="77777777" w:rsidR="000A6422" w:rsidRPr="00D33138" w:rsidRDefault="000A6422" w:rsidP="000A6422">
      <w:pPr>
        <w:spacing w:line="360" w:lineRule="auto"/>
        <w:rPr>
          <w:rFonts w:ascii="Times" w:hAnsi="Times"/>
        </w:rPr>
      </w:pPr>
    </w:p>
    <w:p w14:paraId="4486733A" w14:textId="77777777" w:rsidR="000A6422" w:rsidRPr="00555F7D" w:rsidRDefault="000A6422" w:rsidP="000A6422">
      <w:pPr>
        <w:spacing w:line="360" w:lineRule="auto"/>
        <w:rPr>
          <w:rFonts w:ascii="Times" w:hAnsi="Times"/>
          <w:color w:val="000000" w:themeColor="text1"/>
        </w:rPr>
      </w:pPr>
      <w:r>
        <w:rPr>
          <w:rFonts w:ascii="Times" w:hAnsi="Times"/>
          <w:color w:val="000000" w:themeColor="text1"/>
        </w:rPr>
        <w:t xml:space="preserve">There is evidence that medieval astrologers predominantly held a negotiable view of the </w:t>
      </w:r>
      <w:proofErr w:type="gramStart"/>
      <w:r>
        <w:rPr>
          <w:rFonts w:ascii="Times" w:hAnsi="Times"/>
          <w:color w:val="000000" w:themeColor="text1"/>
        </w:rPr>
        <w:t>future</w:t>
      </w:r>
      <w:proofErr w:type="gramEnd"/>
      <w:r>
        <w:rPr>
          <w:rFonts w:ascii="Times" w:hAnsi="Times"/>
          <w:color w:val="000000" w:themeColor="text1"/>
        </w:rPr>
        <w:t xml:space="preserve"> but this does not mean that there was no room for determinism in their astrological approaches. It appears that the vehicle to which determinism manifested </w:t>
      </w:r>
      <w:proofErr w:type="gramStart"/>
      <w:r>
        <w:rPr>
          <w:rFonts w:ascii="Times" w:hAnsi="Times"/>
          <w:color w:val="000000" w:themeColor="text1"/>
        </w:rPr>
        <w:t>was contained</w:t>
      </w:r>
      <w:proofErr w:type="gramEnd"/>
      <w:r>
        <w:rPr>
          <w:rFonts w:ascii="Times" w:hAnsi="Times"/>
          <w:color w:val="000000" w:themeColor="text1"/>
        </w:rPr>
        <w:t xml:space="preserve"> within the notion of necessity. Rather than supporting a fixed future Plato through means of a dualist approach to fate contrasts the choices of the individual in his or her lifetime with the soul being subject to the ‘throne of necessity’.</w:t>
      </w:r>
      <w:r>
        <w:rPr>
          <w:rStyle w:val="FootnoteReference"/>
          <w:rFonts w:ascii="Times" w:hAnsi="Times"/>
          <w:color w:val="000000" w:themeColor="text1"/>
        </w:rPr>
        <w:footnoteReference w:id="57"/>
      </w:r>
      <w:r>
        <w:rPr>
          <w:rFonts w:ascii="Times" w:hAnsi="Times"/>
          <w:color w:val="000000" w:themeColor="text1"/>
        </w:rPr>
        <w:t xml:space="preserve"> As Brady explains, the ‘central theme of Plato’s view of… the struggle the soul has with necessity’ involved the moral responsibility of the individual’s wellbeing.</w:t>
      </w:r>
      <w:r>
        <w:rPr>
          <w:rStyle w:val="FootnoteReference"/>
          <w:rFonts w:ascii="Times" w:hAnsi="Times"/>
          <w:color w:val="000000" w:themeColor="text1"/>
        </w:rPr>
        <w:footnoteReference w:id="58"/>
      </w:r>
      <w:r>
        <w:rPr>
          <w:rFonts w:ascii="Times" w:hAnsi="Times"/>
          <w:color w:val="000000" w:themeColor="text1"/>
        </w:rPr>
        <w:t xml:space="preserve"> It </w:t>
      </w:r>
      <w:r>
        <w:rPr>
          <w:rFonts w:ascii="Times" w:hAnsi="Times"/>
          <w:color w:val="000000" w:themeColor="text1"/>
        </w:rPr>
        <w:lastRenderedPageBreak/>
        <w:t>appears that notions of wisdom held by medieval astrologers could alter one’s circumstances in life but could not circumvent what God ordained through necessity.</w:t>
      </w:r>
    </w:p>
    <w:p w14:paraId="74FF5F05" w14:textId="77777777" w:rsidR="000A6422" w:rsidRDefault="000A6422" w:rsidP="000A6422">
      <w:pPr>
        <w:spacing w:line="360" w:lineRule="auto"/>
        <w:rPr>
          <w:rFonts w:ascii="Times" w:hAnsi="Times"/>
        </w:rPr>
      </w:pPr>
    </w:p>
    <w:p w14:paraId="03ED32B0" w14:textId="77777777" w:rsidR="000A6422" w:rsidRDefault="000A6422" w:rsidP="000A6422">
      <w:pPr>
        <w:spacing w:line="360" w:lineRule="auto"/>
        <w:rPr>
          <w:rFonts w:ascii="Times" w:hAnsi="Times"/>
          <w:color w:val="000000" w:themeColor="text1"/>
        </w:rPr>
      </w:pPr>
    </w:p>
    <w:p w14:paraId="3DBE44C2" w14:textId="77777777" w:rsidR="000A6422" w:rsidRDefault="000A6422" w:rsidP="000A6422">
      <w:pPr>
        <w:spacing w:line="360" w:lineRule="auto"/>
        <w:rPr>
          <w:rFonts w:ascii="Times" w:hAnsi="Times"/>
          <w:b/>
          <w:bCs/>
          <w:color w:val="000000" w:themeColor="text1"/>
        </w:rPr>
      </w:pPr>
      <w:r>
        <w:rPr>
          <w:rFonts w:ascii="Times" w:hAnsi="Times"/>
          <w:b/>
          <w:bCs/>
          <w:color w:val="000000" w:themeColor="text1"/>
        </w:rPr>
        <w:t>A Final Interpretation of Medieval Astrology’s Notions of the Future</w:t>
      </w:r>
    </w:p>
    <w:p w14:paraId="47609081" w14:textId="77777777" w:rsidR="000A6422" w:rsidRDefault="000A6422" w:rsidP="000A6422">
      <w:pPr>
        <w:spacing w:line="360" w:lineRule="auto"/>
        <w:rPr>
          <w:rFonts w:ascii="Times" w:hAnsi="Times"/>
          <w:b/>
          <w:bCs/>
          <w:color w:val="000000" w:themeColor="text1"/>
        </w:rPr>
      </w:pPr>
      <w:r>
        <w:rPr>
          <w:rFonts w:ascii="Times" w:hAnsi="Times"/>
          <w:color w:val="000000" w:themeColor="text1"/>
        </w:rPr>
        <w:t xml:space="preserve">Campion states that ‘every form of astrology begins by posing a level of </w:t>
      </w:r>
      <w:proofErr w:type="spellStart"/>
      <w:r>
        <w:rPr>
          <w:rFonts w:ascii="Times" w:hAnsi="Times"/>
          <w:color w:val="000000" w:themeColor="text1"/>
        </w:rPr>
        <w:t>fatedness</w:t>
      </w:r>
      <w:proofErr w:type="spellEnd"/>
      <w:r>
        <w:rPr>
          <w:rFonts w:ascii="Times" w:hAnsi="Times"/>
          <w:color w:val="000000" w:themeColor="text1"/>
        </w:rPr>
        <w:t>’ but the cosmos ‘requires’ human participation, and the future is negotiated.</w:t>
      </w:r>
      <w:r>
        <w:rPr>
          <w:rStyle w:val="FootnoteReference"/>
          <w:rFonts w:ascii="Times" w:hAnsi="Times"/>
          <w:color w:val="000000" w:themeColor="text1"/>
        </w:rPr>
        <w:footnoteReference w:id="59"/>
      </w:r>
      <w:r>
        <w:rPr>
          <w:rFonts w:ascii="Times" w:hAnsi="Times"/>
          <w:color w:val="000000" w:themeColor="text1"/>
        </w:rPr>
        <w:t xml:space="preserve"> The examples of the astrologers show a varied approach to medieval astrology. Each astrologer accepted some degree of fixity to the future, but they were able to more broadly demonstrate the ability to negotiate the future in their astrologies. </w:t>
      </w:r>
      <w:proofErr w:type="gramStart"/>
      <w:r>
        <w:rPr>
          <w:rFonts w:ascii="Times" w:hAnsi="Times"/>
          <w:color w:val="000000" w:themeColor="text1"/>
        </w:rPr>
        <w:t>Often</w:t>
      </w:r>
      <w:proofErr w:type="gramEnd"/>
      <w:r>
        <w:rPr>
          <w:rFonts w:ascii="Times" w:hAnsi="Times"/>
          <w:color w:val="000000" w:themeColor="text1"/>
        </w:rPr>
        <w:t xml:space="preserve"> they rested their notions of a negotiable future within the framework of God and wisdom. For Ibn Ezra wisdom embodies both the rational and righteous approach to navigating the stars and life.</w:t>
      </w:r>
      <w:r>
        <w:rPr>
          <w:rStyle w:val="FootnoteReference"/>
          <w:rFonts w:ascii="Times" w:hAnsi="Times"/>
          <w:color w:val="000000" w:themeColor="text1"/>
        </w:rPr>
        <w:footnoteReference w:id="60"/>
      </w:r>
      <w:r>
        <w:rPr>
          <w:rFonts w:ascii="Times" w:hAnsi="Times"/>
          <w:color w:val="FF40FF"/>
        </w:rPr>
        <w:t xml:space="preserve"> </w:t>
      </w:r>
      <w:r>
        <w:rPr>
          <w:rFonts w:ascii="Times" w:hAnsi="Times"/>
          <w:color w:val="000000" w:themeColor="text1"/>
        </w:rPr>
        <w:t xml:space="preserve">For </w:t>
      </w:r>
      <w:r w:rsidRPr="00EE1648">
        <w:rPr>
          <w:rFonts w:ascii="Times" w:hAnsi="Times"/>
          <w:color w:val="000000" w:themeColor="text1"/>
        </w:rPr>
        <w:t>Albertus Magnus</w:t>
      </w:r>
      <w:r>
        <w:rPr>
          <w:rFonts w:ascii="Times" w:hAnsi="Times"/>
          <w:color w:val="000000" w:themeColor="text1"/>
        </w:rPr>
        <w:t xml:space="preserve">, the notion of a fixed future contradicts his views on God within a Christian cosmology, </w:t>
      </w:r>
      <w:r w:rsidRPr="0075152F">
        <w:rPr>
          <w:rFonts w:ascii="Times" w:hAnsi="Times"/>
          <w:color w:val="000000" w:themeColor="text1"/>
        </w:rPr>
        <w:t>Zambelli</w:t>
      </w:r>
      <w:r>
        <w:rPr>
          <w:rFonts w:ascii="Times" w:hAnsi="Times"/>
          <w:color w:val="000000" w:themeColor="text1"/>
        </w:rPr>
        <w:t xml:space="preserve"> asserting that Magnus had ‘no doubt that absolute determinism… was absurd and heretical’.</w:t>
      </w:r>
      <w:r>
        <w:rPr>
          <w:rStyle w:val="FootnoteReference"/>
          <w:rFonts w:ascii="Times" w:hAnsi="Times"/>
          <w:color w:val="000000" w:themeColor="text1"/>
        </w:rPr>
        <w:footnoteReference w:id="61"/>
      </w:r>
      <w:r>
        <w:rPr>
          <w:rFonts w:ascii="Times" w:hAnsi="Times"/>
          <w:color w:val="000000" w:themeColor="text1"/>
        </w:rPr>
        <w:t xml:space="preserve"> Lastly, Bonatti’s wisdom is best illustrated in how he was best able to astrologically leverage matters of battle and war, changing the futures of not only nobility but of countries.</w:t>
      </w:r>
      <w:r>
        <w:rPr>
          <w:rStyle w:val="FootnoteReference"/>
          <w:rFonts w:ascii="Times" w:hAnsi="Times"/>
          <w:color w:val="000000" w:themeColor="text1"/>
        </w:rPr>
        <w:footnoteReference w:id="62"/>
      </w:r>
    </w:p>
    <w:p w14:paraId="5E949062" w14:textId="77777777" w:rsidR="000A6422" w:rsidRPr="00093F17" w:rsidRDefault="000A6422" w:rsidP="000A6422">
      <w:pPr>
        <w:spacing w:line="360" w:lineRule="auto"/>
        <w:rPr>
          <w:rFonts w:ascii="Times" w:hAnsi="Times"/>
          <w:b/>
          <w:bCs/>
          <w:color w:val="000000" w:themeColor="text1"/>
        </w:rPr>
      </w:pPr>
    </w:p>
    <w:p w14:paraId="0473F28C" w14:textId="77777777" w:rsidR="000A6422" w:rsidRPr="00616923" w:rsidRDefault="000A6422" w:rsidP="000A6422">
      <w:pPr>
        <w:spacing w:line="360" w:lineRule="auto"/>
        <w:rPr>
          <w:rFonts w:ascii="Times" w:hAnsi="Times"/>
        </w:rPr>
      </w:pPr>
    </w:p>
    <w:p w14:paraId="6F2C8A65" w14:textId="77777777" w:rsidR="000A6422" w:rsidRPr="00093F17" w:rsidRDefault="000A6422" w:rsidP="000A6422">
      <w:pPr>
        <w:spacing w:line="360" w:lineRule="auto"/>
        <w:rPr>
          <w:rFonts w:ascii="Times" w:hAnsi="Times"/>
          <w:b/>
          <w:bCs/>
          <w:sz w:val="26"/>
          <w:szCs w:val="26"/>
        </w:rPr>
      </w:pPr>
      <w:r w:rsidRPr="00093F17">
        <w:rPr>
          <w:rFonts w:ascii="Times" w:hAnsi="Times"/>
          <w:b/>
          <w:bCs/>
          <w:sz w:val="26"/>
          <w:szCs w:val="26"/>
        </w:rPr>
        <w:t>Essay Conclusion</w:t>
      </w:r>
    </w:p>
    <w:p w14:paraId="1AC644F9" w14:textId="77777777" w:rsidR="000A6422" w:rsidRPr="00EF3678" w:rsidRDefault="000A6422" w:rsidP="000A6422">
      <w:pPr>
        <w:spacing w:line="360" w:lineRule="auto"/>
        <w:rPr>
          <w:rFonts w:ascii="Times" w:hAnsi="Times"/>
        </w:rPr>
      </w:pPr>
      <w:r w:rsidRPr="00616923">
        <w:rPr>
          <w:rFonts w:ascii="Times" w:hAnsi="Times"/>
        </w:rPr>
        <w:t>This essay examine</w:t>
      </w:r>
      <w:r>
        <w:rPr>
          <w:rFonts w:ascii="Times" w:hAnsi="Times"/>
        </w:rPr>
        <w:t>d</w:t>
      </w:r>
      <w:r w:rsidRPr="00616923">
        <w:rPr>
          <w:rFonts w:ascii="Times" w:hAnsi="Times"/>
        </w:rPr>
        <w:t xml:space="preserve"> what the theory and practice of medieval astrology indicated about attitudes toward the future via </w:t>
      </w:r>
      <w:r>
        <w:rPr>
          <w:rFonts w:ascii="Times" w:hAnsi="Times"/>
        </w:rPr>
        <w:t>two</w:t>
      </w:r>
      <w:r w:rsidRPr="00616923">
        <w:rPr>
          <w:rFonts w:ascii="Times" w:hAnsi="Times"/>
        </w:rPr>
        <w:t xml:space="preserve"> themes: 'The </w:t>
      </w:r>
      <w:r>
        <w:rPr>
          <w:rFonts w:ascii="Times" w:hAnsi="Times"/>
        </w:rPr>
        <w:t>Astrologies</w:t>
      </w:r>
      <w:r w:rsidRPr="00616923">
        <w:rPr>
          <w:rFonts w:ascii="Times" w:hAnsi="Times"/>
        </w:rPr>
        <w:t xml:space="preserve"> of Abraham Ibn Ezra, Albertus Magnus</w:t>
      </w:r>
      <w:r>
        <w:rPr>
          <w:rFonts w:ascii="Times" w:hAnsi="Times"/>
        </w:rPr>
        <w:t xml:space="preserve"> and</w:t>
      </w:r>
      <w:r w:rsidRPr="00616923">
        <w:rPr>
          <w:rFonts w:ascii="Times" w:hAnsi="Times"/>
        </w:rPr>
        <w:t xml:space="preserve"> Guido Bonatti' and</w:t>
      </w:r>
      <w:r>
        <w:rPr>
          <w:rFonts w:ascii="Times" w:hAnsi="Times"/>
        </w:rPr>
        <w:t xml:space="preserve"> a</w:t>
      </w:r>
      <w:r w:rsidRPr="00616923">
        <w:rPr>
          <w:rFonts w:ascii="Times" w:hAnsi="Times"/>
        </w:rPr>
        <w:t xml:space="preserve"> '</w:t>
      </w:r>
      <w:r>
        <w:rPr>
          <w:rFonts w:ascii="Times" w:hAnsi="Times"/>
        </w:rPr>
        <w:t>S</w:t>
      </w:r>
      <w:r w:rsidRPr="00616923">
        <w:rPr>
          <w:rFonts w:ascii="Times" w:hAnsi="Times"/>
        </w:rPr>
        <w:t>ynthesis'</w:t>
      </w:r>
      <w:r>
        <w:rPr>
          <w:rFonts w:ascii="Times" w:hAnsi="Times"/>
        </w:rPr>
        <w:t xml:space="preserve"> </w:t>
      </w:r>
      <w:r w:rsidRPr="00616923">
        <w:rPr>
          <w:rFonts w:ascii="Times" w:hAnsi="Times"/>
        </w:rPr>
        <w:t xml:space="preserve">of the astrologers' attitudes toward a negotiable or fixed future. </w:t>
      </w:r>
      <w:r>
        <w:rPr>
          <w:rFonts w:ascii="Times" w:hAnsi="Times"/>
        </w:rPr>
        <w:t>T</w:t>
      </w:r>
      <w:r w:rsidRPr="00616923">
        <w:rPr>
          <w:rFonts w:ascii="Times" w:hAnsi="Times"/>
        </w:rPr>
        <w:t>his essay examine</w:t>
      </w:r>
      <w:r>
        <w:rPr>
          <w:rFonts w:ascii="Times" w:hAnsi="Times"/>
        </w:rPr>
        <w:t>d</w:t>
      </w:r>
      <w:r w:rsidRPr="00616923">
        <w:rPr>
          <w:rFonts w:ascii="Times" w:hAnsi="Times"/>
        </w:rPr>
        <w:t xml:space="preserve"> astrological applications and evidence for each astrologer while weighing possible historiographical issues in </w:t>
      </w:r>
      <w:r>
        <w:rPr>
          <w:rFonts w:ascii="Times" w:hAnsi="Times"/>
        </w:rPr>
        <w:t>interpreting</w:t>
      </w:r>
      <w:r w:rsidRPr="00616923">
        <w:rPr>
          <w:rFonts w:ascii="Times" w:hAnsi="Times"/>
        </w:rPr>
        <w:t xml:space="preserve"> their astrological approaches.</w:t>
      </w:r>
      <w:r>
        <w:rPr>
          <w:rFonts w:ascii="Times" w:hAnsi="Times"/>
        </w:rPr>
        <w:t xml:space="preserve"> It found that for Ibn Ezra concepts of determinism were situated within the astrology of the collective although not strictly limited to that framework.</w:t>
      </w:r>
      <w:r>
        <w:rPr>
          <w:rStyle w:val="FootnoteReference"/>
          <w:rFonts w:ascii="Times" w:hAnsi="Times"/>
        </w:rPr>
        <w:footnoteReference w:id="63"/>
      </w:r>
      <w:r>
        <w:rPr>
          <w:rFonts w:ascii="Times" w:hAnsi="Times"/>
        </w:rPr>
        <w:t xml:space="preserve"> This theme found that Albertus’s astrology supported </w:t>
      </w:r>
      <w:r>
        <w:rPr>
          <w:rFonts w:ascii="Times" w:hAnsi="Times"/>
        </w:rPr>
        <w:lastRenderedPageBreak/>
        <w:t>Christian notions of free will and examined judicial astrology as a means of becoming closer to the wisdom of God.</w:t>
      </w:r>
      <w:r>
        <w:rPr>
          <w:rStyle w:val="FootnoteReference"/>
          <w:rFonts w:ascii="Times" w:hAnsi="Times"/>
        </w:rPr>
        <w:footnoteReference w:id="64"/>
      </w:r>
      <w:r>
        <w:rPr>
          <w:rFonts w:ascii="Times" w:hAnsi="Times"/>
        </w:rPr>
        <w:t xml:space="preserve">  In Military matters Bonatti’s astrology provided the ability to negotiate the future.</w:t>
      </w:r>
      <w:r>
        <w:rPr>
          <w:rStyle w:val="FootnoteReference"/>
          <w:rFonts w:ascii="Times" w:hAnsi="Times"/>
        </w:rPr>
        <w:footnoteReference w:id="65"/>
      </w:r>
      <w:r>
        <w:rPr>
          <w:rFonts w:ascii="Times" w:hAnsi="Times"/>
        </w:rPr>
        <w:t xml:space="preserve"> This was not the case for the condition of the soul which remained fixed, its quality defined by one’s natal planetary conditions.</w:t>
      </w:r>
      <w:r>
        <w:rPr>
          <w:rStyle w:val="FootnoteReference"/>
          <w:rFonts w:ascii="Times" w:hAnsi="Times"/>
        </w:rPr>
        <w:footnoteReference w:id="66"/>
      </w:r>
      <w:r>
        <w:rPr>
          <w:rFonts w:ascii="Times" w:hAnsi="Times"/>
        </w:rPr>
        <w:t xml:space="preserve"> Additionally, this essay recognized classical notions in medieval attitudes toward the future, with acknowledgement of the historiographical issues. Lastly, this essay demonstrated the overall perception of a negotiable future, particularly within a unifying framework of God and wisdom.</w:t>
      </w:r>
    </w:p>
    <w:p w14:paraId="5DAA3651" w14:textId="77777777" w:rsidR="00A22C5E" w:rsidRDefault="00A22C5E" w:rsidP="00A22C5E">
      <w:pPr>
        <w:spacing w:line="360" w:lineRule="auto"/>
        <w:rPr>
          <w:color w:val="000000" w:themeColor="text1"/>
        </w:rPr>
      </w:pPr>
    </w:p>
    <w:p w14:paraId="5110F051" w14:textId="77777777" w:rsidR="00A22C5E" w:rsidRPr="003B6D6D" w:rsidRDefault="00A22C5E" w:rsidP="00A22C5E">
      <w:pPr>
        <w:spacing w:line="360" w:lineRule="auto"/>
        <w:rPr>
          <w:color w:val="000000" w:themeColor="text1"/>
        </w:rPr>
      </w:pPr>
    </w:p>
    <w:p w14:paraId="3CB4EA62" w14:textId="77777777" w:rsidR="00BA3A72" w:rsidRPr="00DB6C48" w:rsidRDefault="00BA3A72" w:rsidP="00144600">
      <w:pPr>
        <w:rPr>
          <w:color w:val="000000" w:themeColor="text1"/>
        </w:rPr>
      </w:pPr>
    </w:p>
    <w:p w14:paraId="31962795" w14:textId="0C716370" w:rsidR="006B7343" w:rsidRPr="00DB6C48" w:rsidRDefault="006B7343">
      <w:pPr>
        <w:rPr>
          <w:color w:val="000000" w:themeColor="text1"/>
        </w:rPr>
      </w:pPr>
      <w:r w:rsidRPr="00DB6C48">
        <w:rPr>
          <w:color w:val="000000" w:themeColor="text1"/>
        </w:rPr>
        <w:br w:type="page"/>
      </w:r>
    </w:p>
    <w:p w14:paraId="02D2A5F5" w14:textId="38E00E7F" w:rsidR="006B7343" w:rsidRPr="00DB6C48" w:rsidRDefault="006B7343" w:rsidP="008A5669">
      <w:pPr>
        <w:pStyle w:val="Heading1"/>
        <w:divId w:val="778257664"/>
        <w:rPr>
          <w:b w:val="0"/>
          <w:color w:val="000000" w:themeColor="text1"/>
        </w:rPr>
      </w:pPr>
      <w:r w:rsidRPr="00DB6C48">
        <w:rPr>
          <w:color w:val="000000" w:themeColor="text1"/>
        </w:rPr>
        <w:lastRenderedPageBreak/>
        <w:t>Bibliography</w:t>
      </w:r>
    </w:p>
    <w:p w14:paraId="46994132" w14:textId="2F49859A" w:rsidR="00C2416C" w:rsidRDefault="00C2416C" w:rsidP="00861789">
      <w:pPr>
        <w:pStyle w:val="NormalWeb"/>
        <w:divId w:val="778257664"/>
        <w:rPr>
          <w:b/>
          <w:color w:val="000000" w:themeColor="text1"/>
        </w:rPr>
      </w:pPr>
      <w:r w:rsidRPr="00DB6C48">
        <w:rPr>
          <w:b/>
          <w:color w:val="000000" w:themeColor="text1"/>
        </w:rPr>
        <w:t>Primary Sources</w:t>
      </w:r>
    </w:p>
    <w:tbl>
      <w:tblPr>
        <w:tblW w:w="10020" w:type="dxa"/>
        <w:tblLook w:val="04A0" w:firstRow="1" w:lastRow="0" w:firstColumn="1" w:lastColumn="0" w:noHBand="0" w:noVBand="1"/>
      </w:tblPr>
      <w:tblGrid>
        <w:gridCol w:w="10020"/>
      </w:tblGrid>
      <w:tr w:rsidR="000A6422" w:rsidRPr="000A6422" w14:paraId="64C64A13" w14:textId="77777777" w:rsidTr="000A6422">
        <w:trPr>
          <w:divId w:val="778257664"/>
          <w:trHeight w:val="1120"/>
        </w:trPr>
        <w:tc>
          <w:tcPr>
            <w:tcW w:w="10020" w:type="dxa"/>
            <w:tcBorders>
              <w:top w:val="nil"/>
              <w:left w:val="nil"/>
              <w:bottom w:val="nil"/>
              <w:right w:val="nil"/>
            </w:tcBorders>
            <w:shd w:val="clear" w:color="auto" w:fill="auto"/>
            <w:vAlign w:val="center"/>
            <w:hideMark/>
          </w:tcPr>
          <w:p w14:paraId="01E26195" w14:textId="77777777" w:rsidR="000A6422" w:rsidRPr="000A6422" w:rsidRDefault="000A6422" w:rsidP="000A6422">
            <w:pPr>
              <w:rPr>
                <w:color w:val="000000"/>
              </w:rPr>
            </w:pPr>
            <w:r w:rsidRPr="000A6422">
              <w:rPr>
                <w:color w:val="000000"/>
              </w:rPr>
              <w:t xml:space="preserve">Albertus Magnus, </w:t>
            </w:r>
            <w:r w:rsidRPr="000A6422">
              <w:rPr>
                <w:i/>
                <w:iCs/>
                <w:color w:val="000000"/>
              </w:rPr>
              <w:t>A Short Discourse of the Nature, and Qualities of the Seven Planets</w:t>
            </w:r>
            <w:r w:rsidRPr="000A6422">
              <w:rPr>
                <w:color w:val="000000"/>
              </w:rPr>
              <w:t>, trans. by Michael R. Best and Frank H. Brightman, in The Book of Secrets of Albertus Magnus, ed. by Michael R. Best and Frank H. Brightman, pp. 62-73 (Boston: Oxford University Press, 2004 [1973])</w:t>
            </w:r>
          </w:p>
        </w:tc>
      </w:tr>
      <w:tr w:rsidR="000A6422" w:rsidRPr="000A6422" w14:paraId="7EE02297" w14:textId="77777777" w:rsidTr="000A6422">
        <w:trPr>
          <w:divId w:val="778257664"/>
          <w:trHeight w:val="1020"/>
        </w:trPr>
        <w:tc>
          <w:tcPr>
            <w:tcW w:w="10020" w:type="dxa"/>
            <w:tcBorders>
              <w:top w:val="nil"/>
              <w:left w:val="nil"/>
              <w:bottom w:val="nil"/>
              <w:right w:val="nil"/>
            </w:tcBorders>
            <w:shd w:val="clear" w:color="auto" w:fill="auto"/>
            <w:vAlign w:val="center"/>
            <w:hideMark/>
          </w:tcPr>
          <w:p w14:paraId="2614968B" w14:textId="43C5C8AE" w:rsidR="000A6422" w:rsidRPr="000A6422" w:rsidRDefault="000A6422" w:rsidP="000A6422">
            <w:pPr>
              <w:rPr>
                <w:color w:val="000000"/>
              </w:rPr>
            </w:pPr>
            <w:r>
              <w:rPr>
                <w:color w:val="000000"/>
              </w:rPr>
              <w:t>--</w:t>
            </w:r>
            <w:r w:rsidRPr="000A6422">
              <w:rPr>
                <w:color w:val="000000"/>
              </w:rPr>
              <w:t xml:space="preserve"> </w:t>
            </w:r>
            <w:r w:rsidRPr="000A6422">
              <w:rPr>
                <w:i/>
                <w:iCs/>
                <w:color w:val="000000"/>
              </w:rPr>
              <w:t xml:space="preserve">Speculum Astronomiae, </w:t>
            </w:r>
            <w:r w:rsidRPr="000A6422">
              <w:rPr>
                <w:color w:val="000000"/>
              </w:rPr>
              <w:t xml:space="preserve">trans. by C.S.F. Burnett </w:t>
            </w:r>
            <w:r w:rsidRPr="000A6422">
              <w:rPr>
                <w:i/>
                <w:iCs/>
                <w:color w:val="000000"/>
              </w:rPr>
              <w:t>et. al</w:t>
            </w:r>
            <w:r w:rsidRPr="000A6422">
              <w:rPr>
                <w:color w:val="000000"/>
              </w:rPr>
              <w:t xml:space="preserve">, in </w:t>
            </w:r>
            <w:r w:rsidRPr="000A6422">
              <w:rPr>
                <w:i/>
                <w:iCs/>
                <w:color w:val="000000"/>
              </w:rPr>
              <w:t>The Speculum Astronomiae and Its Enigma,</w:t>
            </w:r>
            <w:r w:rsidRPr="000A6422">
              <w:rPr>
                <w:color w:val="000000"/>
              </w:rPr>
              <w:t xml:space="preserve"> by Paola Zambelli, pp. 203-273 (Dordrecht, Boston and London: Kluwer Academic Publishers, 1992)</w:t>
            </w:r>
          </w:p>
        </w:tc>
      </w:tr>
      <w:tr w:rsidR="000A6422" w:rsidRPr="000A6422" w14:paraId="36FB149D" w14:textId="77777777" w:rsidTr="000A6422">
        <w:trPr>
          <w:divId w:val="778257664"/>
          <w:trHeight w:val="560"/>
        </w:trPr>
        <w:tc>
          <w:tcPr>
            <w:tcW w:w="10020" w:type="dxa"/>
            <w:tcBorders>
              <w:top w:val="nil"/>
              <w:left w:val="nil"/>
              <w:bottom w:val="nil"/>
              <w:right w:val="nil"/>
            </w:tcBorders>
            <w:shd w:val="clear" w:color="auto" w:fill="auto"/>
            <w:vAlign w:val="center"/>
            <w:hideMark/>
          </w:tcPr>
          <w:p w14:paraId="779C01B9" w14:textId="77777777" w:rsidR="000A6422" w:rsidRPr="000A6422" w:rsidRDefault="000A6422" w:rsidP="000A6422">
            <w:pPr>
              <w:rPr>
                <w:color w:val="000000"/>
              </w:rPr>
            </w:pPr>
            <w:r w:rsidRPr="000A6422">
              <w:rPr>
                <w:color w:val="000000"/>
              </w:rPr>
              <w:t xml:space="preserve">Aristotle, </w:t>
            </w:r>
            <w:r w:rsidRPr="000A6422">
              <w:rPr>
                <w:i/>
                <w:iCs/>
                <w:color w:val="000000"/>
              </w:rPr>
              <w:t>Meteorologica</w:t>
            </w:r>
            <w:r w:rsidRPr="000A6422">
              <w:rPr>
                <w:color w:val="000000"/>
              </w:rPr>
              <w:t xml:space="preserve">, trans. by H. D. P. </w:t>
            </w:r>
            <w:proofErr w:type="gramStart"/>
            <w:r w:rsidRPr="000A6422">
              <w:rPr>
                <w:color w:val="000000"/>
              </w:rPr>
              <w:t>Lee  (</w:t>
            </w:r>
            <w:proofErr w:type="gramEnd"/>
            <w:r w:rsidRPr="000A6422">
              <w:rPr>
                <w:color w:val="000000"/>
              </w:rPr>
              <w:t>Cambridge, MA: Harvard University Press, 1952)</w:t>
            </w:r>
          </w:p>
        </w:tc>
      </w:tr>
      <w:tr w:rsidR="000A6422" w:rsidRPr="000A6422" w14:paraId="4F449CCF" w14:textId="77777777" w:rsidTr="000A6422">
        <w:trPr>
          <w:divId w:val="778257664"/>
          <w:trHeight w:val="680"/>
        </w:trPr>
        <w:tc>
          <w:tcPr>
            <w:tcW w:w="10020" w:type="dxa"/>
            <w:tcBorders>
              <w:top w:val="nil"/>
              <w:left w:val="nil"/>
              <w:bottom w:val="nil"/>
              <w:right w:val="nil"/>
            </w:tcBorders>
            <w:shd w:val="clear" w:color="auto" w:fill="auto"/>
            <w:vAlign w:val="center"/>
            <w:hideMark/>
          </w:tcPr>
          <w:p w14:paraId="0B28EE05" w14:textId="5BE3B94D" w:rsidR="000A6422" w:rsidRDefault="000A6422" w:rsidP="000A6422">
            <w:pPr>
              <w:rPr>
                <w:color w:val="000000"/>
              </w:rPr>
            </w:pPr>
            <w:r w:rsidRPr="000A6422">
              <w:rPr>
                <w:color w:val="000000"/>
              </w:rPr>
              <w:t xml:space="preserve">Bonatti, Guido, </w:t>
            </w:r>
            <w:r w:rsidRPr="000A6422">
              <w:rPr>
                <w:i/>
                <w:iCs/>
                <w:color w:val="000000"/>
              </w:rPr>
              <w:t>Liber Astronomiae</w:t>
            </w:r>
            <w:r w:rsidRPr="000A6422">
              <w:rPr>
                <w:color w:val="000000"/>
              </w:rPr>
              <w:t>, Part III, trans. by Robert Hand and Robert Zoller, ed. by Robert Hand and Robert Schmidt, (Berkeley Springs: Golden Hind Press, 1994)</w:t>
            </w:r>
          </w:p>
          <w:p w14:paraId="4A48B835" w14:textId="77777777" w:rsidR="000A6422" w:rsidRDefault="000A6422" w:rsidP="000A6422">
            <w:pPr>
              <w:rPr>
                <w:color w:val="000000"/>
              </w:rPr>
            </w:pPr>
          </w:p>
          <w:p w14:paraId="52156860" w14:textId="77777777" w:rsidR="000A6422" w:rsidRDefault="000A6422" w:rsidP="000A6422">
            <w:pPr>
              <w:rPr>
                <w:color w:val="000000"/>
              </w:rPr>
            </w:pPr>
            <w:r>
              <w:rPr>
                <w:color w:val="000000"/>
              </w:rPr>
              <w:t xml:space="preserve">-- </w:t>
            </w:r>
            <w:r w:rsidRPr="000A6422">
              <w:rPr>
                <w:i/>
                <w:iCs/>
                <w:color w:val="000000"/>
              </w:rPr>
              <w:t>Liber Astronomiae</w:t>
            </w:r>
            <w:r w:rsidRPr="000A6422">
              <w:rPr>
                <w:color w:val="000000"/>
              </w:rPr>
              <w:t xml:space="preserve">, </w:t>
            </w:r>
            <w:r w:rsidRPr="000A6422">
              <w:rPr>
                <w:i/>
                <w:iCs/>
                <w:color w:val="000000"/>
              </w:rPr>
              <w:t xml:space="preserve">Treasise </w:t>
            </w:r>
            <w:r>
              <w:rPr>
                <w:i/>
                <w:iCs/>
                <w:color w:val="000000"/>
              </w:rPr>
              <w:t xml:space="preserve">V, </w:t>
            </w:r>
            <w:r w:rsidRPr="000A6422">
              <w:rPr>
                <w:color w:val="000000"/>
              </w:rPr>
              <w:t xml:space="preserve">trans. by Henry Coley and William Lilly &lt;https://www.renaissanceastrology.com/bonatti146considerations.html&gt;, [accessed 30 </w:t>
            </w:r>
            <w:proofErr w:type="gramStart"/>
            <w:r w:rsidRPr="000A6422">
              <w:rPr>
                <w:color w:val="000000"/>
              </w:rPr>
              <w:t>March,</w:t>
            </w:r>
            <w:proofErr w:type="gramEnd"/>
            <w:r w:rsidRPr="000A6422">
              <w:rPr>
                <w:color w:val="000000"/>
              </w:rPr>
              <w:t xml:space="preserve"> 2020]</w:t>
            </w:r>
          </w:p>
          <w:p w14:paraId="59528EFE" w14:textId="62CF9F0C" w:rsidR="000A6422" w:rsidRPr="000A6422" w:rsidRDefault="000A6422" w:rsidP="000A6422">
            <w:pPr>
              <w:rPr>
                <w:color w:val="000000"/>
              </w:rPr>
            </w:pPr>
          </w:p>
        </w:tc>
      </w:tr>
      <w:tr w:rsidR="000A6422" w:rsidRPr="000A6422" w14:paraId="472DF8C4" w14:textId="77777777" w:rsidTr="000A6422">
        <w:trPr>
          <w:divId w:val="778257664"/>
          <w:trHeight w:val="1120"/>
        </w:trPr>
        <w:tc>
          <w:tcPr>
            <w:tcW w:w="10020" w:type="dxa"/>
            <w:tcBorders>
              <w:top w:val="nil"/>
              <w:left w:val="nil"/>
              <w:bottom w:val="nil"/>
              <w:right w:val="nil"/>
            </w:tcBorders>
            <w:shd w:val="clear" w:color="auto" w:fill="auto"/>
            <w:vAlign w:val="center"/>
            <w:hideMark/>
          </w:tcPr>
          <w:p w14:paraId="164098AE" w14:textId="16FE7C88" w:rsidR="000A6422" w:rsidRPr="000A6422" w:rsidRDefault="000A6422" w:rsidP="000A6422">
            <w:pPr>
              <w:rPr>
                <w:color w:val="000000"/>
              </w:rPr>
            </w:pPr>
            <w:r>
              <w:rPr>
                <w:color w:val="000000"/>
              </w:rPr>
              <w:t xml:space="preserve">-- </w:t>
            </w:r>
            <w:r w:rsidRPr="000A6422">
              <w:rPr>
                <w:i/>
                <w:iCs/>
                <w:color w:val="000000"/>
              </w:rPr>
              <w:t>Liber Astronomiae</w:t>
            </w:r>
            <w:r w:rsidRPr="000A6422">
              <w:rPr>
                <w:color w:val="000000"/>
              </w:rPr>
              <w:t xml:space="preserve">, </w:t>
            </w:r>
            <w:r w:rsidRPr="000A6422">
              <w:rPr>
                <w:i/>
                <w:iCs/>
                <w:color w:val="000000"/>
              </w:rPr>
              <w:t>Treasise VI</w:t>
            </w:r>
            <w:r w:rsidRPr="000A6422">
              <w:rPr>
                <w:color w:val="000000"/>
              </w:rPr>
              <w:t xml:space="preserve">, trans. by Robert Zoller in </w:t>
            </w:r>
            <w:r>
              <w:rPr>
                <w:color w:val="000000"/>
              </w:rPr>
              <w:t>‘</w:t>
            </w:r>
            <w:r w:rsidRPr="000A6422">
              <w:rPr>
                <w:color w:val="000000"/>
              </w:rPr>
              <w:t>The Astrologer as Military Advisor in the Middle Ages and Renaissance</w:t>
            </w:r>
            <w:r>
              <w:rPr>
                <w:color w:val="000000"/>
              </w:rPr>
              <w:t>’</w:t>
            </w:r>
            <w:r w:rsidRPr="000A6422">
              <w:rPr>
                <w:color w:val="000000"/>
              </w:rPr>
              <w:t xml:space="preserve">, by Robert Zoller pp. 7-24 (1976), &lt;https://www.virginastrology.com/library/shop/products/astrologer-military-advisor&gt;, [accessed 9 </w:t>
            </w:r>
            <w:proofErr w:type="gramStart"/>
            <w:r w:rsidRPr="000A6422">
              <w:rPr>
                <w:color w:val="000000"/>
              </w:rPr>
              <w:t>April,</w:t>
            </w:r>
            <w:proofErr w:type="gramEnd"/>
            <w:r w:rsidRPr="000A6422">
              <w:rPr>
                <w:color w:val="000000"/>
              </w:rPr>
              <w:t xml:space="preserve"> 2020]</w:t>
            </w:r>
          </w:p>
        </w:tc>
      </w:tr>
      <w:tr w:rsidR="000A6422" w:rsidRPr="000A6422" w14:paraId="60B7963C" w14:textId="77777777" w:rsidTr="000A6422">
        <w:trPr>
          <w:divId w:val="778257664"/>
          <w:trHeight w:val="1400"/>
        </w:trPr>
        <w:tc>
          <w:tcPr>
            <w:tcW w:w="10020" w:type="dxa"/>
            <w:tcBorders>
              <w:top w:val="nil"/>
              <w:left w:val="nil"/>
              <w:bottom w:val="nil"/>
              <w:right w:val="nil"/>
            </w:tcBorders>
            <w:shd w:val="clear" w:color="auto" w:fill="auto"/>
            <w:vAlign w:val="center"/>
            <w:hideMark/>
          </w:tcPr>
          <w:p w14:paraId="4F8FF505" w14:textId="3BFC2B39" w:rsidR="000A6422" w:rsidRPr="000A6422" w:rsidRDefault="000A6422" w:rsidP="000A6422">
            <w:pPr>
              <w:rPr>
                <w:color w:val="000000"/>
              </w:rPr>
            </w:pPr>
            <w:r>
              <w:rPr>
                <w:color w:val="000000"/>
              </w:rPr>
              <w:t>--</w:t>
            </w:r>
            <w:r w:rsidRPr="000A6422">
              <w:rPr>
                <w:color w:val="000000"/>
              </w:rPr>
              <w:t xml:space="preserve"> </w:t>
            </w:r>
            <w:r w:rsidRPr="000A6422">
              <w:rPr>
                <w:i/>
                <w:iCs/>
                <w:color w:val="000000"/>
              </w:rPr>
              <w:t xml:space="preserve">The Astrologer's Guide, </w:t>
            </w:r>
            <w:r w:rsidRPr="000A6422">
              <w:rPr>
                <w:color w:val="000000"/>
              </w:rPr>
              <w:t>trans. by Henry Coley and William Lilly (New York: Cosimo Classics, 2005 [1886])</w:t>
            </w:r>
          </w:p>
        </w:tc>
      </w:tr>
      <w:tr w:rsidR="000A6422" w:rsidRPr="000A6422" w14:paraId="14489B3C" w14:textId="77777777" w:rsidTr="000A6422">
        <w:trPr>
          <w:divId w:val="778257664"/>
          <w:trHeight w:val="680"/>
        </w:trPr>
        <w:tc>
          <w:tcPr>
            <w:tcW w:w="10020" w:type="dxa"/>
            <w:tcBorders>
              <w:top w:val="nil"/>
              <w:left w:val="nil"/>
              <w:bottom w:val="nil"/>
              <w:right w:val="nil"/>
            </w:tcBorders>
            <w:shd w:val="clear" w:color="auto" w:fill="auto"/>
            <w:vAlign w:val="center"/>
            <w:hideMark/>
          </w:tcPr>
          <w:p w14:paraId="7E0B5854" w14:textId="77777777" w:rsidR="000A6422" w:rsidRPr="000A6422" w:rsidRDefault="000A6422" w:rsidP="000A6422">
            <w:pPr>
              <w:rPr>
                <w:color w:val="000000"/>
              </w:rPr>
            </w:pPr>
            <w:r w:rsidRPr="000A6422">
              <w:rPr>
                <w:color w:val="000000"/>
              </w:rPr>
              <w:t xml:space="preserve">Ibn Ezra, Abraham, </w:t>
            </w:r>
            <w:r w:rsidRPr="000A6422">
              <w:rPr>
                <w:i/>
                <w:iCs/>
                <w:color w:val="000000"/>
              </w:rPr>
              <w:t>The Beginning of Wisdom</w:t>
            </w:r>
            <w:r w:rsidRPr="000A6422">
              <w:rPr>
                <w:color w:val="000000"/>
              </w:rPr>
              <w:t>, trans. by Meira B. Epstein (Las Vegas, NV: Arhat Publications, 1998)</w:t>
            </w:r>
          </w:p>
        </w:tc>
      </w:tr>
      <w:tr w:rsidR="000A6422" w:rsidRPr="000A6422" w14:paraId="576746D3" w14:textId="77777777" w:rsidTr="000A6422">
        <w:trPr>
          <w:divId w:val="778257664"/>
          <w:trHeight w:val="680"/>
        </w:trPr>
        <w:tc>
          <w:tcPr>
            <w:tcW w:w="10020" w:type="dxa"/>
            <w:tcBorders>
              <w:top w:val="nil"/>
              <w:left w:val="nil"/>
              <w:bottom w:val="nil"/>
              <w:right w:val="nil"/>
            </w:tcBorders>
            <w:shd w:val="clear" w:color="auto" w:fill="auto"/>
            <w:vAlign w:val="center"/>
            <w:hideMark/>
          </w:tcPr>
          <w:p w14:paraId="40780511" w14:textId="7533ABFE" w:rsidR="000A6422" w:rsidRPr="000A6422" w:rsidRDefault="000A6422" w:rsidP="000A6422">
            <w:pPr>
              <w:rPr>
                <w:color w:val="000000"/>
              </w:rPr>
            </w:pPr>
            <w:r>
              <w:rPr>
                <w:color w:val="000000"/>
              </w:rPr>
              <w:t>--</w:t>
            </w:r>
            <w:r w:rsidRPr="000A6422">
              <w:rPr>
                <w:color w:val="000000"/>
              </w:rPr>
              <w:t xml:space="preserve"> </w:t>
            </w:r>
            <w:r w:rsidRPr="000A6422">
              <w:rPr>
                <w:i/>
                <w:iCs/>
                <w:color w:val="000000"/>
              </w:rPr>
              <w:t>The Beginning of Wisdom</w:t>
            </w:r>
            <w:r w:rsidRPr="000A6422">
              <w:rPr>
                <w:color w:val="000000"/>
              </w:rPr>
              <w:t>,</w:t>
            </w:r>
            <w:r w:rsidRPr="000A6422">
              <w:rPr>
                <w:i/>
                <w:iCs/>
                <w:color w:val="000000"/>
              </w:rPr>
              <w:t xml:space="preserve"> </w:t>
            </w:r>
            <w:r w:rsidRPr="000A6422">
              <w:rPr>
                <w:color w:val="000000"/>
              </w:rPr>
              <w:t xml:space="preserve">trans. by Shlomo Sela, in </w:t>
            </w:r>
            <w:r w:rsidRPr="000A6422">
              <w:rPr>
                <w:i/>
                <w:iCs/>
                <w:color w:val="000000"/>
              </w:rPr>
              <w:t xml:space="preserve">Abraham </w:t>
            </w:r>
            <w:proofErr w:type="gramStart"/>
            <w:r w:rsidRPr="000A6422">
              <w:rPr>
                <w:i/>
                <w:iCs/>
                <w:color w:val="000000"/>
              </w:rPr>
              <w:t>Ibn</w:t>
            </w:r>
            <w:proofErr w:type="gramEnd"/>
            <w:r w:rsidRPr="000A6422">
              <w:rPr>
                <w:i/>
                <w:iCs/>
                <w:color w:val="000000"/>
              </w:rPr>
              <w:t xml:space="preserve"> Ezra's Introductions to Astrology,</w:t>
            </w:r>
            <w:r w:rsidRPr="000A6422">
              <w:rPr>
                <w:color w:val="000000"/>
              </w:rPr>
              <w:t xml:space="preserve"> ed. by Shlomo Sela, pp. 47-271 (Leiden: Brill, 2017)</w:t>
            </w:r>
          </w:p>
        </w:tc>
      </w:tr>
      <w:tr w:rsidR="000A6422" w:rsidRPr="000A6422" w14:paraId="2D81F9F2" w14:textId="77777777" w:rsidTr="000A6422">
        <w:trPr>
          <w:divId w:val="778257664"/>
          <w:trHeight w:val="840"/>
        </w:trPr>
        <w:tc>
          <w:tcPr>
            <w:tcW w:w="10020" w:type="dxa"/>
            <w:tcBorders>
              <w:top w:val="nil"/>
              <w:left w:val="nil"/>
              <w:bottom w:val="nil"/>
              <w:right w:val="nil"/>
            </w:tcBorders>
            <w:shd w:val="clear" w:color="auto" w:fill="auto"/>
            <w:vAlign w:val="center"/>
            <w:hideMark/>
          </w:tcPr>
          <w:p w14:paraId="3014EAD7" w14:textId="628E0199" w:rsidR="000A6422" w:rsidRPr="000A6422" w:rsidRDefault="000A6422" w:rsidP="000A6422">
            <w:pPr>
              <w:rPr>
                <w:color w:val="000000"/>
              </w:rPr>
            </w:pPr>
            <w:r>
              <w:rPr>
                <w:color w:val="000000"/>
              </w:rPr>
              <w:t xml:space="preserve">-- </w:t>
            </w:r>
            <w:r w:rsidRPr="000A6422">
              <w:rPr>
                <w:i/>
                <w:iCs/>
                <w:color w:val="000000"/>
              </w:rPr>
              <w:t>The Book of Nativities and Revolutions</w:t>
            </w:r>
            <w:r w:rsidRPr="000A6422">
              <w:rPr>
                <w:color w:val="000000"/>
              </w:rPr>
              <w:t>, trans. by Meira B. Epstein (Las Vegas, NV: Arhat Publications, 2008)</w:t>
            </w:r>
          </w:p>
        </w:tc>
      </w:tr>
      <w:tr w:rsidR="000A6422" w:rsidRPr="000A6422" w14:paraId="3BCC57D2" w14:textId="77777777" w:rsidTr="000A6422">
        <w:trPr>
          <w:divId w:val="778257664"/>
          <w:trHeight w:val="680"/>
        </w:trPr>
        <w:tc>
          <w:tcPr>
            <w:tcW w:w="10020" w:type="dxa"/>
            <w:tcBorders>
              <w:top w:val="nil"/>
              <w:left w:val="nil"/>
              <w:bottom w:val="nil"/>
              <w:right w:val="nil"/>
            </w:tcBorders>
            <w:shd w:val="clear" w:color="auto" w:fill="auto"/>
            <w:vAlign w:val="center"/>
            <w:hideMark/>
          </w:tcPr>
          <w:p w14:paraId="41DD5E27" w14:textId="77777777" w:rsidR="000A6422" w:rsidRDefault="000A6422" w:rsidP="000A6422">
            <w:pPr>
              <w:rPr>
                <w:color w:val="000000"/>
              </w:rPr>
            </w:pPr>
          </w:p>
          <w:p w14:paraId="176FDA4B" w14:textId="66115456" w:rsidR="000A6422" w:rsidRDefault="000A6422" w:rsidP="000A6422">
            <w:pPr>
              <w:rPr>
                <w:color w:val="000000"/>
              </w:rPr>
            </w:pPr>
            <w:r>
              <w:rPr>
                <w:color w:val="000000"/>
              </w:rPr>
              <w:t xml:space="preserve">Plato, Republic, trans. by Christopher Emlyn-Jones and William </w:t>
            </w:r>
            <w:proofErr w:type="spellStart"/>
            <w:r>
              <w:rPr>
                <w:color w:val="000000"/>
              </w:rPr>
              <w:t>Preddy</w:t>
            </w:r>
            <w:proofErr w:type="spellEnd"/>
            <w:r>
              <w:rPr>
                <w:color w:val="000000"/>
              </w:rPr>
              <w:t xml:space="preserve"> (Cambridge, MA: Harvard University Press, 2013)</w:t>
            </w:r>
          </w:p>
          <w:p w14:paraId="239A9539" w14:textId="77777777" w:rsidR="000A6422" w:rsidRDefault="000A6422" w:rsidP="000A6422">
            <w:pPr>
              <w:rPr>
                <w:color w:val="000000"/>
              </w:rPr>
            </w:pPr>
          </w:p>
          <w:p w14:paraId="6E5E8976" w14:textId="7DC0BCA0" w:rsidR="000A6422" w:rsidRPr="000A6422" w:rsidRDefault="000A6422" w:rsidP="000A6422">
            <w:pPr>
              <w:rPr>
                <w:color w:val="000000"/>
              </w:rPr>
            </w:pPr>
            <w:r>
              <w:rPr>
                <w:color w:val="000000"/>
              </w:rPr>
              <w:t xml:space="preserve">-- </w:t>
            </w:r>
            <w:proofErr w:type="spellStart"/>
            <w:r w:rsidRPr="000A6422">
              <w:rPr>
                <w:i/>
                <w:iCs/>
                <w:color w:val="000000"/>
              </w:rPr>
              <w:t>Timaeus</w:t>
            </w:r>
            <w:r w:rsidRPr="000A6422">
              <w:rPr>
                <w:color w:val="000000"/>
              </w:rPr>
              <w:t>, tran</w:t>
            </w:r>
            <w:proofErr w:type="spellEnd"/>
            <w:r w:rsidRPr="000A6422">
              <w:rPr>
                <w:color w:val="000000"/>
              </w:rPr>
              <w:t>s. by R. G. Bury (Harvard University Press, 1929)</w:t>
            </w:r>
          </w:p>
        </w:tc>
      </w:tr>
    </w:tbl>
    <w:p w14:paraId="32972E27" w14:textId="77777777" w:rsidR="000A6422" w:rsidRPr="00DB6C48" w:rsidRDefault="000A6422" w:rsidP="00861789">
      <w:pPr>
        <w:pStyle w:val="NormalWeb"/>
        <w:divId w:val="778257664"/>
        <w:rPr>
          <w:b/>
          <w:color w:val="000000" w:themeColor="text1"/>
        </w:rPr>
      </w:pPr>
    </w:p>
    <w:p w14:paraId="66E1CF1A" w14:textId="67726BE6" w:rsidR="00B57078" w:rsidRDefault="00B57078" w:rsidP="00B57078">
      <w:pPr>
        <w:pStyle w:val="NormalWeb"/>
        <w:rPr>
          <w:b/>
          <w:color w:val="000000" w:themeColor="text1"/>
        </w:rPr>
      </w:pPr>
      <w:r w:rsidRPr="00DB6C48">
        <w:rPr>
          <w:b/>
          <w:color w:val="000000" w:themeColor="text1"/>
        </w:rPr>
        <w:t>Secondary Sources</w:t>
      </w:r>
    </w:p>
    <w:tbl>
      <w:tblPr>
        <w:tblW w:w="10020" w:type="dxa"/>
        <w:tblLook w:val="04A0" w:firstRow="1" w:lastRow="0" w:firstColumn="1" w:lastColumn="0" w:noHBand="0" w:noVBand="1"/>
      </w:tblPr>
      <w:tblGrid>
        <w:gridCol w:w="10020"/>
      </w:tblGrid>
      <w:tr w:rsidR="000A6422" w14:paraId="1AD6ABF6" w14:textId="77777777" w:rsidTr="000A6422">
        <w:trPr>
          <w:trHeight w:val="1020"/>
        </w:trPr>
        <w:tc>
          <w:tcPr>
            <w:tcW w:w="10020" w:type="dxa"/>
            <w:tcBorders>
              <w:top w:val="nil"/>
              <w:left w:val="nil"/>
              <w:bottom w:val="nil"/>
              <w:right w:val="nil"/>
            </w:tcBorders>
            <w:shd w:val="clear" w:color="auto" w:fill="auto"/>
            <w:vAlign w:val="center"/>
            <w:hideMark/>
          </w:tcPr>
          <w:p w14:paraId="640B26A6" w14:textId="77777777" w:rsidR="000A6422" w:rsidRDefault="000A6422">
            <w:pPr>
              <w:rPr>
                <w:color w:val="000000"/>
              </w:rPr>
            </w:pPr>
            <w:r>
              <w:rPr>
                <w:color w:val="000000"/>
              </w:rPr>
              <w:lastRenderedPageBreak/>
              <w:t xml:space="preserve">Aranda, Mariano </w:t>
            </w:r>
            <w:proofErr w:type="spellStart"/>
            <w:r>
              <w:rPr>
                <w:color w:val="000000"/>
              </w:rPr>
              <w:t>Gómez</w:t>
            </w:r>
            <w:proofErr w:type="spellEnd"/>
            <w:r>
              <w:rPr>
                <w:color w:val="000000"/>
              </w:rPr>
              <w:t xml:space="preserve">, 'The Meaning of </w:t>
            </w:r>
            <w:proofErr w:type="spellStart"/>
            <w:r>
              <w:rPr>
                <w:color w:val="000000"/>
              </w:rPr>
              <w:t>Qohelet</w:t>
            </w:r>
            <w:proofErr w:type="spellEnd"/>
            <w:r>
              <w:rPr>
                <w:color w:val="000000"/>
              </w:rPr>
              <w:t xml:space="preserve"> According to Ibn Ezra's Scientific Explanations', </w:t>
            </w:r>
            <w:r>
              <w:rPr>
                <w:i/>
                <w:iCs/>
                <w:color w:val="000000"/>
              </w:rPr>
              <w:t xml:space="preserve">Aleph, </w:t>
            </w:r>
            <w:r>
              <w:rPr>
                <w:color w:val="000000"/>
              </w:rPr>
              <w:t>no. 6(2006), pp. 339-370</w:t>
            </w:r>
          </w:p>
        </w:tc>
      </w:tr>
      <w:tr w:rsidR="000A6422" w14:paraId="7EDD7AA8" w14:textId="77777777" w:rsidTr="000A6422">
        <w:trPr>
          <w:trHeight w:val="680"/>
        </w:trPr>
        <w:tc>
          <w:tcPr>
            <w:tcW w:w="10020" w:type="dxa"/>
            <w:tcBorders>
              <w:top w:val="nil"/>
              <w:left w:val="nil"/>
              <w:bottom w:val="nil"/>
              <w:right w:val="nil"/>
            </w:tcBorders>
            <w:shd w:val="clear" w:color="auto" w:fill="auto"/>
            <w:vAlign w:val="center"/>
            <w:hideMark/>
          </w:tcPr>
          <w:p w14:paraId="388FC74C" w14:textId="77777777" w:rsidR="000A6422" w:rsidRDefault="000A6422">
            <w:pPr>
              <w:rPr>
                <w:color w:val="000000"/>
              </w:rPr>
            </w:pPr>
            <w:r>
              <w:rPr>
                <w:color w:val="000000"/>
              </w:rPr>
              <w:t>Brady, Bernadette, 'Theories of Fate Among present-day Astrologers' (doctoral thesis, Trinity Saint David University of Wales, 2012)</w:t>
            </w:r>
          </w:p>
        </w:tc>
      </w:tr>
      <w:tr w:rsidR="000A6422" w14:paraId="49B27A6F" w14:textId="77777777" w:rsidTr="000A6422">
        <w:trPr>
          <w:trHeight w:val="1120"/>
        </w:trPr>
        <w:tc>
          <w:tcPr>
            <w:tcW w:w="10020" w:type="dxa"/>
            <w:tcBorders>
              <w:top w:val="nil"/>
              <w:left w:val="nil"/>
              <w:bottom w:val="nil"/>
              <w:right w:val="nil"/>
            </w:tcBorders>
            <w:shd w:val="clear" w:color="auto" w:fill="auto"/>
            <w:vAlign w:val="center"/>
            <w:hideMark/>
          </w:tcPr>
          <w:p w14:paraId="11B78D40" w14:textId="77777777" w:rsidR="000A6422" w:rsidRDefault="000A6422">
            <w:pPr>
              <w:rPr>
                <w:color w:val="000000"/>
              </w:rPr>
            </w:pPr>
            <w:r>
              <w:rPr>
                <w:color w:val="000000"/>
              </w:rPr>
              <w:t xml:space="preserve">Campion, Nicholas, </w:t>
            </w:r>
            <w:r>
              <w:rPr>
                <w:i/>
                <w:iCs/>
                <w:color w:val="000000"/>
              </w:rPr>
              <w:t xml:space="preserve">A History of Western Astrology, Volume I1: The Medieval and Modern Worlds </w:t>
            </w:r>
            <w:r>
              <w:rPr>
                <w:color w:val="000000"/>
              </w:rPr>
              <w:t>(New York and London: Continuum Books, 2009)</w:t>
            </w:r>
          </w:p>
        </w:tc>
      </w:tr>
      <w:tr w:rsidR="000A6422" w14:paraId="7DE90178" w14:textId="77777777" w:rsidTr="000A6422">
        <w:trPr>
          <w:trHeight w:val="840"/>
        </w:trPr>
        <w:tc>
          <w:tcPr>
            <w:tcW w:w="10020" w:type="dxa"/>
            <w:tcBorders>
              <w:top w:val="nil"/>
              <w:left w:val="nil"/>
              <w:bottom w:val="nil"/>
              <w:right w:val="nil"/>
            </w:tcBorders>
            <w:shd w:val="clear" w:color="auto" w:fill="auto"/>
            <w:vAlign w:val="center"/>
            <w:hideMark/>
          </w:tcPr>
          <w:p w14:paraId="5F0FD847" w14:textId="77777777" w:rsidR="000A6422" w:rsidRDefault="000A6422">
            <w:pPr>
              <w:rPr>
                <w:color w:val="000000"/>
              </w:rPr>
            </w:pPr>
            <w:r>
              <w:rPr>
                <w:color w:val="000000"/>
              </w:rPr>
              <w:t xml:space="preserve">Collins, David J., 'Albertus, Magnus or Magus? Magic, Natural Philosophy, and Religious Reform in the Late Middle Ages', </w:t>
            </w:r>
            <w:r>
              <w:rPr>
                <w:i/>
                <w:iCs/>
                <w:color w:val="000000"/>
              </w:rPr>
              <w:t>Renaissance Quarterly</w:t>
            </w:r>
            <w:r>
              <w:rPr>
                <w:color w:val="000000"/>
              </w:rPr>
              <w:t>, vol. 63, no. 1 (2010), pp.1-44</w:t>
            </w:r>
          </w:p>
        </w:tc>
      </w:tr>
      <w:tr w:rsidR="000A6422" w14:paraId="2C695DCC" w14:textId="77777777" w:rsidTr="000A6422">
        <w:trPr>
          <w:trHeight w:val="1400"/>
        </w:trPr>
        <w:tc>
          <w:tcPr>
            <w:tcW w:w="10020" w:type="dxa"/>
            <w:tcBorders>
              <w:top w:val="nil"/>
              <w:left w:val="nil"/>
              <w:bottom w:val="nil"/>
              <w:right w:val="nil"/>
            </w:tcBorders>
            <w:shd w:val="clear" w:color="auto" w:fill="auto"/>
            <w:vAlign w:val="center"/>
            <w:hideMark/>
          </w:tcPr>
          <w:p w14:paraId="6EEA4516" w14:textId="77777777" w:rsidR="000A6422" w:rsidRDefault="000A6422">
            <w:pPr>
              <w:rPr>
                <w:color w:val="000000"/>
              </w:rPr>
            </w:pPr>
            <w:r>
              <w:rPr>
                <w:color w:val="000000"/>
              </w:rPr>
              <w:t xml:space="preserve">Benjamin Dykes, 'The Life of Guido Bonatti', (2007), Skyscript.co.uk, &lt;https://www.skyscript.co.uk/bonatti.html&gt;, [accessed: 2 </w:t>
            </w:r>
            <w:proofErr w:type="gramStart"/>
            <w:r>
              <w:rPr>
                <w:color w:val="000000"/>
              </w:rPr>
              <w:t>April,</w:t>
            </w:r>
            <w:proofErr w:type="gramEnd"/>
            <w:r>
              <w:rPr>
                <w:color w:val="000000"/>
              </w:rPr>
              <w:t xml:space="preserve"> 2020]</w:t>
            </w:r>
          </w:p>
        </w:tc>
      </w:tr>
      <w:tr w:rsidR="000A6422" w14:paraId="72E0D220" w14:textId="77777777" w:rsidTr="000A6422">
        <w:trPr>
          <w:trHeight w:val="680"/>
        </w:trPr>
        <w:tc>
          <w:tcPr>
            <w:tcW w:w="10020" w:type="dxa"/>
            <w:tcBorders>
              <w:top w:val="nil"/>
              <w:left w:val="nil"/>
              <w:bottom w:val="nil"/>
              <w:right w:val="nil"/>
            </w:tcBorders>
            <w:shd w:val="clear" w:color="auto" w:fill="auto"/>
            <w:vAlign w:val="center"/>
            <w:hideMark/>
          </w:tcPr>
          <w:p w14:paraId="367A00AE" w14:textId="77777777" w:rsidR="000A6422" w:rsidRDefault="000A6422">
            <w:pPr>
              <w:rPr>
                <w:color w:val="000000"/>
              </w:rPr>
            </w:pPr>
            <w:r>
              <w:rPr>
                <w:color w:val="000000"/>
              </w:rPr>
              <w:t xml:space="preserve">Elton, Geoffrey, </w:t>
            </w:r>
            <w:r>
              <w:rPr>
                <w:i/>
                <w:iCs/>
                <w:color w:val="000000"/>
              </w:rPr>
              <w:t xml:space="preserve">Return to </w:t>
            </w:r>
            <w:proofErr w:type="spellStart"/>
            <w:r>
              <w:rPr>
                <w:i/>
                <w:iCs/>
                <w:color w:val="000000"/>
              </w:rPr>
              <w:t>Essintials</w:t>
            </w:r>
            <w:proofErr w:type="spellEnd"/>
            <w:r>
              <w:rPr>
                <w:i/>
                <w:iCs/>
                <w:color w:val="000000"/>
              </w:rPr>
              <w:t xml:space="preserve">: Some Reflections on the Present State of Historical Study </w:t>
            </w:r>
            <w:r>
              <w:rPr>
                <w:color w:val="000000"/>
              </w:rPr>
              <w:t>(Cambridge: Cambridge University Press, 1992)</w:t>
            </w:r>
          </w:p>
          <w:p w14:paraId="614017E0" w14:textId="16BEF2EC" w:rsidR="000A6422" w:rsidRDefault="000A6422">
            <w:pPr>
              <w:rPr>
                <w:color w:val="000000"/>
              </w:rPr>
            </w:pPr>
          </w:p>
        </w:tc>
      </w:tr>
      <w:tr w:rsidR="000A6422" w14:paraId="6E6B8DBF" w14:textId="77777777" w:rsidTr="000A6422">
        <w:trPr>
          <w:trHeight w:val="680"/>
        </w:trPr>
        <w:tc>
          <w:tcPr>
            <w:tcW w:w="10020" w:type="dxa"/>
            <w:tcBorders>
              <w:top w:val="nil"/>
              <w:left w:val="nil"/>
              <w:bottom w:val="nil"/>
              <w:right w:val="nil"/>
            </w:tcBorders>
            <w:shd w:val="clear" w:color="auto" w:fill="auto"/>
            <w:vAlign w:val="center"/>
            <w:hideMark/>
          </w:tcPr>
          <w:p w14:paraId="35EA0917" w14:textId="77777777" w:rsidR="000A6422" w:rsidRDefault="000A6422">
            <w:pPr>
              <w:rPr>
                <w:color w:val="000000"/>
              </w:rPr>
            </w:pPr>
            <w:r>
              <w:rPr>
                <w:color w:val="000000"/>
              </w:rPr>
              <w:t xml:space="preserve">Epstein, Meira B., 'Rabbi Avraham Ibn Ezra', </w:t>
            </w:r>
            <w:r>
              <w:rPr>
                <w:i/>
                <w:iCs/>
                <w:color w:val="000000"/>
              </w:rPr>
              <w:t xml:space="preserve">Astrology with Meira </w:t>
            </w:r>
            <w:r>
              <w:rPr>
                <w:color w:val="000000"/>
              </w:rPr>
              <w:t xml:space="preserve">(2002), &lt;http://bear-star.com/article%20-%20ibn%20ezra%20-%20life%20and%20work.htm&gt;, [accessed 12 </w:t>
            </w:r>
            <w:proofErr w:type="gramStart"/>
            <w:r>
              <w:rPr>
                <w:color w:val="000000"/>
              </w:rPr>
              <w:t>March,</w:t>
            </w:r>
            <w:proofErr w:type="gramEnd"/>
            <w:r>
              <w:rPr>
                <w:color w:val="000000"/>
              </w:rPr>
              <w:t xml:space="preserve"> 2020]</w:t>
            </w:r>
          </w:p>
        </w:tc>
      </w:tr>
      <w:tr w:rsidR="000A6422" w14:paraId="70227029" w14:textId="77777777" w:rsidTr="000A6422">
        <w:trPr>
          <w:trHeight w:val="680"/>
        </w:trPr>
        <w:tc>
          <w:tcPr>
            <w:tcW w:w="10020" w:type="dxa"/>
            <w:tcBorders>
              <w:top w:val="nil"/>
              <w:left w:val="nil"/>
              <w:bottom w:val="nil"/>
              <w:right w:val="nil"/>
            </w:tcBorders>
            <w:shd w:val="clear" w:color="auto" w:fill="auto"/>
            <w:vAlign w:val="center"/>
            <w:hideMark/>
          </w:tcPr>
          <w:p w14:paraId="2F29C2C9" w14:textId="77777777" w:rsidR="000A6422" w:rsidRDefault="000A6422">
            <w:pPr>
              <w:rPr>
                <w:color w:val="000000"/>
              </w:rPr>
            </w:pPr>
            <w:r>
              <w:rPr>
                <w:color w:val="000000"/>
              </w:rPr>
              <w:t xml:space="preserve">Evans, Richard J., </w:t>
            </w:r>
            <w:r>
              <w:rPr>
                <w:i/>
                <w:iCs/>
                <w:color w:val="000000"/>
              </w:rPr>
              <w:t xml:space="preserve">In Defense of History </w:t>
            </w:r>
            <w:r>
              <w:rPr>
                <w:color w:val="000000"/>
              </w:rPr>
              <w:t>(New York: W. W. Norton &amp; Company, Inc., 2000)</w:t>
            </w:r>
          </w:p>
        </w:tc>
      </w:tr>
      <w:tr w:rsidR="000A6422" w14:paraId="4BEA43B2" w14:textId="77777777" w:rsidTr="000A6422">
        <w:trPr>
          <w:trHeight w:val="680"/>
        </w:trPr>
        <w:tc>
          <w:tcPr>
            <w:tcW w:w="10020" w:type="dxa"/>
            <w:tcBorders>
              <w:top w:val="nil"/>
              <w:left w:val="nil"/>
              <w:bottom w:val="nil"/>
              <w:right w:val="nil"/>
            </w:tcBorders>
            <w:shd w:val="clear" w:color="auto" w:fill="auto"/>
            <w:vAlign w:val="center"/>
            <w:hideMark/>
          </w:tcPr>
          <w:p w14:paraId="7435B83F" w14:textId="77777777" w:rsidR="000A6422" w:rsidRDefault="000A6422">
            <w:pPr>
              <w:rPr>
                <w:color w:val="000000"/>
              </w:rPr>
            </w:pPr>
            <w:r>
              <w:rPr>
                <w:color w:val="000000"/>
              </w:rPr>
              <w:t xml:space="preserve">George, Demetra, 'Manuel I Komnenos and Michael Glykas: A Twelfth-Century Defense and Refutation of Astrology', Part 1, </w:t>
            </w:r>
            <w:r>
              <w:rPr>
                <w:i/>
                <w:iCs/>
                <w:color w:val="000000"/>
              </w:rPr>
              <w:t>Culture and Cosmos</w:t>
            </w:r>
            <w:r>
              <w:rPr>
                <w:color w:val="000000"/>
              </w:rPr>
              <w:t xml:space="preserve"> Vol. 5 no 1, Spring/Summer 2001, pp. 3-48</w:t>
            </w:r>
          </w:p>
        </w:tc>
      </w:tr>
      <w:tr w:rsidR="000A6422" w14:paraId="601C02AC" w14:textId="77777777" w:rsidTr="000A6422">
        <w:trPr>
          <w:trHeight w:val="840"/>
        </w:trPr>
        <w:tc>
          <w:tcPr>
            <w:tcW w:w="10020" w:type="dxa"/>
            <w:tcBorders>
              <w:top w:val="nil"/>
              <w:left w:val="nil"/>
              <w:bottom w:val="nil"/>
              <w:right w:val="nil"/>
            </w:tcBorders>
            <w:shd w:val="clear" w:color="auto" w:fill="auto"/>
            <w:vAlign w:val="center"/>
            <w:hideMark/>
          </w:tcPr>
          <w:p w14:paraId="7533D269" w14:textId="77777777" w:rsidR="000A6422" w:rsidRDefault="000A6422">
            <w:pPr>
              <w:rPr>
                <w:color w:val="000000"/>
              </w:rPr>
            </w:pPr>
            <w:r>
              <w:rPr>
                <w:color w:val="000000"/>
              </w:rPr>
              <w:t xml:space="preserve">Grant, Edward, 'A New Look at Medieval Cosmology, 1200-1687', </w:t>
            </w:r>
            <w:r>
              <w:rPr>
                <w:i/>
                <w:iCs/>
                <w:color w:val="000000"/>
              </w:rPr>
              <w:t>Proceedings of the American Philosophical Society</w:t>
            </w:r>
            <w:r>
              <w:rPr>
                <w:color w:val="000000"/>
              </w:rPr>
              <w:t>, vol. 129, no. 4 (1955), pp. 417-432</w:t>
            </w:r>
          </w:p>
        </w:tc>
      </w:tr>
      <w:tr w:rsidR="000A6422" w14:paraId="5A77B8DA" w14:textId="77777777" w:rsidTr="000A6422">
        <w:trPr>
          <w:trHeight w:val="840"/>
        </w:trPr>
        <w:tc>
          <w:tcPr>
            <w:tcW w:w="10020" w:type="dxa"/>
            <w:tcBorders>
              <w:top w:val="nil"/>
              <w:left w:val="nil"/>
              <w:bottom w:val="nil"/>
              <w:right w:val="nil"/>
            </w:tcBorders>
            <w:shd w:val="clear" w:color="auto" w:fill="auto"/>
            <w:vAlign w:val="center"/>
            <w:hideMark/>
          </w:tcPr>
          <w:p w14:paraId="6B9EDC72" w14:textId="77777777" w:rsidR="000A6422" w:rsidRDefault="000A6422">
            <w:pPr>
              <w:rPr>
                <w:color w:val="000000"/>
              </w:rPr>
            </w:pPr>
            <w:r>
              <w:rPr>
                <w:color w:val="000000"/>
              </w:rPr>
              <w:t xml:space="preserve">Hand, Robert, 'Evidence in Bonatti for the Practical Application of Certain Astrological Techniques', in </w:t>
            </w:r>
            <w:r>
              <w:rPr>
                <w:i/>
                <w:iCs/>
                <w:color w:val="000000"/>
              </w:rPr>
              <w:t xml:space="preserve">From Masha’Allah to Kepler: Theory and Practice in Medieval and Renaissance Astrology, </w:t>
            </w:r>
            <w:r>
              <w:rPr>
                <w:color w:val="000000"/>
              </w:rPr>
              <w:t>ed. by Charles Burnett and Dorian Gieseler Greenbaum, pp. 201-230</w:t>
            </w:r>
            <w:r>
              <w:rPr>
                <w:i/>
                <w:iCs/>
                <w:color w:val="000000"/>
              </w:rPr>
              <w:t xml:space="preserve"> </w:t>
            </w:r>
            <w:r>
              <w:rPr>
                <w:color w:val="000000"/>
              </w:rPr>
              <w:t>(Ceredigion: Sophia Centre Press, 2015)</w:t>
            </w:r>
          </w:p>
          <w:p w14:paraId="2D9F7C7E" w14:textId="37199611" w:rsidR="00132CF7" w:rsidRDefault="00132CF7">
            <w:pPr>
              <w:rPr>
                <w:color w:val="000000"/>
              </w:rPr>
            </w:pPr>
          </w:p>
        </w:tc>
      </w:tr>
      <w:tr w:rsidR="000A6422" w14:paraId="6F32B3AE" w14:textId="77777777" w:rsidTr="000A6422">
        <w:trPr>
          <w:trHeight w:val="680"/>
        </w:trPr>
        <w:tc>
          <w:tcPr>
            <w:tcW w:w="10020" w:type="dxa"/>
            <w:tcBorders>
              <w:top w:val="nil"/>
              <w:left w:val="nil"/>
              <w:bottom w:val="nil"/>
              <w:right w:val="nil"/>
            </w:tcBorders>
            <w:shd w:val="clear" w:color="auto" w:fill="auto"/>
            <w:vAlign w:val="center"/>
            <w:hideMark/>
          </w:tcPr>
          <w:p w14:paraId="1E1B8397" w14:textId="77777777" w:rsidR="000A6422" w:rsidRDefault="000A6422">
            <w:pPr>
              <w:rPr>
                <w:color w:val="000000"/>
              </w:rPr>
            </w:pPr>
            <w:r>
              <w:rPr>
                <w:color w:val="000000"/>
              </w:rPr>
              <w:t xml:space="preserve">Haskins, Charles, </w:t>
            </w:r>
            <w:r>
              <w:rPr>
                <w:i/>
                <w:iCs/>
                <w:color w:val="000000"/>
              </w:rPr>
              <w:t>The Renaissance of the Twelfth Century</w:t>
            </w:r>
            <w:r>
              <w:rPr>
                <w:color w:val="000000"/>
              </w:rPr>
              <w:t xml:space="preserve"> (Cambridge, MA: Harvard University Press, 1927)</w:t>
            </w:r>
          </w:p>
          <w:p w14:paraId="3DFB5D2F" w14:textId="649E0B11" w:rsidR="00132CF7" w:rsidRDefault="00132CF7">
            <w:pPr>
              <w:rPr>
                <w:color w:val="000000"/>
              </w:rPr>
            </w:pPr>
          </w:p>
        </w:tc>
      </w:tr>
      <w:tr w:rsidR="000A6422" w14:paraId="0DC8B543" w14:textId="77777777" w:rsidTr="000A6422">
        <w:trPr>
          <w:trHeight w:val="560"/>
        </w:trPr>
        <w:tc>
          <w:tcPr>
            <w:tcW w:w="10020" w:type="dxa"/>
            <w:tcBorders>
              <w:top w:val="nil"/>
              <w:left w:val="nil"/>
              <w:bottom w:val="nil"/>
              <w:right w:val="nil"/>
            </w:tcBorders>
            <w:shd w:val="clear" w:color="auto" w:fill="auto"/>
            <w:vAlign w:val="center"/>
            <w:hideMark/>
          </w:tcPr>
          <w:p w14:paraId="5520C122" w14:textId="77777777" w:rsidR="000A6422" w:rsidRDefault="000A6422">
            <w:pPr>
              <w:rPr>
                <w:color w:val="000000"/>
              </w:rPr>
            </w:pPr>
            <w:r>
              <w:rPr>
                <w:color w:val="000000"/>
              </w:rPr>
              <w:t xml:space="preserve">Holden, James Herschel, </w:t>
            </w:r>
            <w:r>
              <w:rPr>
                <w:i/>
                <w:iCs/>
                <w:color w:val="000000"/>
              </w:rPr>
              <w:t xml:space="preserve">A History of Horoscopic Astrology </w:t>
            </w:r>
            <w:r>
              <w:rPr>
                <w:color w:val="000000"/>
              </w:rPr>
              <w:t>(Tempe, AZ: American Federation of Astrologers, 2006)</w:t>
            </w:r>
          </w:p>
          <w:p w14:paraId="072411BA" w14:textId="487BEC30" w:rsidR="00132CF7" w:rsidRDefault="00132CF7">
            <w:pPr>
              <w:rPr>
                <w:color w:val="000000"/>
              </w:rPr>
            </w:pPr>
          </w:p>
        </w:tc>
      </w:tr>
      <w:tr w:rsidR="000A6422" w14:paraId="5B94A20A" w14:textId="77777777" w:rsidTr="000A6422">
        <w:trPr>
          <w:trHeight w:val="680"/>
        </w:trPr>
        <w:tc>
          <w:tcPr>
            <w:tcW w:w="10020" w:type="dxa"/>
            <w:tcBorders>
              <w:top w:val="nil"/>
              <w:left w:val="nil"/>
              <w:bottom w:val="nil"/>
              <w:right w:val="nil"/>
            </w:tcBorders>
            <w:shd w:val="clear" w:color="auto" w:fill="auto"/>
            <w:vAlign w:val="center"/>
            <w:hideMark/>
          </w:tcPr>
          <w:p w14:paraId="67DE70A7" w14:textId="77777777" w:rsidR="000A6422" w:rsidRDefault="000A6422">
            <w:pPr>
              <w:rPr>
                <w:color w:val="000000"/>
              </w:rPr>
            </w:pPr>
            <w:r>
              <w:rPr>
                <w:color w:val="000000"/>
              </w:rPr>
              <w:t xml:space="preserve">James, William, </w:t>
            </w:r>
            <w:r>
              <w:rPr>
                <w:i/>
                <w:iCs/>
                <w:color w:val="000000"/>
              </w:rPr>
              <w:t xml:space="preserve">The Will to Believe: And Other Essays in Popular Philosophy </w:t>
            </w:r>
            <w:r>
              <w:rPr>
                <w:color w:val="000000"/>
              </w:rPr>
              <w:t xml:space="preserve">(New York, </w:t>
            </w:r>
            <w:proofErr w:type="gramStart"/>
            <w:r>
              <w:rPr>
                <w:color w:val="000000"/>
              </w:rPr>
              <w:t>London</w:t>
            </w:r>
            <w:proofErr w:type="gramEnd"/>
            <w:r>
              <w:rPr>
                <w:color w:val="000000"/>
              </w:rPr>
              <w:t xml:space="preserve"> and Bombay: Longmans Green and Co, 1907)</w:t>
            </w:r>
          </w:p>
        </w:tc>
      </w:tr>
      <w:tr w:rsidR="000A6422" w14:paraId="1384C75D" w14:textId="77777777" w:rsidTr="000A6422">
        <w:trPr>
          <w:trHeight w:val="840"/>
        </w:trPr>
        <w:tc>
          <w:tcPr>
            <w:tcW w:w="10020" w:type="dxa"/>
            <w:tcBorders>
              <w:top w:val="nil"/>
              <w:left w:val="nil"/>
              <w:bottom w:val="nil"/>
              <w:right w:val="nil"/>
            </w:tcBorders>
            <w:shd w:val="clear" w:color="auto" w:fill="auto"/>
            <w:vAlign w:val="center"/>
            <w:hideMark/>
          </w:tcPr>
          <w:p w14:paraId="70193EA2" w14:textId="77777777" w:rsidR="000A6422" w:rsidRDefault="000A6422">
            <w:pPr>
              <w:rPr>
                <w:color w:val="000000"/>
              </w:rPr>
            </w:pPr>
            <w:r>
              <w:rPr>
                <w:color w:val="000000"/>
              </w:rPr>
              <w:lastRenderedPageBreak/>
              <w:t xml:space="preserve">Lang, Helen S., 'Aristotelian Physics: Teleological Procedure in Aristotle, Thomas, and Buridan', </w:t>
            </w:r>
            <w:r>
              <w:rPr>
                <w:i/>
                <w:iCs/>
                <w:color w:val="000000"/>
              </w:rPr>
              <w:t>The Review of Metaphysics</w:t>
            </w:r>
            <w:r>
              <w:rPr>
                <w:color w:val="000000"/>
              </w:rPr>
              <w:t>, Vol. 42 (1989), pp. 569-591</w:t>
            </w:r>
          </w:p>
        </w:tc>
      </w:tr>
      <w:tr w:rsidR="000A6422" w14:paraId="3B0A530C" w14:textId="77777777" w:rsidTr="000A6422">
        <w:trPr>
          <w:trHeight w:val="840"/>
        </w:trPr>
        <w:tc>
          <w:tcPr>
            <w:tcW w:w="10020" w:type="dxa"/>
            <w:tcBorders>
              <w:top w:val="nil"/>
              <w:left w:val="nil"/>
              <w:bottom w:val="nil"/>
              <w:right w:val="nil"/>
            </w:tcBorders>
            <w:shd w:val="clear" w:color="auto" w:fill="auto"/>
            <w:vAlign w:val="center"/>
            <w:hideMark/>
          </w:tcPr>
          <w:p w14:paraId="67E0EDA9" w14:textId="77777777" w:rsidR="000A6422" w:rsidRDefault="000A6422">
            <w:pPr>
              <w:rPr>
                <w:color w:val="000000"/>
              </w:rPr>
            </w:pPr>
            <w:r>
              <w:rPr>
                <w:color w:val="000000"/>
              </w:rPr>
              <w:t xml:space="preserve">Parel, Anthony J., </w:t>
            </w:r>
            <w:r>
              <w:rPr>
                <w:i/>
                <w:iCs/>
                <w:color w:val="000000"/>
              </w:rPr>
              <w:t xml:space="preserve">The Machiavellian Cosmos </w:t>
            </w:r>
            <w:r>
              <w:rPr>
                <w:color w:val="000000"/>
              </w:rPr>
              <w:t>(New Haven and London: Yale University Press, 1992),</w:t>
            </w:r>
          </w:p>
        </w:tc>
      </w:tr>
      <w:tr w:rsidR="000A6422" w14:paraId="028CB94A" w14:textId="77777777" w:rsidTr="000A6422">
        <w:trPr>
          <w:trHeight w:val="680"/>
        </w:trPr>
        <w:tc>
          <w:tcPr>
            <w:tcW w:w="10020" w:type="dxa"/>
            <w:tcBorders>
              <w:top w:val="nil"/>
              <w:left w:val="nil"/>
              <w:bottom w:val="nil"/>
              <w:right w:val="nil"/>
            </w:tcBorders>
            <w:shd w:val="clear" w:color="auto" w:fill="auto"/>
            <w:vAlign w:val="center"/>
            <w:hideMark/>
          </w:tcPr>
          <w:p w14:paraId="1620C75B" w14:textId="77777777" w:rsidR="000A6422" w:rsidRDefault="000A6422">
            <w:pPr>
              <w:rPr>
                <w:color w:val="000000"/>
              </w:rPr>
            </w:pPr>
            <w:r>
              <w:rPr>
                <w:color w:val="000000"/>
              </w:rPr>
              <w:t xml:space="preserve">Sela, Shlomo, 'Notes to the Book of the Beginning of Wisdom' in </w:t>
            </w:r>
            <w:r>
              <w:rPr>
                <w:i/>
                <w:iCs/>
                <w:color w:val="000000"/>
              </w:rPr>
              <w:t xml:space="preserve">Abraham </w:t>
            </w:r>
            <w:proofErr w:type="gramStart"/>
            <w:r>
              <w:rPr>
                <w:i/>
                <w:iCs/>
                <w:color w:val="000000"/>
              </w:rPr>
              <w:t>Ibn</w:t>
            </w:r>
            <w:proofErr w:type="gramEnd"/>
            <w:r>
              <w:rPr>
                <w:i/>
                <w:iCs/>
                <w:color w:val="000000"/>
              </w:rPr>
              <w:t xml:space="preserve"> Ezra's Introductions to Astrology, </w:t>
            </w:r>
            <w:r>
              <w:rPr>
                <w:color w:val="000000"/>
              </w:rPr>
              <w:t>ed</w:t>
            </w:r>
            <w:r>
              <w:rPr>
                <w:i/>
                <w:iCs/>
                <w:color w:val="000000"/>
              </w:rPr>
              <w:t xml:space="preserve">. </w:t>
            </w:r>
            <w:r>
              <w:rPr>
                <w:color w:val="000000"/>
              </w:rPr>
              <w:t>by Shlomo Sela</w:t>
            </w:r>
            <w:r>
              <w:rPr>
                <w:i/>
                <w:iCs/>
                <w:color w:val="000000"/>
              </w:rPr>
              <w:t>,</w:t>
            </w:r>
            <w:r>
              <w:rPr>
                <w:color w:val="000000"/>
              </w:rPr>
              <w:t xml:space="preserve"> pp. 273-485</w:t>
            </w:r>
            <w:r>
              <w:rPr>
                <w:i/>
                <w:iCs/>
                <w:color w:val="000000"/>
              </w:rPr>
              <w:t xml:space="preserve"> </w:t>
            </w:r>
            <w:r>
              <w:rPr>
                <w:color w:val="000000"/>
              </w:rPr>
              <w:t>(Leiden: Brill, 2017)</w:t>
            </w:r>
          </w:p>
        </w:tc>
      </w:tr>
      <w:tr w:rsidR="000A6422" w14:paraId="68E9A5C8" w14:textId="77777777" w:rsidTr="000A6422">
        <w:trPr>
          <w:trHeight w:val="1120"/>
        </w:trPr>
        <w:tc>
          <w:tcPr>
            <w:tcW w:w="10020" w:type="dxa"/>
            <w:tcBorders>
              <w:top w:val="nil"/>
              <w:left w:val="nil"/>
              <w:bottom w:val="nil"/>
              <w:right w:val="nil"/>
            </w:tcBorders>
            <w:shd w:val="clear" w:color="auto" w:fill="auto"/>
            <w:vAlign w:val="center"/>
            <w:hideMark/>
          </w:tcPr>
          <w:p w14:paraId="6BAD0D71" w14:textId="77777777" w:rsidR="000A6422" w:rsidRDefault="000A6422">
            <w:pPr>
              <w:rPr>
                <w:color w:val="000000"/>
              </w:rPr>
            </w:pPr>
            <w:r>
              <w:rPr>
                <w:color w:val="000000"/>
              </w:rPr>
              <w:t xml:space="preserve">Thorndike, Lynn, </w:t>
            </w:r>
            <w:r>
              <w:rPr>
                <w:i/>
                <w:iCs/>
                <w:color w:val="000000"/>
              </w:rPr>
              <w:t>A History of Magic and Experimental Science During the First Thirteen Centuries of Our Era, Volume II</w:t>
            </w:r>
            <w:r>
              <w:rPr>
                <w:color w:val="000000"/>
              </w:rPr>
              <w:t xml:space="preserve"> (New York: Columbia University Press, 1923)</w:t>
            </w:r>
          </w:p>
        </w:tc>
      </w:tr>
      <w:tr w:rsidR="000A6422" w14:paraId="506256AF" w14:textId="77777777" w:rsidTr="000A6422">
        <w:trPr>
          <w:trHeight w:val="840"/>
        </w:trPr>
        <w:tc>
          <w:tcPr>
            <w:tcW w:w="10020" w:type="dxa"/>
            <w:tcBorders>
              <w:top w:val="nil"/>
              <w:left w:val="nil"/>
              <w:bottom w:val="nil"/>
              <w:right w:val="nil"/>
            </w:tcBorders>
            <w:shd w:val="clear" w:color="auto" w:fill="auto"/>
            <w:vAlign w:val="center"/>
            <w:hideMark/>
          </w:tcPr>
          <w:p w14:paraId="651F9467" w14:textId="77777777" w:rsidR="000A6422" w:rsidRDefault="000A6422">
            <w:pPr>
              <w:rPr>
                <w:color w:val="000000"/>
              </w:rPr>
            </w:pPr>
            <w:r>
              <w:rPr>
                <w:color w:val="000000"/>
              </w:rPr>
              <w:t xml:space="preserve">Zambelli, Paola, </w:t>
            </w:r>
            <w:r>
              <w:rPr>
                <w:i/>
                <w:iCs/>
                <w:color w:val="000000"/>
              </w:rPr>
              <w:t xml:space="preserve">The Speculum Astronomiae and Its Enigma </w:t>
            </w:r>
            <w:r>
              <w:rPr>
                <w:color w:val="000000"/>
              </w:rPr>
              <w:t xml:space="preserve">(Dordrecht, </w:t>
            </w:r>
            <w:proofErr w:type="gramStart"/>
            <w:r>
              <w:rPr>
                <w:color w:val="000000"/>
              </w:rPr>
              <w:t>Boston</w:t>
            </w:r>
            <w:proofErr w:type="gramEnd"/>
            <w:r>
              <w:rPr>
                <w:color w:val="000000"/>
              </w:rPr>
              <w:t xml:space="preserve"> and London: Kluwer Academic Publishers, 1992)</w:t>
            </w:r>
          </w:p>
          <w:p w14:paraId="6689D2A1" w14:textId="2093E75D" w:rsidR="00132CF7" w:rsidRDefault="00132CF7">
            <w:pPr>
              <w:rPr>
                <w:color w:val="000000"/>
              </w:rPr>
            </w:pPr>
          </w:p>
        </w:tc>
      </w:tr>
      <w:tr w:rsidR="000A6422" w14:paraId="277D8E0B" w14:textId="77777777" w:rsidTr="000A6422">
        <w:trPr>
          <w:trHeight w:val="680"/>
        </w:trPr>
        <w:tc>
          <w:tcPr>
            <w:tcW w:w="10020" w:type="dxa"/>
            <w:tcBorders>
              <w:top w:val="nil"/>
              <w:left w:val="nil"/>
              <w:bottom w:val="nil"/>
              <w:right w:val="nil"/>
            </w:tcBorders>
            <w:shd w:val="clear" w:color="auto" w:fill="auto"/>
            <w:vAlign w:val="center"/>
            <w:hideMark/>
          </w:tcPr>
          <w:p w14:paraId="67A45C80" w14:textId="77777777" w:rsidR="000A6422" w:rsidRDefault="000A6422">
            <w:pPr>
              <w:rPr>
                <w:color w:val="000000"/>
              </w:rPr>
            </w:pPr>
            <w:r>
              <w:rPr>
                <w:color w:val="000000"/>
              </w:rPr>
              <w:t xml:space="preserve">Robert Zoller, 'The Astrologer as Military Advisor in the Middle Ages and Renaissance' (1976), &lt;https://www.virginastrology.com/library/shop/products/astrologer-military-advisor&gt;, [accessed 9 </w:t>
            </w:r>
            <w:proofErr w:type="gramStart"/>
            <w:r>
              <w:rPr>
                <w:color w:val="000000"/>
              </w:rPr>
              <w:t>April,</w:t>
            </w:r>
            <w:proofErr w:type="gramEnd"/>
            <w:r>
              <w:rPr>
                <w:color w:val="000000"/>
              </w:rPr>
              <w:t xml:space="preserve"> 2020]</w:t>
            </w:r>
          </w:p>
        </w:tc>
      </w:tr>
    </w:tbl>
    <w:p w14:paraId="2BA23A83" w14:textId="77777777" w:rsidR="000A6422" w:rsidRPr="00DB6C48" w:rsidRDefault="000A6422" w:rsidP="00B57078">
      <w:pPr>
        <w:pStyle w:val="NormalWeb"/>
        <w:rPr>
          <w:b/>
          <w:color w:val="000000" w:themeColor="text1"/>
        </w:rPr>
      </w:pPr>
    </w:p>
    <w:sectPr w:rsidR="000A6422" w:rsidRPr="00DB6C48" w:rsidSect="00E519D1">
      <w:headerReference w:type="even" r:id="rId11"/>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3B80D" w14:textId="77777777" w:rsidR="005768F2" w:rsidRDefault="005768F2" w:rsidP="003F6996">
      <w:r>
        <w:separator/>
      </w:r>
    </w:p>
  </w:endnote>
  <w:endnote w:type="continuationSeparator" w:id="0">
    <w:p w14:paraId="6DC80EBB" w14:textId="77777777" w:rsidR="005768F2" w:rsidRDefault="005768F2" w:rsidP="003F6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F2E999" w14:textId="77777777" w:rsidR="005768F2" w:rsidRDefault="005768F2" w:rsidP="003F6996">
      <w:r>
        <w:separator/>
      </w:r>
    </w:p>
  </w:footnote>
  <w:footnote w:type="continuationSeparator" w:id="0">
    <w:p w14:paraId="01871261" w14:textId="77777777" w:rsidR="005768F2" w:rsidRDefault="005768F2" w:rsidP="003F6996">
      <w:r>
        <w:continuationSeparator/>
      </w:r>
    </w:p>
  </w:footnote>
  <w:footnote w:id="1">
    <w:p w14:paraId="4350B6BC" w14:textId="77777777" w:rsidR="000A6422" w:rsidRPr="00D556FB" w:rsidRDefault="000A6422" w:rsidP="000A6422">
      <w:pPr>
        <w:rPr>
          <w:color w:val="000000"/>
          <w:sz w:val="20"/>
          <w:szCs w:val="20"/>
        </w:rPr>
      </w:pPr>
      <w:r>
        <w:rPr>
          <w:rStyle w:val="FootnoteReference"/>
        </w:rPr>
        <w:footnoteRef/>
      </w:r>
      <w:r>
        <w:t xml:space="preserve"> </w:t>
      </w:r>
      <w:r>
        <w:rPr>
          <w:color w:val="000000"/>
          <w:sz w:val="20"/>
          <w:szCs w:val="20"/>
        </w:rPr>
        <w:t xml:space="preserve">Nicholas Campion, </w:t>
      </w:r>
      <w:r>
        <w:rPr>
          <w:i/>
          <w:iCs/>
          <w:color w:val="000000"/>
          <w:sz w:val="20"/>
          <w:szCs w:val="20"/>
        </w:rPr>
        <w:t xml:space="preserve">A History of Western Astrology, Volume I1: The Medieval and Modern Worlds </w:t>
      </w:r>
      <w:r>
        <w:rPr>
          <w:color w:val="000000"/>
          <w:sz w:val="20"/>
          <w:szCs w:val="20"/>
        </w:rPr>
        <w:t>(New York and London: Continuum Books, 2009)</w:t>
      </w:r>
      <w:r w:rsidRPr="00D556FB">
        <w:rPr>
          <w:color w:val="000000"/>
          <w:sz w:val="20"/>
          <w:szCs w:val="20"/>
        </w:rPr>
        <w:t xml:space="preserve">, pp. </w:t>
      </w:r>
      <w:r>
        <w:rPr>
          <w:color w:val="000000"/>
          <w:sz w:val="20"/>
          <w:szCs w:val="20"/>
        </w:rPr>
        <w:t>29</w:t>
      </w:r>
    </w:p>
  </w:footnote>
  <w:footnote w:id="2">
    <w:p w14:paraId="0A7F1F92" w14:textId="77777777" w:rsidR="000A6422" w:rsidRPr="00C92C0B" w:rsidRDefault="000A6422" w:rsidP="000A6422">
      <w:pPr>
        <w:rPr>
          <w:color w:val="000000"/>
          <w:sz w:val="20"/>
          <w:szCs w:val="20"/>
        </w:rPr>
      </w:pPr>
      <w:r>
        <w:rPr>
          <w:rStyle w:val="FootnoteReference"/>
        </w:rPr>
        <w:footnoteRef/>
      </w:r>
      <w:r>
        <w:t xml:space="preserve"> </w:t>
      </w:r>
      <w:r w:rsidRPr="00C92C0B">
        <w:rPr>
          <w:color w:val="000000"/>
          <w:sz w:val="20"/>
          <w:szCs w:val="20"/>
        </w:rPr>
        <w:t xml:space="preserve">Charles Haskins, </w:t>
      </w:r>
      <w:r w:rsidRPr="00C92C0B">
        <w:rPr>
          <w:i/>
          <w:iCs/>
          <w:color w:val="000000"/>
          <w:sz w:val="20"/>
          <w:szCs w:val="20"/>
        </w:rPr>
        <w:t>The Renaissance of the Twelfth Century</w:t>
      </w:r>
      <w:r w:rsidRPr="00C92C0B">
        <w:rPr>
          <w:color w:val="000000"/>
          <w:sz w:val="20"/>
          <w:szCs w:val="20"/>
        </w:rPr>
        <w:t xml:space="preserve"> (Cambridge, MA: Harvard University Press, 1927) p</w:t>
      </w:r>
      <w:r>
        <w:rPr>
          <w:color w:val="000000"/>
          <w:sz w:val="20"/>
          <w:szCs w:val="20"/>
        </w:rPr>
        <w:t>p. 278-279</w:t>
      </w:r>
    </w:p>
  </w:footnote>
  <w:footnote w:id="3">
    <w:p w14:paraId="49EACC46" w14:textId="77777777" w:rsidR="000A6422" w:rsidRPr="000318A3" w:rsidRDefault="000A6422" w:rsidP="000A6422">
      <w:pPr>
        <w:rPr>
          <w:color w:val="000000"/>
          <w:sz w:val="20"/>
          <w:szCs w:val="20"/>
        </w:rPr>
      </w:pPr>
      <w:r>
        <w:rPr>
          <w:rStyle w:val="FootnoteReference"/>
        </w:rPr>
        <w:footnoteRef/>
      </w:r>
      <w:r>
        <w:t xml:space="preserve"> </w:t>
      </w:r>
      <w:r w:rsidRPr="000318A3">
        <w:rPr>
          <w:color w:val="000000"/>
          <w:sz w:val="20"/>
          <w:szCs w:val="20"/>
        </w:rPr>
        <w:t xml:space="preserve">Meira B. Epstein, 'Rabbi Avraham Ibn Ezra', </w:t>
      </w:r>
      <w:r w:rsidRPr="000318A3">
        <w:rPr>
          <w:i/>
          <w:iCs/>
          <w:color w:val="000000"/>
          <w:sz w:val="20"/>
          <w:szCs w:val="20"/>
        </w:rPr>
        <w:t xml:space="preserve">Astrology with Meira </w:t>
      </w:r>
      <w:r w:rsidRPr="000318A3">
        <w:rPr>
          <w:color w:val="000000"/>
          <w:sz w:val="20"/>
          <w:szCs w:val="20"/>
        </w:rPr>
        <w:t xml:space="preserve">(2002), &lt;http://bear-star.com/article%20-%20ibn%20ezra%20-%20life%20and%20work.htm&gt;, [accessed 12 </w:t>
      </w:r>
      <w:proofErr w:type="gramStart"/>
      <w:r w:rsidRPr="000318A3">
        <w:rPr>
          <w:color w:val="000000"/>
          <w:sz w:val="20"/>
          <w:szCs w:val="20"/>
        </w:rPr>
        <w:t>March,</w:t>
      </w:r>
      <w:proofErr w:type="gramEnd"/>
      <w:r w:rsidRPr="000318A3">
        <w:rPr>
          <w:color w:val="000000"/>
          <w:sz w:val="20"/>
          <w:szCs w:val="20"/>
        </w:rPr>
        <w:t xml:space="preserve"> 2020]</w:t>
      </w:r>
    </w:p>
  </w:footnote>
  <w:footnote w:id="4">
    <w:p w14:paraId="4FAB8806" w14:textId="77777777" w:rsidR="000A6422" w:rsidRPr="000318A3" w:rsidRDefault="000A6422" w:rsidP="000A6422">
      <w:pPr>
        <w:rPr>
          <w:color w:val="000000"/>
          <w:sz w:val="20"/>
          <w:szCs w:val="20"/>
        </w:rPr>
      </w:pPr>
      <w:r>
        <w:rPr>
          <w:rStyle w:val="FootnoteReference"/>
        </w:rPr>
        <w:footnoteRef/>
      </w:r>
      <w:r>
        <w:t xml:space="preserve"> </w:t>
      </w:r>
      <w:r w:rsidRPr="000318A3">
        <w:rPr>
          <w:color w:val="000000"/>
          <w:sz w:val="20"/>
          <w:szCs w:val="20"/>
        </w:rPr>
        <w:t>Epstein, 'Rabbi Avraham Ibn Ezra'</w:t>
      </w:r>
      <w:r>
        <w:rPr>
          <w:color w:val="000000"/>
          <w:sz w:val="20"/>
          <w:szCs w:val="20"/>
        </w:rPr>
        <w:t xml:space="preserve">; </w:t>
      </w:r>
      <w:r w:rsidRPr="00041C7D">
        <w:rPr>
          <w:color w:val="000000"/>
          <w:sz w:val="20"/>
          <w:szCs w:val="20"/>
        </w:rPr>
        <w:t xml:space="preserve">James Herschel Holden, </w:t>
      </w:r>
      <w:r w:rsidRPr="00041C7D">
        <w:rPr>
          <w:i/>
          <w:iCs/>
          <w:color w:val="000000"/>
          <w:sz w:val="20"/>
          <w:szCs w:val="20"/>
        </w:rPr>
        <w:t xml:space="preserve">A History of Horoscopic Astrology </w:t>
      </w:r>
      <w:r w:rsidRPr="00041C7D">
        <w:rPr>
          <w:color w:val="000000"/>
          <w:sz w:val="20"/>
          <w:szCs w:val="20"/>
        </w:rPr>
        <w:t xml:space="preserve">(Tempe, AZ: American Federation of Astrologers, 2006), p. </w:t>
      </w:r>
      <w:r>
        <w:rPr>
          <w:color w:val="000000"/>
          <w:sz w:val="20"/>
          <w:szCs w:val="20"/>
        </w:rPr>
        <w:t>132</w:t>
      </w:r>
    </w:p>
  </w:footnote>
  <w:footnote w:id="5">
    <w:p w14:paraId="028E2BEB" w14:textId="77777777" w:rsidR="000A6422" w:rsidRPr="00532003" w:rsidRDefault="000A6422" w:rsidP="000A6422">
      <w:pPr>
        <w:pStyle w:val="FootnoteText"/>
        <w:rPr>
          <w:color w:val="000000" w:themeColor="text1"/>
        </w:rPr>
      </w:pPr>
      <w:r>
        <w:rPr>
          <w:rStyle w:val="FootnoteReference"/>
        </w:rPr>
        <w:footnoteRef/>
      </w:r>
      <w:r>
        <w:t xml:space="preserve"> </w:t>
      </w:r>
      <w:r>
        <w:rPr>
          <w:color w:val="FF40FF"/>
        </w:rPr>
        <w:t xml:space="preserve">Zambelli citation needed, </w:t>
      </w:r>
      <w:r>
        <w:rPr>
          <w:color w:val="000000" w:themeColor="text1"/>
        </w:rPr>
        <w:t>p. 51</w:t>
      </w:r>
    </w:p>
  </w:footnote>
  <w:footnote w:id="6">
    <w:p w14:paraId="233792C4" w14:textId="77777777" w:rsidR="000A6422" w:rsidRPr="00041C7D" w:rsidRDefault="000A6422" w:rsidP="000A6422">
      <w:pPr>
        <w:rPr>
          <w:color w:val="000000"/>
          <w:sz w:val="20"/>
          <w:szCs w:val="20"/>
        </w:rPr>
      </w:pPr>
      <w:r>
        <w:rPr>
          <w:rStyle w:val="FootnoteReference"/>
        </w:rPr>
        <w:footnoteRef/>
      </w:r>
      <w:r>
        <w:t xml:space="preserve"> </w:t>
      </w:r>
      <w:r w:rsidRPr="00041C7D">
        <w:rPr>
          <w:color w:val="000000"/>
          <w:sz w:val="20"/>
          <w:szCs w:val="20"/>
        </w:rPr>
        <w:t xml:space="preserve">Holden, </w:t>
      </w:r>
      <w:r w:rsidRPr="00041C7D">
        <w:rPr>
          <w:i/>
          <w:iCs/>
          <w:color w:val="000000"/>
          <w:sz w:val="20"/>
          <w:szCs w:val="20"/>
        </w:rPr>
        <w:t>A History of Horoscopic Astrology</w:t>
      </w:r>
      <w:r w:rsidRPr="00041C7D">
        <w:rPr>
          <w:color w:val="000000"/>
          <w:sz w:val="20"/>
          <w:szCs w:val="20"/>
        </w:rPr>
        <w:t xml:space="preserve">, p. </w:t>
      </w:r>
      <w:r>
        <w:rPr>
          <w:color w:val="000000"/>
          <w:sz w:val="20"/>
          <w:szCs w:val="20"/>
        </w:rPr>
        <w:t>135</w:t>
      </w:r>
    </w:p>
  </w:footnote>
  <w:footnote w:id="7">
    <w:p w14:paraId="26062C1E" w14:textId="77777777" w:rsidR="000A6422" w:rsidRPr="00AC1062" w:rsidRDefault="000A6422" w:rsidP="000A6422">
      <w:pPr>
        <w:rPr>
          <w:color w:val="000000"/>
          <w:sz w:val="20"/>
          <w:szCs w:val="20"/>
        </w:rPr>
      </w:pPr>
      <w:r>
        <w:rPr>
          <w:rStyle w:val="FootnoteReference"/>
        </w:rPr>
        <w:footnoteRef/>
      </w:r>
      <w:r>
        <w:t xml:space="preserve"> </w:t>
      </w:r>
      <w:r w:rsidRPr="00AC1062">
        <w:rPr>
          <w:color w:val="000000"/>
          <w:sz w:val="20"/>
          <w:szCs w:val="20"/>
        </w:rPr>
        <w:t xml:space="preserve">Anthony J. Parel, </w:t>
      </w:r>
      <w:r w:rsidRPr="00AC1062">
        <w:rPr>
          <w:i/>
          <w:iCs/>
          <w:color w:val="000000"/>
          <w:sz w:val="20"/>
          <w:szCs w:val="20"/>
        </w:rPr>
        <w:t xml:space="preserve">The Machiavellian Cosmos </w:t>
      </w:r>
      <w:r w:rsidRPr="00AC1062">
        <w:rPr>
          <w:color w:val="000000"/>
          <w:sz w:val="20"/>
          <w:szCs w:val="20"/>
        </w:rPr>
        <w:t>(New Haven and London: Yale University Press, 1992), p. 13</w:t>
      </w:r>
    </w:p>
  </w:footnote>
  <w:footnote w:id="8">
    <w:p w14:paraId="55D74D3E" w14:textId="77777777" w:rsidR="000A6422" w:rsidRPr="00C92C0B" w:rsidRDefault="000A6422" w:rsidP="000A6422">
      <w:pPr>
        <w:rPr>
          <w:color w:val="000000"/>
          <w:sz w:val="20"/>
          <w:szCs w:val="20"/>
        </w:rPr>
      </w:pPr>
      <w:r>
        <w:rPr>
          <w:rStyle w:val="FootnoteReference"/>
        </w:rPr>
        <w:footnoteRef/>
      </w:r>
      <w:r>
        <w:t xml:space="preserve"> </w:t>
      </w:r>
      <w:r w:rsidRPr="00C92C0B">
        <w:rPr>
          <w:color w:val="000000"/>
          <w:sz w:val="20"/>
          <w:szCs w:val="20"/>
        </w:rPr>
        <w:t xml:space="preserve">Edward Grant, 'A New Look at Medieval Cosmology, 1200-1687', </w:t>
      </w:r>
      <w:r w:rsidRPr="00C92C0B">
        <w:rPr>
          <w:i/>
          <w:iCs/>
          <w:color w:val="000000"/>
          <w:sz w:val="20"/>
          <w:szCs w:val="20"/>
        </w:rPr>
        <w:t>Proceedings of the American Philosophical Society</w:t>
      </w:r>
      <w:r w:rsidRPr="00C92C0B">
        <w:rPr>
          <w:color w:val="000000"/>
          <w:sz w:val="20"/>
          <w:szCs w:val="20"/>
        </w:rPr>
        <w:t>, vol. 129, no. 4 (1955), p</w:t>
      </w:r>
      <w:r>
        <w:rPr>
          <w:color w:val="000000"/>
          <w:sz w:val="20"/>
          <w:szCs w:val="20"/>
        </w:rPr>
        <w:t>. 417, 419</w:t>
      </w:r>
    </w:p>
  </w:footnote>
  <w:footnote w:id="9">
    <w:p w14:paraId="3FBB3544" w14:textId="77777777" w:rsidR="000A6422" w:rsidRPr="009B67B0" w:rsidRDefault="000A6422" w:rsidP="000A6422">
      <w:pPr>
        <w:rPr>
          <w:color w:val="000000"/>
          <w:sz w:val="20"/>
          <w:szCs w:val="20"/>
        </w:rPr>
      </w:pPr>
      <w:r>
        <w:rPr>
          <w:rStyle w:val="FootnoteReference"/>
        </w:rPr>
        <w:footnoteRef/>
      </w:r>
      <w:r>
        <w:t xml:space="preserve"> </w:t>
      </w:r>
      <w:r>
        <w:rPr>
          <w:color w:val="000000"/>
          <w:sz w:val="20"/>
          <w:szCs w:val="20"/>
        </w:rPr>
        <w:t xml:space="preserve">David J. Collins, 'Albertus, Magnus or Magus? Magic, Natural Philosophy, and Religious Reform in the Late Middle Ages', </w:t>
      </w:r>
      <w:r>
        <w:rPr>
          <w:i/>
          <w:iCs/>
          <w:color w:val="000000"/>
          <w:sz w:val="20"/>
          <w:szCs w:val="20"/>
        </w:rPr>
        <w:t>Renaissance Quarterly</w:t>
      </w:r>
      <w:r>
        <w:rPr>
          <w:color w:val="000000"/>
          <w:sz w:val="20"/>
          <w:szCs w:val="20"/>
        </w:rPr>
        <w:t>, vol. 63, no. 1 (2010), p. 2</w:t>
      </w:r>
    </w:p>
  </w:footnote>
  <w:footnote w:id="10">
    <w:p w14:paraId="0BF74135" w14:textId="77777777" w:rsidR="000A6422" w:rsidRPr="00EF756C" w:rsidRDefault="000A6422" w:rsidP="000A6422">
      <w:pPr>
        <w:rPr>
          <w:color w:val="000000"/>
          <w:sz w:val="20"/>
          <w:szCs w:val="20"/>
        </w:rPr>
      </w:pPr>
      <w:r>
        <w:rPr>
          <w:rStyle w:val="FootnoteReference"/>
        </w:rPr>
        <w:footnoteRef/>
      </w:r>
      <w:r>
        <w:t xml:space="preserve"> </w:t>
      </w:r>
      <w:r w:rsidRPr="00EF756C">
        <w:rPr>
          <w:color w:val="000000"/>
          <w:sz w:val="20"/>
          <w:szCs w:val="20"/>
        </w:rPr>
        <w:t xml:space="preserve">Helen S. Lang, 'Aristotelian Physics: Teleological Procedure in Aristotle, Thomas, and Buridan', </w:t>
      </w:r>
      <w:r w:rsidRPr="00EF756C">
        <w:rPr>
          <w:i/>
          <w:iCs/>
          <w:color w:val="000000"/>
          <w:sz w:val="20"/>
          <w:szCs w:val="20"/>
        </w:rPr>
        <w:t>The Review of Metaphysics</w:t>
      </w:r>
      <w:r w:rsidRPr="00EF756C">
        <w:rPr>
          <w:color w:val="000000"/>
          <w:sz w:val="20"/>
          <w:szCs w:val="20"/>
        </w:rPr>
        <w:t>, Vol. 42 (1989), p. 569</w:t>
      </w:r>
    </w:p>
  </w:footnote>
  <w:footnote w:id="11">
    <w:p w14:paraId="278D3704" w14:textId="77777777" w:rsidR="000A6422" w:rsidRDefault="000A6422" w:rsidP="000A6422">
      <w:pPr>
        <w:pStyle w:val="FootnoteText"/>
      </w:pPr>
      <w:r>
        <w:rPr>
          <w:rStyle w:val="FootnoteReference"/>
        </w:rPr>
        <w:footnoteRef/>
      </w:r>
      <w:r w:rsidRPr="008151CB">
        <w:t xml:space="preserve">William James, </w:t>
      </w:r>
      <w:r w:rsidRPr="008151CB">
        <w:rPr>
          <w:i/>
          <w:iCs/>
        </w:rPr>
        <w:t>The Will to Believe: And Other Essays in Popular Philosophy</w:t>
      </w:r>
      <w:r w:rsidRPr="008151CB">
        <w:t xml:space="preserve"> (New York, </w:t>
      </w:r>
      <w:proofErr w:type="gramStart"/>
      <w:r w:rsidRPr="008151CB">
        <w:t>London</w:t>
      </w:r>
      <w:proofErr w:type="gramEnd"/>
      <w:r w:rsidRPr="008151CB">
        <w:t xml:space="preserve"> and Bombay: Longmans Green and Co, 1907), p. 15</w:t>
      </w:r>
      <w:r>
        <w:t>0</w:t>
      </w:r>
    </w:p>
  </w:footnote>
  <w:footnote w:id="12">
    <w:p w14:paraId="6F846719" w14:textId="77777777" w:rsidR="000A6422" w:rsidRPr="00927E5A" w:rsidRDefault="000A6422" w:rsidP="000A6422">
      <w:pPr>
        <w:rPr>
          <w:color w:val="000000"/>
          <w:sz w:val="20"/>
          <w:szCs w:val="20"/>
        </w:rPr>
      </w:pPr>
      <w:r>
        <w:rPr>
          <w:rStyle w:val="FootnoteReference"/>
        </w:rPr>
        <w:footnoteRef/>
      </w:r>
      <w:r>
        <w:t xml:space="preserve"> </w:t>
      </w:r>
      <w:r>
        <w:rPr>
          <w:color w:val="000000"/>
          <w:sz w:val="20"/>
          <w:szCs w:val="20"/>
        </w:rPr>
        <w:t xml:space="preserve">Geoffrey Elton, </w:t>
      </w:r>
      <w:r>
        <w:rPr>
          <w:i/>
          <w:iCs/>
          <w:color w:val="000000"/>
          <w:sz w:val="20"/>
          <w:szCs w:val="20"/>
        </w:rPr>
        <w:t xml:space="preserve">Return to </w:t>
      </w:r>
      <w:proofErr w:type="spellStart"/>
      <w:r>
        <w:rPr>
          <w:i/>
          <w:iCs/>
          <w:color w:val="000000"/>
          <w:sz w:val="20"/>
          <w:szCs w:val="20"/>
        </w:rPr>
        <w:t>Essintials</w:t>
      </w:r>
      <w:proofErr w:type="spellEnd"/>
      <w:r>
        <w:rPr>
          <w:i/>
          <w:iCs/>
          <w:color w:val="000000"/>
          <w:sz w:val="20"/>
          <w:szCs w:val="20"/>
        </w:rPr>
        <w:t xml:space="preserve">: Some Reflections on the Present State of Historical Study </w:t>
      </w:r>
      <w:r>
        <w:rPr>
          <w:color w:val="000000"/>
          <w:sz w:val="20"/>
          <w:szCs w:val="20"/>
        </w:rPr>
        <w:t>(Cambridge: Cambridge University Press, 1992), p. 51</w:t>
      </w:r>
    </w:p>
  </w:footnote>
  <w:footnote w:id="13">
    <w:p w14:paraId="45741155" w14:textId="77777777" w:rsidR="000A6422" w:rsidRPr="002F7A07" w:rsidRDefault="000A6422" w:rsidP="000A6422">
      <w:pPr>
        <w:rPr>
          <w:color w:val="000000"/>
          <w:sz w:val="20"/>
          <w:szCs w:val="20"/>
        </w:rPr>
      </w:pPr>
      <w:r>
        <w:rPr>
          <w:rStyle w:val="FootnoteReference"/>
        </w:rPr>
        <w:footnoteRef/>
      </w:r>
      <w:r>
        <w:t xml:space="preserve"> </w:t>
      </w:r>
      <w:r w:rsidRPr="0016687B">
        <w:rPr>
          <w:color w:val="000000"/>
          <w:sz w:val="20"/>
          <w:szCs w:val="20"/>
        </w:rPr>
        <w:t xml:space="preserve">Abraham Ibn Ezra, </w:t>
      </w:r>
      <w:r w:rsidRPr="0016687B">
        <w:rPr>
          <w:i/>
          <w:iCs/>
          <w:color w:val="000000"/>
          <w:sz w:val="20"/>
          <w:szCs w:val="20"/>
        </w:rPr>
        <w:t>The Beginning of Wisdom</w:t>
      </w:r>
      <w:r w:rsidRPr="0016687B">
        <w:rPr>
          <w:color w:val="000000"/>
          <w:sz w:val="20"/>
          <w:szCs w:val="20"/>
        </w:rPr>
        <w:t>,</w:t>
      </w:r>
      <w:r w:rsidRPr="0016687B">
        <w:rPr>
          <w:i/>
          <w:iCs/>
          <w:color w:val="000000"/>
          <w:sz w:val="20"/>
          <w:szCs w:val="20"/>
        </w:rPr>
        <w:t xml:space="preserve"> </w:t>
      </w:r>
      <w:r w:rsidRPr="0016687B">
        <w:rPr>
          <w:color w:val="000000"/>
          <w:sz w:val="20"/>
          <w:szCs w:val="20"/>
        </w:rPr>
        <w:t xml:space="preserve">trans. by Shlomo Sela, in </w:t>
      </w:r>
      <w:r w:rsidRPr="0016687B">
        <w:rPr>
          <w:i/>
          <w:iCs/>
          <w:color w:val="000000"/>
          <w:sz w:val="20"/>
          <w:szCs w:val="20"/>
        </w:rPr>
        <w:t xml:space="preserve">Abraham </w:t>
      </w:r>
      <w:proofErr w:type="gramStart"/>
      <w:r w:rsidRPr="0016687B">
        <w:rPr>
          <w:i/>
          <w:iCs/>
          <w:color w:val="000000"/>
          <w:sz w:val="20"/>
          <w:szCs w:val="20"/>
        </w:rPr>
        <w:t>Ibn</w:t>
      </w:r>
      <w:proofErr w:type="gramEnd"/>
      <w:r w:rsidRPr="0016687B">
        <w:rPr>
          <w:i/>
          <w:iCs/>
          <w:color w:val="000000"/>
          <w:sz w:val="20"/>
          <w:szCs w:val="20"/>
        </w:rPr>
        <w:t xml:space="preserve"> Ezra's Introductions to Astrology,</w:t>
      </w:r>
      <w:r w:rsidRPr="0016687B">
        <w:rPr>
          <w:color w:val="000000"/>
          <w:sz w:val="20"/>
          <w:szCs w:val="20"/>
        </w:rPr>
        <w:t xml:space="preserve"> ed. by Shlomo Sela (Leiden: Brill, 2017), p. 4</w:t>
      </w:r>
      <w:r>
        <w:rPr>
          <w:color w:val="000000"/>
          <w:sz w:val="20"/>
          <w:szCs w:val="20"/>
        </w:rPr>
        <w:t>9</w:t>
      </w:r>
    </w:p>
  </w:footnote>
  <w:footnote w:id="14">
    <w:p w14:paraId="10C9CF69" w14:textId="77777777" w:rsidR="000A6422" w:rsidRPr="007F1C66" w:rsidRDefault="000A6422" w:rsidP="000A6422">
      <w:pPr>
        <w:rPr>
          <w:color w:val="000000"/>
          <w:sz w:val="20"/>
          <w:szCs w:val="20"/>
        </w:rPr>
      </w:pPr>
      <w:r>
        <w:rPr>
          <w:rStyle w:val="FootnoteReference"/>
        </w:rPr>
        <w:footnoteRef/>
      </w:r>
      <w:r>
        <w:t xml:space="preserve"> </w:t>
      </w:r>
      <w:r w:rsidRPr="007F1C66">
        <w:rPr>
          <w:color w:val="000000"/>
          <w:sz w:val="20"/>
          <w:szCs w:val="20"/>
        </w:rPr>
        <w:t xml:space="preserve">Shlomo Sela, 'Notes to the Book of the Beginning of Wisdom' in </w:t>
      </w:r>
      <w:r w:rsidRPr="007F1C66">
        <w:rPr>
          <w:i/>
          <w:iCs/>
          <w:color w:val="000000"/>
          <w:sz w:val="20"/>
          <w:szCs w:val="20"/>
        </w:rPr>
        <w:t xml:space="preserve">Abraham </w:t>
      </w:r>
      <w:proofErr w:type="gramStart"/>
      <w:r w:rsidRPr="007F1C66">
        <w:rPr>
          <w:i/>
          <w:iCs/>
          <w:color w:val="000000"/>
          <w:sz w:val="20"/>
          <w:szCs w:val="20"/>
        </w:rPr>
        <w:t>Ibn</w:t>
      </w:r>
      <w:proofErr w:type="gramEnd"/>
      <w:r w:rsidRPr="007F1C66">
        <w:rPr>
          <w:i/>
          <w:iCs/>
          <w:color w:val="000000"/>
          <w:sz w:val="20"/>
          <w:szCs w:val="20"/>
        </w:rPr>
        <w:t xml:space="preserve"> Ezra's Introductions to Astrology, </w:t>
      </w:r>
      <w:r w:rsidRPr="007F1C66">
        <w:rPr>
          <w:color w:val="000000"/>
          <w:sz w:val="20"/>
          <w:szCs w:val="20"/>
        </w:rPr>
        <w:t>ed. by Shlomo Sela</w:t>
      </w:r>
      <w:r w:rsidRPr="007F1C66">
        <w:rPr>
          <w:i/>
          <w:iCs/>
          <w:color w:val="000000"/>
          <w:sz w:val="20"/>
          <w:szCs w:val="20"/>
        </w:rPr>
        <w:t xml:space="preserve"> </w:t>
      </w:r>
      <w:r w:rsidRPr="007F1C66">
        <w:rPr>
          <w:color w:val="000000"/>
          <w:sz w:val="20"/>
          <w:szCs w:val="20"/>
        </w:rPr>
        <w:t>(Leiden: Brill, 2017), p. 27</w:t>
      </w:r>
      <w:r>
        <w:rPr>
          <w:color w:val="000000"/>
          <w:sz w:val="20"/>
          <w:szCs w:val="20"/>
        </w:rPr>
        <w:t>5</w:t>
      </w:r>
    </w:p>
  </w:footnote>
  <w:footnote w:id="15">
    <w:p w14:paraId="2926A758" w14:textId="77777777" w:rsidR="000A6422" w:rsidRPr="006C319C" w:rsidRDefault="000A6422" w:rsidP="000A6422">
      <w:pPr>
        <w:rPr>
          <w:color w:val="000000"/>
          <w:sz w:val="20"/>
          <w:szCs w:val="20"/>
        </w:rPr>
      </w:pPr>
      <w:r>
        <w:rPr>
          <w:rStyle w:val="FootnoteReference"/>
        </w:rPr>
        <w:footnoteRef/>
      </w:r>
      <w:r>
        <w:t xml:space="preserve"> </w:t>
      </w:r>
      <w:r w:rsidRPr="006C319C">
        <w:rPr>
          <w:color w:val="000000"/>
          <w:sz w:val="20"/>
          <w:szCs w:val="20"/>
        </w:rPr>
        <w:t xml:space="preserve">Sela, 'Notes to the Book of the Beginning of Wisdom', </w:t>
      </w:r>
      <w:r w:rsidRPr="007F1C66">
        <w:rPr>
          <w:color w:val="000000"/>
          <w:sz w:val="20"/>
          <w:szCs w:val="20"/>
        </w:rPr>
        <w:t>p. 27</w:t>
      </w:r>
      <w:r>
        <w:rPr>
          <w:color w:val="000000"/>
          <w:sz w:val="20"/>
          <w:szCs w:val="20"/>
        </w:rPr>
        <w:t>5</w:t>
      </w:r>
    </w:p>
  </w:footnote>
  <w:footnote w:id="16">
    <w:p w14:paraId="4AEE9749" w14:textId="77777777" w:rsidR="000A6422" w:rsidRPr="00505162" w:rsidRDefault="000A6422" w:rsidP="000A6422">
      <w:pPr>
        <w:rPr>
          <w:color w:val="000000"/>
          <w:sz w:val="20"/>
          <w:szCs w:val="20"/>
        </w:rPr>
      </w:pPr>
      <w:r>
        <w:rPr>
          <w:rStyle w:val="FootnoteReference"/>
        </w:rPr>
        <w:footnoteRef/>
      </w:r>
      <w:r>
        <w:t xml:space="preserve"> </w:t>
      </w:r>
      <w:r w:rsidRPr="00505162">
        <w:rPr>
          <w:color w:val="000000"/>
          <w:sz w:val="20"/>
          <w:szCs w:val="20"/>
        </w:rPr>
        <w:t xml:space="preserve">Abraham Ibn Ezra, </w:t>
      </w:r>
      <w:r w:rsidRPr="00505162">
        <w:rPr>
          <w:i/>
          <w:iCs/>
          <w:color w:val="000000"/>
          <w:sz w:val="20"/>
          <w:szCs w:val="20"/>
        </w:rPr>
        <w:t>The Book of Nativities and Revolutions</w:t>
      </w:r>
      <w:r w:rsidRPr="00505162">
        <w:rPr>
          <w:color w:val="000000"/>
          <w:sz w:val="20"/>
          <w:szCs w:val="20"/>
        </w:rPr>
        <w:t xml:space="preserve">, trans. by Meira B. Epstein (Las Vegas, NV: Arhat Publications, 2008), p. </w:t>
      </w:r>
      <w:r>
        <w:rPr>
          <w:color w:val="000000"/>
          <w:sz w:val="20"/>
          <w:szCs w:val="20"/>
        </w:rPr>
        <w:t>3</w:t>
      </w:r>
    </w:p>
  </w:footnote>
  <w:footnote w:id="17">
    <w:p w14:paraId="3E2EADD3" w14:textId="77777777" w:rsidR="000A6422" w:rsidRPr="00233286" w:rsidRDefault="000A6422" w:rsidP="000A6422">
      <w:pPr>
        <w:rPr>
          <w:color w:val="000000"/>
          <w:sz w:val="20"/>
          <w:szCs w:val="20"/>
        </w:rPr>
      </w:pPr>
      <w:r>
        <w:rPr>
          <w:rStyle w:val="FootnoteReference"/>
        </w:rPr>
        <w:footnoteRef/>
      </w:r>
      <w:r>
        <w:t xml:space="preserve"> </w:t>
      </w:r>
      <w:r w:rsidRPr="00233286">
        <w:rPr>
          <w:color w:val="000000"/>
          <w:sz w:val="20"/>
          <w:szCs w:val="20"/>
        </w:rPr>
        <w:t xml:space="preserve">Ibn Ezra, </w:t>
      </w:r>
      <w:r w:rsidRPr="00233286">
        <w:rPr>
          <w:i/>
          <w:iCs/>
          <w:color w:val="000000"/>
          <w:sz w:val="20"/>
          <w:szCs w:val="20"/>
        </w:rPr>
        <w:t>The Book of Nativities and Revolutions</w:t>
      </w:r>
      <w:r w:rsidRPr="00233286">
        <w:rPr>
          <w:color w:val="000000"/>
          <w:sz w:val="20"/>
          <w:szCs w:val="20"/>
        </w:rPr>
        <w:t>, p. 3</w:t>
      </w:r>
    </w:p>
  </w:footnote>
  <w:footnote w:id="18">
    <w:p w14:paraId="1FCF5D7B"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3</w:t>
      </w:r>
      <w:r>
        <w:rPr>
          <w:color w:val="000000"/>
        </w:rPr>
        <w:t>-4</w:t>
      </w:r>
    </w:p>
  </w:footnote>
  <w:footnote w:id="19">
    <w:p w14:paraId="71420BC0"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xml:space="preserve">. </w:t>
      </w:r>
      <w:r>
        <w:rPr>
          <w:color w:val="000000"/>
        </w:rPr>
        <w:t>1-3</w:t>
      </w:r>
    </w:p>
  </w:footnote>
  <w:footnote w:id="20">
    <w:p w14:paraId="0DC9BD50" w14:textId="77777777" w:rsidR="000A6422" w:rsidRPr="00C92125" w:rsidRDefault="000A6422" w:rsidP="000A6422">
      <w:pPr>
        <w:rPr>
          <w:color w:val="000000"/>
          <w:sz w:val="20"/>
          <w:szCs w:val="20"/>
        </w:rPr>
      </w:pPr>
      <w:r>
        <w:rPr>
          <w:rStyle w:val="FootnoteReference"/>
        </w:rPr>
        <w:footnoteRef/>
      </w:r>
      <w:r>
        <w:t xml:space="preserve"> </w:t>
      </w:r>
      <w:r w:rsidRPr="00C92125">
        <w:rPr>
          <w:color w:val="000000"/>
          <w:sz w:val="20"/>
          <w:szCs w:val="20"/>
        </w:rPr>
        <w:t xml:space="preserve">Holden, </w:t>
      </w:r>
      <w:r w:rsidRPr="00C92125">
        <w:rPr>
          <w:i/>
          <w:iCs/>
          <w:color w:val="000000"/>
          <w:sz w:val="20"/>
          <w:szCs w:val="20"/>
        </w:rPr>
        <w:t>A History of Horoscopic Astrology</w:t>
      </w:r>
      <w:r w:rsidRPr="00C92125">
        <w:rPr>
          <w:color w:val="000000"/>
          <w:sz w:val="20"/>
          <w:szCs w:val="20"/>
        </w:rPr>
        <w:t xml:space="preserve">, p. </w:t>
      </w:r>
      <w:r>
        <w:rPr>
          <w:color w:val="000000"/>
          <w:sz w:val="20"/>
          <w:szCs w:val="20"/>
        </w:rPr>
        <w:t>136</w:t>
      </w:r>
    </w:p>
  </w:footnote>
  <w:footnote w:id="21">
    <w:p w14:paraId="0F706395" w14:textId="77777777" w:rsidR="000A6422" w:rsidRPr="004425C3" w:rsidRDefault="000A6422" w:rsidP="000A6422">
      <w:pPr>
        <w:rPr>
          <w:color w:val="000000"/>
          <w:sz w:val="20"/>
          <w:szCs w:val="20"/>
        </w:rPr>
      </w:pPr>
      <w:r>
        <w:rPr>
          <w:rStyle w:val="FootnoteReference"/>
        </w:rPr>
        <w:footnoteRef/>
      </w:r>
      <w:r>
        <w:t xml:space="preserve"> </w:t>
      </w:r>
      <w:r>
        <w:rPr>
          <w:color w:val="000000"/>
          <w:sz w:val="20"/>
          <w:szCs w:val="20"/>
        </w:rPr>
        <w:t xml:space="preserve">Paola Zambelli, </w:t>
      </w:r>
      <w:r>
        <w:rPr>
          <w:i/>
          <w:iCs/>
          <w:color w:val="000000"/>
          <w:sz w:val="20"/>
          <w:szCs w:val="20"/>
        </w:rPr>
        <w:t xml:space="preserve">The Speculum Astronomiae and Its Enigma </w:t>
      </w:r>
      <w:r>
        <w:rPr>
          <w:color w:val="000000"/>
          <w:sz w:val="20"/>
          <w:szCs w:val="20"/>
        </w:rPr>
        <w:t xml:space="preserve">(Dordrecht, </w:t>
      </w:r>
      <w:proofErr w:type="gramStart"/>
      <w:r>
        <w:rPr>
          <w:color w:val="000000"/>
          <w:sz w:val="20"/>
          <w:szCs w:val="20"/>
        </w:rPr>
        <w:t>Boston</w:t>
      </w:r>
      <w:proofErr w:type="gramEnd"/>
      <w:r>
        <w:rPr>
          <w:color w:val="000000"/>
          <w:sz w:val="20"/>
          <w:szCs w:val="20"/>
        </w:rPr>
        <w:t xml:space="preserve"> and London: Kluwer Academic Publishers, 1992), p. 9</w:t>
      </w:r>
    </w:p>
  </w:footnote>
  <w:footnote w:id="22">
    <w:p w14:paraId="65A90379" w14:textId="77777777" w:rsidR="000A6422" w:rsidRPr="00F15793" w:rsidRDefault="000A6422" w:rsidP="000A6422">
      <w:pPr>
        <w:rPr>
          <w:color w:val="000000"/>
          <w:sz w:val="20"/>
          <w:szCs w:val="20"/>
        </w:rPr>
      </w:pPr>
      <w:r>
        <w:rPr>
          <w:rStyle w:val="FootnoteReference"/>
        </w:rPr>
        <w:footnoteRef/>
      </w:r>
      <w:r>
        <w:t xml:space="preserve"> </w:t>
      </w:r>
      <w:r>
        <w:rPr>
          <w:color w:val="000000"/>
          <w:sz w:val="20"/>
          <w:szCs w:val="20"/>
        </w:rPr>
        <w:t xml:space="preserve">Zambelli, </w:t>
      </w:r>
      <w:r>
        <w:rPr>
          <w:i/>
          <w:iCs/>
          <w:color w:val="000000"/>
          <w:sz w:val="20"/>
          <w:szCs w:val="20"/>
        </w:rPr>
        <w:t>The Speculum Astronomiae and Its Enigma</w:t>
      </w:r>
      <w:r>
        <w:rPr>
          <w:color w:val="000000"/>
          <w:sz w:val="20"/>
          <w:szCs w:val="20"/>
        </w:rPr>
        <w:t>, p. 14</w:t>
      </w:r>
    </w:p>
  </w:footnote>
  <w:footnote w:id="23">
    <w:p w14:paraId="1FF72994" w14:textId="77777777" w:rsidR="000A6422" w:rsidRPr="00F15793" w:rsidRDefault="000A6422" w:rsidP="000A6422">
      <w:pPr>
        <w:rPr>
          <w:color w:val="000000"/>
          <w:sz w:val="20"/>
          <w:szCs w:val="20"/>
        </w:rPr>
      </w:pPr>
      <w:r>
        <w:rPr>
          <w:rStyle w:val="FootnoteReference"/>
        </w:rPr>
        <w:footnoteRef/>
      </w:r>
      <w:r>
        <w:t xml:space="preserve"> </w:t>
      </w:r>
      <w:r>
        <w:rPr>
          <w:color w:val="000000"/>
          <w:sz w:val="20"/>
          <w:szCs w:val="20"/>
        </w:rPr>
        <w:t xml:space="preserve">Zambelli, </w:t>
      </w:r>
      <w:r>
        <w:rPr>
          <w:i/>
          <w:iCs/>
          <w:color w:val="000000"/>
          <w:sz w:val="20"/>
          <w:szCs w:val="20"/>
        </w:rPr>
        <w:t>The Speculum Astronomiae and Its Enigma</w:t>
      </w:r>
      <w:r>
        <w:rPr>
          <w:color w:val="000000"/>
          <w:sz w:val="20"/>
          <w:szCs w:val="20"/>
        </w:rPr>
        <w:t>, p. 67</w:t>
      </w:r>
    </w:p>
  </w:footnote>
  <w:footnote w:id="24">
    <w:p w14:paraId="6802C677" w14:textId="77777777" w:rsidR="000A6422" w:rsidRDefault="000A6422" w:rsidP="000A6422">
      <w:pPr>
        <w:pStyle w:val="FootnoteText"/>
      </w:pPr>
      <w:r>
        <w:rPr>
          <w:rStyle w:val="FootnoteReference"/>
        </w:rPr>
        <w:footnoteRef/>
      </w:r>
      <w:r>
        <w:t xml:space="preserve"> </w:t>
      </w:r>
      <w:r>
        <w:rPr>
          <w:color w:val="000000"/>
        </w:rPr>
        <w:t xml:space="preserve">Zambelli, </w:t>
      </w:r>
      <w:r>
        <w:rPr>
          <w:i/>
          <w:iCs/>
          <w:color w:val="000000"/>
        </w:rPr>
        <w:t>The Speculum Astronomiae and Its Enigma</w:t>
      </w:r>
      <w:r>
        <w:rPr>
          <w:color w:val="000000"/>
        </w:rPr>
        <w:t>, p. 67</w:t>
      </w:r>
    </w:p>
  </w:footnote>
  <w:footnote w:id="25">
    <w:p w14:paraId="4D84A9CF" w14:textId="77777777" w:rsidR="000A6422" w:rsidRPr="009B4C7C" w:rsidRDefault="000A6422" w:rsidP="000A6422">
      <w:pPr>
        <w:rPr>
          <w:color w:val="000000"/>
          <w:sz w:val="20"/>
          <w:szCs w:val="20"/>
        </w:rPr>
      </w:pPr>
      <w:r>
        <w:rPr>
          <w:rStyle w:val="FootnoteReference"/>
        </w:rPr>
        <w:footnoteRef/>
      </w:r>
      <w:r>
        <w:t xml:space="preserve"> </w:t>
      </w:r>
      <w:r w:rsidRPr="009B4C7C">
        <w:rPr>
          <w:color w:val="000000"/>
          <w:sz w:val="20"/>
          <w:szCs w:val="20"/>
        </w:rPr>
        <w:t xml:space="preserve">Lynn Thorndike, </w:t>
      </w:r>
      <w:r w:rsidRPr="009B4C7C">
        <w:rPr>
          <w:i/>
          <w:iCs/>
          <w:color w:val="000000"/>
          <w:sz w:val="20"/>
          <w:szCs w:val="20"/>
        </w:rPr>
        <w:t>A History of Magic and Experimental Science During the First Thirteen Centuries of Our Era, Volume II</w:t>
      </w:r>
      <w:r w:rsidRPr="009B4C7C">
        <w:rPr>
          <w:color w:val="000000"/>
          <w:sz w:val="20"/>
          <w:szCs w:val="20"/>
        </w:rPr>
        <w:t xml:space="preserve"> (New York: Columbia University Press, 1923), p</w:t>
      </w:r>
      <w:r>
        <w:rPr>
          <w:color w:val="000000"/>
          <w:sz w:val="20"/>
          <w:szCs w:val="20"/>
        </w:rPr>
        <w:t>. 584</w:t>
      </w:r>
    </w:p>
  </w:footnote>
  <w:footnote w:id="26">
    <w:p w14:paraId="75733739" w14:textId="77777777" w:rsidR="000A6422" w:rsidRDefault="000A6422" w:rsidP="000A6422">
      <w:pPr>
        <w:pStyle w:val="FootnoteText"/>
      </w:pPr>
      <w:r>
        <w:rPr>
          <w:rStyle w:val="FootnoteReference"/>
        </w:rPr>
        <w:footnoteRef/>
      </w:r>
      <w:r>
        <w:t xml:space="preserve"> </w:t>
      </w:r>
      <w:r>
        <w:rPr>
          <w:color w:val="000000"/>
        </w:rPr>
        <w:t xml:space="preserve">Zambelli, </w:t>
      </w:r>
      <w:r>
        <w:rPr>
          <w:i/>
          <w:iCs/>
          <w:color w:val="000000"/>
        </w:rPr>
        <w:t>The Speculum Astronomiae and Its Enigma</w:t>
      </w:r>
      <w:r>
        <w:rPr>
          <w:color w:val="000000"/>
        </w:rPr>
        <w:t>, pp. 62-63, 67</w:t>
      </w:r>
    </w:p>
  </w:footnote>
  <w:footnote w:id="27">
    <w:p w14:paraId="601A7B6B" w14:textId="77777777" w:rsidR="000A6422" w:rsidRPr="002053DC" w:rsidRDefault="000A6422" w:rsidP="000A6422">
      <w:pPr>
        <w:pStyle w:val="FootnoteText"/>
        <w:rPr>
          <w:color w:val="FF40FF"/>
        </w:rPr>
      </w:pPr>
      <w:r>
        <w:rPr>
          <w:rStyle w:val="FootnoteReference"/>
        </w:rPr>
        <w:footnoteRef/>
      </w:r>
      <w:r>
        <w:t xml:space="preserve"> </w:t>
      </w:r>
      <w:r>
        <w:rPr>
          <w:color w:val="000000"/>
        </w:rPr>
        <w:t xml:space="preserve">Zambelli, </w:t>
      </w:r>
      <w:r>
        <w:rPr>
          <w:i/>
          <w:iCs/>
          <w:color w:val="000000"/>
        </w:rPr>
        <w:t>The Speculum Astronomiae and Its Enigma</w:t>
      </w:r>
      <w:r>
        <w:rPr>
          <w:color w:val="000000"/>
        </w:rPr>
        <w:t>, p. 14</w:t>
      </w:r>
    </w:p>
  </w:footnote>
  <w:footnote w:id="28">
    <w:p w14:paraId="72FD9F7E" w14:textId="77777777" w:rsidR="000A6422" w:rsidRPr="0027040E" w:rsidRDefault="000A6422" w:rsidP="000A6422">
      <w:pPr>
        <w:pStyle w:val="FootnoteText"/>
      </w:pPr>
      <w:r w:rsidRPr="0027040E">
        <w:rPr>
          <w:rStyle w:val="FootnoteReference"/>
          <w:color w:val="000000" w:themeColor="text1"/>
        </w:rPr>
        <w:footnoteRef/>
      </w:r>
      <w:r w:rsidRPr="0027040E">
        <w:rPr>
          <w:color w:val="000000" w:themeColor="text1"/>
        </w:rPr>
        <w:t xml:space="preserve"> Albertus Magnus, Speculum Astronomiae, trans. by C.S.F. Burnett et. al, in The Speculum Astronomiae and Its Enigma, by Paola Zambelli (Dordrecht, Boston and London: Kluwer Academic Publishers, 1992), p. 221 and Campion, </w:t>
      </w:r>
      <w:r w:rsidRPr="0027040E">
        <w:rPr>
          <w:i/>
          <w:iCs/>
          <w:color w:val="000000" w:themeColor="text1"/>
        </w:rPr>
        <w:t xml:space="preserve">A History of Western Astrology, </w:t>
      </w:r>
      <w:r w:rsidRPr="0027040E">
        <w:rPr>
          <w:color w:val="000000" w:themeColor="text1"/>
        </w:rPr>
        <w:t>p. 16</w:t>
      </w:r>
    </w:p>
  </w:footnote>
  <w:footnote w:id="29">
    <w:p w14:paraId="06DCACFF" w14:textId="77777777" w:rsidR="000A6422" w:rsidRPr="00E23FA5" w:rsidRDefault="000A6422" w:rsidP="000A6422">
      <w:pPr>
        <w:rPr>
          <w:color w:val="000000"/>
          <w:sz w:val="20"/>
          <w:szCs w:val="20"/>
        </w:rPr>
      </w:pPr>
      <w:r>
        <w:rPr>
          <w:rStyle w:val="FootnoteReference"/>
        </w:rPr>
        <w:footnoteRef/>
      </w:r>
      <w:r>
        <w:t xml:space="preserve"> </w:t>
      </w:r>
      <w:r w:rsidRPr="00E23FA5">
        <w:rPr>
          <w:color w:val="000000"/>
          <w:sz w:val="20"/>
          <w:szCs w:val="20"/>
        </w:rPr>
        <w:t xml:space="preserve">Albertus Magnus, </w:t>
      </w:r>
      <w:r w:rsidRPr="00E23FA5">
        <w:rPr>
          <w:i/>
          <w:iCs/>
          <w:color w:val="000000"/>
          <w:sz w:val="20"/>
          <w:szCs w:val="20"/>
        </w:rPr>
        <w:t>Speculum Astronomiae</w:t>
      </w:r>
      <w:r w:rsidRPr="00E23FA5">
        <w:rPr>
          <w:color w:val="000000"/>
          <w:sz w:val="20"/>
          <w:szCs w:val="20"/>
        </w:rPr>
        <w:t xml:space="preserve">, pp. </w:t>
      </w:r>
      <w:r>
        <w:rPr>
          <w:color w:val="000000"/>
          <w:sz w:val="20"/>
          <w:szCs w:val="20"/>
        </w:rPr>
        <w:t>221</w:t>
      </w:r>
    </w:p>
  </w:footnote>
  <w:footnote w:id="30">
    <w:p w14:paraId="5AE56ECE" w14:textId="77777777" w:rsidR="000A6422" w:rsidRPr="00671839" w:rsidRDefault="000A6422" w:rsidP="000A6422">
      <w:pPr>
        <w:rPr>
          <w:color w:val="000000"/>
          <w:sz w:val="20"/>
          <w:szCs w:val="20"/>
        </w:rPr>
      </w:pPr>
      <w:r>
        <w:rPr>
          <w:rStyle w:val="FootnoteReference"/>
        </w:rPr>
        <w:footnoteRef/>
      </w:r>
      <w:r>
        <w:t xml:space="preserve"> </w:t>
      </w:r>
      <w:r w:rsidRPr="00671839">
        <w:rPr>
          <w:color w:val="000000"/>
          <w:sz w:val="20"/>
          <w:szCs w:val="20"/>
        </w:rPr>
        <w:t xml:space="preserve">Albertus Magnus, </w:t>
      </w:r>
      <w:r w:rsidRPr="00671839">
        <w:rPr>
          <w:i/>
          <w:iCs/>
          <w:color w:val="000000"/>
          <w:sz w:val="20"/>
          <w:szCs w:val="20"/>
        </w:rPr>
        <w:t>Speculum Astronomiae</w:t>
      </w:r>
      <w:r w:rsidRPr="00671839">
        <w:rPr>
          <w:color w:val="000000"/>
          <w:sz w:val="20"/>
          <w:szCs w:val="20"/>
        </w:rPr>
        <w:t>, pp. 203-273</w:t>
      </w:r>
    </w:p>
  </w:footnote>
  <w:footnote w:id="31">
    <w:p w14:paraId="2ED8A935" w14:textId="77777777" w:rsidR="000A6422" w:rsidRPr="001650C3" w:rsidRDefault="000A6422" w:rsidP="000A6422">
      <w:pPr>
        <w:rPr>
          <w:color w:val="000000"/>
          <w:sz w:val="20"/>
          <w:szCs w:val="20"/>
        </w:rPr>
      </w:pPr>
      <w:r>
        <w:rPr>
          <w:rStyle w:val="FootnoteReference"/>
        </w:rPr>
        <w:footnoteRef/>
      </w:r>
      <w:r>
        <w:t xml:space="preserve"> </w:t>
      </w:r>
      <w:r w:rsidRPr="001650C3">
        <w:rPr>
          <w:color w:val="000000"/>
          <w:sz w:val="20"/>
          <w:szCs w:val="20"/>
        </w:rPr>
        <w:t xml:space="preserve">Benjamin Dykes, 'The Life of Guido Bonatti', (2007), Skyscript.co.uk, &lt;https://www.skyscript.co.uk/bonatti.html&gt;, [accessed: 2 </w:t>
      </w:r>
      <w:proofErr w:type="gramStart"/>
      <w:r w:rsidRPr="001650C3">
        <w:rPr>
          <w:color w:val="000000"/>
          <w:sz w:val="20"/>
          <w:szCs w:val="20"/>
        </w:rPr>
        <w:t>April,</w:t>
      </w:r>
      <w:proofErr w:type="gramEnd"/>
      <w:r w:rsidRPr="001650C3">
        <w:rPr>
          <w:color w:val="000000"/>
          <w:sz w:val="20"/>
          <w:szCs w:val="20"/>
        </w:rPr>
        <w:t xml:space="preserve"> 2020]</w:t>
      </w:r>
    </w:p>
  </w:footnote>
  <w:footnote w:id="32">
    <w:p w14:paraId="48E01DF6" w14:textId="77777777" w:rsidR="000A6422" w:rsidRPr="005F1FD1" w:rsidRDefault="000A6422" w:rsidP="000A6422">
      <w:pPr>
        <w:rPr>
          <w:color w:val="000000"/>
          <w:sz w:val="20"/>
          <w:szCs w:val="20"/>
        </w:rPr>
      </w:pPr>
      <w:r>
        <w:rPr>
          <w:rStyle w:val="FootnoteReference"/>
        </w:rPr>
        <w:footnoteRef/>
      </w:r>
      <w:r>
        <w:t xml:space="preserve"> </w:t>
      </w:r>
      <w:r w:rsidRPr="005F1FD1">
        <w:rPr>
          <w:color w:val="000000"/>
          <w:sz w:val="20"/>
          <w:szCs w:val="20"/>
        </w:rPr>
        <w:t xml:space="preserve">Guido Bonatti, </w:t>
      </w:r>
      <w:r w:rsidRPr="005F1FD1">
        <w:rPr>
          <w:i/>
          <w:iCs/>
          <w:color w:val="000000"/>
          <w:sz w:val="20"/>
          <w:szCs w:val="20"/>
        </w:rPr>
        <w:t>Liber Astronomiae</w:t>
      </w:r>
      <w:r w:rsidRPr="005F1FD1">
        <w:rPr>
          <w:color w:val="000000"/>
          <w:sz w:val="20"/>
          <w:szCs w:val="20"/>
        </w:rPr>
        <w:t xml:space="preserve">, </w:t>
      </w:r>
      <w:r w:rsidRPr="005F1FD1">
        <w:rPr>
          <w:i/>
          <w:iCs/>
          <w:color w:val="000000"/>
          <w:sz w:val="20"/>
          <w:szCs w:val="20"/>
        </w:rPr>
        <w:t>Treasise VI</w:t>
      </w:r>
      <w:r w:rsidRPr="005F1FD1">
        <w:rPr>
          <w:color w:val="000000"/>
          <w:sz w:val="20"/>
          <w:szCs w:val="20"/>
        </w:rPr>
        <w:t xml:space="preserve">, trans. by Robert Zoller in 'The Astrologer as Military Advisor in the Middle Ages and Renaissance', by Robert Zoller (1976), &lt;https://www.virginastrology.com/library/shop/products/astrologer-military-advisor&gt;, [accessed 9 </w:t>
      </w:r>
      <w:proofErr w:type="gramStart"/>
      <w:r w:rsidRPr="005F1FD1">
        <w:rPr>
          <w:color w:val="000000"/>
          <w:sz w:val="20"/>
          <w:szCs w:val="20"/>
        </w:rPr>
        <w:t>April,</w:t>
      </w:r>
      <w:proofErr w:type="gramEnd"/>
      <w:r w:rsidRPr="005F1FD1">
        <w:rPr>
          <w:color w:val="000000"/>
          <w:sz w:val="20"/>
          <w:szCs w:val="20"/>
        </w:rPr>
        <w:t xml:space="preserve"> 2020], p</w:t>
      </w:r>
      <w:r>
        <w:rPr>
          <w:color w:val="000000"/>
          <w:sz w:val="20"/>
          <w:szCs w:val="20"/>
        </w:rPr>
        <w:t>p. 20-22</w:t>
      </w:r>
    </w:p>
  </w:footnote>
  <w:footnote w:id="33">
    <w:p w14:paraId="58EA39B0" w14:textId="77777777" w:rsidR="000A6422" w:rsidRPr="001B364E" w:rsidRDefault="000A6422" w:rsidP="000A6422">
      <w:pPr>
        <w:rPr>
          <w:color w:val="000000"/>
          <w:sz w:val="20"/>
          <w:szCs w:val="20"/>
        </w:rPr>
      </w:pPr>
      <w:r>
        <w:rPr>
          <w:rStyle w:val="FootnoteReference"/>
        </w:rPr>
        <w:footnoteRef/>
      </w:r>
      <w:r>
        <w:t xml:space="preserve"> </w:t>
      </w:r>
      <w:r w:rsidRPr="001B364E">
        <w:rPr>
          <w:color w:val="000000"/>
          <w:sz w:val="20"/>
          <w:szCs w:val="20"/>
        </w:rPr>
        <w:t xml:space="preserve">Bonatti, </w:t>
      </w:r>
      <w:r w:rsidRPr="001B364E">
        <w:rPr>
          <w:i/>
          <w:iCs/>
          <w:color w:val="000000"/>
          <w:sz w:val="20"/>
          <w:szCs w:val="20"/>
        </w:rPr>
        <w:t>Liber Astronomiae</w:t>
      </w:r>
      <w:r w:rsidRPr="001B364E">
        <w:rPr>
          <w:color w:val="000000"/>
          <w:sz w:val="20"/>
          <w:szCs w:val="20"/>
        </w:rPr>
        <w:t xml:space="preserve">, </w:t>
      </w:r>
      <w:r w:rsidRPr="001B364E">
        <w:rPr>
          <w:i/>
          <w:iCs/>
          <w:color w:val="000000"/>
          <w:sz w:val="20"/>
          <w:szCs w:val="20"/>
        </w:rPr>
        <w:t>Treasise VI</w:t>
      </w:r>
      <w:r w:rsidRPr="001B364E">
        <w:rPr>
          <w:color w:val="000000"/>
          <w:sz w:val="20"/>
          <w:szCs w:val="20"/>
        </w:rPr>
        <w:t>, p.</w:t>
      </w:r>
      <w:r>
        <w:rPr>
          <w:color w:val="000000"/>
          <w:sz w:val="20"/>
          <w:szCs w:val="20"/>
        </w:rPr>
        <w:t xml:space="preserve"> 22</w:t>
      </w:r>
    </w:p>
  </w:footnote>
  <w:footnote w:id="34">
    <w:p w14:paraId="2CB3EE2E" w14:textId="77777777" w:rsidR="000A6422" w:rsidRDefault="000A6422" w:rsidP="000A6422">
      <w:pPr>
        <w:pStyle w:val="FootnoteText"/>
      </w:pPr>
      <w:r>
        <w:rPr>
          <w:rStyle w:val="FootnoteReference"/>
        </w:rPr>
        <w:footnoteRef/>
      </w:r>
      <w:r>
        <w:t xml:space="preserve"> </w:t>
      </w:r>
      <w:r w:rsidRPr="00945817">
        <w:rPr>
          <w:color w:val="000000"/>
        </w:rPr>
        <w:t xml:space="preserve">Robert Hand, 'Evidence in Bonatti for the Practical Application of Certain Astrological Techniques', in </w:t>
      </w:r>
      <w:r w:rsidRPr="00945817">
        <w:rPr>
          <w:i/>
          <w:iCs/>
          <w:color w:val="000000"/>
        </w:rPr>
        <w:t xml:space="preserve">From Masha’Allah to Kepler: Theory and Practice in Medieval and Renaissance Astrology, </w:t>
      </w:r>
      <w:r w:rsidRPr="00945817">
        <w:rPr>
          <w:color w:val="000000"/>
        </w:rPr>
        <w:t>ed. by Charles Burnett and Dorian Gieseler Greenbaum</w:t>
      </w:r>
      <w:r w:rsidRPr="00945817">
        <w:rPr>
          <w:i/>
          <w:iCs/>
          <w:color w:val="000000"/>
        </w:rPr>
        <w:t xml:space="preserve"> </w:t>
      </w:r>
      <w:r w:rsidRPr="00945817">
        <w:rPr>
          <w:color w:val="000000"/>
        </w:rPr>
        <w:t>(Ceredigion: Sophia Centre Press, 2015), p</w:t>
      </w:r>
      <w:r>
        <w:rPr>
          <w:color w:val="000000"/>
        </w:rPr>
        <w:t xml:space="preserve">. 209; </w:t>
      </w:r>
      <w:r w:rsidRPr="00AC1062">
        <w:t>Parel, The Machiavellian Cosmos, p. 13</w:t>
      </w:r>
    </w:p>
  </w:footnote>
  <w:footnote w:id="35">
    <w:p w14:paraId="0DC51B01" w14:textId="77777777" w:rsidR="000A6422" w:rsidRPr="002776E9" w:rsidRDefault="000A6422" w:rsidP="000A6422">
      <w:pPr>
        <w:rPr>
          <w:color w:val="000000"/>
          <w:sz w:val="20"/>
          <w:szCs w:val="20"/>
        </w:rPr>
      </w:pPr>
      <w:r>
        <w:rPr>
          <w:rStyle w:val="FootnoteReference"/>
        </w:rPr>
        <w:footnoteRef/>
      </w:r>
      <w:r>
        <w:t xml:space="preserve"> </w:t>
      </w:r>
      <w:r w:rsidRPr="002776E9">
        <w:rPr>
          <w:color w:val="000000"/>
          <w:sz w:val="20"/>
          <w:szCs w:val="20"/>
        </w:rPr>
        <w:t xml:space="preserve">Evans, </w:t>
      </w:r>
      <w:r w:rsidRPr="002776E9">
        <w:rPr>
          <w:i/>
          <w:iCs/>
          <w:color w:val="000000"/>
          <w:sz w:val="20"/>
          <w:szCs w:val="20"/>
        </w:rPr>
        <w:t>In Defen</w:t>
      </w:r>
      <w:r>
        <w:rPr>
          <w:i/>
          <w:iCs/>
          <w:color w:val="000000"/>
          <w:sz w:val="20"/>
          <w:szCs w:val="20"/>
        </w:rPr>
        <w:t>s</w:t>
      </w:r>
      <w:r w:rsidRPr="002776E9">
        <w:rPr>
          <w:i/>
          <w:iCs/>
          <w:color w:val="000000"/>
          <w:sz w:val="20"/>
          <w:szCs w:val="20"/>
        </w:rPr>
        <w:t>e of History</w:t>
      </w:r>
      <w:r w:rsidRPr="002776E9">
        <w:rPr>
          <w:color w:val="000000"/>
          <w:sz w:val="20"/>
          <w:szCs w:val="20"/>
        </w:rPr>
        <w:t xml:space="preserve">, p. </w:t>
      </w:r>
      <w:r>
        <w:rPr>
          <w:color w:val="000000"/>
          <w:sz w:val="20"/>
          <w:szCs w:val="20"/>
        </w:rPr>
        <w:t>75</w:t>
      </w:r>
    </w:p>
  </w:footnote>
  <w:footnote w:id="36">
    <w:p w14:paraId="5DA9A2FE" w14:textId="77777777" w:rsidR="000A6422" w:rsidRPr="007858D0" w:rsidRDefault="000A6422" w:rsidP="000A6422">
      <w:pPr>
        <w:rPr>
          <w:color w:val="000000"/>
          <w:sz w:val="20"/>
          <w:szCs w:val="20"/>
        </w:rPr>
      </w:pPr>
      <w:r>
        <w:rPr>
          <w:rStyle w:val="FootnoteReference"/>
        </w:rPr>
        <w:footnoteRef/>
      </w:r>
      <w:r>
        <w:t xml:space="preserve"> </w:t>
      </w:r>
      <w:r w:rsidRPr="007858D0">
        <w:rPr>
          <w:color w:val="000000"/>
          <w:sz w:val="20"/>
          <w:szCs w:val="20"/>
        </w:rPr>
        <w:t xml:space="preserve">Guido Bonatti, </w:t>
      </w:r>
      <w:r w:rsidRPr="007858D0">
        <w:rPr>
          <w:i/>
          <w:iCs/>
          <w:color w:val="000000"/>
          <w:sz w:val="20"/>
          <w:szCs w:val="20"/>
        </w:rPr>
        <w:t>Liber Astronomiae</w:t>
      </w:r>
      <w:r w:rsidRPr="007858D0">
        <w:rPr>
          <w:color w:val="000000"/>
          <w:sz w:val="20"/>
          <w:szCs w:val="20"/>
        </w:rPr>
        <w:t>, Part III, trans. by Robert Hand and Robert Zoller, ed. by Robert Hand and Robert Schmidt, (Berkeley Springs: Golden Hind Press, 1994), ch. VII, p</w:t>
      </w:r>
      <w:r>
        <w:rPr>
          <w:color w:val="000000"/>
          <w:sz w:val="20"/>
          <w:szCs w:val="20"/>
        </w:rPr>
        <w:t>. 36</w:t>
      </w:r>
    </w:p>
  </w:footnote>
  <w:footnote w:id="37">
    <w:p w14:paraId="4FDEDBDD" w14:textId="77777777" w:rsidR="000A6422" w:rsidRDefault="000A6422" w:rsidP="000A6422">
      <w:pPr>
        <w:pStyle w:val="FootnoteText"/>
      </w:pPr>
      <w:r>
        <w:rPr>
          <w:rStyle w:val="FootnoteReference"/>
        </w:rPr>
        <w:footnoteRef/>
      </w:r>
      <w:r>
        <w:t xml:space="preserve"> </w:t>
      </w:r>
      <w:r w:rsidRPr="007858D0">
        <w:rPr>
          <w:color w:val="000000"/>
        </w:rPr>
        <w:t xml:space="preserve">Guido Bonatti, </w:t>
      </w:r>
      <w:r w:rsidRPr="007858D0">
        <w:rPr>
          <w:i/>
          <w:iCs/>
          <w:color w:val="000000"/>
        </w:rPr>
        <w:t>Liber Astronomiae</w:t>
      </w:r>
      <w:r w:rsidRPr="007858D0">
        <w:rPr>
          <w:color w:val="000000"/>
        </w:rPr>
        <w:t>, Part III,</w:t>
      </w:r>
      <w:r>
        <w:rPr>
          <w:color w:val="000000"/>
        </w:rPr>
        <w:t xml:space="preserve"> </w:t>
      </w:r>
      <w:r w:rsidRPr="007858D0">
        <w:rPr>
          <w:color w:val="000000"/>
        </w:rPr>
        <w:t>ch. VII, p</w:t>
      </w:r>
      <w:r>
        <w:rPr>
          <w:color w:val="000000"/>
        </w:rPr>
        <w:t>. 36</w:t>
      </w:r>
    </w:p>
  </w:footnote>
  <w:footnote w:id="38">
    <w:p w14:paraId="33A59536"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xml:space="preserve">. </w:t>
      </w:r>
      <w:r>
        <w:rPr>
          <w:color w:val="000000"/>
        </w:rPr>
        <w:t>1-3</w:t>
      </w:r>
    </w:p>
  </w:footnote>
  <w:footnote w:id="39">
    <w:p w14:paraId="725A0FFB"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3</w:t>
      </w:r>
      <w:r>
        <w:rPr>
          <w:color w:val="000000"/>
        </w:rPr>
        <w:t xml:space="preserve">-4 and </w:t>
      </w:r>
      <w:r w:rsidRPr="006C319C">
        <w:rPr>
          <w:color w:val="000000"/>
        </w:rPr>
        <w:t xml:space="preserve">Sela, 'Notes to the Book of the Beginning of Wisdom', </w:t>
      </w:r>
      <w:r w:rsidRPr="007F1C66">
        <w:rPr>
          <w:color w:val="000000"/>
        </w:rPr>
        <w:t>p. 27</w:t>
      </w:r>
      <w:r>
        <w:rPr>
          <w:color w:val="000000"/>
        </w:rPr>
        <w:t>5</w:t>
      </w:r>
    </w:p>
  </w:footnote>
  <w:footnote w:id="40">
    <w:p w14:paraId="04240873" w14:textId="77777777" w:rsidR="000A6422" w:rsidRDefault="000A6422" w:rsidP="000A6422">
      <w:pPr>
        <w:pStyle w:val="FootnoteText"/>
      </w:pPr>
      <w:r>
        <w:rPr>
          <w:rStyle w:val="FootnoteReference"/>
        </w:rPr>
        <w:footnoteRef/>
      </w:r>
      <w:r>
        <w:t xml:space="preserve"> </w:t>
      </w:r>
      <w:r>
        <w:rPr>
          <w:color w:val="000000"/>
        </w:rPr>
        <w:t xml:space="preserve">Zambelli, </w:t>
      </w:r>
      <w:r>
        <w:rPr>
          <w:i/>
          <w:iCs/>
          <w:color w:val="000000"/>
        </w:rPr>
        <w:t>The Speculum Astronomiae and Its Enigma</w:t>
      </w:r>
      <w:r>
        <w:rPr>
          <w:color w:val="000000"/>
        </w:rPr>
        <w:t xml:space="preserve">, p. 14 and </w:t>
      </w:r>
      <w:r w:rsidRPr="00671839">
        <w:rPr>
          <w:color w:val="000000"/>
        </w:rPr>
        <w:t xml:space="preserve">Albertus Magnus, </w:t>
      </w:r>
      <w:r w:rsidRPr="00671839">
        <w:rPr>
          <w:i/>
          <w:iCs/>
          <w:color w:val="000000"/>
        </w:rPr>
        <w:t>Speculum Astronomiae</w:t>
      </w:r>
      <w:r w:rsidRPr="00671839">
        <w:rPr>
          <w:color w:val="000000"/>
        </w:rPr>
        <w:t>, pp. 203-273</w:t>
      </w:r>
    </w:p>
  </w:footnote>
  <w:footnote w:id="41">
    <w:p w14:paraId="7564C56B" w14:textId="77777777" w:rsidR="000A6422" w:rsidRDefault="000A6422" w:rsidP="000A6422">
      <w:pPr>
        <w:pStyle w:val="FootnoteText"/>
      </w:pPr>
      <w:r>
        <w:rPr>
          <w:rStyle w:val="FootnoteReference"/>
        </w:rPr>
        <w:footnoteRef/>
      </w:r>
      <w:r>
        <w:t xml:space="preserve"> </w:t>
      </w:r>
      <w:r>
        <w:rPr>
          <w:color w:val="000000"/>
        </w:rPr>
        <w:t xml:space="preserve">Bonatti, </w:t>
      </w:r>
      <w:r>
        <w:rPr>
          <w:i/>
          <w:iCs/>
          <w:color w:val="000000"/>
        </w:rPr>
        <w:t xml:space="preserve">Liber Astronomiae, Treatise V </w:t>
      </w:r>
      <w:r>
        <w:rPr>
          <w:color w:val="000000"/>
        </w:rPr>
        <w:t>and Dykes, 'The Life of Guido Bonatti'</w:t>
      </w:r>
    </w:p>
  </w:footnote>
  <w:footnote w:id="42">
    <w:p w14:paraId="35F68911" w14:textId="77777777" w:rsidR="000A6422" w:rsidRDefault="000A6422" w:rsidP="000A6422">
      <w:pPr>
        <w:pStyle w:val="FootnoteText"/>
      </w:pPr>
      <w:r>
        <w:rPr>
          <w:rStyle w:val="FootnoteReference"/>
        </w:rPr>
        <w:footnoteRef/>
      </w:r>
      <w:r>
        <w:t xml:space="preserve"> </w:t>
      </w:r>
      <w:r w:rsidRPr="007858D0">
        <w:rPr>
          <w:color w:val="000000"/>
        </w:rPr>
        <w:t xml:space="preserve">Guido Bonatti, </w:t>
      </w:r>
      <w:r w:rsidRPr="007858D0">
        <w:rPr>
          <w:i/>
          <w:iCs/>
          <w:color w:val="000000"/>
        </w:rPr>
        <w:t>Liber Astronomiae</w:t>
      </w:r>
      <w:r w:rsidRPr="007858D0">
        <w:rPr>
          <w:color w:val="000000"/>
        </w:rPr>
        <w:t>, Part III,</w:t>
      </w:r>
      <w:r>
        <w:rPr>
          <w:color w:val="000000"/>
        </w:rPr>
        <w:t xml:space="preserve"> </w:t>
      </w:r>
      <w:r w:rsidRPr="007858D0">
        <w:rPr>
          <w:color w:val="000000"/>
        </w:rPr>
        <w:t>ch. VII, p</w:t>
      </w:r>
      <w:r>
        <w:rPr>
          <w:color w:val="000000"/>
        </w:rPr>
        <w:t>. 36</w:t>
      </w:r>
    </w:p>
  </w:footnote>
  <w:footnote w:id="43">
    <w:p w14:paraId="4DF519EE" w14:textId="77777777" w:rsidR="000A6422" w:rsidRPr="00D60DEC" w:rsidRDefault="000A6422" w:rsidP="000A6422">
      <w:pPr>
        <w:rPr>
          <w:color w:val="000000"/>
          <w:sz w:val="20"/>
          <w:szCs w:val="20"/>
        </w:rPr>
      </w:pPr>
      <w:r>
        <w:rPr>
          <w:rStyle w:val="FootnoteReference"/>
        </w:rPr>
        <w:footnoteRef/>
      </w:r>
      <w:r>
        <w:t xml:space="preserve"> </w:t>
      </w:r>
      <w:r>
        <w:rPr>
          <w:color w:val="000000"/>
          <w:sz w:val="20"/>
          <w:szCs w:val="20"/>
        </w:rPr>
        <w:t xml:space="preserve">Demetra George, 'Manuel I Komnenos and Michael Glykas: A Twelfth-Century Defense and Refutation of Astrology', Part 1, </w:t>
      </w:r>
      <w:r>
        <w:rPr>
          <w:i/>
          <w:iCs/>
          <w:color w:val="000000"/>
          <w:sz w:val="20"/>
          <w:szCs w:val="20"/>
        </w:rPr>
        <w:t>Culture and Cosmos</w:t>
      </w:r>
      <w:r>
        <w:rPr>
          <w:color w:val="000000"/>
          <w:sz w:val="20"/>
          <w:szCs w:val="20"/>
        </w:rPr>
        <w:t xml:space="preserve"> Vol. 5 no 1, Spring/Summer 2001, p. 8</w:t>
      </w:r>
    </w:p>
  </w:footnote>
  <w:footnote w:id="44">
    <w:p w14:paraId="4EF0A79C" w14:textId="77777777" w:rsidR="000A6422" w:rsidRPr="00D60DEC" w:rsidRDefault="000A6422" w:rsidP="000A6422">
      <w:pPr>
        <w:rPr>
          <w:color w:val="000000"/>
          <w:sz w:val="20"/>
          <w:szCs w:val="20"/>
        </w:rPr>
      </w:pPr>
      <w:r>
        <w:rPr>
          <w:rStyle w:val="FootnoteReference"/>
        </w:rPr>
        <w:footnoteRef/>
      </w:r>
      <w:r>
        <w:t xml:space="preserve"> </w:t>
      </w:r>
      <w:r>
        <w:rPr>
          <w:color w:val="000000"/>
          <w:sz w:val="20"/>
          <w:szCs w:val="20"/>
        </w:rPr>
        <w:t>George, 'Manuel I Komnenos and Michael Glykas', pp. 8-9</w:t>
      </w:r>
    </w:p>
  </w:footnote>
  <w:footnote w:id="45">
    <w:p w14:paraId="015AF7F3" w14:textId="77777777" w:rsidR="000A6422" w:rsidRPr="008D4B11" w:rsidRDefault="000A6422" w:rsidP="000A6422">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 History of Western Astrology</w:t>
      </w:r>
      <w:r w:rsidRPr="008D4B11">
        <w:rPr>
          <w:color w:val="000000"/>
          <w:sz w:val="20"/>
          <w:szCs w:val="20"/>
        </w:rPr>
        <w:t>, p</w:t>
      </w:r>
      <w:r>
        <w:rPr>
          <w:color w:val="000000"/>
          <w:sz w:val="20"/>
          <w:szCs w:val="20"/>
        </w:rPr>
        <w:t>. 13</w:t>
      </w:r>
    </w:p>
  </w:footnote>
  <w:footnote w:id="46">
    <w:p w14:paraId="19E6C473" w14:textId="77777777" w:rsidR="000A6422" w:rsidRPr="003833BA" w:rsidRDefault="000A6422" w:rsidP="000A6422">
      <w:pPr>
        <w:rPr>
          <w:color w:val="000000"/>
          <w:sz w:val="20"/>
          <w:szCs w:val="20"/>
        </w:rPr>
      </w:pPr>
      <w:r>
        <w:rPr>
          <w:rStyle w:val="FootnoteReference"/>
        </w:rPr>
        <w:footnoteRef/>
      </w:r>
      <w:r>
        <w:t xml:space="preserve"> </w:t>
      </w:r>
      <w:r w:rsidRPr="003833BA">
        <w:rPr>
          <w:color w:val="000000"/>
          <w:sz w:val="20"/>
          <w:szCs w:val="20"/>
        </w:rPr>
        <w:t xml:space="preserve">Plato, </w:t>
      </w:r>
      <w:r w:rsidRPr="003833BA">
        <w:rPr>
          <w:i/>
          <w:iCs/>
          <w:color w:val="000000"/>
          <w:sz w:val="20"/>
          <w:szCs w:val="20"/>
        </w:rPr>
        <w:t>Timaeus</w:t>
      </w:r>
      <w:r w:rsidRPr="003833BA">
        <w:rPr>
          <w:color w:val="000000"/>
          <w:sz w:val="20"/>
          <w:szCs w:val="20"/>
        </w:rPr>
        <w:t>, trans. by R. G. Bury (Harvard University Press, 1929</w:t>
      </w:r>
      <w:r w:rsidRPr="00B06452">
        <w:rPr>
          <w:color w:val="000000" w:themeColor="text1"/>
          <w:sz w:val="20"/>
          <w:szCs w:val="20"/>
        </w:rPr>
        <w:t>), 47b-c</w:t>
      </w:r>
    </w:p>
  </w:footnote>
  <w:footnote w:id="47">
    <w:p w14:paraId="450B38D5" w14:textId="77777777" w:rsidR="000A6422" w:rsidRPr="00D60DEC" w:rsidRDefault="000A6422" w:rsidP="000A6422">
      <w:pPr>
        <w:rPr>
          <w:color w:val="000000"/>
          <w:sz w:val="20"/>
          <w:szCs w:val="20"/>
        </w:rPr>
      </w:pPr>
      <w:r>
        <w:rPr>
          <w:rStyle w:val="FootnoteReference"/>
        </w:rPr>
        <w:footnoteRef/>
      </w:r>
      <w:r>
        <w:t xml:space="preserve"> </w:t>
      </w:r>
      <w:r>
        <w:rPr>
          <w:color w:val="000000"/>
          <w:sz w:val="20"/>
          <w:szCs w:val="20"/>
        </w:rPr>
        <w:t xml:space="preserve">Mariano </w:t>
      </w:r>
      <w:proofErr w:type="spellStart"/>
      <w:r>
        <w:rPr>
          <w:color w:val="000000"/>
          <w:sz w:val="20"/>
          <w:szCs w:val="20"/>
        </w:rPr>
        <w:t>Gómez</w:t>
      </w:r>
      <w:proofErr w:type="spellEnd"/>
      <w:r>
        <w:rPr>
          <w:color w:val="000000"/>
          <w:sz w:val="20"/>
          <w:szCs w:val="20"/>
        </w:rPr>
        <w:t xml:space="preserve"> Aranda, 'The Meaning of </w:t>
      </w:r>
      <w:proofErr w:type="spellStart"/>
      <w:r>
        <w:rPr>
          <w:color w:val="000000"/>
          <w:sz w:val="20"/>
          <w:szCs w:val="20"/>
        </w:rPr>
        <w:t>Qohelet</w:t>
      </w:r>
      <w:proofErr w:type="spellEnd"/>
      <w:r>
        <w:rPr>
          <w:color w:val="000000"/>
          <w:sz w:val="20"/>
          <w:szCs w:val="20"/>
        </w:rPr>
        <w:t xml:space="preserve"> According to Ibn Ezra's Scientific Explanations', </w:t>
      </w:r>
      <w:r>
        <w:rPr>
          <w:i/>
          <w:iCs/>
          <w:color w:val="000000"/>
          <w:sz w:val="20"/>
          <w:szCs w:val="20"/>
        </w:rPr>
        <w:t xml:space="preserve">Aleph, </w:t>
      </w:r>
      <w:r>
        <w:rPr>
          <w:color w:val="000000"/>
          <w:sz w:val="20"/>
          <w:szCs w:val="20"/>
        </w:rPr>
        <w:t>no. 6 (2006), pp. 340-341</w:t>
      </w:r>
    </w:p>
  </w:footnote>
  <w:footnote w:id="48">
    <w:p w14:paraId="5A902C8A" w14:textId="77777777" w:rsidR="000A6422" w:rsidRPr="001E47A2" w:rsidRDefault="000A6422" w:rsidP="000A6422">
      <w:pPr>
        <w:rPr>
          <w:color w:val="000000"/>
          <w:sz w:val="20"/>
          <w:szCs w:val="20"/>
        </w:rPr>
      </w:pPr>
      <w:r>
        <w:rPr>
          <w:rStyle w:val="FootnoteReference"/>
        </w:rPr>
        <w:footnoteRef/>
      </w:r>
      <w:r w:rsidRPr="001E47A2">
        <w:rPr>
          <w:color w:val="000000"/>
          <w:sz w:val="20"/>
          <w:szCs w:val="20"/>
        </w:rPr>
        <w:t xml:space="preserve">Aristotle, </w:t>
      </w:r>
      <w:r w:rsidRPr="001E47A2">
        <w:rPr>
          <w:i/>
          <w:iCs/>
          <w:color w:val="000000"/>
          <w:sz w:val="20"/>
          <w:szCs w:val="20"/>
        </w:rPr>
        <w:t>Meteorologica</w:t>
      </w:r>
      <w:r w:rsidRPr="001E47A2">
        <w:rPr>
          <w:color w:val="000000"/>
          <w:sz w:val="20"/>
          <w:szCs w:val="20"/>
        </w:rPr>
        <w:t xml:space="preserve">, trans. </w:t>
      </w:r>
      <w:r>
        <w:rPr>
          <w:color w:val="000000"/>
          <w:sz w:val="20"/>
          <w:szCs w:val="20"/>
        </w:rPr>
        <w:t>b</w:t>
      </w:r>
      <w:r w:rsidRPr="001E47A2">
        <w:rPr>
          <w:color w:val="000000"/>
          <w:sz w:val="20"/>
          <w:szCs w:val="20"/>
        </w:rPr>
        <w:t>y</w:t>
      </w:r>
      <w:r>
        <w:rPr>
          <w:color w:val="000000"/>
          <w:sz w:val="20"/>
          <w:szCs w:val="20"/>
        </w:rPr>
        <w:t xml:space="preserve"> </w:t>
      </w:r>
      <w:r w:rsidRPr="001E47A2">
        <w:rPr>
          <w:color w:val="000000"/>
          <w:sz w:val="20"/>
          <w:szCs w:val="20"/>
        </w:rPr>
        <w:t xml:space="preserve">H. D. P. </w:t>
      </w:r>
      <w:proofErr w:type="gramStart"/>
      <w:r w:rsidRPr="001E47A2">
        <w:rPr>
          <w:color w:val="000000"/>
          <w:sz w:val="20"/>
          <w:szCs w:val="20"/>
        </w:rPr>
        <w:t>Lee  (</w:t>
      </w:r>
      <w:proofErr w:type="gramEnd"/>
      <w:r w:rsidRPr="001E47A2">
        <w:rPr>
          <w:color w:val="000000"/>
          <w:sz w:val="20"/>
          <w:szCs w:val="20"/>
        </w:rPr>
        <w:t>Cambridge, MA: Harvard University Press, 1952)</w:t>
      </w:r>
      <w:r>
        <w:rPr>
          <w:color w:val="000000"/>
          <w:sz w:val="20"/>
          <w:szCs w:val="20"/>
        </w:rPr>
        <w:t>, 339a 19-30</w:t>
      </w:r>
    </w:p>
  </w:footnote>
  <w:footnote w:id="49">
    <w:p w14:paraId="68099487" w14:textId="77777777" w:rsidR="000A6422" w:rsidRPr="00AC02E2" w:rsidRDefault="000A6422" w:rsidP="000A6422">
      <w:pPr>
        <w:rPr>
          <w:color w:val="000000"/>
          <w:sz w:val="20"/>
          <w:szCs w:val="20"/>
        </w:rPr>
      </w:pPr>
      <w:r>
        <w:rPr>
          <w:rStyle w:val="FootnoteReference"/>
        </w:rPr>
        <w:footnoteRef/>
      </w:r>
      <w:r>
        <w:t xml:space="preserve"> </w:t>
      </w:r>
      <w:r w:rsidRPr="00AC02E2">
        <w:rPr>
          <w:color w:val="000000"/>
          <w:sz w:val="20"/>
          <w:szCs w:val="20"/>
        </w:rPr>
        <w:t xml:space="preserve">Albertus Magnus, </w:t>
      </w:r>
      <w:r w:rsidRPr="00AC02E2">
        <w:rPr>
          <w:i/>
          <w:iCs/>
          <w:color w:val="000000"/>
          <w:sz w:val="20"/>
          <w:szCs w:val="20"/>
        </w:rPr>
        <w:t xml:space="preserve">A Short Discourse of the Nature, and Qualities of the Seven Planets, </w:t>
      </w:r>
      <w:r w:rsidRPr="00AC02E2">
        <w:rPr>
          <w:color w:val="000000"/>
          <w:sz w:val="20"/>
          <w:szCs w:val="20"/>
        </w:rPr>
        <w:t>trans. by Michael R. Best and Frank H. Brightman,</w:t>
      </w:r>
      <w:r w:rsidRPr="00AC02E2">
        <w:rPr>
          <w:i/>
          <w:iCs/>
          <w:color w:val="000000"/>
          <w:sz w:val="20"/>
          <w:szCs w:val="20"/>
        </w:rPr>
        <w:t xml:space="preserve"> </w:t>
      </w:r>
      <w:r w:rsidRPr="00AC02E2">
        <w:rPr>
          <w:color w:val="000000"/>
          <w:sz w:val="20"/>
          <w:szCs w:val="20"/>
        </w:rPr>
        <w:t xml:space="preserve">in </w:t>
      </w:r>
      <w:r w:rsidRPr="00AC02E2">
        <w:rPr>
          <w:i/>
          <w:iCs/>
          <w:color w:val="000000"/>
          <w:sz w:val="20"/>
          <w:szCs w:val="20"/>
        </w:rPr>
        <w:t xml:space="preserve">The Book of Secrets of Albertus Magnus, </w:t>
      </w:r>
      <w:r w:rsidRPr="00AC02E2">
        <w:rPr>
          <w:color w:val="000000"/>
          <w:sz w:val="20"/>
          <w:szCs w:val="20"/>
        </w:rPr>
        <w:t>ed. by Michael R. Best and Frank H. Brightman (Boston: Oxford University Press, 2004 [1973]), pp. 62-73</w:t>
      </w:r>
    </w:p>
  </w:footnote>
  <w:footnote w:id="50">
    <w:p w14:paraId="5293FC8C" w14:textId="77777777" w:rsidR="000A6422" w:rsidRPr="00DE3D95" w:rsidRDefault="000A6422" w:rsidP="000A6422">
      <w:pPr>
        <w:rPr>
          <w:color w:val="000000"/>
          <w:sz w:val="20"/>
          <w:szCs w:val="20"/>
        </w:rPr>
      </w:pPr>
      <w:r>
        <w:rPr>
          <w:rStyle w:val="FootnoteReference"/>
        </w:rPr>
        <w:footnoteRef/>
      </w:r>
      <w:r>
        <w:t xml:space="preserve"> </w:t>
      </w:r>
      <w:r w:rsidRPr="00DE3D95">
        <w:rPr>
          <w:color w:val="000000"/>
          <w:sz w:val="20"/>
          <w:szCs w:val="20"/>
        </w:rPr>
        <w:t xml:space="preserve">Albertus Magnus, </w:t>
      </w:r>
      <w:r w:rsidRPr="00DE3D95">
        <w:rPr>
          <w:i/>
          <w:iCs/>
          <w:color w:val="000000"/>
          <w:sz w:val="20"/>
          <w:szCs w:val="20"/>
        </w:rPr>
        <w:t>A Short Discourse of the Nature, and Qualities of the Seven Planets</w:t>
      </w:r>
      <w:r w:rsidRPr="00DE3D95">
        <w:rPr>
          <w:color w:val="000000"/>
          <w:sz w:val="20"/>
          <w:szCs w:val="20"/>
        </w:rPr>
        <w:t>, pp. 62-73</w:t>
      </w:r>
    </w:p>
  </w:footnote>
  <w:footnote w:id="51">
    <w:p w14:paraId="124C6A38" w14:textId="77777777" w:rsidR="000A6422" w:rsidRPr="00CC726A" w:rsidRDefault="000A6422" w:rsidP="000A6422">
      <w:pPr>
        <w:rPr>
          <w:color w:val="000000"/>
          <w:sz w:val="20"/>
          <w:szCs w:val="20"/>
        </w:rPr>
      </w:pPr>
      <w:r>
        <w:rPr>
          <w:rStyle w:val="FootnoteReference"/>
        </w:rPr>
        <w:footnoteRef/>
      </w:r>
      <w:r>
        <w:t xml:space="preserve"> </w:t>
      </w:r>
      <w:r w:rsidRPr="00CC726A">
        <w:rPr>
          <w:color w:val="000000"/>
          <w:sz w:val="20"/>
          <w:szCs w:val="20"/>
        </w:rPr>
        <w:t xml:space="preserve">Albertus Magnus, </w:t>
      </w:r>
      <w:r w:rsidRPr="00CC726A">
        <w:rPr>
          <w:i/>
          <w:iCs/>
          <w:color w:val="000000"/>
          <w:sz w:val="20"/>
          <w:szCs w:val="20"/>
        </w:rPr>
        <w:t>A Short Discourse of the Nature, and Qualities of the Seven Planets</w:t>
      </w:r>
      <w:r w:rsidRPr="00CC726A">
        <w:rPr>
          <w:color w:val="000000"/>
          <w:sz w:val="20"/>
          <w:szCs w:val="20"/>
        </w:rPr>
        <w:t>, p</w:t>
      </w:r>
      <w:r>
        <w:rPr>
          <w:color w:val="000000"/>
          <w:sz w:val="20"/>
          <w:szCs w:val="20"/>
        </w:rPr>
        <w:t xml:space="preserve">. 63 and </w:t>
      </w:r>
      <w:r w:rsidRPr="00CC726A">
        <w:rPr>
          <w:color w:val="000000"/>
          <w:sz w:val="20"/>
          <w:szCs w:val="20"/>
        </w:rPr>
        <w:t xml:space="preserve">Aristotle, </w:t>
      </w:r>
      <w:r w:rsidRPr="00CC726A">
        <w:rPr>
          <w:i/>
          <w:iCs/>
          <w:color w:val="000000"/>
          <w:sz w:val="20"/>
          <w:szCs w:val="20"/>
        </w:rPr>
        <w:t>Meteorologica</w:t>
      </w:r>
      <w:r w:rsidRPr="00CC726A">
        <w:rPr>
          <w:color w:val="000000"/>
          <w:sz w:val="20"/>
          <w:szCs w:val="20"/>
        </w:rPr>
        <w:t xml:space="preserve">, </w:t>
      </w:r>
      <w:r>
        <w:rPr>
          <w:color w:val="000000"/>
          <w:sz w:val="20"/>
          <w:szCs w:val="20"/>
        </w:rPr>
        <w:t>339a 19-30</w:t>
      </w:r>
    </w:p>
  </w:footnote>
  <w:footnote w:id="52">
    <w:p w14:paraId="18939447" w14:textId="77777777" w:rsidR="000A6422" w:rsidRPr="00F701C6" w:rsidRDefault="000A6422" w:rsidP="000A6422">
      <w:pPr>
        <w:rPr>
          <w:color w:val="000000"/>
          <w:sz w:val="20"/>
          <w:szCs w:val="20"/>
        </w:rPr>
      </w:pPr>
      <w:r>
        <w:rPr>
          <w:rStyle w:val="FootnoteReference"/>
        </w:rPr>
        <w:footnoteRef/>
      </w:r>
      <w:r>
        <w:t xml:space="preserve"> </w:t>
      </w:r>
      <w:r>
        <w:rPr>
          <w:color w:val="000000"/>
          <w:sz w:val="20"/>
          <w:szCs w:val="20"/>
        </w:rPr>
        <w:t>Grant, 'A New Look at Medieval Cosmology' pp. 417-418</w:t>
      </w:r>
    </w:p>
  </w:footnote>
  <w:footnote w:id="53">
    <w:p w14:paraId="70AC2887" w14:textId="77777777" w:rsidR="000A6422" w:rsidRPr="00D33138" w:rsidRDefault="000A6422" w:rsidP="000A6422">
      <w:pPr>
        <w:rPr>
          <w:color w:val="000000"/>
          <w:sz w:val="20"/>
          <w:szCs w:val="20"/>
        </w:rPr>
      </w:pPr>
      <w:r>
        <w:rPr>
          <w:rStyle w:val="FootnoteReference"/>
        </w:rPr>
        <w:footnoteRef/>
      </w:r>
      <w:r>
        <w:t xml:space="preserve"> </w:t>
      </w:r>
      <w:r>
        <w:rPr>
          <w:color w:val="000000"/>
          <w:sz w:val="20"/>
          <w:szCs w:val="20"/>
        </w:rPr>
        <w:t xml:space="preserve">Guido Bonatti, </w:t>
      </w:r>
      <w:r>
        <w:rPr>
          <w:i/>
          <w:iCs/>
          <w:color w:val="000000"/>
          <w:sz w:val="20"/>
          <w:szCs w:val="20"/>
        </w:rPr>
        <w:t xml:space="preserve">The Astrologer's Guide, </w:t>
      </w:r>
      <w:r>
        <w:rPr>
          <w:color w:val="000000"/>
          <w:sz w:val="20"/>
          <w:szCs w:val="20"/>
        </w:rPr>
        <w:t xml:space="preserve">trans. by Henry Coley and William Lilly (New York: Cosimo Classics, 2005 [1886]) and Guido Bonatti, </w:t>
      </w:r>
      <w:r>
        <w:rPr>
          <w:i/>
          <w:iCs/>
          <w:color w:val="000000"/>
          <w:sz w:val="20"/>
          <w:szCs w:val="20"/>
        </w:rPr>
        <w:t xml:space="preserve">Liber Astronomiae, Treatise V, </w:t>
      </w:r>
      <w:r>
        <w:rPr>
          <w:color w:val="000000"/>
          <w:sz w:val="20"/>
          <w:szCs w:val="20"/>
        </w:rPr>
        <w:t xml:space="preserve">trans. by Henry Coley and William Lilly &lt;https://www.renaissanceastrology.com/bonatti146considerations.html&gt;, [accessed 30 </w:t>
      </w:r>
      <w:proofErr w:type="gramStart"/>
      <w:r>
        <w:rPr>
          <w:color w:val="000000"/>
          <w:sz w:val="20"/>
          <w:szCs w:val="20"/>
        </w:rPr>
        <w:t>March,</w:t>
      </w:r>
      <w:proofErr w:type="gramEnd"/>
      <w:r>
        <w:rPr>
          <w:color w:val="000000"/>
          <w:sz w:val="20"/>
          <w:szCs w:val="20"/>
        </w:rPr>
        <w:t xml:space="preserve"> 2020]</w:t>
      </w:r>
    </w:p>
  </w:footnote>
  <w:footnote w:id="54">
    <w:p w14:paraId="179BC0DA" w14:textId="77777777" w:rsidR="000A6422" w:rsidRPr="00070F7E" w:rsidRDefault="000A6422" w:rsidP="000A6422">
      <w:pPr>
        <w:rPr>
          <w:color w:val="000000"/>
          <w:sz w:val="20"/>
          <w:szCs w:val="20"/>
        </w:rPr>
      </w:pPr>
      <w:r>
        <w:rPr>
          <w:rStyle w:val="FootnoteReference"/>
        </w:rPr>
        <w:footnoteRef/>
      </w:r>
      <w:r>
        <w:t xml:space="preserve"> </w:t>
      </w:r>
      <w:r>
        <w:rPr>
          <w:color w:val="000000"/>
          <w:sz w:val="20"/>
          <w:szCs w:val="20"/>
        </w:rPr>
        <w:t xml:space="preserve">Bonatti, </w:t>
      </w:r>
      <w:r>
        <w:rPr>
          <w:i/>
          <w:iCs/>
          <w:color w:val="000000"/>
          <w:sz w:val="20"/>
          <w:szCs w:val="20"/>
        </w:rPr>
        <w:t>The Astrologer's Guide</w:t>
      </w:r>
      <w:r>
        <w:rPr>
          <w:color w:val="000000"/>
          <w:sz w:val="20"/>
          <w:szCs w:val="20"/>
        </w:rPr>
        <w:t>, pp. 6-7</w:t>
      </w:r>
    </w:p>
  </w:footnote>
  <w:footnote w:id="55">
    <w:p w14:paraId="4D421DC5" w14:textId="77777777" w:rsidR="000A6422" w:rsidRPr="00445EA5" w:rsidRDefault="000A6422" w:rsidP="000A6422">
      <w:pPr>
        <w:rPr>
          <w:color w:val="000000"/>
          <w:sz w:val="20"/>
          <w:szCs w:val="20"/>
        </w:rPr>
      </w:pPr>
      <w:r>
        <w:rPr>
          <w:rStyle w:val="FootnoteReference"/>
        </w:rPr>
        <w:footnoteRef/>
      </w:r>
      <w:r>
        <w:t xml:space="preserve"> </w:t>
      </w:r>
      <w:r>
        <w:rPr>
          <w:color w:val="000000"/>
          <w:sz w:val="20"/>
          <w:szCs w:val="20"/>
        </w:rPr>
        <w:t xml:space="preserve">Evans, </w:t>
      </w:r>
      <w:r>
        <w:rPr>
          <w:i/>
          <w:iCs/>
          <w:color w:val="000000"/>
          <w:sz w:val="20"/>
          <w:szCs w:val="20"/>
        </w:rPr>
        <w:t>In Defense of History</w:t>
      </w:r>
      <w:r>
        <w:rPr>
          <w:color w:val="000000"/>
          <w:sz w:val="20"/>
          <w:szCs w:val="20"/>
        </w:rPr>
        <w:t>, p. 75</w:t>
      </w:r>
    </w:p>
  </w:footnote>
  <w:footnote w:id="56">
    <w:p w14:paraId="7C7CFFB4" w14:textId="77777777" w:rsidR="000A6422" w:rsidRPr="008F4625" w:rsidRDefault="000A6422" w:rsidP="000A6422">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 History of Western Astrology</w:t>
      </w:r>
      <w:r>
        <w:rPr>
          <w:color w:val="000000"/>
          <w:sz w:val="20"/>
          <w:szCs w:val="20"/>
        </w:rPr>
        <w:t>, p. 57</w:t>
      </w:r>
    </w:p>
  </w:footnote>
  <w:footnote w:id="57">
    <w:p w14:paraId="626AA73B" w14:textId="77777777" w:rsidR="000A6422" w:rsidRPr="00DC73F0" w:rsidRDefault="000A6422" w:rsidP="000A6422">
      <w:pPr>
        <w:rPr>
          <w:color w:val="000000"/>
          <w:sz w:val="20"/>
          <w:szCs w:val="20"/>
        </w:rPr>
      </w:pPr>
      <w:r>
        <w:rPr>
          <w:rStyle w:val="FootnoteReference"/>
        </w:rPr>
        <w:footnoteRef/>
      </w:r>
      <w:r>
        <w:t xml:space="preserve"> </w:t>
      </w:r>
      <w:r>
        <w:rPr>
          <w:color w:val="000000" w:themeColor="text1"/>
          <w:sz w:val="20"/>
          <w:szCs w:val="20"/>
        </w:rPr>
        <w:t xml:space="preserve">Plato, </w:t>
      </w:r>
      <w:r>
        <w:rPr>
          <w:i/>
          <w:iCs/>
          <w:color w:val="000000"/>
          <w:sz w:val="20"/>
          <w:szCs w:val="20"/>
        </w:rPr>
        <w:t>Republic</w:t>
      </w:r>
      <w:r>
        <w:rPr>
          <w:color w:val="000000"/>
          <w:sz w:val="20"/>
          <w:szCs w:val="20"/>
        </w:rPr>
        <w:t xml:space="preserve">, trans. by Christopher Emlyn-Jones and William </w:t>
      </w:r>
      <w:proofErr w:type="spellStart"/>
      <w:r>
        <w:rPr>
          <w:color w:val="000000"/>
          <w:sz w:val="20"/>
          <w:szCs w:val="20"/>
        </w:rPr>
        <w:t>Preddy</w:t>
      </w:r>
      <w:proofErr w:type="spellEnd"/>
      <w:r>
        <w:rPr>
          <w:color w:val="000000"/>
          <w:sz w:val="20"/>
          <w:szCs w:val="20"/>
        </w:rPr>
        <w:t xml:space="preserve"> (Cambridge, MA: Harvard University Press, 2013), 620e-621a</w:t>
      </w:r>
    </w:p>
  </w:footnote>
  <w:footnote w:id="58">
    <w:p w14:paraId="309E729A" w14:textId="77777777" w:rsidR="000A6422" w:rsidRPr="007078FC" w:rsidRDefault="000A6422" w:rsidP="000A6422">
      <w:pPr>
        <w:rPr>
          <w:color w:val="000000"/>
          <w:sz w:val="20"/>
          <w:szCs w:val="20"/>
        </w:rPr>
      </w:pPr>
      <w:r>
        <w:rPr>
          <w:rStyle w:val="FootnoteReference"/>
        </w:rPr>
        <w:footnoteRef/>
      </w:r>
      <w:r>
        <w:t xml:space="preserve"> </w:t>
      </w:r>
      <w:r>
        <w:rPr>
          <w:color w:val="000000"/>
          <w:sz w:val="20"/>
          <w:szCs w:val="20"/>
        </w:rPr>
        <w:t>Brady, 'Theories of Fate Among present-day Astrologers', p. 57</w:t>
      </w:r>
    </w:p>
  </w:footnote>
  <w:footnote w:id="59">
    <w:p w14:paraId="499F5490" w14:textId="77777777" w:rsidR="000A6422" w:rsidRPr="005C2B90" w:rsidRDefault="000A6422" w:rsidP="000A6422">
      <w:pPr>
        <w:rPr>
          <w:color w:val="000000"/>
          <w:sz w:val="20"/>
          <w:szCs w:val="20"/>
        </w:rPr>
      </w:pPr>
      <w:r>
        <w:rPr>
          <w:rStyle w:val="FootnoteReference"/>
        </w:rPr>
        <w:footnoteRef/>
      </w:r>
      <w:r>
        <w:t xml:space="preserve"> </w:t>
      </w:r>
      <w:r>
        <w:rPr>
          <w:color w:val="000000"/>
          <w:sz w:val="20"/>
          <w:szCs w:val="20"/>
        </w:rPr>
        <w:t xml:space="preserve">Campion, </w:t>
      </w:r>
      <w:r>
        <w:rPr>
          <w:i/>
          <w:iCs/>
          <w:color w:val="000000"/>
          <w:sz w:val="20"/>
          <w:szCs w:val="20"/>
        </w:rPr>
        <w:t>A History of Western Astrology</w:t>
      </w:r>
      <w:r w:rsidRPr="005C2B90">
        <w:rPr>
          <w:color w:val="000000"/>
          <w:sz w:val="20"/>
          <w:szCs w:val="20"/>
        </w:rPr>
        <w:t>, p</w:t>
      </w:r>
      <w:r>
        <w:rPr>
          <w:color w:val="000000"/>
          <w:sz w:val="20"/>
          <w:szCs w:val="20"/>
        </w:rPr>
        <w:t>. 16</w:t>
      </w:r>
    </w:p>
  </w:footnote>
  <w:footnote w:id="60">
    <w:p w14:paraId="007BF142"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3</w:t>
      </w:r>
      <w:r>
        <w:rPr>
          <w:color w:val="000000"/>
        </w:rPr>
        <w:t xml:space="preserve">-4 and </w:t>
      </w:r>
      <w:r w:rsidRPr="006C319C">
        <w:rPr>
          <w:color w:val="000000"/>
        </w:rPr>
        <w:t xml:space="preserve">Sela, 'Notes to the Book of the Beginning of Wisdom', </w:t>
      </w:r>
      <w:r w:rsidRPr="007F1C66">
        <w:rPr>
          <w:color w:val="000000"/>
        </w:rPr>
        <w:t>p. 27</w:t>
      </w:r>
      <w:r>
        <w:rPr>
          <w:color w:val="000000"/>
        </w:rPr>
        <w:t>5</w:t>
      </w:r>
    </w:p>
  </w:footnote>
  <w:footnote w:id="61">
    <w:p w14:paraId="2DE31565" w14:textId="77777777" w:rsidR="000A6422" w:rsidRPr="000F2005" w:rsidRDefault="000A6422" w:rsidP="000A6422">
      <w:pPr>
        <w:rPr>
          <w:color w:val="000000"/>
          <w:sz w:val="20"/>
          <w:szCs w:val="20"/>
        </w:rPr>
      </w:pPr>
      <w:r>
        <w:rPr>
          <w:rStyle w:val="FootnoteReference"/>
        </w:rPr>
        <w:footnoteRef/>
      </w:r>
      <w:r>
        <w:t xml:space="preserve"> </w:t>
      </w:r>
      <w:r>
        <w:rPr>
          <w:color w:val="000000"/>
          <w:sz w:val="20"/>
          <w:szCs w:val="20"/>
        </w:rPr>
        <w:t xml:space="preserve">Zambelli, </w:t>
      </w:r>
      <w:r>
        <w:rPr>
          <w:i/>
          <w:iCs/>
          <w:color w:val="000000"/>
          <w:sz w:val="20"/>
          <w:szCs w:val="20"/>
        </w:rPr>
        <w:t>The Speculum Astronomiae and Its Enigma</w:t>
      </w:r>
      <w:r>
        <w:rPr>
          <w:color w:val="000000"/>
          <w:sz w:val="20"/>
          <w:szCs w:val="20"/>
        </w:rPr>
        <w:t>, p. 14</w:t>
      </w:r>
    </w:p>
  </w:footnote>
  <w:footnote w:id="62">
    <w:p w14:paraId="7BB881CE" w14:textId="77777777" w:rsidR="000A6422" w:rsidRPr="00E9370E" w:rsidRDefault="000A6422" w:rsidP="000A6422">
      <w:pPr>
        <w:rPr>
          <w:color w:val="000000"/>
          <w:sz w:val="20"/>
          <w:szCs w:val="20"/>
        </w:rPr>
      </w:pPr>
      <w:r>
        <w:rPr>
          <w:rStyle w:val="FootnoteReference"/>
        </w:rPr>
        <w:footnoteRef/>
      </w:r>
      <w:r>
        <w:t xml:space="preserve"> </w:t>
      </w:r>
      <w:r>
        <w:rPr>
          <w:color w:val="000000"/>
          <w:sz w:val="20"/>
          <w:szCs w:val="20"/>
        </w:rPr>
        <w:t xml:space="preserve">Bonatti, </w:t>
      </w:r>
      <w:r>
        <w:rPr>
          <w:i/>
          <w:iCs/>
          <w:color w:val="000000"/>
          <w:sz w:val="20"/>
          <w:szCs w:val="20"/>
        </w:rPr>
        <w:t xml:space="preserve">Liber Astronomiae, Treatise V </w:t>
      </w:r>
      <w:r>
        <w:rPr>
          <w:color w:val="000000"/>
          <w:sz w:val="20"/>
          <w:szCs w:val="20"/>
        </w:rPr>
        <w:t>and Dykes, 'The Life of Guido Bonatti'</w:t>
      </w:r>
    </w:p>
  </w:footnote>
  <w:footnote w:id="63">
    <w:p w14:paraId="7058B76D" w14:textId="77777777" w:rsidR="000A6422" w:rsidRDefault="000A6422" w:rsidP="000A6422">
      <w:pPr>
        <w:pStyle w:val="FootnoteText"/>
      </w:pPr>
      <w:r>
        <w:rPr>
          <w:rStyle w:val="FootnoteReference"/>
        </w:rPr>
        <w:footnoteRef/>
      </w:r>
      <w:r>
        <w:t xml:space="preserve"> </w:t>
      </w:r>
      <w:r w:rsidRPr="00233286">
        <w:rPr>
          <w:color w:val="000000"/>
        </w:rPr>
        <w:t xml:space="preserve">Ibn Ezra, </w:t>
      </w:r>
      <w:r w:rsidRPr="00233286">
        <w:rPr>
          <w:i/>
          <w:iCs/>
          <w:color w:val="000000"/>
        </w:rPr>
        <w:t>The Book of Nativities and Revolutions</w:t>
      </w:r>
      <w:r w:rsidRPr="00233286">
        <w:rPr>
          <w:color w:val="000000"/>
        </w:rPr>
        <w:t>, p</w:t>
      </w:r>
      <w:r>
        <w:rPr>
          <w:color w:val="000000"/>
        </w:rPr>
        <w:t>p</w:t>
      </w:r>
      <w:r w:rsidRPr="00233286">
        <w:rPr>
          <w:color w:val="000000"/>
        </w:rPr>
        <w:t xml:space="preserve">. </w:t>
      </w:r>
      <w:r>
        <w:rPr>
          <w:color w:val="000000"/>
        </w:rPr>
        <w:t>1-3</w:t>
      </w:r>
    </w:p>
  </w:footnote>
  <w:footnote w:id="64">
    <w:p w14:paraId="1681D54C" w14:textId="77777777" w:rsidR="000A6422" w:rsidRDefault="000A6422" w:rsidP="000A6422">
      <w:pPr>
        <w:pStyle w:val="FootnoteText"/>
      </w:pPr>
      <w:r>
        <w:rPr>
          <w:rStyle w:val="FootnoteReference"/>
        </w:rPr>
        <w:footnoteRef/>
      </w:r>
      <w:r>
        <w:t xml:space="preserve"> </w:t>
      </w:r>
      <w:r>
        <w:rPr>
          <w:color w:val="000000"/>
        </w:rPr>
        <w:t xml:space="preserve">Zambelli, </w:t>
      </w:r>
      <w:r>
        <w:rPr>
          <w:i/>
          <w:iCs/>
          <w:color w:val="000000"/>
        </w:rPr>
        <w:t>The Speculum Astronomiae and Its Enigma</w:t>
      </w:r>
      <w:r>
        <w:rPr>
          <w:color w:val="000000"/>
        </w:rPr>
        <w:t xml:space="preserve">, p. 14 and </w:t>
      </w:r>
      <w:r w:rsidRPr="00671839">
        <w:rPr>
          <w:color w:val="000000"/>
        </w:rPr>
        <w:t xml:space="preserve">Albertus Magnus, </w:t>
      </w:r>
      <w:r w:rsidRPr="00671839">
        <w:rPr>
          <w:i/>
          <w:iCs/>
          <w:color w:val="000000"/>
        </w:rPr>
        <w:t>Speculum Astronomiae</w:t>
      </w:r>
      <w:r w:rsidRPr="00671839">
        <w:rPr>
          <w:color w:val="000000"/>
        </w:rPr>
        <w:t>, pp. 203-273</w:t>
      </w:r>
    </w:p>
  </w:footnote>
  <w:footnote w:id="65">
    <w:p w14:paraId="0DE09277" w14:textId="77777777" w:rsidR="000A6422" w:rsidRDefault="000A6422" w:rsidP="000A6422">
      <w:pPr>
        <w:pStyle w:val="FootnoteText"/>
      </w:pPr>
      <w:r>
        <w:rPr>
          <w:rStyle w:val="FootnoteReference"/>
        </w:rPr>
        <w:footnoteRef/>
      </w:r>
      <w:r>
        <w:t xml:space="preserve"> </w:t>
      </w:r>
      <w:r>
        <w:rPr>
          <w:color w:val="000000"/>
        </w:rPr>
        <w:t xml:space="preserve">Bonatti, </w:t>
      </w:r>
      <w:r>
        <w:rPr>
          <w:i/>
          <w:iCs/>
          <w:color w:val="000000"/>
        </w:rPr>
        <w:t xml:space="preserve">Liber Astronomiae, Treatise V </w:t>
      </w:r>
      <w:r>
        <w:rPr>
          <w:color w:val="000000"/>
        </w:rPr>
        <w:t>and Dykes, 'The Life of Guido Bonatti'</w:t>
      </w:r>
    </w:p>
  </w:footnote>
  <w:footnote w:id="66">
    <w:p w14:paraId="7B5F8823" w14:textId="77777777" w:rsidR="000A6422" w:rsidRDefault="000A6422" w:rsidP="000A6422">
      <w:pPr>
        <w:pStyle w:val="FootnoteText"/>
      </w:pPr>
      <w:r>
        <w:rPr>
          <w:rStyle w:val="FootnoteReference"/>
        </w:rPr>
        <w:footnoteRef/>
      </w:r>
      <w:r>
        <w:t xml:space="preserve"> </w:t>
      </w:r>
      <w:r w:rsidRPr="007858D0">
        <w:rPr>
          <w:color w:val="000000"/>
        </w:rPr>
        <w:t xml:space="preserve">Guido Bonatti, </w:t>
      </w:r>
      <w:r w:rsidRPr="007858D0">
        <w:rPr>
          <w:i/>
          <w:iCs/>
          <w:color w:val="000000"/>
        </w:rPr>
        <w:t>Liber Astronomiae</w:t>
      </w:r>
      <w:r w:rsidRPr="007858D0">
        <w:rPr>
          <w:color w:val="000000"/>
        </w:rPr>
        <w:t>, Part III,</w:t>
      </w:r>
      <w:r>
        <w:rPr>
          <w:color w:val="000000"/>
        </w:rPr>
        <w:t xml:space="preserve"> </w:t>
      </w:r>
      <w:r w:rsidRPr="007858D0">
        <w:rPr>
          <w:color w:val="000000"/>
        </w:rPr>
        <w:t>ch. VII, p</w:t>
      </w:r>
      <w:r>
        <w:rPr>
          <w:color w:val="000000"/>
        </w:rPr>
        <w:t>. 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772446"/>
      <w:docPartObj>
        <w:docPartGallery w:val="Page Numbers (Top of Page)"/>
        <w:docPartUnique/>
      </w:docPartObj>
    </w:sdtPr>
    <w:sdtEndPr>
      <w:rPr>
        <w:rStyle w:val="PageNumber"/>
      </w:rPr>
    </w:sdtEndPr>
    <w:sdtContent>
      <w:p w14:paraId="3A965534" w14:textId="77777777" w:rsidR="00A47442" w:rsidRDefault="00A47442"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F74E0" w14:textId="77777777" w:rsidR="00A47442" w:rsidRDefault="00A47442" w:rsidP="003F699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884791"/>
      <w:docPartObj>
        <w:docPartGallery w:val="Page Numbers (Top of Page)"/>
        <w:docPartUnique/>
      </w:docPartObj>
    </w:sdtPr>
    <w:sdtEndPr>
      <w:rPr>
        <w:rStyle w:val="PageNumber"/>
      </w:rPr>
    </w:sdtEndPr>
    <w:sdtContent>
      <w:p w14:paraId="23140299" w14:textId="77777777" w:rsidR="00A47442" w:rsidRDefault="00A47442" w:rsidP="00BD3C2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B46F10" w14:textId="77777777" w:rsidR="00A47442" w:rsidRPr="003F6996" w:rsidRDefault="00A47442" w:rsidP="003F6996">
    <w:pPr>
      <w:pStyle w:val="Header"/>
      <w:tabs>
        <w:tab w:val="clear" w:pos="4680"/>
      </w:tabs>
      <w:ind w:right="360"/>
    </w:pPr>
    <w:r w:rsidRPr="003F6996">
      <w:t>Christina Giles</w:t>
    </w:r>
    <w:r>
      <w:t xml:space="preserve"> </w:t>
    </w:r>
    <w:r w:rsidRPr="003F77E0">
      <w:t>1805673</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activeWritingStyle w:appName="MSWord" w:lang="en-US" w:vendorID="64" w:dllVersion="4096" w:nlCheck="1" w:checkStyle="1"/>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6F"/>
    <w:rsid w:val="00003F8E"/>
    <w:rsid w:val="00012792"/>
    <w:rsid w:val="00015958"/>
    <w:rsid w:val="0001631D"/>
    <w:rsid w:val="0001696D"/>
    <w:rsid w:val="00016A3C"/>
    <w:rsid w:val="000216DF"/>
    <w:rsid w:val="00022023"/>
    <w:rsid w:val="00024FFF"/>
    <w:rsid w:val="00025FBA"/>
    <w:rsid w:val="00026BBD"/>
    <w:rsid w:val="0003646E"/>
    <w:rsid w:val="00044C0D"/>
    <w:rsid w:val="00045690"/>
    <w:rsid w:val="000479D7"/>
    <w:rsid w:val="00050DED"/>
    <w:rsid w:val="00051F55"/>
    <w:rsid w:val="000546B4"/>
    <w:rsid w:val="00056A13"/>
    <w:rsid w:val="000619F2"/>
    <w:rsid w:val="0006541D"/>
    <w:rsid w:val="00066ED3"/>
    <w:rsid w:val="00076815"/>
    <w:rsid w:val="000807BE"/>
    <w:rsid w:val="00083282"/>
    <w:rsid w:val="00091F77"/>
    <w:rsid w:val="00092B7A"/>
    <w:rsid w:val="000A0BFF"/>
    <w:rsid w:val="000A5E36"/>
    <w:rsid w:val="000A6422"/>
    <w:rsid w:val="000B57F6"/>
    <w:rsid w:val="000B686E"/>
    <w:rsid w:val="000B6B19"/>
    <w:rsid w:val="000C36A3"/>
    <w:rsid w:val="000C3D1C"/>
    <w:rsid w:val="000C5171"/>
    <w:rsid w:val="000D3063"/>
    <w:rsid w:val="000D395C"/>
    <w:rsid w:val="000D3E7F"/>
    <w:rsid w:val="000D732B"/>
    <w:rsid w:val="000E0BE8"/>
    <w:rsid w:val="000E266A"/>
    <w:rsid w:val="000E69DE"/>
    <w:rsid w:val="000F2DDD"/>
    <w:rsid w:val="001005E7"/>
    <w:rsid w:val="00103315"/>
    <w:rsid w:val="0010645C"/>
    <w:rsid w:val="00112942"/>
    <w:rsid w:val="00112992"/>
    <w:rsid w:val="001158AB"/>
    <w:rsid w:val="001211B5"/>
    <w:rsid w:val="001226F4"/>
    <w:rsid w:val="00122A1A"/>
    <w:rsid w:val="001252BB"/>
    <w:rsid w:val="00125ABF"/>
    <w:rsid w:val="0012786A"/>
    <w:rsid w:val="00130AD8"/>
    <w:rsid w:val="00131611"/>
    <w:rsid w:val="00132CF7"/>
    <w:rsid w:val="00133414"/>
    <w:rsid w:val="00133E3C"/>
    <w:rsid w:val="001427D1"/>
    <w:rsid w:val="0014395B"/>
    <w:rsid w:val="00144600"/>
    <w:rsid w:val="00144F70"/>
    <w:rsid w:val="00150EE6"/>
    <w:rsid w:val="001616DC"/>
    <w:rsid w:val="00167F2D"/>
    <w:rsid w:val="0017318F"/>
    <w:rsid w:val="00174177"/>
    <w:rsid w:val="00181B46"/>
    <w:rsid w:val="00184D8F"/>
    <w:rsid w:val="0018640C"/>
    <w:rsid w:val="00187100"/>
    <w:rsid w:val="001872C1"/>
    <w:rsid w:val="0019249F"/>
    <w:rsid w:val="001A04A2"/>
    <w:rsid w:val="001A253B"/>
    <w:rsid w:val="001A30AD"/>
    <w:rsid w:val="001B2EEF"/>
    <w:rsid w:val="001B3F34"/>
    <w:rsid w:val="001B6745"/>
    <w:rsid w:val="001B6ED3"/>
    <w:rsid w:val="001B73A0"/>
    <w:rsid w:val="001C1F81"/>
    <w:rsid w:val="001C356E"/>
    <w:rsid w:val="001C4780"/>
    <w:rsid w:val="001D0A1D"/>
    <w:rsid w:val="001D24AB"/>
    <w:rsid w:val="001D25BE"/>
    <w:rsid w:val="001E1659"/>
    <w:rsid w:val="001E27E1"/>
    <w:rsid w:val="001E3061"/>
    <w:rsid w:val="001E4F61"/>
    <w:rsid w:val="001E5F6B"/>
    <w:rsid w:val="001E6DD8"/>
    <w:rsid w:val="001F0CF5"/>
    <w:rsid w:val="001F1691"/>
    <w:rsid w:val="001F78C8"/>
    <w:rsid w:val="002008CC"/>
    <w:rsid w:val="00201311"/>
    <w:rsid w:val="00201ACC"/>
    <w:rsid w:val="002024E7"/>
    <w:rsid w:val="00202F41"/>
    <w:rsid w:val="002058A0"/>
    <w:rsid w:val="00206F82"/>
    <w:rsid w:val="00212731"/>
    <w:rsid w:val="00214B34"/>
    <w:rsid w:val="00223D96"/>
    <w:rsid w:val="00226A35"/>
    <w:rsid w:val="00227B1E"/>
    <w:rsid w:val="00230CF6"/>
    <w:rsid w:val="00244911"/>
    <w:rsid w:val="00245CD2"/>
    <w:rsid w:val="002461FB"/>
    <w:rsid w:val="002506BC"/>
    <w:rsid w:val="00253E57"/>
    <w:rsid w:val="0025738A"/>
    <w:rsid w:val="002628C4"/>
    <w:rsid w:val="0026644A"/>
    <w:rsid w:val="00271505"/>
    <w:rsid w:val="00272228"/>
    <w:rsid w:val="00282E4B"/>
    <w:rsid w:val="00284656"/>
    <w:rsid w:val="002923EF"/>
    <w:rsid w:val="00292F49"/>
    <w:rsid w:val="002A0E50"/>
    <w:rsid w:val="002B022A"/>
    <w:rsid w:val="002B22B3"/>
    <w:rsid w:val="002B3424"/>
    <w:rsid w:val="002B6905"/>
    <w:rsid w:val="002B7E94"/>
    <w:rsid w:val="002D42C1"/>
    <w:rsid w:val="002E1024"/>
    <w:rsid w:val="002E7FD2"/>
    <w:rsid w:val="002F2AF3"/>
    <w:rsid w:val="002F48C2"/>
    <w:rsid w:val="002F6A03"/>
    <w:rsid w:val="002F723A"/>
    <w:rsid w:val="00307981"/>
    <w:rsid w:val="003157EF"/>
    <w:rsid w:val="0031622A"/>
    <w:rsid w:val="003345B0"/>
    <w:rsid w:val="00337FF9"/>
    <w:rsid w:val="003461BE"/>
    <w:rsid w:val="00346A57"/>
    <w:rsid w:val="0034701E"/>
    <w:rsid w:val="00352141"/>
    <w:rsid w:val="003545E4"/>
    <w:rsid w:val="0036225E"/>
    <w:rsid w:val="00362598"/>
    <w:rsid w:val="003747F0"/>
    <w:rsid w:val="00375999"/>
    <w:rsid w:val="00387AFB"/>
    <w:rsid w:val="0039376F"/>
    <w:rsid w:val="00395C45"/>
    <w:rsid w:val="00397FE2"/>
    <w:rsid w:val="003A030A"/>
    <w:rsid w:val="003A5F26"/>
    <w:rsid w:val="003B15EA"/>
    <w:rsid w:val="003B6D6D"/>
    <w:rsid w:val="003B7589"/>
    <w:rsid w:val="003C1FDA"/>
    <w:rsid w:val="003C7A5F"/>
    <w:rsid w:val="003D1698"/>
    <w:rsid w:val="003E13FC"/>
    <w:rsid w:val="003F1BE9"/>
    <w:rsid w:val="003F641E"/>
    <w:rsid w:val="003F6996"/>
    <w:rsid w:val="003F77E0"/>
    <w:rsid w:val="00401B99"/>
    <w:rsid w:val="0041320D"/>
    <w:rsid w:val="00425760"/>
    <w:rsid w:val="00431D1D"/>
    <w:rsid w:val="0043266B"/>
    <w:rsid w:val="00432969"/>
    <w:rsid w:val="00434BB6"/>
    <w:rsid w:val="004355AF"/>
    <w:rsid w:val="004415CA"/>
    <w:rsid w:val="00447BE0"/>
    <w:rsid w:val="00450969"/>
    <w:rsid w:val="00452D2D"/>
    <w:rsid w:val="00454FEC"/>
    <w:rsid w:val="00456025"/>
    <w:rsid w:val="00461490"/>
    <w:rsid w:val="00463A3F"/>
    <w:rsid w:val="004651B9"/>
    <w:rsid w:val="00466B63"/>
    <w:rsid w:val="00466C4C"/>
    <w:rsid w:val="004731CA"/>
    <w:rsid w:val="00477509"/>
    <w:rsid w:val="004810A4"/>
    <w:rsid w:val="00483109"/>
    <w:rsid w:val="004842BF"/>
    <w:rsid w:val="00492ECA"/>
    <w:rsid w:val="00494968"/>
    <w:rsid w:val="00496E96"/>
    <w:rsid w:val="004A2D7E"/>
    <w:rsid w:val="004A3B36"/>
    <w:rsid w:val="004A4DA1"/>
    <w:rsid w:val="004A671C"/>
    <w:rsid w:val="004B2470"/>
    <w:rsid w:val="004B51C6"/>
    <w:rsid w:val="004C1A2B"/>
    <w:rsid w:val="004C485D"/>
    <w:rsid w:val="004C7171"/>
    <w:rsid w:val="004C7954"/>
    <w:rsid w:val="004D2298"/>
    <w:rsid w:val="004E48C4"/>
    <w:rsid w:val="004F1FA4"/>
    <w:rsid w:val="004F5CBB"/>
    <w:rsid w:val="0050588A"/>
    <w:rsid w:val="005139A4"/>
    <w:rsid w:val="00514199"/>
    <w:rsid w:val="0051607F"/>
    <w:rsid w:val="00516E8F"/>
    <w:rsid w:val="00520655"/>
    <w:rsid w:val="00523B92"/>
    <w:rsid w:val="00527011"/>
    <w:rsid w:val="00530694"/>
    <w:rsid w:val="0053275A"/>
    <w:rsid w:val="00532BA7"/>
    <w:rsid w:val="005340B7"/>
    <w:rsid w:val="00535761"/>
    <w:rsid w:val="005405D4"/>
    <w:rsid w:val="005417A7"/>
    <w:rsid w:val="00541D89"/>
    <w:rsid w:val="00547038"/>
    <w:rsid w:val="00550358"/>
    <w:rsid w:val="00552F25"/>
    <w:rsid w:val="005533F9"/>
    <w:rsid w:val="00554A6E"/>
    <w:rsid w:val="005645BD"/>
    <w:rsid w:val="00570C38"/>
    <w:rsid w:val="0057275C"/>
    <w:rsid w:val="00572F5E"/>
    <w:rsid w:val="005768F2"/>
    <w:rsid w:val="00577499"/>
    <w:rsid w:val="00581432"/>
    <w:rsid w:val="005816CB"/>
    <w:rsid w:val="00585067"/>
    <w:rsid w:val="00587E8F"/>
    <w:rsid w:val="00594050"/>
    <w:rsid w:val="0059755F"/>
    <w:rsid w:val="005A3EA5"/>
    <w:rsid w:val="005A3F1C"/>
    <w:rsid w:val="005B6FAA"/>
    <w:rsid w:val="005C303E"/>
    <w:rsid w:val="005C3E5A"/>
    <w:rsid w:val="005C5C55"/>
    <w:rsid w:val="005D34C4"/>
    <w:rsid w:val="005D4907"/>
    <w:rsid w:val="005D6171"/>
    <w:rsid w:val="005E0191"/>
    <w:rsid w:val="005E0D8B"/>
    <w:rsid w:val="005E1F59"/>
    <w:rsid w:val="005E4B11"/>
    <w:rsid w:val="005F0617"/>
    <w:rsid w:val="005F643C"/>
    <w:rsid w:val="006015AC"/>
    <w:rsid w:val="00602B64"/>
    <w:rsid w:val="00605A02"/>
    <w:rsid w:val="00606EEF"/>
    <w:rsid w:val="00607084"/>
    <w:rsid w:val="00610AD3"/>
    <w:rsid w:val="00611CF2"/>
    <w:rsid w:val="00613609"/>
    <w:rsid w:val="00614653"/>
    <w:rsid w:val="006154F5"/>
    <w:rsid w:val="006256DA"/>
    <w:rsid w:val="0062584B"/>
    <w:rsid w:val="006334B9"/>
    <w:rsid w:val="00633E3A"/>
    <w:rsid w:val="006353B2"/>
    <w:rsid w:val="00640B40"/>
    <w:rsid w:val="006435BA"/>
    <w:rsid w:val="00644A8C"/>
    <w:rsid w:val="00645CB5"/>
    <w:rsid w:val="00654B28"/>
    <w:rsid w:val="00660B24"/>
    <w:rsid w:val="00660B6A"/>
    <w:rsid w:val="00662D43"/>
    <w:rsid w:val="0067176C"/>
    <w:rsid w:val="006824E6"/>
    <w:rsid w:val="0068685A"/>
    <w:rsid w:val="006932EB"/>
    <w:rsid w:val="006A1F2B"/>
    <w:rsid w:val="006A27C6"/>
    <w:rsid w:val="006A2899"/>
    <w:rsid w:val="006A3ADC"/>
    <w:rsid w:val="006A4169"/>
    <w:rsid w:val="006A6AA2"/>
    <w:rsid w:val="006B3A3D"/>
    <w:rsid w:val="006B7343"/>
    <w:rsid w:val="006C064B"/>
    <w:rsid w:val="006C643C"/>
    <w:rsid w:val="006D1C91"/>
    <w:rsid w:val="006D757B"/>
    <w:rsid w:val="006E0C1C"/>
    <w:rsid w:val="006E2B7C"/>
    <w:rsid w:val="006F244F"/>
    <w:rsid w:val="006F2874"/>
    <w:rsid w:val="006F42D1"/>
    <w:rsid w:val="006F572C"/>
    <w:rsid w:val="006F7136"/>
    <w:rsid w:val="007006AC"/>
    <w:rsid w:val="007047FA"/>
    <w:rsid w:val="007060E8"/>
    <w:rsid w:val="00706658"/>
    <w:rsid w:val="00706EB3"/>
    <w:rsid w:val="007130FD"/>
    <w:rsid w:val="00716506"/>
    <w:rsid w:val="00720211"/>
    <w:rsid w:val="007232C5"/>
    <w:rsid w:val="007248D5"/>
    <w:rsid w:val="00726671"/>
    <w:rsid w:val="00726FCF"/>
    <w:rsid w:val="00727C93"/>
    <w:rsid w:val="00731BE2"/>
    <w:rsid w:val="00731DDA"/>
    <w:rsid w:val="007335A3"/>
    <w:rsid w:val="00734FCA"/>
    <w:rsid w:val="00740C2C"/>
    <w:rsid w:val="00742422"/>
    <w:rsid w:val="00743FD3"/>
    <w:rsid w:val="007457E0"/>
    <w:rsid w:val="007476C9"/>
    <w:rsid w:val="00756657"/>
    <w:rsid w:val="00756D80"/>
    <w:rsid w:val="0075727A"/>
    <w:rsid w:val="00757DA4"/>
    <w:rsid w:val="00761C7D"/>
    <w:rsid w:val="007642FB"/>
    <w:rsid w:val="00767E34"/>
    <w:rsid w:val="00770A3C"/>
    <w:rsid w:val="00794D48"/>
    <w:rsid w:val="007A010E"/>
    <w:rsid w:val="007A299F"/>
    <w:rsid w:val="007A2E7C"/>
    <w:rsid w:val="007A6F5E"/>
    <w:rsid w:val="007C1DF9"/>
    <w:rsid w:val="007D1DC9"/>
    <w:rsid w:val="007D49F0"/>
    <w:rsid w:val="007D7316"/>
    <w:rsid w:val="007D7387"/>
    <w:rsid w:val="007E0B2A"/>
    <w:rsid w:val="007E3909"/>
    <w:rsid w:val="007E7789"/>
    <w:rsid w:val="007F03CB"/>
    <w:rsid w:val="007F0EE7"/>
    <w:rsid w:val="007F4724"/>
    <w:rsid w:val="008014C2"/>
    <w:rsid w:val="00802539"/>
    <w:rsid w:val="00803921"/>
    <w:rsid w:val="00804463"/>
    <w:rsid w:val="008076B5"/>
    <w:rsid w:val="00810AC2"/>
    <w:rsid w:val="00814A03"/>
    <w:rsid w:val="00820EED"/>
    <w:rsid w:val="008239CB"/>
    <w:rsid w:val="00825190"/>
    <w:rsid w:val="00830BC7"/>
    <w:rsid w:val="0083147A"/>
    <w:rsid w:val="008348CB"/>
    <w:rsid w:val="00842535"/>
    <w:rsid w:val="00844D5A"/>
    <w:rsid w:val="00845D2C"/>
    <w:rsid w:val="00847284"/>
    <w:rsid w:val="00852205"/>
    <w:rsid w:val="00854688"/>
    <w:rsid w:val="008547FE"/>
    <w:rsid w:val="00861506"/>
    <w:rsid w:val="00861789"/>
    <w:rsid w:val="00861A85"/>
    <w:rsid w:val="008679AB"/>
    <w:rsid w:val="00875C0D"/>
    <w:rsid w:val="0087618C"/>
    <w:rsid w:val="00877CB4"/>
    <w:rsid w:val="00880942"/>
    <w:rsid w:val="00882937"/>
    <w:rsid w:val="00884DAD"/>
    <w:rsid w:val="00884E95"/>
    <w:rsid w:val="008856A2"/>
    <w:rsid w:val="00886C61"/>
    <w:rsid w:val="00891064"/>
    <w:rsid w:val="008912CD"/>
    <w:rsid w:val="00893094"/>
    <w:rsid w:val="0089336F"/>
    <w:rsid w:val="008A0FD5"/>
    <w:rsid w:val="008A5669"/>
    <w:rsid w:val="008A69AE"/>
    <w:rsid w:val="008B628B"/>
    <w:rsid w:val="008C08E4"/>
    <w:rsid w:val="008C1D2F"/>
    <w:rsid w:val="008C5A06"/>
    <w:rsid w:val="008C6626"/>
    <w:rsid w:val="008D419D"/>
    <w:rsid w:val="008D5A46"/>
    <w:rsid w:val="008E2F30"/>
    <w:rsid w:val="008F0EDD"/>
    <w:rsid w:val="008F508A"/>
    <w:rsid w:val="008F5790"/>
    <w:rsid w:val="00900835"/>
    <w:rsid w:val="009037DC"/>
    <w:rsid w:val="009054AD"/>
    <w:rsid w:val="00906C4A"/>
    <w:rsid w:val="009160D0"/>
    <w:rsid w:val="00924EB4"/>
    <w:rsid w:val="009256DD"/>
    <w:rsid w:val="00930415"/>
    <w:rsid w:val="00940448"/>
    <w:rsid w:val="00942FCE"/>
    <w:rsid w:val="00957589"/>
    <w:rsid w:val="0095761D"/>
    <w:rsid w:val="009578CC"/>
    <w:rsid w:val="0096263B"/>
    <w:rsid w:val="009647BF"/>
    <w:rsid w:val="009672D0"/>
    <w:rsid w:val="009673A7"/>
    <w:rsid w:val="009714F2"/>
    <w:rsid w:val="00972DD7"/>
    <w:rsid w:val="00973365"/>
    <w:rsid w:val="009743A2"/>
    <w:rsid w:val="00980206"/>
    <w:rsid w:val="00981728"/>
    <w:rsid w:val="009856B4"/>
    <w:rsid w:val="0099014F"/>
    <w:rsid w:val="009906C9"/>
    <w:rsid w:val="00991DC4"/>
    <w:rsid w:val="00992536"/>
    <w:rsid w:val="009A1C42"/>
    <w:rsid w:val="009A2577"/>
    <w:rsid w:val="009A5CC6"/>
    <w:rsid w:val="009A7144"/>
    <w:rsid w:val="009A7E19"/>
    <w:rsid w:val="009B1791"/>
    <w:rsid w:val="009B3786"/>
    <w:rsid w:val="009B59D0"/>
    <w:rsid w:val="009C624A"/>
    <w:rsid w:val="009C717A"/>
    <w:rsid w:val="009D0940"/>
    <w:rsid w:val="009D2058"/>
    <w:rsid w:val="009D303A"/>
    <w:rsid w:val="009E0749"/>
    <w:rsid w:val="009E1500"/>
    <w:rsid w:val="009E1FD6"/>
    <w:rsid w:val="009E213D"/>
    <w:rsid w:val="009E3A67"/>
    <w:rsid w:val="009E4447"/>
    <w:rsid w:val="009F28A2"/>
    <w:rsid w:val="009F2EC6"/>
    <w:rsid w:val="009F41E1"/>
    <w:rsid w:val="009F54A7"/>
    <w:rsid w:val="009F64FE"/>
    <w:rsid w:val="00A000EB"/>
    <w:rsid w:val="00A00567"/>
    <w:rsid w:val="00A027C5"/>
    <w:rsid w:val="00A02B22"/>
    <w:rsid w:val="00A03211"/>
    <w:rsid w:val="00A05D04"/>
    <w:rsid w:val="00A06EDD"/>
    <w:rsid w:val="00A07320"/>
    <w:rsid w:val="00A07F97"/>
    <w:rsid w:val="00A110D9"/>
    <w:rsid w:val="00A11F71"/>
    <w:rsid w:val="00A13C4C"/>
    <w:rsid w:val="00A14D09"/>
    <w:rsid w:val="00A150F7"/>
    <w:rsid w:val="00A17E91"/>
    <w:rsid w:val="00A22C5E"/>
    <w:rsid w:val="00A25443"/>
    <w:rsid w:val="00A264D8"/>
    <w:rsid w:val="00A26908"/>
    <w:rsid w:val="00A2711E"/>
    <w:rsid w:val="00A30F97"/>
    <w:rsid w:val="00A3544F"/>
    <w:rsid w:val="00A35D88"/>
    <w:rsid w:val="00A419C1"/>
    <w:rsid w:val="00A47442"/>
    <w:rsid w:val="00A53248"/>
    <w:rsid w:val="00A54058"/>
    <w:rsid w:val="00A55BCD"/>
    <w:rsid w:val="00A56AA1"/>
    <w:rsid w:val="00A62BA5"/>
    <w:rsid w:val="00A655D1"/>
    <w:rsid w:val="00A663B1"/>
    <w:rsid w:val="00A7244E"/>
    <w:rsid w:val="00A73230"/>
    <w:rsid w:val="00A77A3F"/>
    <w:rsid w:val="00A8153C"/>
    <w:rsid w:val="00A81A87"/>
    <w:rsid w:val="00A86867"/>
    <w:rsid w:val="00A87A61"/>
    <w:rsid w:val="00A91606"/>
    <w:rsid w:val="00A94064"/>
    <w:rsid w:val="00A940F9"/>
    <w:rsid w:val="00A947FC"/>
    <w:rsid w:val="00AA01EF"/>
    <w:rsid w:val="00AA3626"/>
    <w:rsid w:val="00AA6C6C"/>
    <w:rsid w:val="00AA6E3A"/>
    <w:rsid w:val="00AB10C0"/>
    <w:rsid w:val="00AB252E"/>
    <w:rsid w:val="00AB301E"/>
    <w:rsid w:val="00AC2058"/>
    <w:rsid w:val="00AC3AD5"/>
    <w:rsid w:val="00AC600B"/>
    <w:rsid w:val="00AC7D1D"/>
    <w:rsid w:val="00AD0A7B"/>
    <w:rsid w:val="00AD1EB5"/>
    <w:rsid w:val="00AD3628"/>
    <w:rsid w:val="00AE0A00"/>
    <w:rsid w:val="00AE1F8A"/>
    <w:rsid w:val="00AE68C5"/>
    <w:rsid w:val="00B069CD"/>
    <w:rsid w:val="00B07295"/>
    <w:rsid w:val="00B128EF"/>
    <w:rsid w:val="00B201CC"/>
    <w:rsid w:val="00B2107F"/>
    <w:rsid w:val="00B240B7"/>
    <w:rsid w:val="00B3424F"/>
    <w:rsid w:val="00B44670"/>
    <w:rsid w:val="00B44D94"/>
    <w:rsid w:val="00B458BA"/>
    <w:rsid w:val="00B464A2"/>
    <w:rsid w:val="00B47AEF"/>
    <w:rsid w:val="00B52480"/>
    <w:rsid w:val="00B54541"/>
    <w:rsid w:val="00B54FFC"/>
    <w:rsid w:val="00B56A3D"/>
    <w:rsid w:val="00B56B3F"/>
    <w:rsid w:val="00B57078"/>
    <w:rsid w:val="00B577F2"/>
    <w:rsid w:val="00B663FF"/>
    <w:rsid w:val="00B73EC9"/>
    <w:rsid w:val="00B76F75"/>
    <w:rsid w:val="00B8090F"/>
    <w:rsid w:val="00B82D8C"/>
    <w:rsid w:val="00B86C14"/>
    <w:rsid w:val="00B86DEF"/>
    <w:rsid w:val="00B87E79"/>
    <w:rsid w:val="00B91B30"/>
    <w:rsid w:val="00B93B29"/>
    <w:rsid w:val="00BA1091"/>
    <w:rsid w:val="00BA1ED4"/>
    <w:rsid w:val="00BA3A72"/>
    <w:rsid w:val="00BA48F3"/>
    <w:rsid w:val="00BB0615"/>
    <w:rsid w:val="00BB3701"/>
    <w:rsid w:val="00BC3127"/>
    <w:rsid w:val="00BC51F7"/>
    <w:rsid w:val="00BD07E8"/>
    <w:rsid w:val="00BD22CB"/>
    <w:rsid w:val="00BD3C2D"/>
    <w:rsid w:val="00BD4048"/>
    <w:rsid w:val="00BD5CCE"/>
    <w:rsid w:val="00BD65D0"/>
    <w:rsid w:val="00BD6979"/>
    <w:rsid w:val="00BE34E3"/>
    <w:rsid w:val="00BE6F79"/>
    <w:rsid w:val="00BE79F9"/>
    <w:rsid w:val="00BF3CD3"/>
    <w:rsid w:val="00BF7674"/>
    <w:rsid w:val="00BF76AF"/>
    <w:rsid w:val="00C05D89"/>
    <w:rsid w:val="00C05EB2"/>
    <w:rsid w:val="00C06435"/>
    <w:rsid w:val="00C07771"/>
    <w:rsid w:val="00C1368A"/>
    <w:rsid w:val="00C155E8"/>
    <w:rsid w:val="00C22EBC"/>
    <w:rsid w:val="00C238D8"/>
    <w:rsid w:val="00C2416C"/>
    <w:rsid w:val="00C25367"/>
    <w:rsid w:val="00C2678D"/>
    <w:rsid w:val="00C26BD8"/>
    <w:rsid w:val="00C27B80"/>
    <w:rsid w:val="00C3411A"/>
    <w:rsid w:val="00C352CD"/>
    <w:rsid w:val="00C35AAA"/>
    <w:rsid w:val="00C472D4"/>
    <w:rsid w:val="00C540FE"/>
    <w:rsid w:val="00C54355"/>
    <w:rsid w:val="00C54FCC"/>
    <w:rsid w:val="00C56D17"/>
    <w:rsid w:val="00C62438"/>
    <w:rsid w:val="00C64A1A"/>
    <w:rsid w:val="00C657B3"/>
    <w:rsid w:val="00C7319E"/>
    <w:rsid w:val="00C74A36"/>
    <w:rsid w:val="00C81A0C"/>
    <w:rsid w:val="00C90777"/>
    <w:rsid w:val="00C97501"/>
    <w:rsid w:val="00CA1D12"/>
    <w:rsid w:val="00CA1FE9"/>
    <w:rsid w:val="00CA570A"/>
    <w:rsid w:val="00CB67D2"/>
    <w:rsid w:val="00CC50A1"/>
    <w:rsid w:val="00CC5D52"/>
    <w:rsid w:val="00CD152F"/>
    <w:rsid w:val="00CD40EA"/>
    <w:rsid w:val="00CD698B"/>
    <w:rsid w:val="00CD7711"/>
    <w:rsid w:val="00CF6095"/>
    <w:rsid w:val="00D04DF8"/>
    <w:rsid w:val="00D16407"/>
    <w:rsid w:val="00D31307"/>
    <w:rsid w:val="00D316CE"/>
    <w:rsid w:val="00D36126"/>
    <w:rsid w:val="00D42DF2"/>
    <w:rsid w:val="00D43BA4"/>
    <w:rsid w:val="00D5621A"/>
    <w:rsid w:val="00D57719"/>
    <w:rsid w:val="00D623FF"/>
    <w:rsid w:val="00D62DE5"/>
    <w:rsid w:val="00D642E7"/>
    <w:rsid w:val="00D6531C"/>
    <w:rsid w:val="00D67298"/>
    <w:rsid w:val="00D74A89"/>
    <w:rsid w:val="00D75366"/>
    <w:rsid w:val="00D777F9"/>
    <w:rsid w:val="00D7780C"/>
    <w:rsid w:val="00D84B13"/>
    <w:rsid w:val="00D854F0"/>
    <w:rsid w:val="00D860E4"/>
    <w:rsid w:val="00D87BB8"/>
    <w:rsid w:val="00D90E4B"/>
    <w:rsid w:val="00D91747"/>
    <w:rsid w:val="00D91D8B"/>
    <w:rsid w:val="00D95890"/>
    <w:rsid w:val="00D96CFD"/>
    <w:rsid w:val="00D977C6"/>
    <w:rsid w:val="00DA3EC3"/>
    <w:rsid w:val="00DA4ADB"/>
    <w:rsid w:val="00DB0001"/>
    <w:rsid w:val="00DB2DFC"/>
    <w:rsid w:val="00DB3C27"/>
    <w:rsid w:val="00DB42D3"/>
    <w:rsid w:val="00DB6C48"/>
    <w:rsid w:val="00DB7FC2"/>
    <w:rsid w:val="00DC0A4D"/>
    <w:rsid w:val="00DC3E46"/>
    <w:rsid w:val="00DC59B3"/>
    <w:rsid w:val="00DC5CA8"/>
    <w:rsid w:val="00DD1AAC"/>
    <w:rsid w:val="00DD6BB9"/>
    <w:rsid w:val="00DD7AE9"/>
    <w:rsid w:val="00DE0224"/>
    <w:rsid w:val="00DE7345"/>
    <w:rsid w:val="00DF53F3"/>
    <w:rsid w:val="00DF599E"/>
    <w:rsid w:val="00E01143"/>
    <w:rsid w:val="00E0206D"/>
    <w:rsid w:val="00E024B5"/>
    <w:rsid w:val="00E03925"/>
    <w:rsid w:val="00E06CCC"/>
    <w:rsid w:val="00E12346"/>
    <w:rsid w:val="00E1593F"/>
    <w:rsid w:val="00E22F98"/>
    <w:rsid w:val="00E23475"/>
    <w:rsid w:val="00E239BA"/>
    <w:rsid w:val="00E2547A"/>
    <w:rsid w:val="00E33F80"/>
    <w:rsid w:val="00E3429F"/>
    <w:rsid w:val="00E34580"/>
    <w:rsid w:val="00E367D3"/>
    <w:rsid w:val="00E41DAA"/>
    <w:rsid w:val="00E44C3C"/>
    <w:rsid w:val="00E519D1"/>
    <w:rsid w:val="00E534FE"/>
    <w:rsid w:val="00E538DB"/>
    <w:rsid w:val="00E54D1B"/>
    <w:rsid w:val="00E60A0F"/>
    <w:rsid w:val="00E641E0"/>
    <w:rsid w:val="00E665F5"/>
    <w:rsid w:val="00E7069E"/>
    <w:rsid w:val="00E74627"/>
    <w:rsid w:val="00E77686"/>
    <w:rsid w:val="00E81D80"/>
    <w:rsid w:val="00E824B5"/>
    <w:rsid w:val="00E830F4"/>
    <w:rsid w:val="00E94ABE"/>
    <w:rsid w:val="00EB3F7C"/>
    <w:rsid w:val="00EB5D60"/>
    <w:rsid w:val="00EC0A0B"/>
    <w:rsid w:val="00EC1C49"/>
    <w:rsid w:val="00EC2E30"/>
    <w:rsid w:val="00EC3EBD"/>
    <w:rsid w:val="00EC6CE4"/>
    <w:rsid w:val="00EC7C8F"/>
    <w:rsid w:val="00ED028D"/>
    <w:rsid w:val="00ED1296"/>
    <w:rsid w:val="00ED3F7D"/>
    <w:rsid w:val="00EE7CA9"/>
    <w:rsid w:val="00EF6494"/>
    <w:rsid w:val="00F0224A"/>
    <w:rsid w:val="00F02ABF"/>
    <w:rsid w:val="00F034D6"/>
    <w:rsid w:val="00F05E15"/>
    <w:rsid w:val="00F07CC1"/>
    <w:rsid w:val="00F10175"/>
    <w:rsid w:val="00F10ADB"/>
    <w:rsid w:val="00F119DD"/>
    <w:rsid w:val="00F14AA5"/>
    <w:rsid w:val="00F14C1E"/>
    <w:rsid w:val="00F156F1"/>
    <w:rsid w:val="00F15925"/>
    <w:rsid w:val="00F173D3"/>
    <w:rsid w:val="00F25458"/>
    <w:rsid w:val="00F275C7"/>
    <w:rsid w:val="00F33575"/>
    <w:rsid w:val="00F34B2A"/>
    <w:rsid w:val="00F34EAF"/>
    <w:rsid w:val="00F37007"/>
    <w:rsid w:val="00F44A2B"/>
    <w:rsid w:val="00F45035"/>
    <w:rsid w:val="00F50E6B"/>
    <w:rsid w:val="00F56B78"/>
    <w:rsid w:val="00F610E3"/>
    <w:rsid w:val="00F716EB"/>
    <w:rsid w:val="00F75FC9"/>
    <w:rsid w:val="00F81754"/>
    <w:rsid w:val="00F8755B"/>
    <w:rsid w:val="00F918C4"/>
    <w:rsid w:val="00F93FD3"/>
    <w:rsid w:val="00FA0FDB"/>
    <w:rsid w:val="00FB133A"/>
    <w:rsid w:val="00FC2B35"/>
    <w:rsid w:val="00FC5158"/>
    <w:rsid w:val="00FC5322"/>
    <w:rsid w:val="00FC5BE0"/>
    <w:rsid w:val="00FD1878"/>
    <w:rsid w:val="00FD6FD5"/>
    <w:rsid w:val="00FD7340"/>
    <w:rsid w:val="00FE2711"/>
    <w:rsid w:val="00FE2E72"/>
    <w:rsid w:val="00FF18AC"/>
    <w:rsid w:val="00FF2C96"/>
    <w:rsid w:val="00FF3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564E78"/>
  <w15:chartTrackingRefBased/>
  <w15:docId w15:val="{22416B99-8092-F64C-A932-F79FEADD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422"/>
    <w:rPr>
      <w:rFonts w:ascii="Times New Roman" w:eastAsia="Times New Roman" w:hAnsi="Times New Roman" w:cs="Times New Roman"/>
    </w:rPr>
  </w:style>
  <w:style w:type="paragraph" w:styleId="Heading1">
    <w:name w:val="heading 1"/>
    <w:basedOn w:val="Normal"/>
    <w:next w:val="Normal"/>
    <w:link w:val="Heading1Char"/>
    <w:uiPriority w:val="9"/>
    <w:qFormat/>
    <w:rsid w:val="003F77E0"/>
    <w:pPr>
      <w:keepNext/>
      <w:keepLines/>
      <w:spacing w:before="240"/>
      <w:outlineLvl w:val="0"/>
    </w:pPr>
    <w:rPr>
      <w:rFonts w:eastAsiaTheme="majorEastAsia" w:cstheme="majorBidi"/>
      <w:b/>
      <w:color w:val="002060"/>
      <w:szCs w:val="32"/>
    </w:rPr>
  </w:style>
  <w:style w:type="paragraph" w:styleId="Heading2">
    <w:name w:val="heading 2"/>
    <w:basedOn w:val="Normal"/>
    <w:next w:val="Normal"/>
    <w:link w:val="Heading2Char"/>
    <w:uiPriority w:val="9"/>
    <w:unhideWhenUsed/>
    <w:qFormat/>
    <w:rsid w:val="002E7FD2"/>
    <w:pPr>
      <w:keepNext/>
      <w:keepLines/>
      <w:spacing w:before="2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uiPriority w:val="9"/>
    <w:unhideWhenUsed/>
    <w:qFormat/>
    <w:rsid w:val="002B022A"/>
    <w:pPr>
      <w:keepNext/>
      <w:keepLines/>
      <w:spacing w:before="40"/>
      <w:outlineLvl w:val="2"/>
    </w:pPr>
    <w:rPr>
      <w:rFonts w:eastAsiaTheme="majorEastAsia" w:cstheme="majorBidi"/>
      <w:b/>
      <w:color w:val="ED7D31" w:themeColor="accent2"/>
    </w:rPr>
  </w:style>
  <w:style w:type="paragraph" w:styleId="Heading4">
    <w:name w:val="heading 4"/>
    <w:basedOn w:val="Normal"/>
    <w:next w:val="Normal"/>
    <w:link w:val="Heading4Char"/>
    <w:uiPriority w:val="9"/>
    <w:unhideWhenUsed/>
    <w:qFormat/>
    <w:rsid w:val="00387AF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7FD2"/>
    <w:rPr>
      <w:rFonts w:ascii="Times New Roman" w:eastAsiaTheme="majorEastAsia" w:hAnsi="Times New Roman" w:cstheme="majorBidi"/>
      <w:b/>
      <w:color w:val="2F5496" w:themeColor="accent1" w:themeShade="BF"/>
      <w:szCs w:val="26"/>
    </w:rPr>
  </w:style>
  <w:style w:type="paragraph" w:customStyle="1" w:styleId="SophiaH1">
    <w:name w:val="Sophia H1"/>
    <w:basedOn w:val="Normal"/>
    <w:rsid w:val="00731DDA"/>
    <w:rPr>
      <w:b/>
    </w:rPr>
  </w:style>
  <w:style w:type="paragraph" w:customStyle="1" w:styleId="SophiaNormal">
    <w:name w:val="Sophia Normal"/>
    <w:basedOn w:val="Normal"/>
    <w:rsid w:val="00731DDA"/>
  </w:style>
  <w:style w:type="paragraph" w:customStyle="1" w:styleId="SophiaH2">
    <w:name w:val="Sophia H2"/>
    <w:basedOn w:val="SophiaH1"/>
    <w:rsid w:val="003F6996"/>
    <w:rPr>
      <w:b w:val="0"/>
      <w:color w:val="7030A0"/>
    </w:rPr>
  </w:style>
  <w:style w:type="character" w:customStyle="1" w:styleId="Heading1Char">
    <w:name w:val="Heading 1 Char"/>
    <w:basedOn w:val="DefaultParagraphFont"/>
    <w:link w:val="Heading1"/>
    <w:uiPriority w:val="9"/>
    <w:rsid w:val="003F77E0"/>
    <w:rPr>
      <w:rFonts w:ascii="Times New Roman" w:eastAsiaTheme="majorEastAsia" w:hAnsi="Times New Roman" w:cstheme="majorBidi"/>
      <w:b/>
      <w:color w:val="002060"/>
      <w:szCs w:val="32"/>
    </w:rPr>
  </w:style>
  <w:style w:type="paragraph" w:styleId="Header">
    <w:name w:val="header"/>
    <w:basedOn w:val="Normal"/>
    <w:link w:val="HeaderChar"/>
    <w:uiPriority w:val="99"/>
    <w:unhideWhenUsed/>
    <w:rsid w:val="003F6996"/>
    <w:pPr>
      <w:tabs>
        <w:tab w:val="center" w:pos="4680"/>
        <w:tab w:val="right" w:pos="9360"/>
      </w:tabs>
    </w:pPr>
  </w:style>
  <w:style w:type="character" w:customStyle="1" w:styleId="HeaderChar">
    <w:name w:val="Header Char"/>
    <w:basedOn w:val="DefaultParagraphFont"/>
    <w:link w:val="Header"/>
    <w:uiPriority w:val="99"/>
    <w:rsid w:val="003F6996"/>
  </w:style>
  <w:style w:type="paragraph" w:styleId="Footer">
    <w:name w:val="footer"/>
    <w:basedOn w:val="Normal"/>
    <w:link w:val="FooterChar"/>
    <w:uiPriority w:val="99"/>
    <w:unhideWhenUsed/>
    <w:rsid w:val="003F6996"/>
    <w:pPr>
      <w:tabs>
        <w:tab w:val="center" w:pos="4680"/>
        <w:tab w:val="right" w:pos="9360"/>
      </w:tabs>
    </w:pPr>
  </w:style>
  <w:style w:type="character" w:customStyle="1" w:styleId="FooterChar">
    <w:name w:val="Footer Char"/>
    <w:basedOn w:val="DefaultParagraphFont"/>
    <w:link w:val="Footer"/>
    <w:uiPriority w:val="99"/>
    <w:rsid w:val="003F6996"/>
  </w:style>
  <w:style w:type="character" w:styleId="PageNumber">
    <w:name w:val="page number"/>
    <w:basedOn w:val="DefaultParagraphFont"/>
    <w:uiPriority w:val="99"/>
    <w:semiHidden/>
    <w:unhideWhenUsed/>
    <w:rsid w:val="003F6996"/>
  </w:style>
  <w:style w:type="paragraph" w:styleId="Title">
    <w:name w:val="Title"/>
    <w:basedOn w:val="Normal"/>
    <w:next w:val="Normal"/>
    <w:link w:val="TitleChar"/>
    <w:uiPriority w:val="10"/>
    <w:qFormat/>
    <w:rsid w:val="00492ECA"/>
    <w:pPr>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492ECA"/>
    <w:rPr>
      <w:rFonts w:ascii="Times New Roman" w:eastAsiaTheme="majorEastAsia" w:hAnsi="Times New Roman" w:cstheme="majorBidi"/>
      <w:spacing w:val="-10"/>
      <w:kern w:val="28"/>
      <w:sz w:val="28"/>
      <w:szCs w:val="56"/>
    </w:rPr>
  </w:style>
  <w:style w:type="paragraph" w:styleId="Subtitle">
    <w:name w:val="Subtitle"/>
    <w:basedOn w:val="Normal"/>
    <w:next w:val="Normal"/>
    <w:link w:val="SubtitleChar"/>
    <w:uiPriority w:val="11"/>
    <w:qFormat/>
    <w:rsid w:val="00492ECA"/>
    <w:pPr>
      <w:numPr>
        <w:ilvl w:val="1"/>
      </w:numPr>
      <w:spacing w:after="160"/>
    </w:pPr>
    <w:rPr>
      <w:rFonts w:eastAsiaTheme="minorEastAsia"/>
      <w:spacing w:val="15"/>
      <w:szCs w:val="22"/>
    </w:rPr>
  </w:style>
  <w:style w:type="character" w:customStyle="1" w:styleId="SubtitleChar">
    <w:name w:val="Subtitle Char"/>
    <w:basedOn w:val="DefaultParagraphFont"/>
    <w:link w:val="Subtitle"/>
    <w:uiPriority w:val="11"/>
    <w:rsid w:val="00492ECA"/>
    <w:rPr>
      <w:rFonts w:ascii="Times New Roman" w:eastAsiaTheme="minorEastAsia" w:hAnsi="Times New Roman"/>
      <w:spacing w:val="15"/>
      <w:szCs w:val="22"/>
    </w:rPr>
  </w:style>
  <w:style w:type="character" w:customStyle="1" w:styleId="Heading3Char">
    <w:name w:val="Heading 3 Char"/>
    <w:basedOn w:val="DefaultParagraphFont"/>
    <w:link w:val="Heading3"/>
    <w:uiPriority w:val="9"/>
    <w:rsid w:val="002B022A"/>
    <w:rPr>
      <w:rFonts w:ascii="Times New Roman" w:eastAsiaTheme="majorEastAsia" w:hAnsi="Times New Roman" w:cstheme="majorBidi"/>
      <w:b/>
      <w:color w:val="ED7D31" w:themeColor="accent2"/>
    </w:rPr>
  </w:style>
  <w:style w:type="character" w:styleId="PlaceholderText">
    <w:name w:val="Placeholder Text"/>
    <w:basedOn w:val="DefaultParagraphFont"/>
    <w:uiPriority w:val="99"/>
    <w:semiHidden/>
    <w:rsid w:val="00EC3EBD"/>
    <w:rPr>
      <w:color w:val="808080"/>
    </w:rPr>
  </w:style>
  <w:style w:type="paragraph" w:styleId="FootnoteText">
    <w:name w:val="footnote text"/>
    <w:basedOn w:val="Normal"/>
    <w:link w:val="FootnoteTextChar"/>
    <w:uiPriority w:val="99"/>
    <w:semiHidden/>
    <w:unhideWhenUsed/>
    <w:rsid w:val="00EC3EBD"/>
    <w:rPr>
      <w:sz w:val="20"/>
      <w:szCs w:val="20"/>
    </w:rPr>
  </w:style>
  <w:style w:type="character" w:customStyle="1" w:styleId="FootnoteTextChar">
    <w:name w:val="Footnote Text Char"/>
    <w:basedOn w:val="DefaultParagraphFont"/>
    <w:link w:val="FootnoteText"/>
    <w:uiPriority w:val="99"/>
    <w:semiHidden/>
    <w:rsid w:val="00EC3EBD"/>
    <w:rPr>
      <w:rFonts w:ascii="Times New Roman" w:hAnsi="Times New Roman"/>
      <w:sz w:val="20"/>
      <w:szCs w:val="20"/>
    </w:rPr>
  </w:style>
  <w:style w:type="character" w:styleId="FootnoteReference">
    <w:name w:val="footnote reference"/>
    <w:basedOn w:val="DefaultParagraphFont"/>
    <w:uiPriority w:val="99"/>
    <w:semiHidden/>
    <w:unhideWhenUsed/>
    <w:rsid w:val="00EC3EBD"/>
    <w:rPr>
      <w:vertAlign w:val="superscript"/>
    </w:rPr>
  </w:style>
  <w:style w:type="character" w:styleId="Hyperlink">
    <w:name w:val="Hyperlink"/>
    <w:basedOn w:val="DefaultParagraphFont"/>
    <w:uiPriority w:val="99"/>
    <w:unhideWhenUsed/>
    <w:rsid w:val="00E538DB"/>
    <w:rPr>
      <w:color w:val="0000FF"/>
      <w:u w:val="single"/>
    </w:rPr>
  </w:style>
  <w:style w:type="paragraph" w:styleId="NormalWeb">
    <w:name w:val="Normal (Web)"/>
    <w:basedOn w:val="Normal"/>
    <w:uiPriority w:val="99"/>
    <w:unhideWhenUsed/>
    <w:rsid w:val="007E3909"/>
    <w:pPr>
      <w:spacing w:before="100" w:beforeAutospacing="1" w:after="100" w:afterAutospacing="1"/>
    </w:pPr>
    <w:rPr>
      <w:rFonts w:eastAsiaTheme="minorEastAsia"/>
    </w:rPr>
  </w:style>
  <w:style w:type="character" w:styleId="UnresolvedMention">
    <w:name w:val="Unresolved Mention"/>
    <w:basedOn w:val="DefaultParagraphFont"/>
    <w:uiPriority w:val="99"/>
    <w:semiHidden/>
    <w:unhideWhenUsed/>
    <w:rsid w:val="007E3909"/>
    <w:rPr>
      <w:color w:val="605E5C"/>
      <w:shd w:val="clear" w:color="auto" w:fill="E1DFDD"/>
    </w:rPr>
  </w:style>
  <w:style w:type="character" w:styleId="FollowedHyperlink">
    <w:name w:val="FollowedHyperlink"/>
    <w:basedOn w:val="DefaultParagraphFont"/>
    <w:uiPriority w:val="99"/>
    <w:semiHidden/>
    <w:unhideWhenUsed/>
    <w:rsid w:val="009F54A7"/>
    <w:rPr>
      <w:color w:val="954F72" w:themeColor="followedHyperlink"/>
      <w:u w:val="single"/>
    </w:rPr>
  </w:style>
  <w:style w:type="paragraph" w:styleId="BalloonText">
    <w:name w:val="Balloon Text"/>
    <w:basedOn w:val="Normal"/>
    <w:link w:val="BalloonTextChar"/>
    <w:uiPriority w:val="99"/>
    <w:semiHidden/>
    <w:unhideWhenUsed/>
    <w:rsid w:val="000F2DDD"/>
    <w:rPr>
      <w:sz w:val="18"/>
      <w:szCs w:val="18"/>
    </w:rPr>
  </w:style>
  <w:style w:type="character" w:customStyle="1" w:styleId="BalloonTextChar">
    <w:name w:val="Balloon Text Char"/>
    <w:basedOn w:val="DefaultParagraphFont"/>
    <w:link w:val="BalloonText"/>
    <w:uiPriority w:val="99"/>
    <w:semiHidden/>
    <w:rsid w:val="000F2DDD"/>
    <w:rPr>
      <w:rFonts w:ascii="Times New Roman" w:eastAsia="Times New Roman" w:hAnsi="Times New Roman" w:cs="Times New Roman"/>
      <w:sz w:val="18"/>
      <w:szCs w:val="18"/>
    </w:rPr>
  </w:style>
  <w:style w:type="character" w:customStyle="1" w:styleId="Heading4Char">
    <w:name w:val="Heading 4 Char"/>
    <w:basedOn w:val="DefaultParagraphFont"/>
    <w:link w:val="Heading4"/>
    <w:uiPriority w:val="9"/>
    <w:rsid w:val="00387AF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824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7723">
      <w:bodyDiv w:val="1"/>
      <w:marLeft w:val="0"/>
      <w:marRight w:val="0"/>
      <w:marTop w:val="0"/>
      <w:marBottom w:val="0"/>
      <w:divBdr>
        <w:top w:val="none" w:sz="0" w:space="0" w:color="auto"/>
        <w:left w:val="none" w:sz="0" w:space="0" w:color="auto"/>
        <w:bottom w:val="none" w:sz="0" w:space="0" w:color="auto"/>
        <w:right w:val="none" w:sz="0" w:space="0" w:color="auto"/>
      </w:divBdr>
    </w:div>
    <w:div w:id="5791474">
      <w:bodyDiv w:val="1"/>
      <w:marLeft w:val="0"/>
      <w:marRight w:val="0"/>
      <w:marTop w:val="0"/>
      <w:marBottom w:val="0"/>
      <w:divBdr>
        <w:top w:val="none" w:sz="0" w:space="0" w:color="auto"/>
        <w:left w:val="none" w:sz="0" w:space="0" w:color="auto"/>
        <w:bottom w:val="none" w:sz="0" w:space="0" w:color="auto"/>
        <w:right w:val="none" w:sz="0" w:space="0" w:color="auto"/>
      </w:divBdr>
    </w:div>
    <w:div w:id="45104139">
      <w:bodyDiv w:val="1"/>
      <w:marLeft w:val="0"/>
      <w:marRight w:val="0"/>
      <w:marTop w:val="0"/>
      <w:marBottom w:val="0"/>
      <w:divBdr>
        <w:top w:val="none" w:sz="0" w:space="0" w:color="auto"/>
        <w:left w:val="none" w:sz="0" w:space="0" w:color="auto"/>
        <w:bottom w:val="none" w:sz="0" w:space="0" w:color="auto"/>
        <w:right w:val="none" w:sz="0" w:space="0" w:color="auto"/>
      </w:divBdr>
    </w:div>
    <w:div w:id="54206001">
      <w:bodyDiv w:val="1"/>
      <w:marLeft w:val="0"/>
      <w:marRight w:val="0"/>
      <w:marTop w:val="0"/>
      <w:marBottom w:val="0"/>
      <w:divBdr>
        <w:top w:val="none" w:sz="0" w:space="0" w:color="auto"/>
        <w:left w:val="none" w:sz="0" w:space="0" w:color="auto"/>
        <w:bottom w:val="none" w:sz="0" w:space="0" w:color="auto"/>
        <w:right w:val="none" w:sz="0" w:space="0" w:color="auto"/>
      </w:divBdr>
    </w:div>
    <w:div w:id="56369640">
      <w:bodyDiv w:val="1"/>
      <w:marLeft w:val="0"/>
      <w:marRight w:val="0"/>
      <w:marTop w:val="0"/>
      <w:marBottom w:val="0"/>
      <w:divBdr>
        <w:top w:val="none" w:sz="0" w:space="0" w:color="auto"/>
        <w:left w:val="none" w:sz="0" w:space="0" w:color="auto"/>
        <w:bottom w:val="none" w:sz="0" w:space="0" w:color="auto"/>
        <w:right w:val="none" w:sz="0" w:space="0" w:color="auto"/>
      </w:divBdr>
    </w:div>
    <w:div w:id="58023120">
      <w:bodyDiv w:val="1"/>
      <w:marLeft w:val="0"/>
      <w:marRight w:val="0"/>
      <w:marTop w:val="0"/>
      <w:marBottom w:val="0"/>
      <w:divBdr>
        <w:top w:val="none" w:sz="0" w:space="0" w:color="auto"/>
        <w:left w:val="none" w:sz="0" w:space="0" w:color="auto"/>
        <w:bottom w:val="none" w:sz="0" w:space="0" w:color="auto"/>
        <w:right w:val="none" w:sz="0" w:space="0" w:color="auto"/>
      </w:divBdr>
    </w:div>
    <w:div w:id="68357433">
      <w:bodyDiv w:val="1"/>
      <w:marLeft w:val="0"/>
      <w:marRight w:val="0"/>
      <w:marTop w:val="0"/>
      <w:marBottom w:val="0"/>
      <w:divBdr>
        <w:top w:val="none" w:sz="0" w:space="0" w:color="auto"/>
        <w:left w:val="none" w:sz="0" w:space="0" w:color="auto"/>
        <w:bottom w:val="none" w:sz="0" w:space="0" w:color="auto"/>
        <w:right w:val="none" w:sz="0" w:space="0" w:color="auto"/>
      </w:divBdr>
    </w:div>
    <w:div w:id="119612781">
      <w:bodyDiv w:val="1"/>
      <w:marLeft w:val="0"/>
      <w:marRight w:val="0"/>
      <w:marTop w:val="0"/>
      <w:marBottom w:val="0"/>
      <w:divBdr>
        <w:top w:val="none" w:sz="0" w:space="0" w:color="auto"/>
        <w:left w:val="none" w:sz="0" w:space="0" w:color="auto"/>
        <w:bottom w:val="none" w:sz="0" w:space="0" w:color="auto"/>
        <w:right w:val="none" w:sz="0" w:space="0" w:color="auto"/>
      </w:divBdr>
    </w:div>
    <w:div w:id="123083537">
      <w:bodyDiv w:val="1"/>
      <w:marLeft w:val="0"/>
      <w:marRight w:val="0"/>
      <w:marTop w:val="0"/>
      <w:marBottom w:val="0"/>
      <w:divBdr>
        <w:top w:val="none" w:sz="0" w:space="0" w:color="auto"/>
        <w:left w:val="none" w:sz="0" w:space="0" w:color="auto"/>
        <w:bottom w:val="none" w:sz="0" w:space="0" w:color="auto"/>
        <w:right w:val="none" w:sz="0" w:space="0" w:color="auto"/>
      </w:divBdr>
    </w:div>
    <w:div w:id="129783172">
      <w:bodyDiv w:val="1"/>
      <w:marLeft w:val="0"/>
      <w:marRight w:val="0"/>
      <w:marTop w:val="0"/>
      <w:marBottom w:val="0"/>
      <w:divBdr>
        <w:top w:val="none" w:sz="0" w:space="0" w:color="auto"/>
        <w:left w:val="none" w:sz="0" w:space="0" w:color="auto"/>
        <w:bottom w:val="none" w:sz="0" w:space="0" w:color="auto"/>
        <w:right w:val="none" w:sz="0" w:space="0" w:color="auto"/>
      </w:divBdr>
    </w:div>
    <w:div w:id="160436995">
      <w:bodyDiv w:val="1"/>
      <w:marLeft w:val="0"/>
      <w:marRight w:val="0"/>
      <w:marTop w:val="0"/>
      <w:marBottom w:val="0"/>
      <w:divBdr>
        <w:top w:val="none" w:sz="0" w:space="0" w:color="auto"/>
        <w:left w:val="none" w:sz="0" w:space="0" w:color="auto"/>
        <w:bottom w:val="none" w:sz="0" w:space="0" w:color="auto"/>
        <w:right w:val="none" w:sz="0" w:space="0" w:color="auto"/>
      </w:divBdr>
    </w:div>
    <w:div w:id="186255604">
      <w:bodyDiv w:val="1"/>
      <w:marLeft w:val="0"/>
      <w:marRight w:val="0"/>
      <w:marTop w:val="0"/>
      <w:marBottom w:val="0"/>
      <w:divBdr>
        <w:top w:val="none" w:sz="0" w:space="0" w:color="auto"/>
        <w:left w:val="none" w:sz="0" w:space="0" w:color="auto"/>
        <w:bottom w:val="none" w:sz="0" w:space="0" w:color="auto"/>
        <w:right w:val="none" w:sz="0" w:space="0" w:color="auto"/>
      </w:divBdr>
    </w:div>
    <w:div w:id="202450139">
      <w:bodyDiv w:val="1"/>
      <w:marLeft w:val="0"/>
      <w:marRight w:val="0"/>
      <w:marTop w:val="0"/>
      <w:marBottom w:val="0"/>
      <w:divBdr>
        <w:top w:val="none" w:sz="0" w:space="0" w:color="auto"/>
        <w:left w:val="none" w:sz="0" w:space="0" w:color="auto"/>
        <w:bottom w:val="none" w:sz="0" w:space="0" w:color="auto"/>
        <w:right w:val="none" w:sz="0" w:space="0" w:color="auto"/>
      </w:divBdr>
    </w:div>
    <w:div w:id="215239824">
      <w:bodyDiv w:val="1"/>
      <w:marLeft w:val="0"/>
      <w:marRight w:val="0"/>
      <w:marTop w:val="0"/>
      <w:marBottom w:val="0"/>
      <w:divBdr>
        <w:top w:val="none" w:sz="0" w:space="0" w:color="auto"/>
        <w:left w:val="none" w:sz="0" w:space="0" w:color="auto"/>
        <w:bottom w:val="none" w:sz="0" w:space="0" w:color="auto"/>
        <w:right w:val="none" w:sz="0" w:space="0" w:color="auto"/>
      </w:divBdr>
    </w:div>
    <w:div w:id="224607684">
      <w:bodyDiv w:val="1"/>
      <w:marLeft w:val="0"/>
      <w:marRight w:val="0"/>
      <w:marTop w:val="0"/>
      <w:marBottom w:val="0"/>
      <w:divBdr>
        <w:top w:val="none" w:sz="0" w:space="0" w:color="auto"/>
        <w:left w:val="none" w:sz="0" w:space="0" w:color="auto"/>
        <w:bottom w:val="none" w:sz="0" w:space="0" w:color="auto"/>
        <w:right w:val="none" w:sz="0" w:space="0" w:color="auto"/>
      </w:divBdr>
    </w:div>
    <w:div w:id="224923422">
      <w:bodyDiv w:val="1"/>
      <w:marLeft w:val="0"/>
      <w:marRight w:val="0"/>
      <w:marTop w:val="0"/>
      <w:marBottom w:val="0"/>
      <w:divBdr>
        <w:top w:val="none" w:sz="0" w:space="0" w:color="auto"/>
        <w:left w:val="none" w:sz="0" w:space="0" w:color="auto"/>
        <w:bottom w:val="none" w:sz="0" w:space="0" w:color="auto"/>
        <w:right w:val="none" w:sz="0" w:space="0" w:color="auto"/>
      </w:divBdr>
    </w:div>
    <w:div w:id="229191079">
      <w:bodyDiv w:val="1"/>
      <w:marLeft w:val="0"/>
      <w:marRight w:val="0"/>
      <w:marTop w:val="0"/>
      <w:marBottom w:val="0"/>
      <w:divBdr>
        <w:top w:val="none" w:sz="0" w:space="0" w:color="auto"/>
        <w:left w:val="none" w:sz="0" w:space="0" w:color="auto"/>
        <w:bottom w:val="none" w:sz="0" w:space="0" w:color="auto"/>
        <w:right w:val="none" w:sz="0" w:space="0" w:color="auto"/>
      </w:divBdr>
    </w:div>
    <w:div w:id="238488878">
      <w:bodyDiv w:val="1"/>
      <w:marLeft w:val="0"/>
      <w:marRight w:val="0"/>
      <w:marTop w:val="0"/>
      <w:marBottom w:val="0"/>
      <w:divBdr>
        <w:top w:val="none" w:sz="0" w:space="0" w:color="auto"/>
        <w:left w:val="none" w:sz="0" w:space="0" w:color="auto"/>
        <w:bottom w:val="none" w:sz="0" w:space="0" w:color="auto"/>
        <w:right w:val="none" w:sz="0" w:space="0" w:color="auto"/>
      </w:divBdr>
    </w:div>
    <w:div w:id="241641533">
      <w:bodyDiv w:val="1"/>
      <w:marLeft w:val="0"/>
      <w:marRight w:val="0"/>
      <w:marTop w:val="0"/>
      <w:marBottom w:val="0"/>
      <w:divBdr>
        <w:top w:val="none" w:sz="0" w:space="0" w:color="auto"/>
        <w:left w:val="none" w:sz="0" w:space="0" w:color="auto"/>
        <w:bottom w:val="none" w:sz="0" w:space="0" w:color="auto"/>
        <w:right w:val="none" w:sz="0" w:space="0" w:color="auto"/>
      </w:divBdr>
    </w:div>
    <w:div w:id="257063899">
      <w:bodyDiv w:val="1"/>
      <w:marLeft w:val="0"/>
      <w:marRight w:val="0"/>
      <w:marTop w:val="0"/>
      <w:marBottom w:val="0"/>
      <w:divBdr>
        <w:top w:val="none" w:sz="0" w:space="0" w:color="auto"/>
        <w:left w:val="none" w:sz="0" w:space="0" w:color="auto"/>
        <w:bottom w:val="none" w:sz="0" w:space="0" w:color="auto"/>
        <w:right w:val="none" w:sz="0" w:space="0" w:color="auto"/>
      </w:divBdr>
    </w:div>
    <w:div w:id="261843993">
      <w:bodyDiv w:val="1"/>
      <w:marLeft w:val="0"/>
      <w:marRight w:val="0"/>
      <w:marTop w:val="0"/>
      <w:marBottom w:val="0"/>
      <w:divBdr>
        <w:top w:val="none" w:sz="0" w:space="0" w:color="auto"/>
        <w:left w:val="none" w:sz="0" w:space="0" w:color="auto"/>
        <w:bottom w:val="none" w:sz="0" w:space="0" w:color="auto"/>
        <w:right w:val="none" w:sz="0" w:space="0" w:color="auto"/>
      </w:divBdr>
    </w:div>
    <w:div w:id="279143546">
      <w:bodyDiv w:val="1"/>
      <w:marLeft w:val="0"/>
      <w:marRight w:val="0"/>
      <w:marTop w:val="0"/>
      <w:marBottom w:val="0"/>
      <w:divBdr>
        <w:top w:val="none" w:sz="0" w:space="0" w:color="auto"/>
        <w:left w:val="none" w:sz="0" w:space="0" w:color="auto"/>
        <w:bottom w:val="none" w:sz="0" w:space="0" w:color="auto"/>
        <w:right w:val="none" w:sz="0" w:space="0" w:color="auto"/>
      </w:divBdr>
    </w:div>
    <w:div w:id="280842653">
      <w:bodyDiv w:val="1"/>
      <w:marLeft w:val="0"/>
      <w:marRight w:val="0"/>
      <w:marTop w:val="0"/>
      <w:marBottom w:val="0"/>
      <w:divBdr>
        <w:top w:val="none" w:sz="0" w:space="0" w:color="auto"/>
        <w:left w:val="none" w:sz="0" w:space="0" w:color="auto"/>
        <w:bottom w:val="none" w:sz="0" w:space="0" w:color="auto"/>
        <w:right w:val="none" w:sz="0" w:space="0" w:color="auto"/>
      </w:divBdr>
    </w:div>
    <w:div w:id="290484245">
      <w:bodyDiv w:val="1"/>
      <w:marLeft w:val="0"/>
      <w:marRight w:val="0"/>
      <w:marTop w:val="0"/>
      <w:marBottom w:val="0"/>
      <w:divBdr>
        <w:top w:val="none" w:sz="0" w:space="0" w:color="auto"/>
        <w:left w:val="none" w:sz="0" w:space="0" w:color="auto"/>
        <w:bottom w:val="none" w:sz="0" w:space="0" w:color="auto"/>
        <w:right w:val="none" w:sz="0" w:space="0" w:color="auto"/>
      </w:divBdr>
    </w:div>
    <w:div w:id="292907456">
      <w:bodyDiv w:val="1"/>
      <w:marLeft w:val="0"/>
      <w:marRight w:val="0"/>
      <w:marTop w:val="0"/>
      <w:marBottom w:val="0"/>
      <w:divBdr>
        <w:top w:val="none" w:sz="0" w:space="0" w:color="auto"/>
        <w:left w:val="none" w:sz="0" w:space="0" w:color="auto"/>
        <w:bottom w:val="none" w:sz="0" w:space="0" w:color="auto"/>
        <w:right w:val="none" w:sz="0" w:space="0" w:color="auto"/>
      </w:divBdr>
    </w:div>
    <w:div w:id="296954012">
      <w:bodyDiv w:val="1"/>
      <w:marLeft w:val="0"/>
      <w:marRight w:val="0"/>
      <w:marTop w:val="0"/>
      <w:marBottom w:val="0"/>
      <w:divBdr>
        <w:top w:val="none" w:sz="0" w:space="0" w:color="auto"/>
        <w:left w:val="none" w:sz="0" w:space="0" w:color="auto"/>
        <w:bottom w:val="none" w:sz="0" w:space="0" w:color="auto"/>
        <w:right w:val="none" w:sz="0" w:space="0" w:color="auto"/>
      </w:divBdr>
    </w:div>
    <w:div w:id="299772774">
      <w:bodyDiv w:val="1"/>
      <w:marLeft w:val="0"/>
      <w:marRight w:val="0"/>
      <w:marTop w:val="0"/>
      <w:marBottom w:val="0"/>
      <w:divBdr>
        <w:top w:val="none" w:sz="0" w:space="0" w:color="auto"/>
        <w:left w:val="none" w:sz="0" w:space="0" w:color="auto"/>
        <w:bottom w:val="none" w:sz="0" w:space="0" w:color="auto"/>
        <w:right w:val="none" w:sz="0" w:space="0" w:color="auto"/>
      </w:divBdr>
    </w:div>
    <w:div w:id="308749827">
      <w:bodyDiv w:val="1"/>
      <w:marLeft w:val="0"/>
      <w:marRight w:val="0"/>
      <w:marTop w:val="0"/>
      <w:marBottom w:val="0"/>
      <w:divBdr>
        <w:top w:val="none" w:sz="0" w:space="0" w:color="auto"/>
        <w:left w:val="none" w:sz="0" w:space="0" w:color="auto"/>
        <w:bottom w:val="none" w:sz="0" w:space="0" w:color="auto"/>
        <w:right w:val="none" w:sz="0" w:space="0" w:color="auto"/>
      </w:divBdr>
    </w:div>
    <w:div w:id="313073968">
      <w:bodyDiv w:val="1"/>
      <w:marLeft w:val="0"/>
      <w:marRight w:val="0"/>
      <w:marTop w:val="0"/>
      <w:marBottom w:val="0"/>
      <w:divBdr>
        <w:top w:val="none" w:sz="0" w:space="0" w:color="auto"/>
        <w:left w:val="none" w:sz="0" w:space="0" w:color="auto"/>
        <w:bottom w:val="none" w:sz="0" w:space="0" w:color="auto"/>
        <w:right w:val="none" w:sz="0" w:space="0" w:color="auto"/>
      </w:divBdr>
    </w:div>
    <w:div w:id="322854923">
      <w:bodyDiv w:val="1"/>
      <w:marLeft w:val="0"/>
      <w:marRight w:val="0"/>
      <w:marTop w:val="0"/>
      <w:marBottom w:val="0"/>
      <w:divBdr>
        <w:top w:val="none" w:sz="0" w:space="0" w:color="auto"/>
        <w:left w:val="none" w:sz="0" w:space="0" w:color="auto"/>
        <w:bottom w:val="none" w:sz="0" w:space="0" w:color="auto"/>
        <w:right w:val="none" w:sz="0" w:space="0" w:color="auto"/>
      </w:divBdr>
    </w:div>
    <w:div w:id="326443439">
      <w:bodyDiv w:val="1"/>
      <w:marLeft w:val="0"/>
      <w:marRight w:val="0"/>
      <w:marTop w:val="0"/>
      <w:marBottom w:val="0"/>
      <w:divBdr>
        <w:top w:val="none" w:sz="0" w:space="0" w:color="auto"/>
        <w:left w:val="none" w:sz="0" w:space="0" w:color="auto"/>
        <w:bottom w:val="none" w:sz="0" w:space="0" w:color="auto"/>
        <w:right w:val="none" w:sz="0" w:space="0" w:color="auto"/>
      </w:divBdr>
    </w:div>
    <w:div w:id="352878350">
      <w:bodyDiv w:val="1"/>
      <w:marLeft w:val="0"/>
      <w:marRight w:val="0"/>
      <w:marTop w:val="0"/>
      <w:marBottom w:val="0"/>
      <w:divBdr>
        <w:top w:val="none" w:sz="0" w:space="0" w:color="auto"/>
        <w:left w:val="none" w:sz="0" w:space="0" w:color="auto"/>
        <w:bottom w:val="none" w:sz="0" w:space="0" w:color="auto"/>
        <w:right w:val="none" w:sz="0" w:space="0" w:color="auto"/>
      </w:divBdr>
    </w:div>
    <w:div w:id="357123670">
      <w:bodyDiv w:val="1"/>
      <w:marLeft w:val="0"/>
      <w:marRight w:val="0"/>
      <w:marTop w:val="0"/>
      <w:marBottom w:val="0"/>
      <w:divBdr>
        <w:top w:val="none" w:sz="0" w:space="0" w:color="auto"/>
        <w:left w:val="none" w:sz="0" w:space="0" w:color="auto"/>
        <w:bottom w:val="none" w:sz="0" w:space="0" w:color="auto"/>
        <w:right w:val="none" w:sz="0" w:space="0" w:color="auto"/>
      </w:divBdr>
    </w:div>
    <w:div w:id="373623770">
      <w:bodyDiv w:val="1"/>
      <w:marLeft w:val="0"/>
      <w:marRight w:val="0"/>
      <w:marTop w:val="0"/>
      <w:marBottom w:val="0"/>
      <w:divBdr>
        <w:top w:val="none" w:sz="0" w:space="0" w:color="auto"/>
        <w:left w:val="none" w:sz="0" w:space="0" w:color="auto"/>
        <w:bottom w:val="none" w:sz="0" w:space="0" w:color="auto"/>
        <w:right w:val="none" w:sz="0" w:space="0" w:color="auto"/>
      </w:divBdr>
    </w:div>
    <w:div w:id="376903447">
      <w:bodyDiv w:val="1"/>
      <w:marLeft w:val="0"/>
      <w:marRight w:val="0"/>
      <w:marTop w:val="0"/>
      <w:marBottom w:val="0"/>
      <w:divBdr>
        <w:top w:val="none" w:sz="0" w:space="0" w:color="auto"/>
        <w:left w:val="none" w:sz="0" w:space="0" w:color="auto"/>
        <w:bottom w:val="none" w:sz="0" w:space="0" w:color="auto"/>
        <w:right w:val="none" w:sz="0" w:space="0" w:color="auto"/>
      </w:divBdr>
    </w:div>
    <w:div w:id="425656888">
      <w:bodyDiv w:val="1"/>
      <w:marLeft w:val="0"/>
      <w:marRight w:val="0"/>
      <w:marTop w:val="0"/>
      <w:marBottom w:val="0"/>
      <w:divBdr>
        <w:top w:val="none" w:sz="0" w:space="0" w:color="auto"/>
        <w:left w:val="none" w:sz="0" w:space="0" w:color="auto"/>
        <w:bottom w:val="none" w:sz="0" w:space="0" w:color="auto"/>
        <w:right w:val="none" w:sz="0" w:space="0" w:color="auto"/>
      </w:divBdr>
    </w:div>
    <w:div w:id="448007969">
      <w:bodyDiv w:val="1"/>
      <w:marLeft w:val="0"/>
      <w:marRight w:val="0"/>
      <w:marTop w:val="0"/>
      <w:marBottom w:val="0"/>
      <w:divBdr>
        <w:top w:val="none" w:sz="0" w:space="0" w:color="auto"/>
        <w:left w:val="none" w:sz="0" w:space="0" w:color="auto"/>
        <w:bottom w:val="none" w:sz="0" w:space="0" w:color="auto"/>
        <w:right w:val="none" w:sz="0" w:space="0" w:color="auto"/>
      </w:divBdr>
    </w:div>
    <w:div w:id="448358681">
      <w:bodyDiv w:val="1"/>
      <w:marLeft w:val="0"/>
      <w:marRight w:val="0"/>
      <w:marTop w:val="0"/>
      <w:marBottom w:val="0"/>
      <w:divBdr>
        <w:top w:val="none" w:sz="0" w:space="0" w:color="auto"/>
        <w:left w:val="none" w:sz="0" w:space="0" w:color="auto"/>
        <w:bottom w:val="none" w:sz="0" w:space="0" w:color="auto"/>
        <w:right w:val="none" w:sz="0" w:space="0" w:color="auto"/>
      </w:divBdr>
    </w:div>
    <w:div w:id="457072304">
      <w:bodyDiv w:val="1"/>
      <w:marLeft w:val="0"/>
      <w:marRight w:val="0"/>
      <w:marTop w:val="0"/>
      <w:marBottom w:val="0"/>
      <w:divBdr>
        <w:top w:val="none" w:sz="0" w:space="0" w:color="auto"/>
        <w:left w:val="none" w:sz="0" w:space="0" w:color="auto"/>
        <w:bottom w:val="none" w:sz="0" w:space="0" w:color="auto"/>
        <w:right w:val="none" w:sz="0" w:space="0" w:color="auto"/>
      </w:divBdr>
    </w:div>
    <w:div w:id="487745448">
      <w:bodyDiv w:val="1"/>
      <w:marLeft w:val="0"/>
      <w:marRight w:val="0"/>
      <w:marTop w:val="0"/>
      <w:marBottom w:val="0"/>
      <w:divBdr>
        <w:top w:val="none" w:sz="0" w:space="0" w:color="auto"/>
        <w:left w:val="none" w:sz="0" w:space="0" w:color="auto"/>
        <w:bottom w:val="none" w:sz="0" w:space="0" w:color="auto"/>
        <w:right w:val="none" w:sz="0" w:space="0" w:color="auto"/>
      </w:divBdr>
    </w:div>
    <w:div w:id="492382493">
      <w:bodyDiv w:val="1"/>
      <w:marLeft w:val="0"/>
      <w:marRight w:val="0"/>
      <w:marTop w:val="0"/>
      <w:marBottom w:val="0"/>
      <w:divBdr>
        <w:top w:val="none" w:sz="0" w:space="0" w:color="auto"/>
        <w:left w:val="none" w:sz="0" w:space="0" w:color="auto"/>
        <w:bottom w:val="none" w:sz="0" w:space="0" w:color="auto"/>
        <w:right w:val="none" w:sz="0" w:space="0" w:color="auto"/>
      </w:divBdr>
    </w:div>
    <w:div w:id="506483832">
      <w:bodyDiv w:val="1"/>
      <w:marLeft w:val="0"/>
      <w:marRight w:val="0"/>
      <w:marTop w:val="0"/>
      <w:marBottom w:val="0"/>
      <w:divBdr>
        <w:top w:val="none" w:sz="0" w:space="0" w:color="auto"/>
        <w:left w:val="none" w:sz="0" w:space="0" w:color="auto"/>
        <w:bottom w:val="none" w:sz="0" w:space="0" w:color="auto"/>
        <w:right w:val="none" w:sz="0" w:space="0" w:color="auto"/>
      </w:divBdr>
    </w:div>
    <w:div w:id="586499016">
      <w:bodyDiv w:val="1"/>
      <w:marLeft w:val="0"/>
      <w:marRight w:val="0"/>
      <w:marTop w:val="0"/>
      <w:marBottom w:val="0"/>
      <w:divBdr>
        <w:top w:val="none" w:sz="0" w:space="0" w:color="auto"/>
        <w:left w:val="none" w:sz="0" w:space="0" w:color="auto"/>
        <w:bottom w:val="none" w:sz="0" w:space="0" w:color="auto"/>
        <w:right w:val="none" w:sz="0" w:space="0" w:color="auto"/>
      </w:divBdr>
    </w:div>
    <w:div w:id="602686787">
      <w:bodyDiv w:val="1"/>
      <w:marLeft w:val="0"/>
      <w:marRight w:val="0"/>
      <w:marTop w:val="0"/>
      <w:marBottom w:val="0"/>
      <w:divBdr>
        <w:top w:val="none" w:sz="0" w:space="0" w:color="auto"/>
        <w:left w:val="none" w:sz="0" w:space="0" w:color="auto"/>
        <w:bottom w:val="none" w:sz="0" w:space="0" w:color="auto"/>
        <w:right w:val="none" w:sz="0" w:space="0" w:color="auto"/>
      </w:divBdr>
    </w:div>
    <w:div w:id="634601191">
      <w:bodyDiv w:val="1"/>
      <w:marLeft w:val="0"/>
      <w:marRight w:val="0"/>
      <w:marTop w:val="0"/>
      <w:marBottom w:val="0"/>
      <w:divBdr>
        <w:top w:val="none" w:sz="0" w:space="0" w:color="auto"/>
        <w:left w:val="none" w:sz="0" w:space="0" w:color="auto"/>
        <w:bottom w:val="none" w:sz="0" w:space="0" w:color="auto"/>
        <w:right w:val="none" w:sz="0" w:space="0" w:color="auto"/>
      </w:divBdr>
    </w:div>
    <w:div w:id="638998598">
      <w:bodyDiv w:val="1"/>
      <w:marLeft w:val="0"/>
      <w:marRight w:val="0"/>
      <w:marTop w:val="0"/>
      <w:marBottom w:val="0"/>
      <w:divBdr>
        <w:top w:val="none" w:sz="0" w:space="0" w:color="auto"/>
        <w:left w:val="none" w:sz="0" w:space="0" w:color="auto"/>
        <w:bottom w:val="none" w:sz="0" w:space="0" w:color="auto"/>
        <w:right w:val="none" w:sz="0" w:space="0" w:color="auto"/>
      </w:divBdr>
    </w:div>
    <w:div w:id="642931807">
      <w:bodyDiv w:val="1"/>
      <w:marLeft w:val="0"/>
      <w:marRight w:val="0"/>
      <w:marTop w:val="0"/>
      <w:marBottom w:val="0"/>
      <w:divBdr>
        <w:top w:val="none" w:sz="0" w:space="0" w:color="auto"/>
        <w:left w:val="none" w:sz="0" w:space="0" w:color="auto"/>
        <w:bottom w:val="none" w:sz="0" w:space="0" w:color="auto"/>
        <w:right w:val="none" w:sz="0" w:space="0" w:color="auto"/>
      </w:divBdr>
    </w:div>
    <w:div w:id="650673308">
      <w:bodyDiv w:val="1"/>
      <w:marLeft w:val="0"/>
      <w:marRight w:val="0"/>
      <w:marTop w:val="0"/>
      <w:marBottom w:val="0"/>
      <w:divBdr>
        <w:top w:val="none" w:sz="0" w:space="0" w:color="auto"/>
        <w:left w:val="none" w:sz="0" w:space="0" w:color="auto"/>
        <w:bottom w:val="none" w:sz="0" w:space="0" w:color="auto"/>
        <w:right w:val="none" w:sz="0" w:space="0" w:color="auto"/>
      </w:divBdr>
    </w:div>
    <w:div w:id="655498859">
      <w:bodyDiv w:val="1"/>
      <w:marLeft w:val="0"/>
      <w:marRight w:val="0"/>
      <w:marTop w:val="0"/>
      <w:marBottom w:val="0"/>
      <w:divBdr>
        <w:top w:val="none" w:sz="0" w:space="0" w:color="auto"/>
        <w:left w:val="none" w:sz="0" w:space="0" w:color="auto"/>
        <w:bottom w:val="none" w:sz="0" w:space="0" w:color="auto"/>
        <w:right w:val="none" w:sz="0" w:space="0" w:color="auto"/>
      </w:divBdr>
    </w:div>
    <w:div w:id="658465923">
      <w:bodyDiv w:val="1"/>
      <w:marLeft w:val="0"/>
      <w:marRight w:val="0"/>
      <w:marTop w:val="0"/>
      <w:marBottom w:val="0"/>
      <w:divBdr>
        <w:top w:val="none" w:sz="0" w:space="0" w:color="auto"/>
        <w:left w:val="none" w:sz="0" w:space="0" w:color="auto"/>
        <w:bottom w:val="none" w:sz="0" w:space="0" w:color="auto"/>
        <w:right w:val="none" w:sz="0" w:space="0" w:color="auto"/>
      </w:divBdr>
    </w:div>
    <w:div w:id="669521958">
      <w:bodyDiv w:val="1"/>
      <w:marLeft w:val="0"/>
      <w:marRight w:val="0"/>
      <w:marTop w:val="0"/>
      <w:marBottom w:val="0"/>
      <w:divBdr>
        <w:top w:val="none" w:sz="0" w:space="0" w:color="auto"/>
        <w:left w:val="none" w:sz="0" w:space="0" w:color="auto"/>
        <w:bottom w:val="none" w:sz="0" w:space="0" w:color="auto"/>
        <w:right w:val="none" w:sz="0" w:space="0" w:color="auto"/>
      </w:divBdr>
    </w:div>
    <w:div w:id="683674658">
      <w:bodyDiv w:val="1"/>
      <w:marLeft w:val="0"/>
      <w:marRight w:val="0"/>
      <w:marTop w:val="0"/>
      <w:marBottom w:val="0"/>
      <w:divBdr>
        <w:top w:val="none" w:sz="0" w:space="0" w:color="auto"/>
        <w:left w:val="none" w:sz="0" w:space="0" w:color="auto"/>
        <w:bottom w:val="none" w:sz="0" w:space="0" w:color="auto"/>
        <w:right w:val="none" w:sz="0" w:space="0" w:color="auto"/>
      </w:divBdr>
    </w:div>
    <w:div w:id="701058377">
      <w:bodyDiv w:val="1"/>
      <w:marLeft w:val="0"/>
      <w:marRight w:val="0"/>
      <w:marTop w:val="0"/>
      <w:marBottom w:val="0"/>
      <w:divBdr>
        <w:top w:val="none" w:sz="0" w:space="0" w:color="auto"/>
        <w:left w:val="none" w:sz="0" w:space="0" w:color="auto"/>
        <w:bottom w:val="none" w:sz="0" w:space="0" w:color="auto"/>
        <w:right w:val="none" w:sz="0" w:space="0" w:color="auto"/>
      </w:divBdr>
    </w:div>
    <w:div w:id="711076710">
      <w:bodyDiv w:val="1"/>
      <w:marLeft w:val="0"/>
      <w:marRight w:val="0"/>
      <w:marTop w:val="0"/>
      <w:marBottom w:val="0"/>
      <w:divBdr>
        <w:top w:val="none" w:sz="0" w:space="0" w:color="auto"/>
        <w:left w:val="none" w:sz="0" w:space="0" w:color="auto"/>
        <w:bottom w:val="none" w:sz="0" w:space="0" w:color="auto"/>
        <w:right w:val="none" w:sz="0" w:space="0" w:color="auto"/>
      </w:divBdr>
    </w:div>
    <w:div w:id="726880403">
      <w:bodyDiv w:val="1"/>
      <w:marLeft w:val="0"/>
      <w:marRight w:val="0"/>
      <w:marTop w:val="0"/>
      <w:marBottom w:val="0"/>
      <w:divBdr>
        <w:top w:val="none" w:sz="0" w:space="0" w:color="auto"/>
        <w:left w:val="none" w:sz="0" w:space="0" w:color="auto"/>
        <w:bottom w:val="none" w:sz="0" w:space="0" w:color="auto"/>
        <w:right w:val="none" w:sz="0" w:space="0" w:color="auto"/>
      </w:divBdr>
    </w:div>
    <w:div w:id="733742497">
      <w:bodyDiv w:val="1"/>
      <w:marLeft w:val="0"/>
      <w:marRight w:val="0"/>
      <w:marTop w:val="0"/>
      <w:marBottom w:val="0"/>
      <w:divBdr>
        <w:top w:val="none" w:sz="0" w:space="0" w:color="auto"/>
        <w:left w:val="none" w:sz="0" w:space="0" w:color="auto"/>
        <w:bottom w:val="none" w:sz="0" w:space="0" w:color="auto"/>
        <w:right w:val="none" w:sz="0" w:space="0" w:color="auto"/>
      </w:divBdr>
    </w:div>
    <w:div w:id="742990558">
      <w:bodyDiv w:val="1"/>
      <w:marLeft w:val="0"/>
      <w:marRight w:val="0"/>
      <w:marTop w:val="0"/>
      <w:marBottom w:val="0"/>
      <w:divBdr>
        <w:top w:val="none" w:sz="0" w:space="0" w:color="auto"/>
        <w:left w:val="none" w:sz="0" w:space="0" w:color="auto"/>
        <w:bottom w:val="none" w:sz="0" w:space="0" w:color="auto"/>
        <w:right w:val="none" w:sz="0" w:space="0" w:color="auto"/>
      </w:divBdr>
    </w:div>
    <w:div w:id="758405358">
      <w:bodyDiv w:val="1"/>
      <w:marLeft w:val="0"/>
      <w:marRight w:val="0"/>
      <w:marTop w:val="0"/>
      <w:marBottom w:val="0"/>
      <w:divBdr>
        <w:top w:val="none" w:sz="0" w:space="0" w:color="auto"/>
        <w:left w:val="none" w:sz="0" w:space="0" w:color="auto"/>
        <w:bottom w:val="none" w:sz="0" w:space="0" w:color="auto"/>
        <w:right w:val="none" w:sz="0" w:space="0" w:color="auto"/>
      </w:divBdr>
    </w:div>
    <w:div w:id="761100437">
      <w:bodyDiv w:val="1"/>
      <w:marLeft w:val="0"/>
      <w:marRight w:val="0"/>
      <w:marTop w:val="0"/>
      <w:marBottom w:val="0"/>
      <w:divBdr>
        <w:top w:val="none" w:sz="0" w:space="0" w:color="auto"/>
        <w:left w:val="none" w:sz="0" w:space="0" w:color="auto"/>
        <w:bottom w:val="none" w:sz="0" w:space="0" w:color="auto"/>
        <w:right w:val="none" w:sz="0" w:space="0" w:color="auto"/>
      </w:divBdr>
    </w:div>
    <w:div w:id="763458035">
      <w:bodyDiv w:val="1"/>
      <w:marLeft w:val="0"/>
      <w:marRight w:val="0"/>
      <w:marTop w:val="0"/>
      <w:marBottom w:val="0"/>
      <w:divBdr>
        <w:top w:val="none" w:sz="0" w:space="0" w:color="auto"/>
        <w:left w:val="none" w:sz="0" w:space="0" w:color="auto"/>
        <w:bottom w:val="none" w:sz="0" w:space="0" w:color="auto"/>
        <w:right w:val="none" w:sz="0" w:space="0" w:color="auto"/>
      </w:divBdr>
    </w:div>
    <w:div w:id="778257664">
      <w:bodyDiv w:val="1"/>
      <w:marLeft w:val="0"/>
      <w:marRight w:val="0"/>
      <w:marTop w:val="0"/>
      <w:marBottom w:val="0"/>
      <w:divBdr>
        <w:top w:val="none" w:sz="0" w:space="0" w:color="auto"/>
        <w:left w:val="none" w:sz="0" w:space="0" w:color="auto"/>
        <w:bottom w:val="none" w:sz="0" w:space="0" w:color="auto"/>
        <w:right w:val="none" w:sz="0" w:space="0" w:color="auto"/>
      </w:divBdr>
      <w:divsChild>
        <w:div w:id="1198545005">
          <w:marLeft w:val="0"/>
          <w:marRight w:val="0"/>
          <w:marTop w:val="0"/>
          <w:marBottom w:val="0"/>
          <w:divBdr>
            <w:top w:val="none" w:sz="0" w:space="0" w:color="auto"/>
            <w:left w:val="none" w:sz="0" w:space="0" w:color="auto"/>
            <w:bottom w:val="none" w:sz="0" w:space="0" w:color="auto"/>
            <w:right w:val="none" w:sz="0" w:space="0" w:color="auto"/>
          </w:divBdr>
        </w:div>
      </w:divsChild>
    </w:div>
    <w:div w:id="788817616">
      <w:bodyDiv w:val="1"/>
      <w:marLeft w:val="0"/>
      <w:marRight w:val="0"/>
      <w:marTop w:val="0"/>
      <w:marBottom w:val="0"/>
      <w:divBdr>
        <w:top w:val="none" w:sz="0" w:space="0" w:color="auto"/>
        <w:left w:val="none" w:sz="0" w:space="0" w:color="auto"/>
        <w:bottom w:val="none" w:sz="0" w:space="0" w:color="auto"/>
        <w:right w:val="none" w:sz="0" w:space="0" w:color="auto"/>
      </w:divBdr>
    </w:div>
    <w:div w:id="816996862">
      <w:bodyDiv w:val="1"/>
      <w:marLeft w:val="0"/>
      <w:marRight w:val="0"/>
      <w:marTop w:val="0"/>
      <w:marBottom w:val="0"/>
      <w:divBdr>
        <w:top w:val="none" w:sz="0" w:space="0" w:color="auto"/>
        <w:left w:val="none" w:sz="0" w:space="0" w:color="auto"/>
        <w:bottom w:val="none" w:sz="0" w:space="0" w:color="auto"/>
        <w:right w:val="none" w:sz="0" w:space="0" w:color="auto"/>
      </w:divBdr>
    </w:div>
    <w:div w:id="819200223">
      <w:bodyDiv w:val="1"/>
      <w:marLeft w:val="0"/>
      <w:marRight w:val="0"/>
      <w:marTop w:val="0"/>
      <w:marBottom w:val="0"/>
      <w:divBdr>
        <w:top w:val="none" w:sz="0" w:space="0" w:color="auto"/>
        <w:left w:val="none" w:sz="0" w:space="0" w:color="auto"/>
        <w:bottom w:val="none" w:sz="0" w:space="0" w:color="auto"/>
        <w:right w:val="none" w:sz="0" w:space="0" w:color="auto"/>
      </w:divBdr>
    </w:div>
    <w:div w:id="838278773">
      <w:bodyDiv w:val="1"/>
      <w:marLeft w:val="0"/>
      <w:marRight w:val="0"/>
      <w:marTop w:val="0"/>
      <w:marBottom w:val="0"/>
      <w:divBdr>
        <w:top w:val="none" w:sz="0" w:space="0" w:color="auto"/>
        <w:left w:val="none" w:sz="0" w:space="0" w:color="auto"/>
        <w:bottom w:val="none" w:sz="0" w:space="0" w:color="auto"/>
        <w:right w:val="none" w:sz="0" w:space="0" w:color="auto"/>
      </w:divBdr>
    </w:div>
    <w:div w:id="851921113">
      <w:bodyDiv w:val="1"/>
      <w:marLeft w:val="0"/>
      <w:marRight w:val="0"/>
      <w:marTop w:val="0"/>
      <w:marBottom w:val="0"/>
      <w:divBdr>
        <w:top w:val="none" w:sz="0" w:space="0" w:color="auto"/>
        <w:left w:val="none" w:sz="0" w:space="0" w:color="auto"/>
        <w:bottom w:val="none" w:sz="0" w:space="0" w:color="auto"/>
        <w:right w:val="none" w:sz="0" w:space="0" w:color="auto"/>
      </w:divBdr>
    </w:div>
    <w:div w:id="862791982">
      <w:bodyDiv w:val="1"/>
      <w:marLeft w:val="0"/>
      <w:marRight w:val="0"/>
      <w:marTop w:val="0"/>
      <w:marBottom w:val="0"/>
      <w:divBdr>
        <w:top w:val="none" w:sz="0" w:space="0" w:color="auto"/>
        <w:left w:val="none" w:sz="0" w:space="0" w:color="auto"/>
        <w:bottom w:val="none" w:sz="0" w:space="0" w:color="auto"/>
        <w:right w:val="none" w:sz="0" w:space="0" w:color="auto"/>
      </w:divBdr>
    </w:div>
    <w:div w:id="868639773">
      <w:bodyDiv w:val="1"/>
      <w:marLeft w:val="0"/>
      <w:marRight w:val="0"/>
      <w:marTop w:val="0"/>
      <w:marBottom w:val="0"/>
      <w:divBdr>
        <w:top w:val="none" w:sz="0" w:space="0" w:color="auto"/>
        <w:left w:val="none" w:sz="0" w:space="0" w:color="auto"/>
        <w:bottom w:val="none" w:sz="0" w:space="0" w:color="auto"/>
        <w:right w:val="none" w:sz="0" w:space="0" w:color="auto"/>
      </w:divBdr>
    </w:div>
    <w:div w:id="875388980">
      <w:bodyDiv w:val="1"/>
      <w:marLeft w:val="0"/>
      <w:marRight w:val="0"/>
      <w:marTop w:val="0"/>
      <w:marBottom w:val="0"/>
      <w:divBdr>
        <w:top w:val="none" w:sz="0" w:space="0" w:color="auto"/>
        <w:left w:val="none" w:sz="0" w:space="0" w:color="auto"/>
        <w:bottom w:val="none" w:sz="0" w:space="0" w:color="auto"/>
        <w:right w:val="none" w:sz="0" w:space="0" w:color="auto"/>
      </w:divBdr>
      <w:divsChild>
        <w:div w:id="852720022">
          <w:marLeft w:val="0"/>
          <w:marRight w:val="0"/>
          <w:marTop w:val="0"/>
          <w:marBottom w:val="0"/>
          <w:divBdr>
            <w:top w:val="none" w:sz="0" w:space="0" w:color="auto"/>
            <w:left w:val="none" w:sz="0" w:space="0" w:color="auto"/>
            <w:bottom w:val="none" w:sz="0" w:space="0" w:color="auto"/>
            <w:right w:val="none" w:sz="0" w:space="0" w:color="auto"/>
          </w:divBdr>
          <w:divsChild>
            <w:div w:id="208332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93717">
      <w:bodyDiv w:val="1"/>
      <w:marLeft w:val="0"/>
      <w:marRight w:val="0"/>
      <w:marTop w:val="0"/>
      <w:marBottom w:val="0"/>
      <w:divBdr>
        <w:top w:val="none" w:sz="0" w:space="0" w:color="auto"/>
        <w:left w:val="none" w:sz="0" w:space="0" w:color="auto"/>
        <w:bottom w:val="none" w:sz="0" w:space="0" w:color="auto"/>
        <w:right w:val="none" w:sz="0" w:space="0" w:color="auto"/>
      </w:divBdr>
    </w:div>
    <w:div w:id="908272793">
      <w:bodyDiv w:val="1"/>
      <w:marLeft w:val="0"/>
      <w:marRight w:val="0"/>
      <w:marTop w:val="0"/>
      <w:marBottom w:val="0"/>
      <w:divBdr>
        <w:top w:val="none" w:sz="0" w:space="0" w:color="auto"/>
        <w:left w:val="none" w:sz="0" w:space="0" w:color="auto"/>
        <w:bottom w:val="none" w:sz="0" w:space="0" w:color="auto"/>
        <w:right w:val="none" w:sz="0" w:space="0" w:color="auto"/>
      </w:divBdr>
    </w:div>
    <w:div w:id="908810608">
      <w:bodyDiv w:val="1"/>
      <w:marLeft w:val="0"/>
      <w:marRight w:val="0"/>
      <w:marTop w:val="0"/>
      <w:marBottom w:val="0"/>
      <w:divBdr>
        <w:top w:val="none" w:sz="0" w:space="0" w:color="auto"/>
        <w:left w:val="none" w:sz="0" w:space="0" w:color="auto"/>
        <w:bottom w:val="none" w:sz="0" w:space="0" w:color="auto"/>
        <w:right w:val="none" w:sz="0" w:space="0" w:color="auto"/>
      </w:divBdr>
    </w:div>
    <w:div w:id="945619547">
      <w:bodyDiv w:val="1"/>
      <w:marLeft w:val="0"/>
      <w:marRight w:val="0"/>
      <w:marTop w:val="0"/>
      <w:marBottom w:val="0"/>
      <w:divBdr>
        <w:top w:val="none" w:sz="0" w:space="0" w:color="auto"/>
        <w:left w:val="none" w:sz="0" w:space="0" w:color="auto"/>
        <w:bottom w:val="none" w:sz="0" w:space="0" w:color="auto"/>
        <w:right w:val="none" w:sz="0" w:space="0" w:color="auto"/>
      </w:divBdr>
    </w:div>
    <w:div w:id="948240697">
      <w:bodyDiv w:val="1"/>
      <w:marLeft w:val="0"/>
      <w:marRight w:val="0"/>
      <w:marTop w:val="0"/>
      <w:marBottom w:val="0"/>
      <w:divBdr>
        <w:top w:val="none" w:sz="0" w:space="0" w:color="auto"/>
        <w:left w:val="none" w:sz="0" w:space="0" w:color="auto"/>
        <w:bottom w:val="none" w:sz="0" w:space="0" w:color="auto"/>
        <w:right w:val="none" w:sz="0" w:space="0" w:color="auto"/>
      </w:divBdr>
    </w:div>
    <w:div w:id="953826644">
      <w:bodyDiv w:val="1"/>
      <w:marLeft w:val="0"/>
      <w:marRight w:val="0"/>
      <w:marTop w:val="0"/>
      <w:marBottom w:val="0"/>
      <w:divBdr>
        <w:top w:val="none" w:sz="0" w:space="0" w:color="auto"/>
        <w:left w:val="none" w:sz="0" w:space="0" w:color="auto"/>
        <w:bottom w:val="none" w:sz="0" w:space="0" w:color="auto"/>
        <w:right w:val="none" w:sz="0" w:space="0" w:color="auto"/>
      </w:divBdr>
    </w:div>
    <w:div w:id="954751724">
      <w:bodyDiv w:val="1"/>
      <w:marLeft w:val="0"/>
      <w:marRight w:val="0"/>
      <w:marTop w:val="0"/>
      <w:marBottom w:val="0"/>
      <w:divBdr>
        <w:top w:val="none" w:sz="0" w:space="0" w:color="auto"/>
        <w:left w:val="none" w:sz="0" w:space="0" w:color="auto"/>
        <w:bottom w:val="none" w:sz="0" w:space="0" w:color="auto"/>
        <w:right w:val="none" w:sz="0" w:space="0" w:color="auto"/>
      </w:divBdr>
    </w:div>
    <w:div w:id="964972075">
      <w:bodyDiv w:val="1"/>
      <w:marLeft w:val="0"/>
      <w:marRight w:val="0"/>
      <w:marTop w:val="0"/>
      <w:marBottom w:val="0"/>
      <w:divBdr>
        <w:top w:val="none" w:sz="0" w:space="0" w:color="auto"/>
        <w:left w:val="none" w:sz="0" w:space="0" w:color="auto"/>
        <w:bottom w:val="none" w:sz="0" w:space="0" w:color="auto"/>
        <w:right w:val="none" w:sz="0" w:space="0" w:color="auto"/>
      </w:divBdr>
    </w:div>
    <w:div w:id="965506233">
      <w:bodyDiv w:val="1"/>
      <w:marLeft w:val="0"/>
      <w:marRight w:val="0"/>
      <w:marTop w:val="0"/>
      <w:marBottom w:val="0"/>
      <w:divBdr>
        <w:top w:val="none" w:sz="0" w:space="0" w:color="auto"/>
        <w:left w:val="none" w:sz="0" w:space="0" w:color="auto"/>
        <w:bottom w:val="none" w:sz="0" w:space="0" w:color="auto"/>
        <w:right w:val="none" w:sz="0" w:space="0" w:color="auto"/>
      </w:divBdr>
    </w:div>
    <w:div w:id="970012819">
      <w:bodyDiv w:val="1"/>
      <w:marLeft w:val="0"/>
      <w:marRight w:val="0"/>
      <w:marTop w:val="0"/>
      <w:marBottom w:val="0"/>
      <w:divBdr>
        <w:top w:val="none" w:sz="0" w:space="0" w:color="auto"/>
        <w:left w:val="none" w:sz="0" w:space="0" w:color="auto"/>
        <w:bottom w:val="none" w:sz="0" w:space="0" w:color="auto"/>
        <w:right w:val="none" w:sz="0" w:space="0" w:color="auto"/>
      </w:divBdr>
    </w:div>
    <w:div w:id="981085331">
      <w:bodyDiv w:val="1"/>
      <w:marLeft w:val="0"/>
      <w:marRight w:val="0"/>
      <w:marTop w:val="0"/>
      <w:marBottom w:val="0"/>
      <w:divBdr>
        <w:top w:val="none" w:sz="0" w:space="0" w:color="auto"/>
        <w:left w:val="none" w:sz="0" w:space="0" w:color="auto"/>
        <w:bottom w:val="none" w:sz="0" w:space="0" w:color="auto"/>
        <w:right w:val="none" w:sz="0" w:space="0" w:color="auto"/>
      </w:divBdr>
    </w:div>
    <w:div w:id="990909367">
      <w:bodyDiv w:val="1"/>
      <w:marLeft w:val="0"/>
      <w:marRight w:val="0"/>
      <w:marTop w:val="0"/>
      <w:marBottom w:val="0"/>
      <w:divBdr>
        <w:top w:val="none" w:sz="0" w:space="0" w:color="auto"/>
        <w:left w:val="none" w:sz="0" w:space="0" w:color="auto"/>
        <w:bottom w:val="none" w:sz="0" w:space="0" w:color="auto"/>
        <w:right w:val="none" w:sz="0" w:space="0" w:color="auto"/>
      </w:divBdr>
    </w:div>
    <w:div w:id="991181608">
      <w:bodyDiv w:val="1"/>
      <w:marLeft w:val="0"/>
      <w:marRight w:val="0"/>
      <w:marTop w:val="0"/>
      <w:marBottom w:val="0"/>
      <w:divBdr>
        <w:top w:val="none" w:sz="0" w:space="0" w:color="auto"/>
        <w:left w:val="none" w:sz="0" w:space="0" w:color="auto"/>
        <w:bottom w:val="none" w:sz="0" w:space="0" w:color="auto"/>
        <w:right w:val="none" w:sz="0" w:space="0" w:color="auto"/>
      </w:divBdr>
    </w:div>
    <w:div w:id="994260729">
      <w:bodyDiv w:val="1"/>
      <w:marLeft w:val="0"/>
      <w:marRight w:val="0"/>
      <w:marTop w:val="0"/>
      <w:marBottom w:val="0"/>
      <w:divBdr>
        <w:top w:val="none" w:sz="0" w:space="0" w:color="auto"/>
        <w:left w:val="none" w:sz="0" w:space="0" w:color="auto"/>
        <w:bottom w:val="none" w:sz="0" w:space="0" w:color="auto"/>
        <w:right w:val="none" w:sz="0" w:space="0" w:color="auto"/>
      </w:divBdr>
    </w:div>
    <w:div w:id="999843742">
      <w:bodyDiv w:val="1"/>
      <w:marLeft w:val="0"/>
      <w:marRight w:val="0"/>
      <w:marTop w:val="0"/>
      <w:marBottom w:val="0"/>
      <w:divBdr>
        <w:top w:val="none" w:sz="0" w:space="0" w:color="auto"/>
        <w:left w:val="none" w:sz="0" w:space="0" w:color="auto"/>
        <w:bottom w:val="none" w:sz="0" w:space="0" w:color="auto"/>
        <w:right w:val="none" w:sz="0" w:space="0" w:color="auto"/>
      </w:divBdr>
    </w:div>
    <w:div w:id="1012562632">
      <w:bodyDiv w:val="1"/>
      <w:marLeft w:val="0"/>
      <w:marRight w:val="0"/>
      <w:marTop w:val="0"/>
      <w:marBottom w:val="0"/>
      <w:divBdr>
        <w:top w:val="none" w:sz="0" w:space="0" w:color="auto"/>
        <w:left w:val="none" w:sz="0" w:space="0" w:color="auto"/>
        <w:bottom w:val="none" w:sz="0" w:space="0" w:color="auto"/>
        <w:right w:val="none" w:sz="0" w:space="0" w:color="auto"/>
      </w:divBdr>
    </w:div>
    <w:div w:id="1012604157">
      <w:bodyDiv w:val="1"/>
      <w:marLeft w:val="0"/>
      <w:marRight w:val="0"/>
      <w:marTop w:val="0"/>
      <w:marBottom w:val="0"/>
      <w:divBdr>
        <w:top w:val="none" w:sz="0" w:space="0" w:color="auto"/>
        <w:left w:val="none" w:sz="0" w:space="0" w:color="auto"/>
        <w:bottom w:val="none" w:sz="0" w:space="0" w:color="auto"/>
        <w:right w:val="none" w:sz="0" w:space="0" w:color="auto"/>
      </w:divBdr>
    </w:div>
    <w:div w:id="1013842500">
      <w:bodyDiv w:val="1"/>
      <w:marLeft w:val="0"/>
      <w:marRight w:val="0"/>
      <w:marTop w:val="0"/>
      <w:marBottom w:val="0"/>
      <w:divBdr>
        <w:top w:val="none" w:sz="0" w:space="0" w:color="auto"/>
        <w:left w:val="none" w:sz="0" w:space="0" w:color="auto"/>
        <w:bottom w:val="none" w:sz="0" w:space="0" w:color="auto"/>
        <w:right w:val="none" w:sz="0" w:space="0" w:color="auto"/>
      </w:divBdr>
    </w:div>
    <w:div w:id="1018048341">
      <w:bodyDiv w:val="1"/>
      <w:marLeft w:val="0"/>
      <w:marRight w:val="0"/>
      <w:marTop w:val="0"/>
      <w:marBottom w:val="0"/>
      <w:divBdr>
        <w:top w:val="none" w:sz="0" w:space="0" w:color="auto"/>
        <w:left w:val="none" w:sz="0" w:space="0" w:color="auto"/>
        <w:bottom w:val="none" w:sz="0" w:space="0" w:color="auto"/>
        <w:right w:val="none" w:sz="0" w:space="0" w:color="auto"/>
      </w:divBdr>
    </w:div>
    <w:div w:id="1023558843">
      <w:bodyDiv w:val="1"/>
      <w:marLeft w:val="0"/>
      <w:marRight w:val="0"/>
      <w:marTop w:val="0"/>
      <w:marBottom w:val="0"/>
      <w:divBdr>
        <w:top w:val="none" w:sz="0" w:space="0" w:color="auto"/>
        <w:left w:val="none" w:sz="0" w:space="0" w:color="auto"/>
        <w:bottom w:val="none" w:sz="0" w:space="0" w:color="auto"/>
        <w:right w:val="none" w:sz="0" w:space="0" w:color="auto"/>
      </w:divBdr>
    </w:div>
    <w:div w:id="1024752033">
      <w:bodyDiv w:val="1"/>
      <w:marLeft w:val="0"/>
      <w:marRight w:val="0"/>
      <w:marTop w:val="0"/>
      <w:marBottom w:val="0"/>
      <w:divBdr>
        <w:top w:val="none" w:sz="0" w:space="0" w:color="auto"/>
        <w:left w:val="none" w:sz="0" w:space="0" w:color="auto"/>
        <w:bottom w:val="none" w:sz="0" w:space="0" w:color="auto"/>
        <w:right w:val="none" w:sz="0" w:space="0" w:color="auto"/>
      </w:divBdr>
    </w:div>
    <w:div w:id="1028143759">
      <w:bodyDiv w:val="1"/>
      <w:marLeft w:val="0"/>
      <w:marRight w:val="0"/>
      <w:marTop w:val="0"/>
      <w:marBottom w:val="0"/>
      <w:divBdr>
        <w:top w:val="none" w:sz="0" w:space="0" w:color="auto"/>
        <w:left w:val="none" w:sz="0" w:space="0" w:color="auto"/>
        <w:bottom w:val="none" w:sz="0" w:space="0" w:color="auto"/>
        <w:right w:val="none" w:sz="0" w:space="0" w:color="auto"/>
      </w:divBdr>
    </w:div>
    <w:div w:id="1041055217">
      <w:bodyDiv w:val="1"/>
      <w:marLeft w:val="0"/>
      <w:marRight w:val="0"/>
      <w:marTop w:val="0"/>
      <w:marBottom w:val="0"/>
      <w:divBdr>
        <w:top w:val="none" w:sz="0" w:space="0" w:color="auto"/>
        <w:left w:val="none" w:sz="0" w:space="0" w:color="auto"/>
        <w:bottom w:val="none" w:sz="0" w:space="0" w:color="auto"/>
        <w:right w:val="none" w:sz="0" w:space="0" w:color="auto"/>
      </w:divBdr>
    </w:div>
    <w:div w:id="1041322640">
      <w:bodyDiv w:val="1"/>
      <w:marLeft w:val="0"/>
      <w:marRight w:val="0"/>
      <w:marTop w:val="0"/>
      <w:marBottom w:val="0"/>
      <w:divBdr>
        <w:top w:val="none" w:sz="0" w:space="0" w:color="auto"/>
        <w:left w:val="none" w:sz="0" w:space="0" w:color="auto"/>
        <w:bottom w:val="none" w:sz="0" w:space="0" w:color="auto"/>
        <w:right w:val="none" w:sz="0" w:space="0" w:color="auto"/>
      </w:divBdr>
    </w:div>
    <w:div w:id="1074935668">
      <w:bodyDiv w:val="1"/>
      <w:marLeft w:val="0"/>
      <w:marRight w:val="0"/>
      <w:marTop w:val="0"/>
      <w:marBottom w:val="0"/>
      <w:divBdr>
        <w:top w:val="none" w:sz="0" w:space="0" w:color="auto"/>
        <w:left w:val="none" w:sz="0" w:space="0" w:color="auto"/>
        <w:bottom w:val="none" w:sz="0" w:space="0" w:color="auto"/>
        <w:right w:val="none" w:sz="0" w:space="0" w:color="auto"/>
      </w:divBdr>
    </w:div>
    <w:div w:id="1094975909">
      <w:bodyDiv w:val="1"/>
      <w:marLeft w:val="0"/>
      <w:marRight w:val="0"/>
      <w:marTop w:val="0"/>
      <w:marBottom w:val="0"/>
      <w:divBdr>
        <w:top w:val="none" w:sz="0" w:space="0" w:color="auto"/>
        <w:left w:val="none" w:sz="0" w:space="0" w:color="auto"/>
        <w:bottom w:val="none" w:sz="0" w:space="0" w:color="auto"/>
        <w:right w:val="none" w:sz="0" w:space="0" w:color="auto"/>
      </w:divBdr>
    </w:div>
    <w:div w:id="1098714547">
      <w:bodyDiv w:val="1"/>
      <w:marLeft w:val="0"/>
      <w:marRight w:val="0"/>
      <w:marTop w:val="0"/>
      <w:marBottom w:val="0"/>
      <w:divBdr>
        <w:top w:val="none" w:sz="0" w:space="0" w:color="auto"/>
        <w:left w:val="none" w:sz="0" w:space="0" w:color="auto"/>
        <w:bottom w:val="none" w:sz="0" w:space="0" w:color="auto"/>
        <w:right w:val="none" w:sz="0" w:space="0" w:color="auto"/>
      </w:divBdr>
    </w:div>
    <w:div w:id="1111054193">
      <w:bodyDiv w:val="1"/>
      <w:marLeft w:val="0"/>
      <w:marRight w:val="0"/>
      <w:marTop w:val="0"/>
      <w:marBottom w:val="0"/>
      <w:divBdr>
        <w:top w:val="none" w:sz="0" w:space="0" w:color="auto"/>
        <w:left w:val="none" w:sz="0" w:space="0" w:color="auto"/>
        <w:bottom w:val="none" w:sz="0" w:space="0" w:color="auto"/>
        <w:right w:val="none" w:sz="0" w:space="0" w:color="auto"/>
      </w:divBdr>
    </w:div>
    <w:div w:id="1163203843">
      <w:bodyDiv w:val="1"/>
      <w:marLeft w:val="0"/>
      <w:marRight w:val="0"/>
      <w:marTop w:val="0"/>
      <w:marBottom w:val="0"/>
      <w:divBdr>
        <w:top w:val="none" w:sz="0" w:space="0" w:color="auto"/>
        <w:left w:val="none" w:sz="0" w:space="0" w:color="auto"/>
        <w:bottom w:val="none" w:sz="0" w:space="0" w:color="auto"/>
        <w:right w:val="none" w:sz="0" w:space="0" w:color="auto"/>
      </w:divBdr>
    </w:div>
    <w:div w:id="1173377607">
      <w:bodyDiv w:val="1"/>
      <w:marLeft w:val="0"/>
      <w:marRight w:val="0"/>
      <w:marTop w:val="0"/>
      <w:marBottom w:val="0"/>
      <w:divBdr>
        <w:top w:val="none" w:sz="0" w:space="0" w:color="auto"/>
        <w:left w:val="none" w:sz="0" w:space="0" w:color="auto"/>
        <w:bottom w:val="none" w:sz="0" w:space="0" w:color="auto"/>
        <w:right w:val="none" w:sz="0" w:space="0" w:color="auto"/>
      </w:divBdr>
    </w:div>
    <w:div w:id="1174419821">
      <w:bodyDiv w:val="1"/>
      <w:marLeft w:val="0"/>
      <w:marRight w:val="0"/>
      <w:marTop w:val="0"/>
      <w:marBottom w:val="0"/>
      <w:divBdr>
        <w:top w:val="none" w:sz="0" w:space="0" w:color="auto"/>
        <w:left w:val="none" w:sz="0" w:space="0" w:color="auto"/>
        <w:bottom w:val="none" w:sz="0" w:space="0" w:color="auto"/>
        <w:right w:val="none" w:sz="0" w:space="0" w:color="auto"/>
      </w:divBdr>
    </w:div>
    <w:div w:id="1197238974">
      <w:bodyDiv w:val="1"/>
      <w:marLeft w:val="0"/>
      <w:marRight w:val="0"/>
      <w:marTop w:val="0"/>
      <w:marBottom w:val="0"/>
      <w:divBdr>
        <w:top w:val="none" w:sz="0" w:space="0" w:color="auto"/>
        <w:left w:val="none" w:sz="0" w:space="0" w:color="auto"/>
        <w:bottom w:val="none" w:sz="0" w:space="0" w:color="auto"/>
        <w:right w:val="none" w:sz="0" w:space="0" w:color="auto"/>
      </w:divBdr>
    </w:div>
    <w:div w:id="1205169812">
      <w:bodyDiv w:val="1"/>
      <w:marLeft w:val="0"/>
      <w:marRight w:val="0"/>
      <w:marTop w:val="0"/>
      <w:marBottom w:val="0"/>
      <w:divBdr>
        <w:top w:val="none" w:sz="0" w:space="0" w:color="auto"/>
        <w:left w:val="none" w:sz="0" w:space="0" w:color="auto"/>
        <w:bottom w:val="none" w:sz="0" w:space="0" w:color="auto"/>
        <w:right w:val="none" w:sz="0" w:space="0" w:color="auto"/>
      </w:divBdr>
    </w:div>
    <w:div w:id="1228298209">
      <w:bodyDiv w:val="1"/>
      <w:marLeft w:val="0"/>
      <w:marRight w:val="0"/>
      <w:marTop w:val="0"/>
      <w:marBottom w:val="0"/>
      <w:divBdr>
        <w:top w:val="none" w:sz="0" w:space="0" w:color="auto"/>
        <w:left w:val="none" w:sz="0" w:space="0" w:color="auto"/>
        <w:bottom w:val="none" w:sz="0" w:space="0" w:color="auto"/>
        <w:right w:val="none" w:sz="0" w:space="0" w:color="auto"/>
      </w:divBdr>
    </w:div>
    <w:div w:id="1236861331">
      <w:bodyDiv w:val="1"/>
      <w:marLeft w:val="0"/>
      <w:marRight w:val="0"/>
      <w:marTop w:val="0"/>
      <w:marBottom w:val="0"/>
      <w:divBdr>
        <w:top w:val="none" w:sz="0" w:space="0" w:color="auto"/>
        <w:left w:val="none" w:sz="0" w:space="0" w:color="auto"/>
        <w:bottom w:val="none" w:sz="0" w:space="0" w:color="auto"/>
        <w:right w:val="none" w:sz="0" w:space="0" w:color="auto"/>
      </w:divBdr>
    </w:div>
    <w:div w:id="1255284058">
      <w:bodyDiv w:val="1"/>
      <w:marLeft w:val="0"/>
      <w:marRight w:val="0"/>
      <w:marTop w:val="0"/>
      <w:marBottom w:val="0"/>
      <w:divBdr>
        <w:top w:val="none" w:sz="0" w:space="0" w:color="auto"/>
        <w:left w:val="none" w:sz="0" w:space="0" w:color="auto"/>
        <w:bottom w:val="none" w:sz="0" w:space="0" w:color="auto"/>
        <w:right w:val="none" w:sz="0" w:space="0" w:color="auto"/>
      </w:divBdr>
    </w:div>
    <w:div w:id="1265072455">
      <w:bodyDiv w:val="1"/>
      <w:marLeft w:val="0"/>
      <w:marRight w:val="0"/>
      <w:marTop w:val="0"/>
      <w:marBottom w:val="0"/>
      <w:divBdr>
        <w:top w:val="none" w:sz="0" w:space="0" w:color="auto"/>
        <w:left w:val="none" w:sz="0" w:space="0" w:color="auto"/>
        <w:bottom w:val="none" w:sz="0" w:space="0" w:color="auto"/>
        <w:right w:val="none" w:sz="0" w:space="0" w:color="auto"/>
      </w:divBdr>
    </w:div>
    <w:div w:id="1278413490">
      <w:bodyDiv w:val="1"/>
      <w:marLeft w:val="0"/>
      <w:marRight w:val="0"/>
      <w:marTop w:val="0"/>
      <w:marBottom w:val="0"/>
      <w:divBdr>
        <w:top w:val="none" w:sz="0" w:space="0" w:color="auto"/>
        <w:left w:val="none" w:sz="0" w:space="0" w:color="auto"/>
        <w:bottom w:val="none" w:sz="0" w:space="0" w:color="auto"/>
        <w:right w:val="none" w:sz="0" w:space="0" w:color="auto"/>
      </w:divBdr>
    </w:div>
    <w:div w:id="1326200022">
      <w:bodyDiv w:val="1"/>
      <w:marLeft w:val="0"/>
      <w:marRight w:val="0"/>
      <w:marTop w:val="0"/>
      <w:marBottom w:val="0"/>
      <w:divBdr>
        <w:top w:val="none" w:sz="0" w:space="0" w:color="auto"/>
        <w:left w:val="none" w:sz="0" w:space="0" w:color="auto"/>
        <w:bottom w:val="none" w:sz="0" w:space="0" w:color="auto"/>
        <w:right w:val="none" w:sz="0" w:space="0" w:color="auto"/>
      </w:divBdr>
    </w:div>
    <w:div w:id="1342583852">
      <w:bodyDiv w:val="1"/>
      <w:marLeft w:val="0"/>
      <w:marRight w:val="0"/>
      <w:marTop w:val="0"/>
      <w:marBottom w:val="0"/>
      <w:divBdr>
        <w:top w:val="none" w:sz="0" w:space="0" w:color="auto"/>
        <w:left w:val="none" w:sz="0" w:space="0" w:color="auto"/>
        <w:bottom w:val="none" w:sz="0" w:space="0" w:color="auto"/>
        <w:right w:val="none" w:sz="0" w:space="0" w:color="auto"/>
      </w:divBdr>
    </w:div>
    <w:div w:id="1346908656">
      <w:bodyDiv w:val="1"/>
      <w:marLeft w:val="0"/>
      <w:marRight w:val="0"/>
      <w:marTop w:val="0"/>
      <w:marBottom w:val="0"/>
      <w:divBdr>
        <w:top w:val="none" w:sz="0" w:space="0" w:color="auto"/>
        <w:left w:val="none" w:sz="0" w:space="0" w:color="auto"/>
        <w:bottom w:val="none" w:sz="0" w:space="0" w:color="auto"/>
        <w:right w:val="none" w:sz="0" w:space="0" w:color="auto"/>
      </w:divBdr>
    </w:div>
    <w:div w:id="1347560271">
      <w:bodyDiv w:val="1"/>
      <w:marLeft w:val="0"/>
      <w:marRight w:val="0"/>
      <w:marTop w:val="0"/>
      <w:marBottom w:val="0"/>
      <w:divBdr>
        <w:top w:val="none" w:sz="0" w:space="0" w:color="auto"/>
        <w:left w:val="none" w:sz="0" w:space="0" w:color="auto"/>
        <w:bottom w:val="none" w:sz="0" w:space="0" w:color="auto"/>
        <w:right w:val="none" w:sz="0" w:space="0" w:color="auto"/>
      </w:divBdr>
    </w:div>
    <w:div w:id="1354527722">
      <w:bodyDiv w:val="1"/>
      <w:marLeft w:val="0"/>
      <w:marRight w:val="0"/>
      <w:marTop w:val="0"/>
      <w:marBottom w:val="0"/>
      <w:divBdr>
        <w:top w:val="none" w:sz="0" w:space="0" w:color="auto"/>
        <w:left w:val="none" w:sz="0" w:space="0" w:color="auto"/>
        <w:bottom w:val="none" w:sz="0" w:space="0" w:color="auto"/>
        <w:right w:val="none" w:sz="0" w:space="0" w:color="auto"/>
      </w:divBdr>
    </w:div>
    <w:div w:id="1382948787">
      <w:bodyDiv w:val="1"/>
      <w:marLeft w:val="0"/>
      <w:marRight w:val="0"/>
      <w:marTop w:val="0"/>
      <w:marBottom w:val="0"/>
      <w:divBdr>
        <w:top w:val="none" w:sz="0" w:space="0" w:color="auto"/>
        <w:left w:val="none" w:sz="0" w:space="0" w:color="auto"/>
        <w:bottom w:val="none" w:sz="0" w:space="0" w:color="auto"/>
        <w:right w:val="none" w:sz="0" w:space="0" w:color="auto"/>
      </w:divBdr>
    </w:div>
    <w:div w:id="1408654891">
      <w:bodyDiv w:val="1"/>
      <w:marLeft w:val="0"/>
      <w:marRight w:val="0"/>
      <w:marTop w:val="0"/>
      <w:marBottom w:val="0"/>
      <w:divBdr>
        <w:top w:val="none" w:sz="0" w:space="0" w:color="auto"/>
        <w:left w:val="none" w:sz="0" w:space="0" w:color="auto"/>
        <w:bottom w:val="none" w:sz="0" w:space="0" w:color="auto"/>
        <w:right w:val="none" w:sz="0" w:space="0" w:color="auto"/>
      </w:divBdr>
    </w:div>
    <w:div w:id="1411587348">
      <w:bodyDiv w:val="1"/>
      <w:marLeft w:val="0"/>
      <w:marRight w:val="0"/>
      <w:marTop w:val="0"/>
      <w:marBottom w:val="0"/>
      <w:divBdr>
        <w:top w:val="none" w:sz="0" w:space="0" w:color="auto"/>
        <w:left w:val="none" w:sz="0" w:space="0" w:color="auto"/>
        <w:bottom w:val="none" w:sz="0" w:space="0" w:color="auto"/>
        <w:right w:val="none" w:sz="0" w:space="0" w:color="auto"/>
      </w:divBdr>
    </w:div>
    <w:div w:id="1414889261">
      <w:bodyDiv w:val="1"/>
      <w:marLeft w:val="0"/>
      <w:marRight w:val="0"/>
      <w:marTop w:val="0"/>
      <w:marBottom w:val="0"/>
      <w:divBdr>
        <w:top w:val="none" w:sz="0" w:space="0" w:color="auto"/>
        <w:left w:val="none" w:sz="0" w:space="0" w:color="auto"/>
        <w:bottom w:val="none" w:sz="0" w:space="0" w:color="auto"/>
        <w:right w:val="none" w:sz="0" w:space="0" w:color="auto"/>
      </w:divBdr>
    </w:div>
    <w:div w:id="1423262116">
      <w:bodyDiv w:val="1"/>
      <w:marLeft w:val="0"/>
      <w:marRight w:val="0"/>
      <w:marTop w:val="0"/>
      <w:marBottom w:val="0"/>
      <w:divBdr>
        <w:top w:val="none" w:sz="0" w:space="0" w:color="auto"/>
        <w:left w:val="none" w:sz="0" w:space="0" w:color="auto"/>
        <w:bottom w:val="none" w:sz="0" w:space="0" w:color="auto"/>
        <w:right w:val="none" w:sz="0" w:space="0" w:color="auto"/>
      </w:divBdr>
    </w:div>
    <w:div w:id="1430272632">
      <w:bodyDiv w:val="1"/>
      <w:marLeft w:val="0"/>
      <w:marRight w:val="0"/>
      <w:marTop w:val="0"/>
      <w:marBottom w:val="0"/>
      <w:divBdr>
        <w:top w:val="none" w:sz="0" w:space="0" w:color="auto"/>
        <w:left w:val="none" w:sz="0" w:space="0" w:color="auto"/>
        <w:bottom w:val="none" w:sz="0" w:space="0" w:color="auto"/>
        <w:right w:val="none" w:sz="0" w:space="0" w:color="auto"/>
      </w:divBdr>
    </w:div>
    <w:div w:id="1432049396">
      <w:bodyDiv w:val="1"/>
      <w:marLeft w:val="0"/>
      <w:marRight w:val="0"/>
      <w:marTop w:val="0"/>
      <w:marBottom w:val="0"/>
      <w:divBdr>
        <w:top w:val="none" w:sz="0" w:space="0" w:color="auto"/>
        <w:left w:val="none" w:sz="0" w:space="0" w:color="auto"/>
        <w:bottom w:val="none" w:sz="0" w:space="0" w:color="auto"/>
        <w:right w:val="none" w:sz="0" w:space="0" w:color="auto"/>
      </w:divBdr>
    </w:div>
    <w:div w:id="1452552215">
      <w:bodyDiv w:val="1"/>
      <w:marLeft w:val="0"/>
      <w:marRight w:val="0"/>
      <w:marTop w:val="0"/>
      <w:marBottom w:val="0"/>
      <w:divBdr>
        <w:top w:val="none" w:sz="0" w:space="0" w:color="auto"/>
        <w:left w:val="none" w:sz="0" w:space="0" w:color="auto"/>
        <w:bottom w:val="none" w:sz="0" w:space="0" w:color="auto"/>
        <w:right w:val="none" w:sz="0" w:space="0" w:color="auto"/>
      </w:divBdr>
    </w:div>
    <w:div w:id="1463573139">
      <w:bodyDiv w:val="1"/>
      <w:marLeft w:val="0"/>
      <w:marRight w:val="0"/>
      <w:marTop w:val="0"/>
      <w:marBottom w:val="0"/>
      <w:divBdr>
        <w:top w:val="none" w:sz="0" w:space="0" w:color="auto"/>
        <w:left w:val="none" w:sz="0" w:space="0" w:color="auto"/>
        <w:bottom w:val="none" w:sz="0" w:space="0" w:color="auto"/>
        <w:right w:val="none" w:sz="0" w:space="0" w:color="auto"/>
      </w:divBdr>
    </w:div>
    <w:div w:id="1490173190">
      <w:bodyDiv w:val="1"/>
      <w:marLeft w:val="0"/>
      <w:marRight w:val="0"/>
      <w:marTop w:val="0"/>
      <w:marBottom w:val="0"/>
      <w:divBdr>
        <w:top w:val="none" w:sz="0" w:space="0" w:color="auto"/>
        <w:left w:val="none" w:sz="0" w:space="0" w:color="auto"/>
        <w:bottom w:val="none" w:sz="0" w:space="0" w:color="auto"/>
        <w:right w:val="none" w:sz="0" w:space="0" w:color="auto"/>
      </w:divBdr>
    </w:div>
    <w:div w:id="1528328315">
      <w:bodyDiv w:val="1"/>
      <w:marLeft w:val="0"/>
      <w:marRight w:val="0"/>
      <w:marTop w:val="0"/>
      <w:marBottom w:val="0"/>
      <w:divBdr>
        <w:top w:val="none" w:sz="0" w:space="0" w:color="auto"/>
        <w:left w:val="none" w:sz="0" w:space="0" w:color="auto"/>
        <w:bottom w:val="none" w:sz="0" w:space="0" w:color="auto"/>
        <w:right w:val="none" w:sz="0" w:space="0" w:color="auto"/>
      </w:divBdr>
    </w:div>
    <w:div w:id="1538742361">
      <w:bodyDiv w:val="1"/>
      <w:marLeft w:val="0"/>
      <w:marRight w:val="0"/>
      <w:marTop w:val="0"/>
      <w:marBottom w:val="0"/>
      <w:divBdr>
        <w:top w:val="none" w:sz="0" w:space="0" w:color="auto"/>
        <w:left w:val="none" w:sz="0" w:space="0" w:color="auto"/>
        <w:bottom w:val="none" w:sz="0" w:space="0" w:color="auto"/>
        <w:right w:val="none" w:sz="0" w:space="0" w:color="auto"/>
      </w:divBdr>
    </w:div>
    <w:div w:id="1595043807">
      <w:bodyDiv w:val="1"/>
      <w:marLeft w:val="0"/>
      <w:marRight w:val="0"/>
      <w:marTop w:val="0"/>
      <w:marBottom w:val="0"/>
      <w:divBdr>
        <w:top w:val="none" w:sz="0" w:space="0" w:color="auto"/>
        <w:left w:val="none" w:sz="0" w:space="0" w:color="auto"/>
        <w:bottom w:val="none" w:sz="0" w:space="0" w:color="auto"/>
        <w:right w:val="none" w:sz="0" w:space="0" w:color="auto"/>
      </w:divBdr>
    </w:div>
    <w:div w:id="1600915834">
      <w:bodyDiv w:val="1"/>
      <w:marLeft w:val="0"/>
      <w:marRight w:val="0"/>
      <w:marTop w:val="0"/>
      <w:marBottom w:val="0"/>
      <w:divBdr>
        <w:top w:val="none" w:sz="0" w:space="0" w:color="auto"/>
        <w:left w:val="none" w:sz="0" w:space="0" w:color="auto"/>
        <w:bottom w:val="none" w:sz="0" w:space="0" w:color="auto"/>
        <w:right w:val="none" w:sz="0" w:space="0" w:color="auto"/>
      </w:divBdr>
    </w:div>
    <w:div w:id="1614705876">
      <w:bodyDiv w:val="1"/>
      <w:marLeft w:val="0"/>
      <w:marRight w:val="0"/>
      <w:marTop w:val="0"/>
      <w:marBottom w:val="0"/>
      <w:divBdr>
        <w:top w:val="none" w:sz="0" w:space="0" w:color="auto"/>
        <w:left w:val="none" w:sz="0" w:space="0" w:color="auto"/>
        <w:bottom w:val="none" w:sz="0" w:space="0" w:color="auto"/>
        <w:right w:val="none" w:sz="0" w:space="0" w:color="auto"/>
      </w:divBdr>
    </w:div>
    <w:div w:id="1615475700">
      <w:bodyDiv w:val="1"/>
      <w:marLeft w:val="0"/>
      <w:marRight w:val="0"/>
      <w:marTop w:val="0"/>
      <w:marBottom w:val="0"/>
      <w:divBdr>
        <w:top w:val="none" w:sz="0" w:space="0" w:color="auto"/>
        <w:left w:val="none" w:sz="0" w:space="0" w:color="auto"/>
        <w:bottom w:val="none" w:sz="0" w:space="0" w:color="auto"/>
        <w:right w:val="none" w:sz="0" w:space="0" w:color="auto"/>
      </w:divBdr>
    </w:div>
    <w:div w:id="1652444898">
      <w:bodyDiv w:val="1"/>
      <w:marLeft w:val="0"/>
      <w:marRight w:val="0"/>
      <w:marTop w:val="0"/>
      <w:marBottom w:val="0"/>
      <w:divBdr>
        <w:top w:val="none" w:sz="0" w:space="0" w:color="auto"/>
        <w:left w:val="none" w:sz="0" w:space="0" w:color="auto"/>
        <w:bottom w:val="none" w:sz="0" w:space="0" w:color="auto"/>
        <w:right w:val="none" w:sz="0" w:space="0" w:color="auto"/>
      </w:divBdr>
    </w:div>
    <w:div w:id="1655715101">
      <w:bodyDiv w:val="1"/>
      <w:marLeft w:val="0"/>
      <w:marRight w:val="0"/>
      <w:marTop w:val="0"/>
      <w:marBottom w:val="0"/>
      <w:divBdr>
        <w:top w:val="none" w:sz="0" w:space="0" w:color="auto"/>
        <w:left w:val="none" w:sz="0" w:space="0" w:color="auto"/>
        <w:bottom w:val="none" w:sz="0" w:space="0" w:color="auto"/>
        <w:right w:val="none" w:sz="0" w:space="0" w:color="auto"/>
      </w:divBdr>
    </w:div>
    <w:div w:id="1666398307">
      <w:bodyDiv w:val="1"/>
      <w:marLeft w:val="0"/>
      <w:marRight w:val="0"/>
      <w:marTop w:val="0"/>
      <w:marBottom w:val="0"/>
      <w:divBdr>
        <w:top w:val="none" w:sz="0" w:space="0" w:color="auto"/>
        <w:left w:val="none" w:sz="0" w:space="0" w:color="auto"/>
        <w:bottom w:val="none" w:sz="0" w:space="0" w:color="auto"/>
        <w:right w:val="none" w:sz="0" w:space="0" w:color="auto"/>
      </w:divBdr>
    </w:div>
    <w:div w:id="1690181728">
      <w:bodyDiv w:val="1"/>
      <w:marLeft w:val="0"/>
      <w:marRight w:val="0"/>
      <w:marTop w:val="0"/>
      <w:marBottom w:val="0"/>
      <w:divBdr>
        <w:top w:val="none" w:sz="0" w:space="0" w:color="auto"/>
        <w:left w:val="none" w:sz="0" w:space="0" w:color="auto"/>
        <w:bottom w:val="none" w:sz="0" w:space="0" w:color="auto"/>
        <w:right w:val="none" w:sz="0" w:space="0" w:color="auto"/>
      </w:divBdr>
    </w:div>
    <w:div w:id="1702634748">
      <w:bodyDiv w:val="1"/>
      <w:marLeft w:val="0"/>
      <w:marRight w:val="0"/>
      <w:marTop w:val="0"/>
      <w:marBottom w:val="0"/>
      <w:divBdr>
        <w:top w:val="none" w:sz="0" w:space="0" w:color="auto"/>
        <w:left w:val="none" w:sz="0" w:space="0" w:color="auto"/>
        <w:bottom w:val="none" w:sz="0" w:space="0" w:color="auto"/>
        <w:right w:val="none" w:sz="0" w:space="0" w:color="auto"/>
      </w:divBdr>
    </w:div>
    <w:div w:id="1710836469">
      <w:bodyDiv w:val="1"/>
      <w:marLeft w:val="0"/>
      <w:marRight w:val="0"/>
      <w:marTop w:val="0"/>
      <w:marBottom w:val="0"/>
      <w:divBdr>
        <w:top w:val="none" w:sz="0" w:space="0" w:color="auto"/>
        <w:left w:val="none" w:sz="0" w:space="0" w:color="auto"/>
        <w:bottom w:val="none" w:sz="0" w:space="0" w:color="auto"/>
        <w:right w:val="none" w:sz="0" w:space="0" w:color="auto"/>
      </w:divBdr>
    </w:div>
    <w:div w:id="1713337000">
      <w:bodyDiv w:val="1"/>
      <w:marLeft w:val="0"/>
      <w:marRight w:val="0"/>
      <w:marTop w:val="0"/>
      <w:marBottom w:val="0"/>
      <w:divBdr>
        <w:top w:val="none" w:sz="0" w:space="0" w:color="auto"/>
        <w:left w:val="none" w:sz="0" w:space="0" w:color="auto"/>
        <w:bottom w:val="none" w:sz="0" w:space="0" w:color="auto"/>
        <w:right w:val="none" w:sz="0" w:space="0" w:color="auto"/>
      </w:divBdr>
    </w:div>
    <w:div w:id="1733037250">
      <w:bodyDiv w:val="1"/>
      <w:marLeft w:val="0"/>
      <w:marRight w:val="0"/>
      <w:marTop w:val="0"/>
      <w:marBottom w:val="0"/>
      <w:divBdr>
        <w:top w:val="none" w:sz="0" w:space="0" w:color="auto"/>
        <w:left w:val="none" w:sz="0" w:space="0" w:color="auto"/>
        <w:bottom w:val="none" w:sz="0" w:space="0" w:color="auto"/>
        <w:right w:val="none" w:sz="0" w:space="0" w:color="auto"/>
      </w:divBdr>
    </w:div>
    <w:div w:id="1747065958">
      <w:bodyDiv w:val="1"/>
      <w:marLeft w:val="0"/>
      <w:marRight w:val="0"/>
      <w:marTop w:val="0"/>
      <w:marBottom w:val="0"/>
      <w:divBdr>
        <w:top w:val="none" w:sz="0" w:space="0" w:color="auto"/>
        <w:left w:val="none" w:sz="0" w:space="0" w:color="auto"/>
        <w:bottom w:val="none" w:sz="0" w:space="0" w:color="auto"/>
        <w:right w:val="none" w:sz="0" w:space="0" w:color="auto"/>
      </w:divBdr>
    </w:div>
    <w:div w:id="1751191361">
      <w:bodyDiv w:val="1"/>
      <w:marLeft w:val="0"/>
      <w:marRight w:val="0"/>
      <w:marTop w:val="0"/>
      <w:marBottom w:val="0"/>
      <w:divBdr>
        <w:top w:val="none" w:sz="0" w:space="0" w:color="auto"/>
        <w:left w:val="none" w:sz="0" w:space="0" w:color="auto"/>
        <w:bottom w:val="none" w:sz="0" w:space="0" w:color="auto"/>
        <w:right w:val="none" w:sz="0" w:space="0" w:color="auto"/>
      </w:divBdr>
    </w:div>
    <w:div w:id="1759592216">
      <w:bodyDiv w:val="1"/>
      <w:marLeft w:val="0"/>
      <w:marRight w:val="0"/>
      <w:marTop w:val="0"/>
      <w:marBottom w:val="0"/>
      <w:divBdr>
        <w:top w:val="none" w:sz="0" w:space="0" w:color="auto"/>
        <w:left w:val="none" w:sz="0" w:space="0" w:color="auto"/>
        <w:bottom w:val="none" w:sz="0" w:space="0" w:color="auto"/>
        <w:right w:val="none" w:sz="0" w:space="0" w:color="auto"/>
      </w:divBdr>
    </w:div>
    <w:div w:id="1761679288">
      <w:bodyDiv w:val="1"/>
      <w:marLeft w:val="0"/>
      <w:marRight w:val="0"/>
      <w:marTop w:val="0"/>
      <w:marBottom w:val="0"/>
      <w:divBdr>
        <w:top w:val="none" w:sz="0" w:space="0" w:color="auto"/>
        <w:left w:val="none" w:sz="0" w:space="0" w:color="auto"/>
        <w:bottom w:val="none" w:sz="0" w:space="0" w:color="auto"/>
        <w:right w:val="none" w:sz="0" w:space="0" w:color="auto"/>
      </w:divBdr>
    </w:div>
    <w:div w:id="1763725053">
      <w:bodyDiv w:val="1"/>
      <w:marLeft w:val="0"/>
      <w:marRight w:val="0"/>
      <w:marTop w:val="0"/>
      <w:marBottom w:val="0"/>
      <w:divBdr>
        <w:top w:val="none" w:sz="0" w:space="0" w:color="auto"/>
        <w:left w:val="none" w:sz="0" w:space="0" w:color="auto"/>
        <w:bottom w:val="none" w:sz="0" w:space="0" w:color="auto"/>
        <w:right w:val="none" w:sz="0" w:space="0" w:color="auto"/>
      </w:divBdr>
    </w:div>
    <w:div w:id="1776634751">
      <w:bodyDiv w:val="1"/>
      <w:marLeft w:val="0"/>
      <w:marRight w:val="0"/>
      <w:marTop w:val="0"/>
      <w:marBottom w:val="0"/>
      <w:divBdr>
        <w:top w:val="none" w:sz="0" w:space="0" w:color="auto"/>
        <w:left w:val="none" w:sz="0" w:space="0" w:color="auto"/>
        <w:bottom w:val="none" w:sz="0" w:space="0" w:color="auto"/>
        <w:right w:val="none" w:sz="0" w:space="0" w:color="auto"/>
      </w:divBdr>
    </w:div>
    <w:div w:id="1800340286">
      <w:bodyDiv w:val="1"/>
      <w:marLeft w:val="0"/>
      <w:marRight w:val="0"/>
      <w:marTop w:val="0"/>
      <w:marBottom w:val="0"/>
      <w:divBdr>
        <w:top w:val="none" w:sz="0" w:space="0" w:color="auto"/>
        <w:left w:val="none" w:sz="0" w:space="0" w:color="auto"/>
        <w:bottom w:val="none" w:sz="0" w:space="0" w:color="auto"/>
        <w:right w:val="none" w:sz="0" w:space="0" w:color="auto"/>
      </w:divBdr>
    </w:div>
    <w:div w:id="1824002559">
      <w:bodyDiv w:val="1"/>
      <w:marLeft w:val="0"/>
      <w:marRight w:val="0"/>
      <w:marTop w:val="0"/>
      <w:marBottom w:val="0"/>
      <w:divBdr>
        <w:top w:val="none" w:sz="0" w:space="0" w:color="auto"/>
        <w:left w:val="none" w:sz="0" w:space="0" w:color="auto"/>
        <w:bottom w:val="none" w:sz="0" w:space="0" w:color="auto"/>
        <w:right w:val="none" w:sz="0" w:space="0" w:color="auto"/>
      </w:divBdr>
    </w:div>
    <w:div w:id="1826045923">
      <w:bodyDiv w:val="1"/>
      <w:marLeft w:val="0"/>
      <w:marRight w:val="0"/>
      <w:marTop w:val="0"/>
      <w:marBottom w:val="0"/>
      <w:divBdr>
        <w:top w:val="none" w:sz="0" w:space="0" w:color="auto"/>
        <w:left w:val="none" w:sz="0" w:space="0" w:color="auto"/>
        <w:bottom w:val="none" w:sz="0" w:space="0" w:color="auto"/>
        <w:right w:val="none" w:sz="0" w:space="0" w:color="auto"/>
      </w:divBdr>
    </w:div>
    <w:div w:id="1829438825">
      <w:bodyDiv w:val="1"/>
      <w:marLeft w:val="0"/>
      <w:marRight w:val="0"/>
      <w:marTop w:val="0"/>
      <w:marBottom w:val="0"/>
      <w:divBdr>
        <w:top w:val="none" w:sz="0" w:space="0" w:color="auto"/>
        <w:left w:val="none" w:sz="0" w:space="0" w:color="auto"/>
        <w:bottom w:val="none" w:sz="0" w:space="0" w:color="auto"/>
        <w:right w:val="none" w:sz="0" w:space="0" w:color="auto"/>
      </w:divBdr>
    </w:div>
    <w:div w:id="1842772576">
      <w:bodyDiv w:val="1"/>
      <w:marLeft w:val="0"/>
      <w:marRight w:val="0"/>
      <w:marTop w:val="0"/>
      <w:marBottom w:val="0"/>
      <w:divBdr>
        <w:top w:val="none" w:sz="0" w:space="0" w:color="auto"/>
        <w:left w:val="none" w:sz="0" w:space="0" w:color="auto"/>
        <w:bottom w:val="none" w:sz="0" w:space="0" w:color="auto"/>
        <w:right w:val="none" w:sz="0" w:space="0" w:color="auto"/>
      </w:divBdr>
    </w:div>
    <w:div w:id="1847553170">
      <w:bodyDiv w:val="1"/>
      <w:marLeft w:val="0"/>
      <w:marRight w:val="0"/>
      <w:marTop w:val="0"/>
      <w:marBottom w:val="0"/>
      <w:divBdr>
        <w:top w:val="none" w:sz="0" w:space="0" w:color="auto"/>
        <w:left w:val="none" w:sz="0" w:space="0" w:color="auto"/>
        <w:bottom w:val="none" w:sz="0" w:space="0" w:color="auto"/>
        <w:right w:val="none" w:sz="0" w:space="0" w:color="auto"/>
      </w:divBdr>
    </w:div>
    <w:div w:id="1857771085">
      <w:bodyDiv w:val="1"/>
      <w:marLeft w:val="0"/>
      <w:marRight w:val="0"/>
      <w:marTop w:val="0"/>
      <w:marBottom w:val="0"/>
      <w:divBdr>
        <w:top w:val="none" w:sz="0" w:space="0" w:color="auto"/>
        <w:left w:val="none" w:sz="0" w:space="0" w:color="auto"/>
        <w:bottom w:val="none" w:sz="0" w:space="0" w:color="auto"/>
        <w:right w:val="none" w:sz="0" w:space="0" w:color="auto"/>
      </w:divBdr>
    </w:div>
    <w:div w:id="1871142123">
      <w:bodyDiv w:val="1"/>
      <w:marLeft w:val="0"/>
      <w:marRight w:val="0"/>
      <w:marTop w:val="0"/>
      <w:marBottom w:val="0"/>
      <w:divBdr>
        <w:top w:val="none" w:sz="0" w:space="0" w:color="auto"/>
        <w:left w:val="none" w:sz="0" w:space="0" w:color="auto"/>
        <w:bottom w:val="none" w:sz="0" w:space="0" w:color="auto"/>
        <w:right w:val="none" w:sz="0" w:space="0" w:color="auto"/>
      </w:divBdr>
    </w:div>
    <w:div w:id="1873299750">
      <w:bodyDiv w:val="1"/>
      <w:marLeft w:val="0"/>
      <w:marRight w:val="0"/>
      <w:marTop w:val="0"/>
      <w:marBottom w:val="0"/>
      <w:divBdr>
        <w:top w:val="none" w:sz="0" w:space="0" w:color="auto"/>
        <w:left w:val="none" w:sz="0" w:space="0" w:color="auto"/>
        <w:bottom w:val="none" w:sz="0" w:space="0" w:color="auto"/>
        <w:right w:val="none" w:sz="0" w:space="0" w:color="auto"/>
      </w:divBdr>
    </w:div>
    <w:div w:id="1875383028">
      <w:bodyDiv w:val="1"/>
      <w:marLeft w:val="0"/>
      <w:marRight w:val="0"/>
      <w:marTop w:val="0"/>
      <w:marBottom w:val="0"/>
      <w:divBdr>
        <w:top w:val="none" w:sz="0" w:space="0" w:color="auto"/>
        <w:left w:val="none" w:sz="0" w:space="0" w:color="auto"/>
        <w:bottom w:val="none" w:sz="0" w:space="0" w:color="auto"/>
        <w:right w:val="none" w:sz="0" w:space="0" w:color="auto"/>
      </w:divBdr>
    </w:div>
    <w:div w:id="1886983617">
      <w:bodyDiv w:val="1"/>
      <w:marLeft w:val="0"/>
      <w:marRight w:val="0"/>
      <w:marTop w:val="0"/>
      <w:marBottom w:val="0"/>
      <w:divBdr>
        <w:top w:val="none" w:sz="0" w:space="0" w:color="auto"/>
        <w:left w:val="none" w:sz="0" w:space="0" w:color="auto"/>
        <w:bottom w:val="none" w:sz="0" w:space="0" w:color="auto"/>
        <w:right w:val="none" w:sz="0" w:space="0" w:color="auto"/>
      </w:divBdr>
    </w:div>
    <w:div w:id="1897541909">
      <w:bodyDiv w:val="1"/>
      <w:marLeft w:val="0"/>
      <w:marRight w:val="0"/>
      <w:marTop w:val="0"/>
      <w:marBottom w:val="0"/>
      <w:divBdr>
        <w:top w:val="none" w:sz="0" w:space="0" w:color="auto"/>
        <w:left w:val="none" w:sz="0" w:space="0" w:color="auto"/>
        <w:bottom w:val="none" w:sz="0" w:space="0" w:color="auto"/>
        <w:right w:val="none" w:sz="0" w:space="0" w:color="auto"/>
      </w:divBdr>
    </w:div>
    <w:div w:id="1903061630">
      <w:bodyDiv w:val="1"/>
      <w:marLeft w:val="0"/>
      <w:marRight w:val="0"/>
      <w:marTop w:val="0"/>
      <w:marBottom w:val="0"/>
      <w:divBdr>
        <w:top w:val="none" w:sz="0" w:space="0" w:color="auto"/>
        <w:left w:val="none" w:sz="0" w:space="0" w:color="auto"/>
        <w:bottom w:val="none" w:sz="0" w:space="0" w:color="auto"/>
        <w:right w:val="none" w:sz="0" w:space="0" w:color="auto"/>
      </w:divBdr>
      <w:divsChild>
        <w:div w:id="1118992976">
          <w:marLeft w:val="0"/>
          <w:marRight w:val="0"/>
          <w:marTop w:val="0"/>
          <w:marBottom w:val="0"/>
          <w:divBdr>
            <w:top w:val="none" w:sz="0" w:space="0" w:color="auto"/>
            <w:left w:val="none" w:sz="0" w:space="0" w:color="auto"/>
            <w:bottom w:val="none" w:sz="0" w:space="0" w:color="auto"/>
            <w:right w:val="none" w:sz="0" w:space="0" w:color="auto"/>
          </w:divBdr>
          <w:divsChild>
            <w:div w:id="201950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394855">
      <w:bodyDiv w:val="1"/>
      <w:marLeft w:val="0"/>
      <w:marRight w:val="0"/>
      <w:marTop w:val="0"/>
      <w:marBottom w:val="0"/>
      <w:divBdr>
        <w:top w:val="none" w:sz="0" w:space="0" w:color="auto"/>
        <w:left w:val="none" w:sz="0" w:space="0" w:color="auto"/>
        <w:bottom w:val="none" w:sz="0" w:space="0" w:color="auto"/>
        <w:right w:val="none" w:sz="0" w:space="0" w:color="auto"/>
      </w:divBdr>
    </w:div>
    <w:div w:id="1916890210">
      <w:bodyDiv w:val="1"/>
      <w:marLeft w:val="0"/>
      <w:marRight w:val="0"/>
      <w:marTop w:val="0"/>
      <w:marBottom w:val="0"/>
      <w:divBdr>
        <w:top w:val="none" w:sz="0" w:space="0" w:color="auto"/>
        <w:left w:val="none" w:sz="0" w:space="0" w:color="auto"/>
        <w:bottom w:val="none" w:sz="0" w:space="0" w:color="auto"/>
        <w:right w:val="none" w:sz="0" w:space="0" w:color="auto"/>
      </w:divBdr>
    </w:div>
    <w:div w:id="1917744369">
      <w:bodyDiv w:val="1"/>
      <w:marLeft w:val="0"/>
      <w:marRight w:val="0"/>
      <w:marTop w:val="0"/>
      <w:marBottom w:val="0"/>
      <w:divBdr>
        <w:top w:val="none" w:sz="0" w:space="0" w:color="auto"/>
        <w:left w:val="none" w:sz="0" w:space="0" w:color="auto"/>
        <w:bottom w:val="none" w:sz="0" w:space="0" w:color="auto"/>
        <w:right w:val="none" w:sz="0" w:space="0" w:color="auto"/>
      </w:divBdr>
    </w:div>
    <w:div w:id="1953589308">
      <w:bodyDiv w:val="1"/>
      <w:marLeft w:val="0"/>
      <w:marRight w:val="0"/>
      <w:marTop w:val="0"/>
      <w:marBottom w:val="0"/>
      <w:divBdr>
        <w:top w:val="none" w:sz="0" w:space="0" w:color="auto"/>
        <w:left w:val="none" w:sz="0" w:space="0" w:color="auto"/>
        <w:bottom w:val="none" w:sz="0" w:space="0" w:color="auto"/>
        <w:right w:val="none" w:sz="0" w:space="0" w:color="auto"/>
      </w:divBdr>
    </w:div>
    <w:div w:id="1954441426">
      <w:bodyDiv w:val="1"/>
      <w:marLeft w:val="0"/>
      <w:marRight w:val="0"/>
      <w:marTop w:val="0"/>
      <w:marBottom w:val="0"/>
      <w:divBdr>
        <w:top w:val="none" w:sz="0" w:space="0" w:color="auto"/>
        <w:left w:val="none" w:sz="0" w:space="0" w:color="auto"/>
        <w:bottom w:val="none" w:sz="0" w:space="0" w:color="auto"/>
        <w:right w:val="none" w:sz="0" w:space="0" w:color="auto"/>
      </w:divBdr>
    </w:div>
    <w:div w:id="1962804814">
      <w:bodyDiv w:val="1"/>
      <w:marLeft w:val="0"/>
      <w:marRight w:val="0"/>
      <w:marTop w:val="0"/>
      <w:marBottom w:val="0"/>
      <w:divBdr>
        <w:top w:val="none" w:sz="0" w:space="0" w:color="auto"/>
        <w:left w:val="none" w:sz="0" w:space="0" w:color="auto"/>
        <w:bottom w:val="none" w:sz="0" w:space="0" w:color="auto"/>
        <w:right w:val="none" w:sz="0" w:space="0" w:color="auto"/>
      </w:divBdr>
    </w:div>
    <w:div w:id="1984579806">
      <w:bodyDiv w:val="1"/>
      <w:marLeft w:val="0"/>
      <w:marRight w:val="0"/>
      <w:marTop w:val="0"/>
      <w:marBottom w:val="0"/>
      <w:divBdr>
        <w:top w:val="none" w:sz="0" w:space="0" w:color="auto"/>
        <w:left w:val="none" w:sz="0" w:space="0" w:color="auto"/>
        <w:bottom w:val="none" w:sz="0" w:space="0" w:color="auto"/>
        <w:right w:val="none" w:sz="0" w:space="0" w:color="auto"/>
      </w:divBdr>
    </w:div>
    <w:div w:id="1988896487">
      <w:bodyDiv w:val="1"/>
      <w:marLeft w:val="0"/>
      <w:marRight w:val="0"/>
      <w:marTop w:val="0"/>
      <w:marBottom w:val="0"/>
      <w:divBdr>
        <w:top w:val="none" w:sz="0" w:space="0" w:color="auto"/>
        <w:left w:val="none" w:sz="0" w:space="0" w:color="auto"/>
        <w:bottom w:val="none" w:sz="0" w:space="0" w:color="auto"/>
        <w:right w:val="none" w:sz="0" w:space="0" w:color="auto"/>
      </w:divBdr>
    </w:div>
    <w:div w:id="2003123306">
      <w:bodyDiv w:val="1"/>
      <w:marLeft w:val="0"/>
      <w:marRight w:val="0"/>
      <w:marTop w:val="0"/>
      <w:marBottom w:val="0"/>
      <w:divBdr>
        <w:top w:val="none" w:sz="0" w:space="0" w:color="auto"/>
        <w:left w:val="none" w:sz="0" w:space="0" w:color="auto"/>
        <w:bottom w:val="none" w:sz="0" w:space="0" w:color="auto"/>
        <w:right w:val="none" w:sz="0" w:space="0" w:color="auto"/>
      </w:divBdr>
    </w:div>
    <w:div w:id="2025276803">
      <w:bodyDiv w:val="1"/>
      <w:marLeft w:val="0"/>
      <w:marRight w:val="0"/>
      <w:marTop w:val="0"/>
      <w:marBottom w:val="0"/>
      <w:divBdr>
        <w:top w:val="none" w:sz="0" w:space="0" w:color="auto"/>
        <w:left w:val="none" w:sz="0" w:space="0" w:color="auto"/>
        <w:bottom w:val="none" w:sz="0" w:space="0" w:color="auto"/>
        <w:right w:val="none" w:sz="0" w:space="0" w:color="auto"/>
      </w:divBdr>
    </w:div>
    <w:div w:id="2027947138">
      <w:bodyDiv w:val="1"/>
      <w:marLeft w:val="0"/>
      <w:marRight w:val="0"/>
      <w:marTop w:val="0"/>
      <w:marBottom w:val="0"/>
      <w:divBdr>
        <w:top w:val="none" w:sz="0" w:space="0" w:color="auto"/>
        <w:left w:val="none" w:sz="0" w:space="0" w:color="auto"/>
        <w:bottom w:val="none" w:sz="0" w:space="0" w:color="auto"/>
        <w:right w:val="none" w:sz="0" w:space="0" w:color="auto"/>
      </w:divBdr>
    </w:div>
    <w:div w:id="2034500851">
      <w:bodyDiv w:val="1"/>
      <w:marLeft w:val="0"/>
      <w:marRight w:val="0"/>
      <w:marTop w:val="0"/>
      <w:marBottom w:val="0"/>
      <w:divBdr>
        <w:top w:val="none" w:sz="0" w:space="0" w:color="auto"/>
        <w:left w:val="none" w:sz="0" w:space="0" w:color="auto"/>
        <w:bottom w:val="none" w:sz="0" w:space="0" w:color="auto"/>
        <w:right w:val="none" w:sz="0" w:space="0" w:color="auto"/>
      </w:divBdr>
    </w:div>
    <w:div w:id="2036538021">
      <w:bodyDiv w:val="1"/>
      <w:marLeft w:val="0"/>
      <w:marRight w:val="0"/>
      <w:marTop w:val="0"/>
      <w:marBottom w:val="0"/>
      <w:divBdr>
        <w:top w:val="none" w:sz="0" w:space="0" w:color="auto"/>
        <w:left w:val="none" w:sz="0" w:space="0" w:color="auto"/>
        <w:bottom w:val="none" w:sz="0" w:space="0" w:color="auto"/>
        <w:right w:val="none" w:sz="0" w:space="0" w:color="auto"/>
      </w:divBdr>
    </w:div>
    <w:div w:id="2057511231">
      <w:bodyDiv w:val="1"/>
      <w:marLeft w:val="0"/>
      <w:marRight w:val="0"/>
      <w:marTop w:val="0"/>
      <w:marBottom w:val="0"/>
      <w:divBdr>
        <w:top w:val="none" w:sz="0" w:space="0" w:color="auto"/>
        <w:left w:val="none" w:sz="0" w:space="0" w:color="auto"/>
        <w:bottom w:val="none" w:sz="0" w:space="0" w:color="auto"/>
        <w:right w:val="none" w:sz="0" w:space="0" w:color="auto"/>
      </w:divBdr>
    </w:div>
    <w:div w:id="2059739005">
      <w:bodyDiv w:val="1"/>
      <w:marLeft w:val="0"/>
      <w:marRight w:val="0"/>
      <w:marTop w:val="0"/>
      <w:marBottom w:val="0"/>
      <w:divBdr>
        <w:top w:val="none" w:sz="0" w:space="0" w:color="auto"/>
        <w:left w:val="none" w:sz="0" w:space="0" w:color="auto"/>
        <w:bottom w:val="none" w:sz="0" w:space="0" w:color="auto"/>
        <w:right w:val="none" w:sz="0" w:space="0" w:color="auto"/>
      </w:divBdr>
    </w:div>
    <w:div w:id="2067600960">
      <w:bodyDiv w:val="1"/>
      <w:marLeft w:val="0"/>
      <w:marRight w:val="0"/>
      <w:marTop w:val="0"/>
      <w:marBottom w:val="0"/>
      <w:divBdr>
        <w:top w:val="none" w:sz="0" w:space="0" w:color="auto"/>
        <w:left w:val="none" w:sz="0" w:space="0" w:color="auto"/>
        <w:bottom w:val="none" w:sz="0" w:space="0" w:color="auto"/>
        <w:right w:val="none" w:sz="0" w:space="0" w:color="auto"/>
      </w:divBdr>
    </w:div>
    <w:div w:id="2089375133">
      <w:bodyDiv w:val="1"/>
      <w:marLeft w:val="0"/>
      <w:marRight w:val="0"/>
      <w:marTop w:val="0"/>
      <w:marBottom w:val="0"/>
      <w:divBdr>
        <w:top w:val="none" w:sz="0" w:space="0" w:color="auto"/>
        <w:left w:val="none" w:sz="0" w:space="0" w:color="auto"/>
        <w:bottom w:val="none" w:sz="0" w:space="0" w:color="auto"/>
        <w:right w:val="none" w:sz="0" w:space="0" w:color="auto"/>
      </w:divBdr>
    </w:div>
    <w:div w:id="2104296545">
      <w:bodyDiv w:val="1"/>
      <w:marLeft w:val="0"/>
      <w:marRight w:val="0"/>
      <w:marTop w:val="0"/>
      <w:marBottom w:val="0"/>
      <w:divBdr>
        <w:top w:val="none" w:sz="0" w:space="0" w:color="auto"/>
        <w:left w:val="none" w:sz="0" w:space="0" w:color="auto"/>
        <w:bottom w:val="none" w:sz="0" w:space="0" w:color="auto"/>
        <w:right w:val="none" w:sz="0" w:space="0" w:color="auto"/>
      </w:divBdr>
    </w:div>
    <w:div w:id="2108964302">
      <w:bodyDiv w:val="1"/>
      <w:marLeft w:val="0"/>
      <w:marRight w:val="0"/>
      <w:marTop w:val="0"/>
      <w:marBottom w:val="0"/>
      <w:divBdr>
        <w:top w:val="none" w:sz="0" w:space="0" w:color="auto"/>
        <w:left w:val="none" w:sz="0" w:space="0" w:color="auto"/>
        <w:bottom w:val="none" w:sz="0" w:space="0" w:color="auto"/>
        <w:right w:val="none" w:sz="0" w:space="0" w:color="auto"/>
      </w:divBdr>
    </w:div>
    <w:div w:id="2116896278">
      <w:bodyDiv w:val="1"/>
      <w:marLeft w:val="0"/>
      <w:marRight w:val="0"/>
      <w:marTop w:val="0"/>
      <w:marBottom w:val="0"/>
      <w:divBdr>
        <w:top w:val="none" w:sz="0" w:space="0" w:color="auto"/>
        <w:left w:val="none" w:sz="0" w:space="0" w:color="auto"/>
        <w:bottom w:val="none" w:sz="0" w:space="0" w:color="auto"/>
        <w:right w:val="none" w:sz="0" w:space="0" w:color="auto"/>
      </w:divBdr>
    </w:div>
    <w:div w:id="2128498654">
      <w:bodyDiv w:val="1"/>
      <w:marLeft w:val="0"/>
      <w:marRight w:val="0"/>
      <w:marTop w:val="0"/>
      <w:marBottom w:val="0"/>
      <w:divBdr>
        <w:top w:val="none" w:sz="0" w:space="0" w:color="auto"/>
        <w:left w:val="none" w:sz="0" w:space="0" w:color="auto"/>
        <w:bottom w:val="none" w:sz="0" w:space="0" w:color="auto"/>
        <w:right w:val="none" w:sz="0" w:space="0" w:color="auto"/>
      </w:divBdr>
    </w:div>
    <w:div w:id="2134904989">
      <w:bodyDiv w:val="1"/>
      <w:marLeft w:val="0"/>
      <w:marRight w:val="0"/>
      <w:marTop w:val="0"/>
      <w:marBottom w:val="0"/>
      <w:divBdr>
        <w:top w:val="none" w:sz="0" w:space="0" w:color="auto"/>
        <w:left w:val="none" w:sz="0" w:space="0" w:color="auto"/>
        <w:bottom w:val="none" w:sz="0" w:space="0" w:color="auto"/>
        <w:right w:val="none" w:sz="0" w:space="0" w:color="auto"/>
      </w:divBdr>
    </w:div>
    <w:div w:id="2136294102">
      <w:bodyDiv w:val="1"/>
      <w:marLeft w:val="0"/>
      <w:marRight w:val="0"/>
      <w:marTop w:val="0"/>
      <w:marBottom w:val="0"/>
      <w:divBdr>
        <w:top w:val="none" w:sz="0" w:space="0" w:color="auto"/>
        <w:left w:val="none" w:sz="0" w:space="0" w:color="auto"/>
        <w:bottom w:val="none" w:sz="0" w:space="0" w:color="auto"/>
        <w:right w:val="none" w:sz="0" w:space="0" w:color="auto"/>
      </w:divBdr>
    </w:div>
    <w:div w:id="214684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12T20:15:54.175"/>
    </inkml:context>
    <inkml:brush xml:id="br0">
      <inkml:brushProperty name="width" value="0.05" units="cm"/>
      <inkml:brushProperty name="height" value="0.05" units="cm"/>
    </inkml:brush>
  </inkml:definitions>
  <inkml:trace contextRef="#ctx0" brushRef="#br0">1 275 24575,'21'29'0,"-14"-20"0,17 20 0,-19-26 0,1 2 0,-1 0 0,1-2 0,-1 2 0,0-2 0,1 0 0,-3 2 0,1-5 0,-3 5 0,4-5 0,-5 5 0,5-1 0,-2-1 0,3 2 0,-1-2 0,-2 2 0,2-2 0,-4 2 0,4-4 0,-5 3 0,5-3 0,-2 1 0,3-4 0,-1-4 0,1-4 0,1-2 0,-1-4 0,0 2 0,1-5 0,-1 2 0,1-3 0,0-5 0,4-1 0,-3-3 0,6-1 0,-3 4 0,3-2 0,0 6 0,-3-2 0,-1 3 0,-4 4 0,1 1 0,-1 7 0,0 0 0,-1 4 0,-2-1 0,2 1 0,-4 2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934A58-CD6B-C348-A3D0-AB058F4B5A1A}">
  <we:reference id="wa104380122" version="1.0.0.1" store="en-US" storeType="OMEX"/>
  <we:alternateReferences>
    <we:reference id="WA104380122" version="1.0.0.1" store="WA104380122" storeType="OMEX"/>
  </we:alternateReferences>
  <we:properties>
    <we:property name="biblioId" value="477346779"/>
    <we:property name="cit:1208691801" value="&quot;{\&quot;docs\&quot;:[{\&quot;pageReplace\&quot;:\&quot;\&quot;,\&quot;author\&quot;:true,\&quot;year\&quot;:true,\&quot;prefix\&quot;:\&quot;\&quot;,\&quot;suffix\&quot;:\&quot;\&quot;,\&quot;id\&quot;:\&quot;doc:5c16c64ae4b0ac8b1f3b8e33\&quot;}],\&quot;position\&quot;:\&quot;footnote\&quot;}&quot;"/>
    <we:property name="cit:1239672350" value="&quot;{\&quot;docs\&quot;:[{\&quot;id\&quot;:\&quot;doc:5be8b6bee4b02374b62f053c\&quot;,\&quot;pageReplace\&quot;:\&quot;\&quot;,\&quot;author\&quot;:true,\&quot;year\&quot;:true,\&quot;prefix\&quot;:\&quot;\&quot;,\&quot;suffix\&quot;:\&quot;\&quot;}],\&quot;position\&quot;:\&quot;footnote\&quot;}&quot;"/>
    <we:property name="cit:1271596137" value="&quot;{\&quot;docs\&quot;:[{\&quot;id\&quot;:\&quot;doc:5c12e6d1e4b0b61e341a86ba\&quot;,\&quot;pageReplace\&quot;:\&quot;\&quot;,\&quot;author\&quot;:true,\&quot;year\&quot;:true,\&quot;prefix\&quot;:\&quot;\&quot;,\&quot;suffix\&quot;:\&quot;\&quot;}],\&quot;position\&quot;:\&quot;footnote\&quot;}&quot;"/>
    <we:property name="cit:1283930302" value="&quot;{\&quot;docs\&quot;:[{\&quot;id\&quot;:\&quot;doc:5c12e6d1e4b0b61e341a86ba\&quot;,\&quot;pageReplace\&quot;:\&quot;\&quot;,\&quot;author\&quot;:true,\&quot;year\&quot;:true,\&quot;prefix\&quot;:\&quot;\&quot;,\&quot;suffix\&quot;:\&quot;\&quot;}],\&quot;position\&quot;:\&quot;footnote\&quot;}&quot;"/>
    <we:property name="cit:1378439809" value="&quot;{\&quot;docs\&quot;:[{\&quot;id\&quot;:\&quot;doc:5c12e883e4b09df04eb20445\&quot;,\&quot;pageReplace\&quot;:\&quot;\&quot;,\&quot;author\&quot;:true,\&quot;year\&quot;:true,\&quot;prefix\&quot;:\&quot;\&quot;,\&quot;suffix\&quot;:\&quot;\&quot;}],\&quot;position\&quot;:\&quot;footnote\&quot;}&quot;"/>
    <we:property name="cit:1384292306" value="&quot;{\&quot;docs\&quot;:[{\&quot;pageReplace\&quot;:\&quot;\&quot;,\&quot;author\&quot;:true,\&quot;year\&quot;:true,\&quot;prefix\&quot;:\&quot;\&quot;,\&quot;suffix\&quot;:\&quot;\&quot;,\&quot;id\&quot;:\&quot;doc:5be7a203e4b04998503da39e\&quot;}],\&quot;position\&quot;:\&quot;footnote\&quot;}&quot;"/>
    <we:property name="cit:1648935609" value="&quot;{\&quot;docs\&quot;:[{\&quot;id\&quot;:\&quot;doc:5c12ed9ae4b0ea189dada467\&quot;,\&quot;pageReplace\&quot;:\&quot;\&quot;,\&quot;author\&quot;:true,\&quot;year\&quot;:true,\&quot;prefix\&quot;:\&quot;\&quot;,\&quot;suffix\&quot;:\&quot;\&quot;}],\&quot;position\&quot;:\&quot;footnote\&quot;}&quot;"/>
    <we:property name="cit:1802104560" value="&quot;{\&quot;docs\&quot;:[{\&quot;id\&quot;:\&quot;doc:5be8b6bee4b02374b62f053c\&quot;,\&quot;pageReplace\&quot;:\&quot;\&quot;,\&quot;author\&quot;:true,\&quot;year\&quot;:true,\&quot;prefix\&quot;:\&quot;\&quot;,\&quot;suffix\&quot;:\&quot;\&quot;}],\&quot;position\&quot;:\&quot;footnote\&quot;}&quot;"/>
    <we:property name="cit:1931620672" value="&quot;{\&quot;docs\&quot;:[{\&quot;id\&quot;:\&quot;doc:5be8bcd9e4b0f20392868a50\&quot;,\&quot;pageReplace\&quot;:\&quot;\&quot;,\&quot;author\&quot;:true,\&quot;year\&quot;:true,\&quot;prefix\&quot;:\&quot;\&quot;,\&quot;suffix\&quot;:\&quot;\&quot;}],\&quot;position\&quot;:\&quot;footnote\&quot;}&quot;"/>
    <we:property name="cit:1943340695" value="&quot;{\&quot;docs\&quot;:[{\&quot;id\&quot;:\&quot;doc:5be7a1d6e4b04152ad39cc99\&quot;,\&quot;pageReplace\&quot;:\&quot;\&quot;,\&quot;author\&quot;:true,\&quot;year\&quot;:true,\&quot;prefix\&quot;:\&quot;\&quot;,\&quot;suffix\&quot;:\&quot;\&quot;}],\&quot;position\&quot;:\&quot;body\&quot;}&quot;"/>
    <we:property name="cit:1990431568" value="&quot;{\&quot;docs\&quot;:[{\&quot;id\&quot;:\&quot;doc:5be88560e4b0e163a5e84ae2\&quot;,\&quot;pageReplace\&quot;:\&quot;\&quot;,\&quot;author\&quot;:true,\&quot;year\&quot;:true,\&quot;prefix\&quot;:\&quot;\&quot;,\&quot;suffix\&quot;:\&quot;\&quot;}],\&quot;position\&quot;:\&quot;footnote\&quot;}&quot;"/>
    <we:property name="cit:225114359" value="&quot;{\&quot;docs\&quot;:[{\&quot;pageReplace\&quot;:\&quot;\&quot;,\&quot;author\&quot;:true,\&quot;year\&quot;:true,\&quot;prefix\&quot;:\&quot;\&quot;,\&quot;suffix\&quot;:\&quot;\&quot;,\&quot;id\&quot;:\&quot;doc:5be7a203e4b04998503da39e\&quot;}],\&quot;position\&quot;:\&quot;footnote\&quot;}&quot;"/>
    <we:property name="cit:503326980" value="&quot;{\&quot;docs\&quot;:[{\&quot;id\&quot;:\&quot;doc:5be89357e4b0e163a5e84da6\&quot;,\&quot;pageReplace\&quot;:\&quot;\&quot;,\&quot;author\&quot;:true,\&quot;year\&quot;:true,\&quot;prefix\&quot;:\&quot;\&quot;,\&quot;suffix\&quot;:\&quot;\&quot;}],\&quot;position\&quot;:\&quot;footnote\&quot;}&quot;"/>
    <we:property name="cit:694896078" value="&quot;{\&quot;docs\&quot;:[{\&quot;id\&quot;:\&quot;doc:5be88560e4b0e163a5e84ae2\&quot;,\&quot;pageReplace\&quot;:\&quot;\&quot;,\&quot;author\&quot;:true,\&quot;year\&quot;:true,\&quot;prefix\&quot;:\&quot;\&quot;,\&quot;suffix\&quot;:\&quot;\&quot;}],\&quot;position\&quot;:\&quot;footnote\&quot;}&quot;"/>
    <we:property name="cit:_1045133031" value="&quot;{\&quot;docs\&quot;:[{\&quot;id\&quot;:\&quot;doc:5c17091ae4b037fdbd2a89ad\&quot;,\&quot;pageReplace\&quot;:\&quot;\&quot;,\&quot;author\&quot;:true,\&quot;year\&quot;:true,\&quot;prefix\&quot;:\&quot;\&quot;,\&quot;suffix\&quot;:\&quot;\&quot;}],\&quot;position\&quot;:\&quot;footnote\&quot;}&quot;"/>
    <we:property name="cit:_1049308462" value="&quot;{\&quot;docs\&quot;:[{\&quot;id\&quot;:\&quot;doc:5c16f18ae4b0e810cb1d6194\&quot;,\&quot;pageReplace\&quot;:\&quot;\&quot;,\&quot;author\&quot;:true,\&quot;year\&quot;:true,\&quot;prefix\&quot;:\&quot;\&quot;,\&quot;suffix\&quot;:\&quot;\&quot;}],\&quot;position\&quot;:\&quot;body\&quot;}&quot;"/>
    <we:property name="cit:_1105113891" value="&quot;{\&quot;docs\&quot;:[{\&quot;id\&quot;:\&quot;doc:5be85ecee4b023db724d1b74\&quot;,\&quot;pageReplace\&quot;:\&quot;\&quot;,\&quot;author\&quot;:true,\&quot;year\&quot;:true,\&quot;prefix\&quot;:\&quot;\&quot;,\&quot;suffix\&quot;:\&quot;\&quot;}],\&quot;position\&quot;:\&quot;footnote\&quot;}&quot;"/>
    <we:property name="cit:_1115363667" value="&quot;{\&quot;docs\&quot;:[{\&quot;pageReplace\&quot;:\&quot;\&quot;,\&quot;author\&quot;:true,\&quot;year\&quot;:true,\&quot;prefix\&quot;:\&quot;\&quot;,\&quot;suffix\&quot;:\&quot;\&quot;,\&quot;id\&quot;:\&quot;doc:5be7a203e4b04998503da39e\&quot;}],\&quot;position\&quot;:\&quot;footnote\&quot;}&quot;"/>
    <we:property name="cit:_1231849655" value="&quot;{\&quot;docs\&quot;:[{\&quot;id\&quot;:\&quot;doc:5be85ecee4b023db724d1b74\&quot;,\&quot;pageReplace\&quot;:\&quot;\&quot;,\&quot;author\&quot;:true,\&quot;year\&quot;:true,\&quot;prefix\&quot;:\&quot;\&quot;,\&quot;suffix\&quot;:\&quot;\&quot;}],\&quot;position\&quot;:\&quot;body\&quot;}&quot;"/>
    <we:property name="cit:_1272786262" value="&quot;{\&quot;docs\&quot;:[{\&quot;id\&quot;:\&quot;doc:5c16f18ae4b0e810cb1d6194\&quot;,\&quot;pageReplace\&quot;:\&quot;\&quot;,\&quot;author\&quot;:true,\&quot;year\&quot;:true,\&quot;prefix\&quot;:\&quot;\&quot;,\&quot;suffix\&quot;:\&quot;\&quot;}],\&quot;position\&quot;:\&quot;footnote\&quot;}&quot;"/>
    <we:property name="cit:_1295141806" value="&quot;{\&quot;docs\&quot;:[{\&quot;pageReplace\&quot;:\&quot;\&quot;,\&quot;author\&quot;:true,\&quot;year\&quot;:true,\&quot;prefix\&quot;:\&quot;\&quot;,\&quot;suffix\&quot;:\&quot;\&quot;,\&quot;id\&quot;:\&quot;doc:5be7a203e4b04998503da39e\&quot;}],\&quot;position\&quot;:\&quot;footnote\&quot;}&quot;"/>
    <we:property name="cit:_1393413261" value="&quot;{\&quot;docs\&quot;:[{\&quot;pageReplace\&quot;:\&quot;\&quot;,\&quot;author\&quot;:true,\&quot;year\&quot;:true,\&quot;prefix\&quot;:\&quot;\&quot;,\&quot;suffix\&quot;:\&quot;\&quot;,\&quot;id\&quot;:\&quot;doc:5be7a203e4b04998503da39e\&quot;}],\&quot;position\&quot;:\&quot;footnote\&quot;}&quot;"/>
    <we:property name="cit:_1524085619" value="&quot;{\&quot;docs\&quot;:[{\&quot;id\&quot;:\&quot;doc:5be872e8e4b02374b62ef024\&quot;,\&quot;pageReplace\&quot;:\&quot;\&quot;,\&quot;author\&quot;:true,\&quot;year\&quot;:true,\&quot;prefix\&quot;:\&quot;\&quot;,\&quot;suffix\&quot;:\&quot;\&quot;}],\&quot;position\&quot;:\&quot;footnote\&quot;}&quot;"/>
    <we:property name="cit:_1524472966" value="&quot;{\&quot;docs\&quot;:[{\&quot;id\&quot;:\&quot;doc:5be8bcd9e4b0f20392868a50\&quot;,\&quot;pageReplace\&quot;:\&quot;\&quot;,\&quot;author\&quot;:true,\&quot;year\&quot;:true,\&quot;prefix\&quot;:\&quot;\&quot;,\&quot;suffix\&quot;:\&quot;\&quot;}],\&quot;position\&quot;:\&quot;footnote\&quot;}&quot;"/>
    <we:property name="cit:_1557860374" value="&quot;{\&quot;docs\&quot;:[{\&quot;id\&quot;:\&quot;doc:5be7a203e4b04998503da39e\&quot;,\&quot;pageReplace\&quot;:\&quot;\&quot;,\&quot;author\&quot;:true,\&quot;year\&quot;:true,\&quot;prefix\&quot;:\&quot;\&quot;,\&quot;suffix\&quot;:\&quot;\&quot;}],\&quot;position\&quot;:\&quot;footnote\&quot;}&quot;"/>
    <we:property name="cit:_1589303056" value="&quot;{\&quot;docs\&quot;:[{\&quot;id\&quot;:\&quot;doc:5c16f18ae4b0e810cb1d6194\&quot;,\&quot;pageReplace\&quot;:\&quot;\&quot;,\&quot;author\&quot;:true,\&quot;year\&quot;:true,\&quot;prefix\&quot;:\&quot;\&quot;,\&quot;suffix\&quot;:\&quot;\&quot;}],\&quot;position\&quot;:\&quot;body\&quot;}&quot;"/>
    <we:property name="cit:_1836753510" value="&quot;{\&quot;docs\&quot;:[{\&quot;id\&quot;:\&quot;doc:5c170ac1e4b098da8ce5a796\&quot;,\&quot;pageReplace\&quot;:\&quot;\&quot;,\&quot;author\&quot;:true,\&quot;year\&quot;:true,\&quot;prefix\&quot;:\&quot;\&quot;,\&quot;suffix\&quot;:\&quot;\&quot;}],\&quot;position\&quot;:\&quot;footnote\&quot;}&quot;"/>
    <we:property name="cit:_2093995893" value="&quot;{\&quot;docs\&quot;:[{\&quot;id\&quot;:\&quot;doc:5be7a203e4b04998503da39e\&quot;,\&quot;pageReplace\&quot;:\&quot;\&quot;,\&quot;author\&quot;:true,\&quot;year\&quot;:true,\&quot;prefix\&quot;:\&quot;\&quot;,\&quot;suffix\&quot;:\&quot;\&quot;}],\&quot;position\&quot;:\&quot;footnote\&quot;}&quot;"/>
    <we:property name="cit:_2116585223" value="&quot;{\&quot;docs\&quot;:[{\&quot;id\&quot;:\&quot;doc:5be7a1d6e4b04152ad39cc99\&quot;,\&quot;pageReplace\&quot;:\&quot;\&quot;,\&quot;author\&quot;:true,\&quot;year\&quot;:true,\&quot;prefix\&quot;:\&quot;\&quot;,\&quot;suffix\&quot;:\&quot;\&quot;}],\&quot;position\&quot;:\&quot;footnote\&quot;}&quot;"/>
    <we:property name="cit:_317884617" value="&quot;{\&quot;docs\&quot;:[{\&quot;id\&quot;:\&quot;doc:5be88560e4b0e163a5e84ae2\&quot;,\&quot;pageReplace\&quot;:\&quot;\&quot;,\&quot;author\&quot;:true,\&quot;year\&quot;:true,\&quot;prefix\&quot;:\&quot;\&quot;,\&quot;suffix\&quot;:\&quot;\&quot;}],\&quot;position\&quot;:\&quot;footnote\&quot;}&quot;"/>
    <we:property name="cit:_372620264" value="&quot;{\&quot;docs\&quot;:[{\&quot;pageReplace\&quot;:\&quot;\&quot;,\&quot;author\&quot;:true,\&quot;year\&quot;:true,\&quot;prefix\&quot;:\&quot;\&quot;,\&quot;suffix\&quot;:\&quot;\&quot;,\&quot;id\&quot;:\&quot;doc:5be7a203e4b04998503da39e\&quot;}],\&quot;position\&quot;:\&quot;footnote\&quot;}&quot;"/>
    <we:property name="cit:_463503382" value="&quot;{\&quot;docs\&quot;:[{\&quot;id\&quot;:\&quot;doc:5be7a1d6e4b04152ad39cc99\&quot;,\&quot;pageReplace\&quot;:\&quot;\&quot;,\&quot;author\&quot;:true,\&quot;year\&quot;:true,\&quot;prefix\&quot;:\&quot;\&quot;,\&quot;suffix\&quot;:\&quot;\&quot;}],\&quot;position\&quot;:\&quot;footnote\&quot;}&quot;"/>
    <we:property name="cit:_47691776" value="&quot;{\&quot;docs\&quot;:[{\&quot;id\&quot;:\&quot;doc:5be7a203e4b04998503da39e\&quot;,\&quot;pageReplace\&quot;:\&quot;\&quot;,\&quot;author\&quot;:true,\&quot;year\&quot;:true,\&quot;prefix\&quot;:\&quot;\&quot;,\&quot;suffix\&quot;:\&quot;\&quot;}],\&quot;position\&quot;:\&quot;body\&quot;}&quot;"/>
    <we:property name="cit:_493112733" value="&quot;{\&quot;docs\&quot;:[{\&quot;id\&quot;:\&quot;doc:5be89499e4b00ebaae797b4e\&quot;,\&quot;pageReplace\&quot;:\&quot;\&quot;,\&quot;author\&quot;:true,\&quot;year\&quot;:true,\&quot;prefix\&quot;:\&quot;\&quot;,\&quot;suffix\&quot;:\&quot;\&quot;}],\&quot;position\&quot;:\&quot;footnote\&quot;}&quot;"/>
    <we:property name="cit:_745954710" value="&quot;{\&quot;docs\&quot;:[{\&quot;pageReplace\&quot;:\&quot;\&quot;,\&quot;author\&quot;:true,\&quot;year\&quot;:true,\&quot;prefix\&quot;:\&quot;\&quot;,\&quot;suffix\&quot;:\&quot;\&quot;,\&quot;id\&quot;:\&quot;doc:5be85ecee4b023db724d1b74\&quot;}],\&quot;position\&quot;:\&quot;footnote\&quot;}&quot;"/>
    <we:property name="cit:_759373685" value="&quot;{\&quot;docs\&quot;:[{\&quot;pageReplace\&quot;:\&quot;\&quot;,\&quot;author\&quot;:true,\&quot;year\&quot;:true,\&quot;prefix\&quot;:\&quot;\&quot;,\&quot;suffix\&quot;:\&quot;\&quot;,\&quot;id\&quot;:\&quot;doc:5be85ecee4b023db724d1b74\&quot;}],\&quot;position\&quot;:\&quot;footnote\&quot;}&quot;"/>
    <we:property name="cit:_777332905" value="&quot;{\&quot;docs\&quot;:[{\&quot;id\&quot;:\&quot;doc:5c1304ace4b0ea189dada851\&quot;,\&quot;pageReplace\&quot;:\&quot;\&quot;,\&quot;author\&quot;:true,\&quot;year\&quot;:true,\&quot;prefix\&quot;:\&quot;\&quot;,\&quot;suffix\&quot;:\&quot;\&quot;}],\&quot;position\&quot;:\&quot;footnote\&quot;}&quot;"/>
    <we:property name="cit:_850488777" value="&quot;{\&quot;docs\&quot;:[{\&quot;id\&quot;:\&quot;doc:5be872e8e4b02374b62ef024\&quot;,\&quot;pageReplace\&quot;:\&quot;\&quot;,\&quot;author\&quot;:true,\&quot;year\&quot;:true,\&quot;prefix\&quot;:\&quot;\&quot;,\&quot;suffix\&quot;:\&quot;\&quot;}],\&quot;position\&quot;:\&quot;footnote\&quot;}&quot;"/>
    <we:property name="cit:_901522827" value="&quot;{\&quot;docs\&quot;:[{\&quot;pageReplace\&quot;:\&quot;\&quot;,\&quot;author\&quot;:true,\&quot;year\&quot;:true,\&quot;prefix\&quot;:\&quot;\&quot;,\&quot;suffix\&quot;:\&quot;\&quot;,\&quot;id\&quot;:\&quot;doc:5c16f18ae4b0e810cb1d6194\&quot;}],\&quot;position\&quot;:\&quot;footnote\&quot;}&quot;"/>
    <we:property name="cit:_91786879" value="&quot;{\&quot;docs\&quot;:[{\&quot;pageReplace\&quot;:\&quot;\&quot;,\&quot;author\&quot;:true,\&quot;year\&quot;:true,\&quot;prefix\&quot;:\&quot;\&quot;,\&quot;suffix\&quot;:\&quot;\&quot;,\&quot;id\&quot;:\&quot;doc:5be88560e4b0e163a5e84ae2\&quot;}],\&quot;position\&quot;:\&quot;footnote\&quot;}&quot;"/>
    <we:property name="cit:_92871493" value="&quot;{\&quot;docs\&quot;:[{\&quot;pageReplace\&quot;:\&quot;\&quot;,\&quot;author\&quot;:true,\&quot;year\&quot;:true,\&quot;prefix\&quot;:\&quot;\&quot;,\&quot;suffix\&quot;:\&quot;\&quot;,\&quot;id\&quot;:\&quot;doc:5be7a1d6e4b04152ad39cc99\&quot;}],\&quot;position\&quot;:\&quot;footnote\&quot;}&quot;"/>
    <we:property name="cit:_946932071" value="&quot;{\&quot;docs\&quot;:[{\&quot;id\&quot;:\&quot;doc:5c12ed9ae4b0ea189dada467\&quot;,\&quot;pageReplace\&quot;:\&quot;\&quot;,\&quot;author\&quot;:true,\&quot;year\&quot;:true,\&quot;prefix\&quot;:\&quot;\&quot;,\&quot;suffix\&quot;:\&quot;\&quot;}],\&quot;position\&quot;:\&quot;footnote\&quot;}&quot;"/>
    <we:property name="citationStyle" value="&quot;{\&quot;id\&quot;:\&quot;rwuserstyle:5aa2745ddbf33207d332016a\&quot;,\&quot;name\&quot;:\&quot;MHRA-Modern Humanities Research Association (Notes &amp; Bibliography)\&quot;}&quot;"/>
    <we:property name="contentControlsValues" value="&quot;{\&quot;cit:477346779\&quot;:\&quot;&lt;p style='line-height: 2;text-indent: -30px;margin-left: 30px;'&gt;&lt;i&gt;Alan Oken, Soul Centered Astrology, &lt;/i&gt;&lt;a href='https://www.lucistrust.org/store/item/soul_centered_astrology' target='_blank'&gt;https://www.lucistrust.org/store/item/soul_centered_astrology&lt;/a&gt; edn, 2018 vols () &lt;&lt;a href='https://www.lucistrust.org/store/item/soul_centered_astrology' target='_blank'&gt;https://www.lucistrust.org/store/item/soul_centered_astrology&lt;/a&gt;&gt; [accessed December 13, 2018]&lt;/p&gt;\\n&lt;p style='line-height: 2;text-indent: -30px;margin-left: 30px;'&gt;Aristotle, &lt;i&gt;On the Soul; Parva Naturalia; on Breath&lt;/i&gt;, trans. by W. S. Hett (Cambridge, MA: Harvard University Press, 1957) &lt;&lt;a href='http://catalog.hathitrust.org/Record/001812351' target='_blank'&gt;http://catalog.hathitrust.org/Record/001812351&lt;/a&gt;&gt;&lt;/p&gt;\\n&lt;p style='line-height: 2;text-indent: -30px;margin-left: 30px;'&gt;---&lt;i&gt;Physics, Volume I: Books 1-4&lt;/i&gt;, trans. by P. H. Wicksteed and F. M. Cornford (Cambridge, MA: Harvard University Press, )&lt;/p&gt;\\n&lt;p style='line-height: 2;text-indent: -30px;margin-left: 30px;'&gt;Campion, Nicholas, 'Astronomy and Psyche in the Classical World: Plato, Aristotle, Zeno, Ptolemy', &lt;i&gt;Journal of Cosmology, &lt;/i&gt;9 (2010), 2179-2186 &lt;&lt;a href='http://journalofcosmology.com/AncientAstronomy118.html' target='_blank'&gt;http://journalofcosmology.com/AncientAstronomy118.html&lt;/a&gt;&gt;&lt;/p&gt;\\n&lt;p style='line-height: 2;text-indent: -30px;margin-left: 30px;'&gt;Duncan, A. R. C., 'The Stoic View of Life', &lt;i&gt;Phoenix, &lt;/i&gt;6 (1952), 123&lt;i&gt;, in CrossRef&lt;/i&gt;&lt;/p&gt;\\n&lt;p style='line-height: 2;text-indent: -30px;margin-left: 30px;'&gt;Gerson, Lloyd P., 'Plato’s Rational Souls', &lt;i&gt;The Review of Metaphysics, &lt;/i&gt;68 (2014), 37-59&lt;/p&gt;\\n&lt;p style='line-height: 2;text-indent: -30px;margin-left: 30px;'&gt;Laertius, Diogenes, &lt;i&gt;Lives of Eminent Philosophers, Volume II&lt;/i&gt;, trans. by R. D. Hicks (Cambridge, MA: Harvard University Press, 1925)&lt;/p&gt;\\n&lt;p style='line-height: 2;text-indent: -30px;margin-left: 30px;'&gt;Lang, Helen S., 'Aristotelian Physics: Teleological Procedure in Aristotle, Thomas, and Buridan', &lt;i&gt;The Review of Metaphysics, &lt;/i&gt;42 (1989), 569-591&lt;i&gt;, in Periodicals Index Online Segment 04&lt;/i&gt; &lt;&lt;a href='https://www.jstor.org/stable/20128765' target='_blank'&gt;https://www.jstor.org/stable/20128765&lt;/a&gt;&gt;&lt;/p&gt;\\n&lt;p style='line-height: 2;text-indent: -30px;margin-left: 30px;'&gt;Oken, Alan, &lt;i&gt;Soul Centered Astrology : A Key to Your Expanding Self&lt;/i&gt; (York Beach: Nicolas-Hays, Inc, 2008) &lt;&lt;a href='https://ebookcentral.proquest.com/lib/[SITE_ID' target='_blank'&gt;https://ebookcentral.proquest.com/lib/[SITE_ID&lt;/a&gt;]/detail.action?docID=1787686&gt;&lt;/p&gt;\\n&lt;p style='line-height: 2;text-indent: -30px;margin-left: 30px;'&gt;Plato, &lt;i&gt;Republic&lt;/i&gt;, trans. by Christopher Emlyn-Jones and William Preddy (Cambridge, MA: Harvard University Press, 2013)&lt;/p&gt;\\n&lt;p style='line-height: 2;text-indent: -30px;margin-left: 30px;'&gt;---&lt;i&gt;Theaetetus&lt;/i&gt;, trans. by Harold North Fowler (Cambridge, MA: Harvard University Press, 1921)&lt;/p&gt;\\n&lt;p style='line-height: 2;text-indent: -30px;margin-left: 30px;'&gt;---&lt;i&gt;Timaeus&lt;/i&gt;, trans. by R. G. Bury (Harvard University Press, 1929)&lt;/p&gt;\\n&lt;p style='line-height: 2;text-indent: -30px;margin-left: 30px;'&gt;Rudhyar, Dane, &lt;i&gt;The Astrology of Personality; A Re-Formulation of Astrological Concepts and Ideals, in Terms of Contemporary Psychology and Philosophy&lt;/i&gt; (Santa Fe, NM: Aurora Press, 1991)&lt;/p&gt;\\n&lt;p style='line-height: 2;text-indent: -30px;margin-left: 30px;'&gt;---'Must You be the Victim of Your Stars?', &lt;i&gt;CyberWorld Khaldea, &lt;/i&gt;(1967) &lt;&lt;a href='https://www.khaldea.com/rudhyar/astroarticles/starvictim.shtml' target='_blank'&gt;https://www.khaldea.com/rudhyar/astroarticles/starvictim.shtml&lt;/a&gt;&gt;&lt;/p&gt;\\n&lt;p style='line-height: 2;text-indent: -30px;margin-left: 30px;'&gt;---&lt;i&gt;New Mansions for New Men&lt;/i&gt; (Whitefish, MT: Literary Licensing, LLC, 2013)&lt;/p&gt;\\n&lt;p style='line-height: 2;text-indent: -30px;margin-left: 30px;'&gt;---&lt;i&gt;The Practice of Astrology as a Technique in Human Understanding&lt;/i&gt; (Penguin Books, 1969)&lt;/p&gt;\\n&lt;p style='line-height: 2;text-indent: -30px;margin-left: 30px;'&gt;Vogt, Katja M., 'Sons of the Earth: Are the Stoics Metaphysical Brutes?', &lt;i&gt;Phronesis, &lt;/i&gt;54 (2009), 136-154&lt;i&gt;, in JSTOR&lt;/i&gt; &lt;&lt;a href='http://www.jstor.org.ezproxy.uwtsd.ac.uk/stable/40387981' target='_blank'&gt;http://www.jstor.org.ezproxy.uwtsd.ac.uk/stable/40387981&lt;/a&gt;&gt;&lt;/p&gt;\\n&lt;p style='line-height: 2;text-indent: -30px;margin-left: 30px;'&gt;Zoller, Robert, 'Marc Edmund Jones and New Age Astrology in America', &lt;i&gt;Culture and Cosmos, &lt;/i&gt;2 (1998), 39-56&lt;/p&gt;\\n\&quot;,\&quot;cit:_901522827\&quot;:\&quot;Dane Rudhyar, &lt;i&gt;The Astrology of Personality; A Re-Formulation of Astrological Concepts and Ideals, in Terms of Contemporary Psychology and Philosophy&lt;/i&gt; (Santa Fe, NM: Aurora Press, 1991).\&quot;,\&quot;cit:1208691801\&quot;:\&quot;Robert Zoller, 'Marc Edmund Jones and New Age Astrology in America', &lt;i&gt;Culture and Cosmos, &lt;/i&gt;2 (1998), 39-56.\&quot;,\&quot;cit:_777332905\&quot;:\&quot;&lt;i&gt;Alan Oken, Soul Centered Astrology, &lt;/i&gt;&lt;a href='https://www.lucistrust.org/store/item/soul_centered_astrology' target='_blank'&gt;https://www.lucistrust.org/store/item/soul_centered_astrology&lt;/a&gt; edn, 2018 vols () &lt;&lt;a href='https://www.lucistrust.org/store/item/soul_centered_astrology' target='_blank'&gt;https://www.lucistrust.org/store/item/soul_centered_astrology&lt;/a&gt;&gt; [accessed December 13, 2018].\&quot;,\&quot;cit:_1045133031\&quot;:\&quot;Dane Rudhyar, &lt;i&gt;The Practice of Astrology as a Technique in Human Understanding&lt;/i&gt; (Penguin Books, 1969).\&quot;,\&quot;cit:_1836753510\&quot;:\&quot;Alan Oken, &lt;i&gt;Soul Centered Astrology : A Key to Your Expanding Self&lt;/i&gt; (York Beach: Nicolas-Hays, Inc, 2008) &lt;&lt;a href='https://ebookcentral.proquest.com/lib/[SITE_ID' target='_blank'&gt;https://ebookcentral.proquest.com/lib/[SITE_ID&lt;/a&gt;]/detail.action?docID=1787686&gt;.\&quot;,\&quot;cit:694896078\&quot;:\&quot;Plato, &lt;i&gt;Timaeus&lt;/i&gt;, trans. by R. G. Bury (Harvard University Press, 1929).\&quot;,\&quot;cit:1271596137\&quot;:\&quot;Plato, &lt;i&gt;Republic&lt;/i&gt;, trans. by Christopher Emlyn-Jones and William Preddy (Cambridge, MA: Harvard University Press, 2013).\&quot;,\&quot;cit:_946932071\&quot;:\&quot;Aristotle, &lt;i&gt;On the Soul; Parva Naturalia; on Breath&lt;/i&gt;, trans. by W. S. Hett (Cambridge, MA: Harvard University Press, 1957) &lt;&lt;a href='http://catalog.hathitrust.org/Record/001812351' target='_blank'&gt;http://catalog.hathitrust.org/Record/001812351&lt;/a&gt;&gt;.\&quot;,\&quot;cit:1648935609\&quot;:\&quot;Aristotle, \&quot;,\&quot;cit:1378439809\&quot;:\&quot;Diogenes Laertius, &lt;i&gt;Lives of Eminent Philosophers, Volume II&lt;/i&gt;, trans. by R. D. Hicks (Cambridge, MA: Harvard University Press, 1925), p. 110.\&quot;,\&quot;cit:1627038436\&quot;:\&quot;Dane Rudhyar, &lt;i&gt;New Mansions for New Men&lt;/i&gt; (Whitefish, MT: Literary Licensing, LLC, 2013).\&quot;,\&quot;cit:_296375928\&quot;:\&quot;Dane Rudhyar, 'Must You be the Victim of Your Stars?', &lt;i&gt;CyberWorld Khaldea, &lt;/i&gt;(1967) &lt;&lt;a href='https://www.khaldea.com/rudhyar/astroarticles/starvictim.shtml' target='_blank'&gt;https://www.khaldea.com/rudhyar/astroarticles/starvictim.shtml&lt;/a&gt;&gt;.\&quot;,\&quot;cit:_785114544\&quot;:\&quot;Lloyd P. Gerson, 'Plato’s Rational Souls', &lt;i&gt;The Review of Metaphysics, &lt;/i&gt;68 (2014), 37-59.\&quot;,\&quot;cit:604232273\&quot;:\&quot;Plato, \&quot;,\&quot;cit:_1452937009\&quot;:\&quot;Plato, \&quot;,\&quot;cit:_886483007\&quot;:\&quot;Katja Maria Vogt, 'Sons of the Earth: Are the Stoics Metaphysical Brutes?', &lt;i&gt;Phronesis, &lt;/i&gt;54 (2009), 136-154&lt;i&gt;, in JSTOR&lt;/i&gt; &lt;&lt;a href='http://www.jstor.org.ezproxy.uwtsd.ac.uk/stable/40387981' target='_blank'&gt;http://www.jstor.org.ezproxy.uwtsd.ac.uk/stable/40387981&lt;/a&gt;&gt;.\&quot;,\&quot;cit:1277749064\&quot;:\&quot;Plato, \&quot;,\&quot;cit:_1127072598\&quot;:\&quot;Aristotle, &lt;i&gt;On the Heavens&lt;/i&gt;, trans. by W. K. C. Guthrie, 338 vols (Cambridge, MA: Harvard University Press, 1939)., Nicholas Campion, 'Astronomy and Psyche in the Classical World: Plato, Aristotle, Zeno, Ptolemy', &lt;i&gt;Journal of Cosmology, &lt;/i&gt;9 (2010), 2179-2186 &lt;&lt;a href='http://journalofcosmology.com/AncientAstronomy118.html' target='_blank'&gt;http://journalofcosmology.com/AncientAstronomy118.html&lt;/a&gt;&gt;.\&quot;,\&quot;cit:1396233626\&quot;:\&quot;Nicholas Campion, 'Astronomy and Psyche in the Classical World: Plato, Aristotle, Zeno, Ptolemy', &lt;i&gt;Journal of Cosmology, &lt;/i&gt;9 (2010), 2179-2186 &lt;&lt;a href='http://journalofcosmology.com/AncientAstronomy118.html' target='_blank'&gt;http://journalofcosmology.com/AncientAstronomy118.html&lt;/a&gt;&gt;.\&quot;,\&quot;cit:90982596\&quot;:\&quot;Katja Maria Vogt, 'Sons of the Earth: Are the Stoics Metaphysical Brutes?', &lt;i&gt;Phronesis, &lt;/i&gt;54 (2009), 136-154&lt;i&gt;, in JSTOR&lt;/i&gt; &lt;&lt;a href='http://www.jstor.org.ezproxy.uwtsd.ac.uk/stable/40387981' target='_blank'&gt;http://www.jstor.org.ezproxy.uwtsd.ac.uk/stable/40387981&lt;/a&gt;&gt;.\&quot;,\&quot;cit:_1105113891\&quot;:\&quot;Plato, &lt;i&gt;Theaetetus&lt;/i&gt;, trans. by Harold North Fowler (Cambridge, MA: Harvard University Press, 1921).\&quot;,\&quot;cit:1214005159\&quot;:\&quot;Aristotle, &lt;i&gt;Physics, Volume I: Books 1-4&lt;/i&gt;, trans. by P. H. Wicksteed and F. M. Cornford (Cambridge, MA: Harvard University Press, ).\&quot;,\&quot;cit:_1812705779\&quot;:\&quot;Helen S. Lang, 'Aristotelian Physics: Teleological Procedure in Aristotle, Thomas, and Buridan', &lt;i&gt;The Review of Metaphysics, &lt;/i&gt;42 (1989), 569-591&lt;i&gt;, in Periodicals Index Online Segment 04&lt;/i&gt; &lt;&lt;a href='https://www.jstor.org/stable/20128765' target='_blank'&gt;https://www.jstor.org/stable/20128765&lt;/a&gt;&gt;.\&quot;,\&quot;cit:_1907301255\&quot;:\&quot;A. R. C. Duncan, 'The Stoic View of Life', &lt;i&gt;Phoenix, &lt;/i&gt;6 (1952), 123&lt;i&gt;, in CrossRef&lt;/i&gt;.\&quot;}&quot;"/>
    <we:property name="optionsValues" value="&quot;{\&quot;doc:5c16f18ae4b0e810cb1d6194&amp;-1589303056\&quot;:{\&quot;id\&quot;:\&quot;doc:5c16f18ae4b0e810cb1d6194\&quot;,\&quot;pageReplace\&quot;:\&quot;\&quot;,\&quot;author\&quot;:true,\&quot;year\&quot;:true,\&quot;prefix\&quot;:\&quot;\&quot;,\&quot;suffix\&quot;:\&quot;\&quot;},\&quot;doc:5c16f18ae4b0e810cb1d6194&amp;-1049308462\&quot;:{\&quot;id\&quot;:\&quot;doc:5c16f18ae4b0e810cb1d6194\&quot;,\&quot;pageReplace\&quot;:\&quot;\&quot;,\&quot;author\&quot;:true,\&quot;year\&quot;:true,\&quot;prefix\&quot;:\&quot;\&quot;,\&quot;suffix\&quot;:\&quot;\&quot;},\&quot;doc:5c16f18ae4b0e810cb1d6194&amp;-901522827\&quot;:{\&quot;pageReplace\&quot;:\&quot;\&quot;,\&quot;author\&quot;:true,\&quot;year\&quot;:true,\&quot;prefix\&quot;:\&quot;\&quot;,\&quot;suffix\&quot;:\&quot;\&quot;,\&quot;id\&quot;:\&quot;doc:5c16f18ae4b0e810cb1d6194\&quot;},\&quot;doc:5c16c64ae4b0ac8b1f3b8e33&amp;1208691801\&quot;:{\&quot;pageReplace\&quot;:\&quot;\&quot;,\&quot;author\&quot;:true,\&quot;year\&quot;:true,\&quot;prefix\&quot;:\&quot;\&quot;,\&quot;suffix\&quot;:\&quot;\&quot;,\&quot;id\&quot;:\&quot;doc:5c16c64ae4b0ac8b1f3b8e33\&quot;},\&quot;doc:5c1304ace4b0ea189dada851&amp;-777332905\&quot;:{\&quot;id\&quot;:\&quot;doc:5c1304ace4b0ea189dada851\&quot;,\&quot;pageReplace\&quot;:\&quot;\&quot;,\&quot;author\&quot;:true,\&quot;year\&quot;:true,\&quot;prefix\&quot;:\&quot;\&quot;,\&quot;suffix\&quot;:\&quot;\&quot;},\&quot;doc:5c17091ae4b037fdbd2a89ad&amp;-1045133031\&quot;:{\&quot;id\&quot;:\&quot;doc:5c17091ae4b037fdbd2a89ad\&quot;,\&quot;pageReplace\&quot;:\&quot;\&quot;,\&quot;author\&quot;:true,\&quot;year\&quot;:true,\&quot;prefix\&quot;:\&quot;\&quot;,\&quot;suffix\&quot;:\&quot;\&quot;},\&quot;doc:5c170ac1e4b098da8ce5a796&amp;-1836753510\&quot;:{\&quot;id\&quot;:\&quot;doc:5c170ac1e4b098da8ce5a796\&quot;,\&quot;pageReplace\&quot;:\&quot;\&quot;,\&quot;author\&quot;:true,\&quot;year\&quot;:true,\&quot;prefix\&quot;:\&quot;\&quot;,\&quot;suffix\&quot;:\&quot;\&quot;},\&quot;doc:5be88560e4b0e163a5e84ae2&amp;-317884617\&quot;:{\&quot;id\&quot;:\&quot;doc:5be88560e4b0e163a5e84ae2\&quot;,\&quot;pageReplace\&quot;:\&quot;\&quot;,\&quot;author\&quot;:true,\&quot;year\&quot;:true,\&quot;prefix\&quot;:\&quot;\&quot;,\&quot;suffix\&quot;:\&quot;\&quot;},\&quot;doc:5be88560e4b0e163a5e84ae2&amp;-91786879\&quot;:{\&quot;pageReplace\&quot;:\&quot;\&quot;,\&quot;author\&quot;:true,\&quot;year\&quot;:true,\&quot;prefix\&quot;:\&quot;\&quot;,\&quot;suffix\&quot;:\&quot;\&quot;,\&quot;id\&quot;:\&quot;doc:5be88560e4b0e163a5e84ae2\&quot;},\&quot;doc:5c12e6d1e4b0b61e341a86ba&amp;1283930302\&quot;:{\&quot;id\&quot;:\&quot;doc:5c12e6d1e4b0b61e341a86ba\&quot;,\&quot;pageReplace\&quot;:\&quot;\&quot;,\&quot;author\&quot;:true,\&quot;year\&quot;:true,\&quot;prefix\&quot;:\&quot;\&quot;,\&quot;suffix\&quot;:\&quot;\&quot;},\&quot;doc:5c12ed9ae4b0ea189dada467&amp;-946932071\&quot;:{\&quot;id\&quot;:\&quot;doc:5c12ed9ae4b0ea189dada467\&quot;,\&quot;pageReplace\&quot;:\&quot;\&quot;,\&quot;author\&quot;:true,\&quot;year\&quot;:true,\&quot;prefix\&quot;:\&quot;\&quot;,\&quot;suffix\&quot;:\&quot;\&quot;},\&quot;doc:5c12ed9ae4b0ea189dada467&amp;1648935609\&quot;:{\&quot;id\&quot;:\&quot;doc:5c12ed9ae4b0ea189dada467\&quot;,\&quot;pageReplace\&quot;:\&quot;\&quot;,\&quot;author\&quot;:true,\&quot;year\&quot;:true,\&quot;prefix\&quot;:\&quot;\&quot;,\&quot;suffix\&quot;:\&quot;\&quot;},\&quot;doc:5c12e883e4b09df04eb20445&amp;1378439809\&quot;:{\&quot;id\&quot;:\&quot;doc:5c12e883e4b09df04eb20445\&quot;,\&quot;pageReplace\&quot;:\&quot;\&quot;,\&quot;author\&quot;:true,\&quot;year\&quot;:true,\&quot;prefix\&quot;:\&quot;\&quot;,\&quot;suffix\&quot;:\&quot;\&quot;},\&quot;doc:5c16f18ae4b0e810cb1d6194&amp;-1272786262\&quot;:{\&quot;id\&quot;:\&quot;doc:5c16f18ae4b0e810cb1d6194\&quot;,\&quot;pageReplace\&quot;:\&quot;\&quot;,\&quot;author\&quot;:true,\&quot;year\&quot;:true,\&quot;prefix\&quot;:\&quot;\&quot;,\&quot;suffix\&quot;:\&quot;\&quot;},\&quot;doc:5c175cbde4b0f33476b0d1b0&amp;1627038436\&quot;:{\&quot;id\&quot;:\&quot;doc:5c175cbde4b0f33476b0d1b0\&quot;,\&quot;pageReplace\&quot;:\&quot;\&quot;,\&quot;author\&quot;:true,\&quot;year\&quot;:true,\&quot;prefix\&quot;:\&quot;\&quot;,\&quot;suffix\&quot;:\&quot;\&quot;},\&quot;doc:5c16f049e4b0ac8b1f3b951f&amp;-296375928\&quot;:{\&quot;id\&quot;:\&quot;doc:5c16f049e4b0ac8b1f3b951f\&quot;,\&quot;pageReplace\&quot;:\&quot;\&quot;,\&quot;author\&quot;:true,\&quot;year\&quot;:true,\&quot;prefix\&quot;:\&quot;\&quot;,\&quot;suffix\&quot;:\&quot;\&quot;},\&quot;doc:5c17f139e4b0ac7dc78be1cf&amp;-785114544\&quot;:{\&quot;id\&quot;:\&quot;doc:5c17f139e4b0ac7dc78be1cf\&quot;,\&quot;pageReplace\&quot;:\&quot;\&quot;,\&quot;author\&quot;:true,\&quot;year\&quot;:true,\&quot;prefix\&quot;:\&quot;\&quot;,\&quot;suffix\&quot;:\&quot;\&quot;},\&quot;doc:5be88560e4b0e163a5e84ae2&amp;604232273\&quot;:{\&quot;id\&quot;:\&quot;doc:5be88560e4b0e163a5e84ae2\&quot;,\&quot;pageReplace\&quot;:\&quot;\&quot;,\&quot;author\&quot;:true,\&quot;year\&quot;:true,\&quot;prefix\&quot;:\&quot;\&quot;,\&quot;suffix\&quot;:\&quot;\&quot;},\&quot;doc:5c16beaae4b08cc9561fba46&amp;-886483007\&quot;:{\&quot;id\&quot;:\&quot;doc:5c16beaae4b08cc9561fba46\&quot;,\&quot;pageReplace\&quot;:\&quot;\&quot;,\&quot;author\&quot;:true,\&quot;year\&quot;:true,\&quot;prefix\&quot;:\&quot;\&quot;,\&quot;suffix\&quot;:\&quot;\&quot;},\&quot;doc:5c12f021e4b0b61e341a8986&amp;-1127072598\&quot;:{\&quot;pageReplace\&quot;:\&quot;\&quot;,\&quot;author\&quot;:true,\&quot;year\&quot;:true,\&quot;prefix\&quot;:\&quot;\&quot;,\&quot;suffix\&quot;:\&quot;\&quot;,\&quot;id\&quot;:\&quot;doc:5c12f021e4b0b61e341a8986\&quot;},\&quot;doc:5be84cbfe4b0304fd3d115d6&amp;-1127072598\&quot;:{\&quot;pageReplace\&quot;:\&quot;\&quot;,\&quot;author\&quot;:true,\&quot;year\&quot;:true,\&quot;prefix\&quot;:\&quot;\&quot;,\&quot;suffix\&quot;:\&quot;\&quot;,\&quot;id\&quot;:\&quot;doc:5be84cbfe4b0304fd3d115d6\&quot;},\&quot;doc:5be84cbfe4b0304fd3d115d6&amp;1396233626\&quot;:{\&quot;id\&quot;:\&quot;doc:5be84cbfe4b0304fd3d115d6\&quot;,\&quot;pageReplace\&quot;:\&quot;\&quot;,\&quot;author\&quot;:true,\&quot;year\&quot;:true,\&quot;prefix\&quot;:\&quot;\&quot;,\&quot;suffix\&quot;:\&quot;\&quot;},\&quot;doc:5c16beaae4b08cc9561fba46&amp;90982596\&quot;:{\&quot;pageReplace\&quot;:\&quot;\&quot;,\&quot;author\&quot;:true,\&quot;year\&quot;:true,\&quot;prefix\&quot;:\&quot;\&quot;,\&quot;suffix\&quot;:\&quot;\&quot;,\&quot;id\&quot;:\&quot;doc:5c16beaae4b08cc9561fba46\&quot;},\&quot;doc:5c12f839e4b0b61e341a8d84&amp;1214005159\&quot;:{\&quot;id\&quot;:\&quot;doc:5c12f839e4b0b61e341a8d84\&quot;,\&quot;pageReplace\&quot;:\&quot;\&quot;,\&quot;author\&quot;:true,\&quot;year\&quot;:true,\&quot;prefix\&quot;:\&quot;\&quot;,\&quot;suffix\&quot;:\&quot;\&quot;},\&quot;doc:5c15ce05e4b0e810cb1d4e61&amp;-1812705779\&quot;:{\&quot;id\&quot;:\&quot;doc:5c15ce05e4b0e810cb1d4e61\&quot;,\&quot;pageReplace\&quot;:\&quot;\&quot;,\&quot;author\&quot;:true,\&quot;year\&quot;:true,\&quot;prefix\&quot;:\&quot;\&quot;,\&quot;suffix\&quot;:\&quot;\&quot;},\&quot;doc:5c17eeebe4b0e34cc95b85a3&amp;-1907301255\&quot;:{\&quot;id\&quot;:\&quot;doc:5c17eeebe4b0e34cc95b85a3\&quot;,\&quot;pageReplace\&quot;:\&quot;\&quot;,\&quot;author\&quot;:true,\&quot;year\&quot;:true,\&quot;prefix\&quot;:\&quot;\&quot;,\&quot;suffix\&quot;:\&quot;\&quot;}}&quot;"/>
    <we:property name="cit:1627038436" value="&quot;{\&quot;docs\&quot;:[{\&quot;id\&quot;:\&quot;doc:5c175cbde4b0f33476b0d1b0\&quot;,\&quot;pageReplace\&quot;:\&quot;\&quot;,\&quot;author\&quot;:true,\&quot;year\&quot;:true,\&quot;prefix\&quot;:\&quot;\&quot;,\&quot;suffix\&quot;:\&quot;\&quot;}],\&quot;position\&quot;:\&quot;footnote\&quot;}&quot;"/>
    <we:property name="cit:_296375928" value="&quot;{\&quot;docs\&quot;:[{\&quot;id\&quot;:\&quot;doc:5c16f049e4b0ac8b1f3b951f\&quot;,\&quot;pageReplace\&quot;:\&quot;\&quot;,\&quot;author\&quot;:true,\&quot;year\&quot;:true,\&quot;prefix\&quot;:\&quot;\&quot;,\&quot;suffix\&quot;:\&quot;\&quot;}],\&quot;position\&quot;:\&quot;footnote\&quot;}&quot;"/>
    <we:property name="cit:_785114544" value="&quot;{\&quot;docs\&quot;:[{\&quot;id\&quot;:\&quot;doc:5c17f139e4b0ac7dc78be1cf\&quot;,\&quot;pageReplace\&quot;:\&quot;\&quot;,\&quot;author\&quot;:true,\&quot;year\&quot;:true,\&quot;prefix\&quot;:\&quot;\&quot;,\&quot;suffix\&quot;:\&quot;\&quot;}],\&quot;position\&quot;:\&quot;footnote\&quot;}&quot;"/>
    <we:property name="cit:604232273" value="&quot;{\&quot;docs\&quot;:[{\&quot;id\&quot;:\&quot;doc:5be88560e4b0e163a5e84ae2\&quot;,\&quot;pageReplace\&quot;:\&quot;\&quot;,\&quot;author\&quot;:true,\&quot;year\&quot;:true,\&quot;prefix\&quot;:\&quot;\&quot;,\&quot;suffix\&quot;:\&quot;\&quot;}],\&quot;position\&quot;:\&quot;footnote\&quot;}&quot;"/>
    <we:property name="cit:_886483007" value="&quot;{\&quot;docs\&quot;:[{\&quot;id\&quot;:\&quot;doc:5c16beaae4b08cc9561fba46\&quot;,\&quot;pageReplace\&quot;:\&quot;\&quot;,\&quot;author\&quot;:true,\&quot;year\&quot;:true,\&quot;prefix\&quot;:\&quot;\&quot;,\&quot;suffix\&quot;:\&quot;\&quot;}],\&quot;position\&quot;:\&quot;footnote\&quot;}&quot;"/>
    <we:property name="cit:_1452937009" value="&quot;{\&quot;docs\&quot;:[{\&quot;id\&quot;:\&quot;doc:5be88560e4b0e163a5e84ae2\&quot;,\&quot;pageReplace\&quot;:\&quot;\&quot;,\&quot;author\&quot;:true,\&quot;year\&quot;:true,\&quot;prefix\&quot;:\&quot;\&quot;,\&quot;suffix\&quot;:\&quot;\&quot;}],\&quot;position\&quot;:\&quot;footnote\&quot;}&quot;"/>
    <we:property name="cit:_1127072598" value="&quot;{\&quot;docs\&quot;:[{\&quot;pageReplace\&quot;:\&quot;\&quot;,\&quot;author\&quot;:true,\&quot;year\&quot;:true,\&quot;prefix\&quot;:\&quot;\&quot;,\&quot;suffix\&quot;:\&quot;\&quot;,\&quot;id\&quot;:\&quot;doc:5c12f021e4b0b61e341a8986\&quot;},{\&quot;pageReplace\&quot;:\&quot;\&quot;,\&quot;author\&quot;:true,\&quot;year\&quot;:true,\&quot;prefix\&quot;:\&quot;\&quot;,\&quot;suffix\&quot;:\&quot;\&quot;,\&quot;id\&quot;:\&quot;doc:5be84cbfe4b0304fd3d115d6\&quot;}],\&quot;position\&quot;:\&quot;footnote\&quot;}&quot;"/>
    <we:property name="cit:1277749064" value="&quot;{\&quot;docs\&quot;:[{\&quot;id\&quot;:\&quot;doc:5be88560e4b0e163a5e84ae2\&quot;,\&quot;pageReplace\&quot;:\&quot;\&quot;,\&quot;author\&quot;:true,\&quot;year\&quot;:true,\&quot;prefix\&quot;:\&quot;\&quot;,\&quot;suffix\&quot;:\&quot;\&quot;}],\&quot;position\&quot;:\&quot;footnote\&quot;}&quot;"/>
    <we:property name="cit:1396233626" value="&quot;{\&quot;docs\&quot;:[{\&quot;id\&quot;:\&quot;doc:5be84cbfe4b0304fd3d115d6\&quot;,\&quot;pageReplace\&quot;:\&quot;\&quot;,\&quot;author\&quot;:true,\&quot;year\&quot;:true,\&quot;prefix\&quot;:\&quot;\&quot;,\&quot;suffix\&quot;:\&quot;\&quot;}],\&quot;position\&quot;:\&quot;footnote\&quot;}&quot;"/>
    <we:property name="cit:90982596" value="&quot;{\&quot;docs\&quot;:[{\&quot;pageReplace\&quot;:\&quot;\&quot;,\&quot;author\&quot;:true,\&quot;year\&quot;:true,\&quot;prefix\&quot;:\&quot;\&quot;,\&quot;suffix\&quot;:\&quot;\&quot;,\&quot;id\&quot;:\&quot;doc:5c16beaae4b08cc9561fba46\&quot;}],\&quot;position\&quot;:\&quot;footnote\&quot;}&quot;"/>
    <we:property name="cit:1214005159" value="&quot;{\&quot;docs\&quot;:[{\&quot;id\&quot;:\&quot;doc:5c12f839e4b0b61e341a8d84\&quot;,\&quot;pageReplace\&quot;:\&quot;\&quot;,\&quot;author\&quot;:true,\&quot;year\&quot;:true,\&quot;prefix\&quot;:\&quot;\&quot;,\&quot;suffix\&quot;:\&quot;\&quot;}],\&quot;position\&quot;:\&quot;footnote\&quot;}&quot;"/>
    <we:property name="cit:_1812705779" value="&quot;{\&quot;docs\&quot;:[{\&quot;id\&quot;:\&quot;doc:5c15ce05e4b0e810cb1d4e61\&quot;,\&quot;pageReplace\&quot;:\&quot;\&quot;,\&quot;author\&quot;:true,\&quot;year\&quot;:true,\&quot;prefix\&quot;:\&quot;\&quot;,\&quot;suffix\&quot;:\&quot;\&quot;}],\&quot;position\&quot;:\&quot;footnote\&quot;}&quot;"/>
    <we:property name="cit:_1907301255" value="&quot;{\&quot;docs\&quot;:[{\&quot;id\&quot;:\&quot;doc:5c17eeebe4b0e34cc95b85a3\&quot;,\&quot;pageReplace\&quot;:\&quot;\&quot;,\&quot;author\&quot;:true,\&quot;year\&quot;:true,\&quot;prefix\&quot;:\&quot;\&quot;,\&quot;suffix\&quot;:\&quot;\&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31E46-976C-2A48-841F-1793CC7E6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17</Pages>
  <Words>4121</Words>
  <Characters>23491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christina@ebbandglow.com</dc:creator>
  <cp:keywords/>
  <dc:description/>
  <cp:lastModifiedBy>Christina Giles (1805673)</cp:lastModifiedBy>
  <cp:revision>5</cp:revision>
  <cp:lastPrinted>2020-03-02T23:05:00Z</cp:lastPrinted>
  <dcterms:created xsi:type="dcterms:W3CDTF">2020-04-20T22:31:00Z</dcterms:created>
  <dcterms:modified xsi:type="dcterms:W3CDTF">2020-04-20T22:41:00Z</dcterms:modified>
</cp:coreProperties>
</file>